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23999pt;margin-top:49.09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4"/>
          <w:szCs w:val="14"/>
        </w:rPr>
      </w:pPr>
    </w:p>
    <w:p>
      <w:pPr>
        <w:spacing w:line="1987" w:lineRule="exact"/>
        <w:ind w:left="348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9"/>
          <w:sz w:val="20"/>
          <w:szCs w:val="20"/>
        </w:rPr>
        <w:drawing>
          <wp:inline distT="0" distB="0" distL="0" distR="0">
            <wp:extent cx="1896300" cy="1261872"/>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896300" cy="1261872"/>
                    </a:xfrm>
                    <a:prstGeom prst="rect">
                      <a:avLst/>
                    </a:prstGeom>
                  </pic:spPr>
                </pic:pic>
              </a:graphicData>
            </a:graphic>
          </wp:inline>
        </w:drawing>
      </w:r>
      <w:r>
        <w:rPr>
          <w:rFonts w:ascii="Times New Roman" w:hAnsi="Times New Roman" w:cs="Times New Roman" w:eastAsia="Times New Roman" w:hint="default"/>
          <w:position w:val="-39"/>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7"/>
          <w:szCs w:val="17"/>
        </w:rPr>
      </w:pPr>
    </w:p>
    <w:p>
      <w:pPr>
        <w:spacing w:line="460" w:lineRule="exact" w:before="0"/>
        <w:ind w:left="2783" w:right="3764" w:firstLine="0"/>
        <w:jc w:val="center"/>
        <w:rPr>
          <w:rFonts w:ascii="宋体" w:hAnsi="宋体" w:cs="宋体" w:eastAsia="宋体" w:hint="default"/>
          <w:sz w:val="36"/>
          <w:szCs w:val="36"/>
        </w:rPr>
      </w:pPr>
      <w:r>
        <w:rPr>
          <w:rFonts w:ascii="宋体" w:hAnsi="宋体" w:cs="宋体" w:eastAsia="宋体" w:hint="default"/>
          <w:b/>
          <w:bCs/>
          <w:sz w:val="36"/>
          <w:szCs w:val="36"/>
        </w:rPr>
        <w:t>浙江和仁科技股份有限公司</w:t>
      </w:r>
      <w:r>
        <w:rPr>
          <w:rFonts w:ascii="宋体" w:hAnsi="宋体" w:cs="宋体" w:eastAsia="宋体" w:hint="default"/>
          <w:sz w:val="36"/>
          <w:szCs w:val="36"/>
        </w:rPr>
      </w:r>
    </w:p>
    <w:p>
      <w:pPr>
        <w:spacing w:line="240" w:lineRule="auto" w:before="0"/>
        <w:rPr>
          <w:rFonts w:ascii="宋体" w:hAnsi="宋体" w:cs="宋体" w:eastAsia="宋体" w:hint="default"/>
          <w:b/>
          <w:bCs/>
          <w:sz w:val="31"/>
          <w:szCs w:val="31"/>
        </w:rPr>
      </w:pPr>
    </w:p>
    <w:p>
      <w:pPr>
        <w:spacing w:before="0"/>
        <w:ind w:left="2783" w:right="376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2"/>
        <w:rPr>
          <w:rFonts w:ascii="宋体" w:hAnsi="宋体" w:cs="宋体" w:eastAsia="宋体" w:hint="default"/>
          <w:b/>
          <w:bCs/>
          <w:sz w:val="28"/>
          <w:szCs w:val="28"/>
        </w:rPr>
      </w:pPr>
    </w:p>
    <w:p>
      <w:pPr>
        <w:spacing w:before="0"/>
        <w:ind w:left="2783" w:right="3761" w:firstLine="0"/>
        <w:jc w:val="center"/>
        <w:rPr>
          <w:rFonts w:ascii="宋体" w:hAnsi="宋体" w:cs="宋体" w:eastAsia="宋体" w:hint="default"/>
          <w:sz w:val="32"/>
          <w:szCs w:val="32"/>
        </w:rPr>
      </w:pPr>
      <w:r>
        <w:rPr>
          <w:rFonts w:ascii="宋体" w:hAnsi="宋体" w:cs="宋体" w:eastAsia="宋体" w:hint="default"/>
          <w:b/>
          <w:bCs/>
          <w:sz w:val="32"/>
          <w:szCs w:val="32"/>
        </w:rPr>
        <w:t>（</w:t>
      </w:r>
      <w:r>
        <w:rPr>
          <w:rFonts w:ascii="Times New Roman" w:hAnsi="Times New Roman" w:cs="Times New Roman" w:eastAsia="Times New Roman" w:hint="default"/>
          <w:b/>
          <w:bCs/>
          <w:sz w:val="32"/>
          <w:szCs w:val="32"/>
        </w:rPr>
        <w:t>2020-047</w:t>
      </w:r>
      <w:r>
        <w:rPr>
          <w:rFonts w:ascii="宋体" w:hAnsi="宋体" w:cs="宋体" w:eastAsia="宋体" w:hint="default"/>
          <w:b/>
          <w:bCs/>
          <w:sz w:val="32"/>
          <w:szCs w:val="32"/>
        </w:rPr>
        <w:t>）</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9"/>
        <w:rPr>
          <w:rFonts w:ascii="宋体" w:hAnsi="宋体" w:cs="宋体" w:eastAsia="宋体" w:hint="default"/>
          <w:b/>
          <w:bCs/>
          <w:sz w:val="48"/>
          <w:szCs w:val="48"/>
        </w:rPr>
      </w:pPr>
    </w:p>
    <w:p>
      <w:pPr>
        <w:spacing w:before="0"/>
        <w:ind w:left="2783" w:right="375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1" w:footer="979" w:top="1060" w:bottom="1160" w:left="980" w:right="0"/>
        </w:sectPr>
      </w:pPr>
    </w:p>
    <w:p>
      <w:pPr>
        <w:spacing w:line="240" w:lineRule="auto" w:before="2"/>
        <w:rPr>
          <w:rFonts w:ascii="宋体" w:hAnsi="宋体" w:cs="宋体" w:eastAsia="宋体" w:hint="default"/>
          <w:b/>
          <w:bCs/>
          <w:sz w:val="3"/>
          <w:szCs w:val="3"/>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75pt;height:.75pt;mso-position-horizontal-relative:char;mso-position-vertical-relative:line" coordorigin="0,0" coordsize="9715,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Heading1"/>
        <w:spacing w:line="240" w:lineRule="auto"/>
        <w:ind w:left="2885" w:right="0"/>
        <w:jc w:val="left"/>
        <w:rPr>
          <w:b w:val="0"/>
          <w:bCs w:val="0"/>
        </w:rPr>
      </w:pPr>
      <w:bookmarkStart w:name="第一节重要提示、目录和释义" w:id="1"/>
      <w:bookmarkEnd w:id="1"/>
      <w:r>
        <w:rPr>
          <w:b w:val="0"/>
          <w:bCs w:val="0"/>
        </w:rPr>
      </w:r>
      <w:r>
        <w:rPr/>
        <w:t>第一节重要提示、目录和释义</w:t>
      </w:r>
      <w:r>
        <w:rPr>
          <w:b w:val="0"/>
          <w:bCs w:val="0"/>
        </w:rPr>
      </w:r>
    </w:p>
    <w:p>
      <w:pPr>
        <w:spacing w:line="240" w:lineRule="auto" w:before="12"/>
        <w:rPr>
          <w:rFonts w:ascii="宋体" w:hAnsi="宋体" w:cs="宋体" w:eastAsia="宋体" w:hint="default"/>
          <w:b/>
          <w:bCs/>
          <w:sz w:val="47"/>
          <w:szCs w:val="47"/>
        </w:rPr>
      </w:pPr>
    </w:p>
    <w:p>
      <w:pPr>
        <w:spacing w:line="408" w:lineRule="auto" w:before="0"/>
        <w:ind w:left="153" w:right="1141"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实、准确、完整，不存在虚假记载、误导性陈述或重大遗漏，并承担个别和连</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2"/>
          <w:sz w:val="28"/>
          <w:szCs w:val="28"/>
        </w:rPr>
        <w:t>带的法律责任。</w:t>
      </w:r>
      <w:r>
        <w:rPr>
          <w:rFonts w:ascii="宋体" w:hAnsi="宋体" w:cs="宋体" w:eastAsia="宋体" w:hint="default"/>
          <w:spacing w:val="2"/>
          <w:sz w:val="28"/>
          <w:szCs w:val="28"/>
        </w:rPr>
      </w:r>
    </w:p>
    <w:p>
      <w:pPr>
        <w:spacing w:line="386" w:lineRule="auto" w:before="162"/>
        <w:ind w:left="153" w:right="1127" w:firstLine="561"/>
        <w:jc w:val="both"/>
        <w:rPr>
          <w:rFonts w:ascii="宋体" w:hAnsi="宋体" w:cs="宋体" w:eastAsia="宋体" w:hint="default"/>
          <w:sz w:val="28"/>
          <w:szCs w:val="28"/>
        </w:rPr>
      </w:pPr>
      <w:r>
        <w:rPr>
          <w:rFonts w:ascii="宋体" w:hAnsi="宋体" w:cs="宋体" w:eastAsia="宋体" w:hint="default"/>
          <w:b/>
          <w:bCs/>
          <w:spacing w:val="2"/>
          <w:w w:val="95"/>
          <w:sz w:val="28"/>
          <w:szCs w:val="28"/>
        </w:rPr>
        <w:t>公司负责人杨一兵、主管会计工作负责人张雪峰及会计机构负责人</w:t>
      </w:r>
      <w:r>
        <w:rPr>
          <w:rFonts w:ascii="Times New Roman" w:hAnsi="Times New Roman" w:cs="Times New Roman" w:eastAsia="Times New Roman" w:hint="default"/>
          <w:b/>
          <w:bCs/>
          <w:spacing w:val="2"/>
          <w:w w:val="95"/>
          <w:sz w:val="28"/>
          <w:szCs w:val="28"/>
        </w:rPr>
        <w:t>(</w:t>
      </w:r>
      <w:r>
        <w:rPr>
          <w:rFonts w:ascii="宋体" w:hAnsi="宋体" w:cs="宋体" w:eastAsia="宋体" w:hint="default"/>
          <w:b/>
          <w:bCs/>
          <w:spacing w:val="2"/>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pacing w:val="2"/>
          <w:sz w:val="28"/>
          <w:szCs w:val="28"/>
        </w:rPr>
        <w:t>管人员</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刘双双声明：保证年度报告中财务报告的真实、准确、完整。</w:t>
      </w:r>
      <w:r>
        <w:rPr>
          <w:rFonts w:ascii="宋体" w:hAnsi="宋体" w:cs="宋体" w:eastAsia="宋体" w:hint="default"/>
          <w:spacing w:val="2"/>
          <w:sz w:val="28"/>
          <w:szCs w:val="28"/>
        </w:rPr>
      </w:r>
    </w:p>
    <w:p>
      <w:pPr>
        <w:spacing w:line="475" w:lineRule="auto" w:before="148"/>
        <w:ind w:left="714" w:right="0" w:firstLine="0"/>
        <w:jc w:val="left"/>
        <w:rPr>
          <w:rFonts w:ascii="宋体" w:hAnsi="宋体" w:cs="宋体" w:eastAsia="宋体" w:hint="default"/>
          <w:sz w:val="28"/>
          <w:szCs w:val="28"/>
        </w:rPr>
      </w:pPr>
      <w:r>
        <w:rPr>
          <w:rFonts w:ascii="宋体" w:hAnsi="宋体" w:cs="宋体" w:eastAsia="宋体" w:hint="default"/>
          <w:b/>
          <w:bCs/>
          <w:spacing w:val="2"/>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年度报告中所涉及的未来经营计划和目标等前瞻性描述，并不代表公司的</w:t>
      </w:r>
      <w:r>
        <w:rPr>
          <w:rFonts w:ascii="宋体" w:hAnsi="宋体" w:cs="宋体" w:eastAsia="宋体" w:hint="default"/>
          <w:spacing w:val="4"/>
          <w:sz w:val="28"/>
          <w:szCs w:val="28"/>
        </w:rPr>
      </w:r>
    </w:p>
    <w:p>
      <w:pPr>
        <w:spacing w:line="350" w:lineRule="exact" w:before="0"/>
        <w:ind w:left="153" w:right="0" w:firstLine="0"/>
        <w:jc w:val="left"/>
        <w:rPr>
          <w:rFonts w:ascii="宋体" w:hAnsi="宋体" w:cs="宋体" w:eastAsia="宋体" w:hint="default"/>
          <w:sz w:val="28"/>
          <w:szCs w:val="28"/>
        </w:rPr>
      </w:pPr>
      <w:r>
        <w:rPr>
          <w:rFonts w:ascii="宋体" w:hAnsi="宋体" w:cs="宋体" w:eastAsia="宋体" w:hint="default"/>
          <w:b/>
          <w:bCs/>
          <w:spacing w:val="4"/>
          <w:sz w:val="28"/>
          <w:szCs w:val="28"/>
        </w:rPr>
        <w:t>盈利预测，也不构成公司对投资者的实质承诺，能否实现取决于市场变化等多</w:t>
      </w:r>
      <w:r>
        <w:rPr>
          <w:rFonts w:ascii="宋体" w:hAnsi="宋体" w:cs="宋体" w:eastAsia="宋体" w:hint="default"/>
          <w:spacing w:val="4"/>
          <w:sz w:val="28"/>
          <w:szCs w:val="28"/>
        </w:rPr>
      </w:r>
    </w:p>
    <w:p>
      <w:pPr>
        <w:spacing w:line="240" w:lineRule="auto" w:before="9"/>
        <w:rPr>
          <w:rFonts w:ascii="宋体" w:hAnsi="宋体" w:cs="宋体" w:eastAsia="宋体" w:hint="default"/>
          <w:b/>
          <w:bCs/>
          <w:sz w:val="19"/>
          <w:szCs w:val="19"/>
        </w:rPr>
      </w:pPr>
    </w:p>
    <w:p>
      <w:pPr>
        <w:spacing w:line="408" w:lineRule="auto" w:before="0"/>
        <w:ind w:left="153" w:right="0" w:firstLine="0"/>
        <w:jc w:val="left"/>
        <w:rPr>
          <w:rFonts w:ascii="宋体" w:hAnsi="宋体" w:cs="宋体" w:eastAsia="宋体" w:hint="default"/>
          <w:sz w:val="28"/>
          <w:szCs w:val="28"/>
        </w:rPr>
      </w:pPr>
      <w:r>
        <w:rPr>
          <w:rFonts w:ascii="宋体" w:hAnsi="宋体" w:cs="宋体" w:eastAsia="宋体" w:hint="default"/>
          <w:b/>
          <w:bCs/>
          <w:spacing w:val="4"/>
          <w:w w:val="95"/>
          <w:sz w:val="28"/>
          <w:szCs w:val="28"/>
        </w:rPr>
        <w:t>种影响因素，公司在发展过程中面临着宏观经济周期波动的风险，医疗信息行</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2"/>
          <w:sz w:val="28"/>
          <w:szCs w:val="28"/>
        </w:rPr>
        <w:t>业调控政策变化的风险，应收账款回收风险，请投资者注意投资风险。</w:t>
      </w:r>
      <w:r>
        <w:rPr>
          <w:rFonts w:ascii="宋体" w:hAnsi="宋体" w:cs="宋体" w:eastAsia="宋体" w:hint="default"/>
          <w:spacing w:val="2"/>
          <w:sz w:val="28"/>
          <w:szCs w:val="28"/>
        </w:rPr>
      </w:r>
    </w:p>
    <w:p>
      <w:pPr>
        <w:spacing w:line="448" w:lineRule="auto" w:before="158"/>
        <w:ind w:left="714"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1</w:t>
      </w:r>
      <w:r>
        <w:rPr>
          <w:rFonts w:ascii="宋体" w:hAnsi="宋体" w:cs="宋体" w:eastAsia="宋体" w:hint="default"/>
          <w:b/>
          <w:bCs/>
          <w:sz w:val="28"/>
          <w:szCs w:val="28"/>
        </w:rPr>
        <w:t>、大型系统解决方案实施风险</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公司定位于基于核心软件系统的数字化医院解决方案提供商。随着公司业</w:t>
      </w:r>
      <w:r>
        <w:rPr>
          <w:rFonts w:ascii="宋体" w:hAnsi="宋体" w:cs="宋体" w:eastAsia="宋体" w:hint="default"/>
          <w:spacing w:val="4"/>
          <w:sz w:val="28"/>
          <w:szCs w:val="28"/>
        </w:rPr>
      </w:r>
    </w:p>
    <w:p>
      <w:pPr>
        <w:spacing w:line="408" w:lineRule="auto" w:before="14"/>
        <w:ind w:left="153" w:right="0" w:firstLine="0"/>
        <w:jc w:val="left"/>
        <w:rPr>
          <w:rFonts w:ascii="宋体" w:hAnsi="宋体" w:cs="宋体" w:eastAsia="宋体" w:hint="default"/>
          <w:sz w:val="28"/>
          <w:szCs w:val="28"/>
        </w:rPr>
      </w:pPr>
      <w:r>
        <w:rPr>
          <w:rFonts w:ascii="宋体" w:hAnsi="宋体" w:cs="宋体" w:eastAsia="宋体" w:hint="default"/>
          <w:b/>
          <w:bCs/>
          <w:spacing w:val="4"/>
          <w:sz w:val="28"/>
          <w:szCs w:val="28"/>
        </w:rPr>
        <w:t>务的不断发展，公司逐步形成了涵盖信息系统蓝图规划、基础信息设施建设、</w:t>
      </w:r>
      <w:r>
        <w:rPr>
          <w:rFonts w:ascii="宋体" w:hAnsi="宋体" w:cs="宋体" w:eastAsia="宋体" w:hint="default"/>
          <w:b/>
          <w:bCs/>
          <w:w w:val="99"/>
          <w:sz w:val="28"/>
          <w:szCs w:val="28"/>
        </w:rPr>
        <w:t> </w:t>
      </w:r>
      <w:r>
        <w:rPr>
          <w:rFonts w:ascii="宋体" w:hAnsi="宋体" w:cs="宋体" w:eastAsia="宋体" w:hint="default"/>
          <w:b/>
          <w:bCs/>
          <w:w w:val="95"/>
          <w:sz w:val="28"/>
          <w:szCs w:val="28"/>
        </w:rPr>
        <w:t>个性化软件开发、软硬件系统集成在内的较为完备的数字化医院整体解决方案。</w:t>
      </w:r>
      <w:r>
        <w:rPr>
          <w:rFonts w:ascii="宋体" w:hAnsi="宋体" w:cs="宋体" w:eastAsia="宋体" w:hint="default"/>
          <w:b/>
          <w:bCs/>
          <w:spacing w:val="10"/>
          <w:w w:val="95"/>
          <w:sz w:val="28"/>
          <w:szCs w:val="28"/>
        </w:rPr>
        <w:t> </w:t>
      </w:r>
      <w:r>
        <w:rPr>
          <w:rFonts w:ascii="宋体" w:hAnsi="宋体" w:cs="宋体" w:eastAsia="宋体" w:hint="default"/>
          <w:b/>
          <w:bCs/>
          <w:spacing w:val="10"/>
          <w:w w:val="95"/>
          <w:sz w:val="28"/>
          <w:szCs w:val="28"/>
        </w:rPr>
      </w:r>
      <w:r>
        <w:rPr>
          <w:rFonts w:ascii="宋体" w:hAnsi="宋体" w:cs="宋体" w:eastAsia="宋体" w:hint="default"/>
          <w:b/>
          <w:bCs/>
          <w:spacing w:val="4"/>
          <w:sz w:val="28"/>
          <w:szCs w:val="28"/>
        </w:rPr>
        <w:t>然而，完备的整体解决方案同时意味着更为复杂的系统架构、更多环节的流程</w:t>
      </w:r>
      <w:r>
        <w:rPr>
          <w:rFonts w:ascii="宋体" w:hAnsi="宋体" w:cs="宋体" w:eastAsia="宋体" w:hint="default"/>
          <w:b/>
          <w:bCs/>
          <w:w w:val="99"/>
          <w:sz w:val="28"/>
          <w:szCs w:val="28"/>
        </w:rPr>
        <w:t> </w:t>
      </w:r>
      <w:r>
        <w:rPr>
          <w:rFonts w:ascii="宋体" w:hAnsi="宋体" w:cs="宋体" w:eastAsia="宋体" w:hint="default"/>
          <w:b/>
          <w:bCs/>
          <w:spacing w:val="4"/>
          <w:sz w:val="28"/>
          <w:szCs w:val="28"/>
        </w:rPr>
        <w:t>优化、更大规模的信息交互、更长的实施周期以及更大的项目实施不确定性。</w:t>
      </w:r>
      <w:r>
        <w:rPr>
          <w:rFonts w:ascii="宋体" w:hAnsi="宋体" w:cs="宋体" w:eastAsia="宋体" w:hint="default"/>
          <w:b/>
          <w:bCs/>
          <w:w w:val="99"/>
          <w:sz w:val="28"/>
          <w:szCs w:val="28"/>
        </w:rPr>
        <w:t> </w:t>
      </w:r>
      <w:r>
        <w:rPr>
          <w:rFonts w:ascii="宋体" w:hAnsi="宋体" w:cs="宋体" w:eastAsia="宋体" w:hint="default"/>
          <w:b/>
          <w:bCs/>
          <w:spacing w:val="4"/>
          <w:sz w:val="28"/>
          <w:szCs w:val="28"/>
        </w:rPr>
        <w:t>在相对较长的实施周期中，公司始终面临重大项目因规划设计缺陷、关键技术</w:t>
      </w:r>
      <w:r>
        <w:rPr>
          <w:rFonts w:ascii="宋体" w:hAnsi="宋体" w:cs="宋体" w:eastAsia="宋体" w:hint="default"/>
          <w:b/>
          <w:bCs/>
          <w:w w:val="99"/>
          <w:sz w:val="28"/>
          <w:szCs w:val="28"/>
        </w:rPr>
        <w:t> </w:t>
      </w:r>
      <w:r>
        <w:rPr>
          <w:rFonts w:ascii="宋体" w:hAnsi="宋体" w:cs="宋体" w:eastAsia="宋体" w:hint="default"/>
          <w:b/>
          <w:bCs/>
          <w:spacing w:val="4"/>
          <w:sz w:val="28"/>
          <w:szCs w:val="28"/>
        </w:rPr>
        <w:t>开发失败、客户需求变更等原因而无法如期完成的风险。公司目前业务规模较</w:t>
      </w:r>
      <w:r>
        <w:rPr>
          <w:rFonts w:ascii="宋体" w:hAnsi="宋体" w:cs="宋体" w:eastAsia="宋体" w:hint="default"/>
          <w:b/>
          <w:bCs/>
          <w:w w:val="99"/>
          <w:sz w:val="28"/>
          <w:szCs w:val="28"/>
        </w:rPr>
        <w:t> </w:t>
      </w:r>
      <w:r>
        <w:rPr>
          <w:rFonts w:ascii="宋体" w:hAnsi="宋体" w:cs="宋体" w:eastAsia="宋体" w:hint="default"/>
          <w:b/>
          <w:bCs/>
          <w:spacing w:val="4"/>
          <w:sz w:val="28"/>
          <w:szCs w:val="28"/>
        </w:rPr>
        <w:t>小，如果某个或多个重大项目出现实施风险，将会对公司当期经营业绩产生重</w:t>
      </w:r>
      <w:r>
        <w:rPr>
          <w:rFonts w:ascii="宋体" w:hAnsi="宋体" w:cs="宋体" w:eastAsia="宋体" w:hint="default"/>
          <w:spacing w:val="4"/>
          <w:sz w:val="28"/>
          <w:szCs w:val="28"/>
        </w:rPr>
      </w:r>
    </w:p>
    <w:p>
      <w:pPr>
        <w:spacing w:after="0" w:line="408" w:lineRule="auto"/>
        <w:jc w:val="left"/>
        <w:rPr>
          <w:rFonts w:ascii="宋体" w:hAnsi="宋体" w:cs="宋体" w:eastAsia="宋体" w:hint="default"/>
          <w:sz w:val="28"/>
          <w:szCs w:val="28"/>
        </w:rPr>
        <w:sectPr>
          <w:footerReference w:type="default" r:id="rId8"/>
          <w:pgSz w:w="11910" w:h="16840"/>
          <w:pgMar w:footer="979" w:header="741" w:top="1060" w:bottom="1160" w:left="980" w:right="0"/>
          <w:pgNumType w:start="2"/>
        </w:sectPr>
      </w:pPr>
    </w:p>
    <w:p>
      <w:pPr>
        <w:spacing w:line="240" w:lineRule="auto" w:before="2"/>
        <w:rPr>
          <w:rFonts w:ascii="宋体" w:hAnsi="宋体" w:cs="宋体" w:eastAsia="宋体" w:hint="default"/>
          <w:b/>
          <w:bCs/>
          <w:sz w:val="3"/>
          <w:szCs w:val="3"/>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75pt;height:.75pt;mso-position-horizontal-relative:char;mso-position-vertical-relative:line" coordorigin="0,0" coordsize="9715,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b/>
          <w:bCs/>
          <w:sz w:val="29"/>
          <w:szCs w:val="29"/>
        </w:rPr>
      </w:pPr>
    </w:p>
    <w:p>
      <w:pPr>
        <w:spacing w:line="408" w:lineRule="auto" w:before="12"/>
        <w:ind w:left="153" w:right="1130" w:firstLine="0"/>
        <w:jc w:val="both"/>
        <w:rPr>
          <w:rFonts w:ascii="宋体" w:hAnsi="宋体" w:cs="宋体" w:eastAsia="宋体" w:hint="default"/>
          <w:sz w:val="28"/>
          <w:szCs w:val="28"/>
        </w:rPr>
      </w:pPr>
      <w:r>
        <w:rPr>
          <w:rFonts w:ascii="宋体" w:hAnsi="宋体" w:cs="宋体" w:eastAsia="宋体" w:hint="default"/>
          <w:b/>
          <w:bCs/>
          <w:spacing w:val="4"/>
          <w:w w:val="95"/>
          <w:sz w:val="28"/>
          <w:szCs w:val="28"/>
        </w:rPr>
        <w:t>大不利影响。公司将不断增强研发和技术优势，坚持以产品适应项目需求为导</w:t>
      </w:r>
      <w:r>
        <w:rPr>
          <w:rFonts w:ascii="宋体" w:hAnsi="宋体" w:cs="宋体" w:eastAsia="宋体" w:hint="default"/>
          <w:b/>
          <w:bCs/>
          <w:spacing w:val="125"/>
          <w:w w:val="95"/>
          <w:sz w:val="28"/>
          <w:szCs w:val="28"/>
        </w:rPr>
        <w:t> </w:t>
      </w:r>
      <w:r>
        <w:rPr>
          <w:rFonts w:ascii="宋体" w:hAnsi="宋体" w:cs="宋体" w:eastAsia="宋体" w:hint="default"/>
          <w:b/>
          <w:bCs/>
          <w:spacing w:val="125"/>
          <w:w w:val="95"/>
          <w:sz w:val="28"/>
          <w:szCs w:val="28"/>
        </w:rPr>
      </w:r>
      <w:r>
        <w:rPr>
          <w:rFonts w:ascii="宋体" w:hAnsi="宋体" w:cs="宋体" w:eastAsia="宋体" w:hint="default"/>
          <w:b/>
          <w:bCs/>
          <w:spacing w:val="2"/>
          <w:sz w:val="28"/>
          <w:szCs w:val="28"/>
        </w:rPr>
        <w:t>向的研究策略，提升应对项目实施风险的灵活度。</w:t>
      </w:r>
      <w:r>
        <w:rPr>
          <w:rFonts w:ascii="宋体" w:hAnsi="宋体" w:cs="宋体" w:eastAsia="宋体" w:hint="default"/>
          <w:spacing w:val="2"/>
          <w:sz w:val="28"/>
          <w:szCs w:val="28"/>
        </w:rPr>
      </w:r>
    </w:p>
    <w:p>
      <w:pPr>
        <w:spacing w:line="448" w:lineRule="auto" w:before="163"/>
        <w:ind w:left="714"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2</w:t>
      </w:r>
      <w:r>
        <w:rPr>
          <w:rFonts w:ascii="宋体" w:hAnsi="宋体" w:cs="宋体" w:eastAsia="宋体" w:hint="default"/>
          <w:b/>
          <w:bCs/>
          <w:sz w:val="28"/>
          <w:szCs w:val="28"/>
        </w:rPr>
        <w:t>、主要客户流失风险</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公司致力于围绕临床诊疗信息应用，构建基于医疗机构信息应用需求的数</w:t>
      </w:r>
      <w:r>
        <w:rPr>
          <w:rFonts w:ascii="宋体" w:hAnsi="宋体" w:cs="宋体" w:eastAsia="宋体" w:hint="default"/>
          <w:spacing w:val="4"/>
          <w:sz w:val="28"/>
          <w:szCs w:val="28"/>
        </w:rPr>
      </w:r>
    </w:p>
    <w:p>
      <w:pPr>
        <w:spacing w:line="408" w:lineRule="auto" w:before="14"/>
        <w:ind w:left="153" w:right="1129" w:firstLine="0"/>
        <w:jc w:val="both"/>
        <w:rPr>
          <w:rFonts w:ascii="宋体" w:hAnsi="宋体" w:cs="宋体" w:eastAsia="宋体" w:hint="default"/>
          <w:sz w:val="28"/>
          <w:szCs w:val="28"/>
        </w:rPr>
      </w:pPr>
      <w:r>
        <w:rPr>
          <w:rFonts w:ascii="宋体" w:hAnsi="宋体" w:cs="宋体" w:eastAsia="宋体" w:hint="default"/>
          <w:b/>
          <w:bCs/>
          <w:spacing w:val="4"/>
          <w:w w:val="95"/>
          <w:sz w:val="28"/>
          <w:szCs w:val="28"/>
        </w:rPr>
        <w:t>字化医院整体解决方案，并不断满足医疗机构的信息应用需求。因此，公司最</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终客户以大中型医疗机构为主，集中度较高。公司的技术路线立足于大型医疗</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机构的临床医疗信息应用需求，作为公司最终客户的医疗机构如果决定终止与</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公司的合作关系不仅意味着公司失去了当前的业务机会，更会导致公司基于医</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疗信息平台实现业务延伸的经营策略失去基础，对公司的可持续发展产生重大</w:t>
      </w:r>
      <w:r>
        <w:rPr>
          <w:rFonts w:ascii="宋体" w:hAnsi="宋体" w:cs="宋体" w:eastAsia="宋体" w:hint="default"/>
          <w:b/>
          <w:bCs/>
          <w:spacing w:val="136"/>
          <w:w w:val="95"/>
          <w:sz w:val="28"/>
          <w:szCs w:val="28"/>
        </w:rPr>
        <w:t> </w:t>
      </w:r>
      <w:r>
        <w:rPr>
          <w:rFonts w:ascii="宋体" w:hAnsi="宋体" w:cs="宋体" w:eastAsia="宋体" w:hint="default"/>
          <w:b/>
          <w:bCs/>
          <w:spacing w:val="136"/>
          <w:w w:val="95"/>
          <w:sz w:val="28"/>
          <w:szCs w:val="28"/>
        </w:rPr>
      </w:r>
      <w:r>
        <w:rPr>
          <w:rFonts w:ascii="宋体" w:hAnsi="宋体" w:cs="宋体" w:eastAsia="宋体" w:hint="default"/>
          <w:b/>
          <w:bCs/>
          <w:spacing w:val="4"/>
          <w:w w:val="95"/>
          <w:sz w:val="28"/>
          <w:szCs w:val="28"/>
        </w:rPr>
        <w:t>不利影响。公司将提高服务意识和服务质量，坚持以市场为导向，以适应客户</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2"/>
          <w:w w:val="95"/>
          <w:sz w:val="28"/>
          <w:szCs w:val="28"/>
        </w:rPr>
        <w:t>需求为目标，从维护现有客户和开拓新客户资源两个维度保证客户群体稳定。</w:t>
      </w:r>
      <w:r>
        <w:rPr>
          <w:rFonts w:ascii="宋体" w:hAnsi="宋体" w:cs="宋体" w:eastAsia="宋体" w:hint="default"/>
          <w:spacing w:val="2"/>
          <w:sz w:val="28"/>
          <w:szCs w:val="28"/>
        </w:rPr>
      </w:r>
    </w:p>
    <w:p>
      <w:pPr>
        <w:spacing w:line="448" w:lineRule="auto" w:before="157"/>
        <w:ind w:left="714" w:right="0" w:firstLine="0"/>
        <w:jc w:val="left"/>
        <w:rPr>
          <w:rFonts w:ascii="宋体" w:hAnsi="宋体" w:cs="宋体" w:eastAsia="宋体" w:hint="default"/>
          <w:sz w:val="28"/>
          <w:szCs w:val="28"/>
        </w:rPr>
      </w:pPr>
      <w:r>
        <w:rPr>
          <w:rFonts w:ascii="Times New Roman" w:hAnsi="Times New Roman" w:cs="Times New Roman" w:eastAsia="Times New Roman" w:hint="default"/>
          <w:b/>
          <w:bCs/>
          <w:spacing w:val="2"/>
          <w:sz w:val="28"/>
          <w:szCs w:val="28"/>
        </w:rPr>
        <w:t>3</w:t>
      </w:r>
      <w:r>
        <w:rPr>
          <w:rFonts w:ascii="宋体" w:hAnsi="宋体" w:cs="宋体" w:eastAsia="宋体" w:hint="default"/>
          <w:b/>
          <w:bCs/>
          <w:spacing w:val="2"/>
          <w:sz w:val="28"/>
          <w:szCs w:val="28"/>
        </w:rPr>
        <w:t>、业务内容不断丰富带来的管理控制与毛利率波动风险</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随着公司技术水平的不断提高，数字化医院整体解决方案趋于完善，公司</w:t>
      </w:r>
      <w:r>
        <w:rPr>
          <w:rFonts w:ascii="宋体" w:hAnsi="宋体" w:cs="宋体" w:eastAsia="宋体" w:hint="default"/>
          <w:spacing w:val="4"/>
          <w:sz w:val="28"/>
          <w:szCs w:val="28"/>
        </w:rPr>
      </w:r>
    </w:p>
    <w:p>
      <w:pPr>
        <w:spacing w:line="408" w:lineRule="auto" w:before="14"/>
        <w:ind w:left="153" w:right="1133" w:firstLine="0"/>
        <w:jc w:val="both"/>
        <w:rPr>
          <w:rFonts w:ascii="宋体" w:hAnsi="宋体" w:cs="宋体" w:eastAsia="宋体" w:hint="default"/>
          <w:sz w:val="28"/>
          <w:szCs w:val="28"/>
        </w:rPr>
      </w:pPr>
      <w:r>
        <w:rPr>
          <w:rFonts w:ascii="宋体" w:hAnsi="宋体" w:cs="宋体" w:eastAsia="宋体" w:hint="default"/>
          <w:b/>
          <w:bCs/>
          <w:spacing w:val="4"/>
          <w:w w:val="95"/>
          <w:sz w:val="28"/>
          <w:szCs w:val="28"/>
        </w:rPr>
        <w:t>业务结构逐步由以电子病历为代表的临床医疗信息管理系统发展到包括临床医</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疗管理信息系统和数字化场景应用方案的整体解决方案。业务的内涵和外延均</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有大幅提升。业务内容的不断丰富对公司管理控制提出了更高要求，特别是数</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字化医院整体解决方案业务需借助预算管理、成本管理、现场管理、进度管理</w:t>
      </w:r>
      <w:r>
        <w:rPr>
          <w:rFonts w:ascii="宋体" w:hAnsi="宋体" w:cs="宋体" w:eastAsia="宋体" w:hint="default"/>
          <w:b/>
          <w:bCs/>
          <w:spacing w:val="133"/>
          <w:w w:val="95"/>
          <w:sz w:val="28"/>
          <w:szCs w:val="28"/>
        </w:rPr>
        <w:t> </w:t>
      </w:r>
      <w:r>
        <w:rPr>
          <w:rFonts w:ascii="宋体" w:hAnsi="宋体" w:cs="宋体" w:eastAsia="宋体" w:hint="default"/>
          <w:b/>
          <w:bCs/>
          <w:spacing w:val="133"/>
          <w:w w:val="95"/>
          <w:sz w:val="28"/>
          <w:szCs w:val="28"/>
        </w:rPr>
      </w:r>
      <w:r>
        <w:rPr>
          <w:rFonts w:ascii="宋体" w:hAnsi="宋体" w:cs="宋体" w:eastAsia="宋体" w:hint="default"/>
          <w:b/>
          <w:bCs/>
          <w:spacing w:val="-4"/>
          <w:w w:val="95"/>
          <w:sz w:val="28"/>
          <w:szCs w:val="28"/>
        </w:rPr>
        <w:t>等多种控制手段，管理控制难度较高。而公司对于上述各项管理制度尚不完善，</w:t>
      </w:r>
      <w:r>
        <w:rPr>
          <w:rFonts w:ascii="宋体" w:hAnsi="宋体" w:cs="宋体" w:eastAsia="宋体" w:hint="default"/>
          <w:b/>
          <w:bCs/>
          <w:spacing w:val="17"/>
          <w:w w:val="95"/>
          <w:sz w:val="28"/>
          <w:szCs w:val="28"/>
        </w:rPr>
        <w:t> </w:t>
      </w:r>
      <w:r>
        <w:rPr>
          <w:rFonts w:ascii="宋体" w:hAnsi="宋体" w:cs="宋体" w:eastAsia="宋体" w:hint="default"/>
          <w:b/>
          <w:bCs/>
          <w:spacing w:val="17"/>
          <w:w w:val="95"/>
          <w:sz w:val="28"/>
          <w:szCs w:val="28"/>
        </w:rPr>
      </w:r>
      <w:r>
        <w:rPr>
          <w:rFonts w:ascii="宋体" w:hAnsi="宋体" w:cs="宋体" w:eastAsia="宋体" w:hint="default"/>
          <w:b/>
          <w:bCs/>
          <w:spacing w:val="4"/>
          <w:w w:val="95"/>
          <w:sz w:val="28"/>
          <w:szCs w:val="28"/>
        </w:rPr>
        <w:t>执行相对不足，临床医疗管理信息系统业务又相对依赖于项目现场实施团队的</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自我管理，公司适合大型项目的系统管理控制规范、预算及成本管理等仍在不</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断改进。如果无法在短期内建立起完善的项目管理控制制度，并有效执行，公</w:t>
      </w:r>
      <w:r>
        <w:rPr>
          <w:rFonts w:ascii="宋体" w:hAnsi="宋体" w:cs="宋体" w:eastAsia="宋体" w:hint="default"/>
          <w:spacing w:val="4"/>
          <w:sz w:val="28"/>
          <w:szCs w:val="28"/>
        </w:rPr>
      </w:r>
    </w:p>
    <w:p>
      <w:pPr>
        <w:spacing w:after="0" w:line="408" w:lineRule="auto"/>
        <w:jc w:val="both"/>
        <w:rPr>
          <w:rFonts w:ascii="宋体" w:hAnsi="宋体" w:cs="宋体" w:eastAsia="宋体" w:hint="default"/>
          <w:sz w:val="28"/>
          <w:szCs w:val="28"/>
        </w:rPr>
        <w:sectPr>
          <w:pgSz w:w="11910" w:h="16840"/>
          <w:pgMar w:header="741"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spacing w:line="408" w:lineRule="auto" w:before="12"/>
        <w:ind w:left="153" w:right="1140" w:firstLine="0"/>
        <w:jc w:val="both"/>
        <w:rPr>
          <w:rFonts w:ascii="宋体" w:hAnsi="宋体" w:cs="宋体" w:eastAsia="宋体" w:hint="default"/>
          <w:sz w:val="28"/>
          <w:szCs w:val="28"/>
        </w:rPr>
      </w:pPr>
      <w:r>
        <w:rPr>
          <w:rFonts w:ascii="宋体" w:hAnsi="宋体" w:cs="宋体" w:eastAsia="宋体" w:hint="default"/>
          <w:b/>
          <w:bCs/>
          <w:spacing w:val="4"/>
          <w:w w:val="95"/>
          <w:sz w:val="28"/>
          <w:szCs w:val="28"/>
        </w:rPr>
        <w:t>司可能面临项目管理控制不力的风险，导致项目执行出现困难，进而影响公司</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经营业绩。随着公司整体解决方案业务的不断增加，公司综合毛利率可能出现</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下降，从而影响公司的盈利能力。公司将建立健全内部控制和运营体系，积极</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探寻适合公司发展模式的治理结构，采取更加灵活地市场竞争策略，提高市场</w:t>
      </w:r>
      <w:r>
        <w:rPr>
          <w:rFonts w:ascii="宋体" w:hAnsi="宋体" w:cs="宋体" w:eastAsia="宋体" w:hint="default"/>
          <w:b/>
          <w:bCs/>
          <w:spacing w:val="125"/>
          <w:w w:val="95"/>
          <w:sz w:val="28"/>
          <w:szCs w:val="28"/>
        </w:rPr>
        <w:t> </w:t>
      </w:r>
      <w:r>
        <w:rPr>
          <w:rFonts w:ascii="宋体" w:hAnsi="宋体" w:cs="宋体" w:eastAsia="宋体" w:hint="default"/>
          <w:b/>
          <w:bCs/>
          <w:spacing w:val="125"/>
          <w:w w:val="95"/>
          <w:sz w:val="28"/>
          <w:szCs w:val="28"/>
        </w:rPr>
      </w:r>
      <w:r>
        <w:rPr>
          <w:rFonts w:ascii="宋体" w:hAnsi="宋体" w:cs="宋体" w:eastAsia="宋体" w:hint="default"/>
          <w:b/>
          <w:bCs/>
          <w:sz w:val="28"/>
          <w:szCs w:val="28"/>
        </w:rPr>
        <w:t>竞争力。</w:t>
      </w:r>
      <w:r>
        <w:rPr>
          <w:rFonts w:ascii="宋体" w:hAnsi="宋体" w:cs="宋体" w:eastAsia="宋体" w:hint="default"/>
          <w:sz w:val="28"/>
          <w:szCs w:val="28"/>
        </w:rPr>
      </w:r>
    </w:p>
    <w:p>
      <w:pPr>
        <w:spacing w:line="408" w:lineRule="auto" w:before="162"/>
        <w:ind w:left="153" w:right="1133"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随着公司技术水平的不断提高，数字化医院整体解决方案趋于完善，公司</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业务结构逐步由以电子病历为代表的临床医疗信息管理系统发展到包括临床医</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疗管理信息系统和数字化场景应用方案的整体解决方案。业务的内涵和外延均</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有大幅提升。业务内容的不断丰富对公司管理控制提出了更高要求，特别是数</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字化医院整体解决方案业务需借助预算管理、成本管理、现场管理、进度管理</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等多种控制手段，管理控制难度较高。而公司对于上述各项管理制度有待于进</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一步完善，临床医疗管理信息系统业务又相对依赖于项目现场实施团队的自我</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管理，公司适合大型项目的系统管理控制规范、预算及成本管理等仍在不断改</w:t>
      </w:r>
      <w:r>
        <w:rPr>
          <w:rFonts w:ascii="宋体" w:hAnsi="宋体" w:cs="宋体" w:eastAsia="宋体" w:hint="default"/>
          <w:b/>
          <w:bCs/>
          <w:spacing w:val="133"/>
          <w:w w:val="95"/>
          <w:sz w:val="28"/>
          <w:szCs w:val="28"/>
        </w:rPr>
        <w:t> </w:t>
      </w:r>
      <w:r>
        <w:rPr>
          <w:rFonts w:ascii="宋体" w:hAnsi="宋体" w:cs="宋体" w:eastAsia="宋体" w:hint="default"/>
          <w:b/>
          <w:bCs/>
          <w:spacing w:val="133"/>
          <w:w w:val="95"/>
          <w:sz w:val="28"/>
          <w:szCs w:val="28"/>
        </w:rPr>
      </w:r>
      <w:r>
        <w:rPr>
          <w:rFonts w:ascii="宋体" w:hAnsi="宋体" w:cs="宋体" w:eastAsia="宋体" w:hint="default"/>
          <w:b/>
          <w:bCs/>
          <w:spacing w:val="4"/>
          <w:w w:val="95"/>
          <w:sz w:val="28"/>
          <w:szCs w:val="28"/>
        </w:rPr>
        <w:t>进。如果无法在短期内建立起完善的项目管理控制制度，并有效执行，公司可</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能面临项目管理控制不力的风险，导致项目执行出现困难，进而影响公司经营</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业绩。随着公司整体解决方案业务的不断增加，公司综合毛利率可能出现下降，</w:t>
      </w:r>
      <w:r>
        <w:rPr>
          <w:rFonts w:ascii="宋体" w:hAnsi="宋体" w:cs="宋体" w:eastAsia="宋体" w:hint="default"/>
          <w:b/>
          <w:bCs/>
          <w:spacing w:val="21"/>
          <w:w w:val="95"/>
          <w:sz w:val="28"/>
          <w:szCs w:val="28"/>
        </w:rPr>
        <w:t> </w:t>
      </w:r>
      <w:r>
        <w:rPr>
          <w:rFonts w:ascii="宋体" w:hAnsi="宋体" w:cs="宋体" w:eastAsia="宋体" w:hint="default"/>
          <w:b/>
          <w:bCs/>
          <w:spacing w:val="21"/>
          <w:w w:val="95"/>
          <w:sz w:val="28"/>
          <w:szCs w:val="28"/>
        </w:rPr>
      </w:r>
      <w:r>
        <w:rPr>
          <w:rFonts w:ascii="宋体" w:hAnsi="宋体" w:cs="宋体" w:eastAsia="宋体" w:hint="default"/>
          <w:b/>
          <w:bCs/>
          <w:spacing w:val="4"/>
          <w:w w:val="95"/>
          <w:sz w:val="28"/>
          <w:szCs w:val="28"/>
        </w:rPr>
        <w:t>从而影响公司的盈利能力。公司将建立健全内部控制和运营体系，积极探寻适</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合公司发展模式的治理结构，采取更加灵活地市场竞争策略，提高市场竞争力。</w:t>
      </w:r>
      <w:r>
        <w:rPr>
          <w:rFonts w:ascii="宋体" w:hAnsi="宋体" w:cs="宋体" w:eastAsia="宋体" w:hint="default"/>
          <w:spacing w:val="-4"/>
          <w:sz w:val="28"/>
          <w:szCs w:val="28"/>
        </w:rPr>
      </w:r>
    </w:p>
    <w:p>
      <w:pPr>
        <w:spacing w:line="446" w:lineRule="auto" w:before="162"/>
        <w:ind w:left="714" w:right="0" w:firstLine="0"/>
        <w:jc w:val="left"/>
        <w:rPr>
          <w:rFonts w:ascii="宋体" w:hAnsi="宋体" w:cs="宋体" w:eastAsia="宋体" w:hint="default"/>
          <w:sz w:val="28"/>
          <w:szCs w:val="28"/>
        </w:rPr>
      </w:pPr>
      <w:r>
        <w:rPr>
          <w:rFonts w:ascii="Times New Roman" w:hAnsi="Times New Roman" w:cs="Times New Roman" w:eastAsia="Times New Roman" w:hint="default"/>
          <w:b/>
          <w:bCs/>
          <w:spacing w:val="2"/>
          <w:sz w:val="28"/>
          <w:szCs w:val="28"/>
        </w:rPr>
        <w:t>4</w:t>
      </w:r>
      <w:r>
        <w:rPr>
          <w:rFonts w:ascii="宋体" w:hAnsi="宋体" w:cs="宋体" w:eastAsia="宋体" w:hint="default"/>
          <w:b/>
          <w:bCs/>
          <w:spacing w:val="2"/>
          <w:sz w:val="28"/>
          <w:szCs w:val="28"/>
        </w:rPr>
        <w:t>、技术与人才流失风险</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软件行业为技术密集型产业，技术领先为核心竞争力之一，稳定、高素质</w:t>
      </w:r>
      <w:r>
        <w:rPr>
          <w:rFonts w:ascii="宋体" w:hAnsi="宋体" w:cs="宋体" w:eastAsia="宋体" w:hint="default"/>
          <w:spacing w:val="4"/>
          <w:sz w:val="28"/>
          <w:szCs w:val="28"/>
        </w:rPr>
      </w:r>
    </w:p>
    <w:p>
      <w:pPr>
        <w:spacing w:line="408" w:lineRule="auto" w:before="17"/>
        <w:ind w:left="153" w:right="1127" w:firstLine="0"/>
        <w:jc w:val="both"/>
        <w:rPr>
          <w:rFonts w:ascii="宋体" w:hAnsi="宋体" w:cs="宋体" w:eastAsia="宋体" w:hint="default"/>
          <w:sz w:val="28"/>
          <w:szCs w:val="28"/>
        </w:rPr>
      </w:pPr>
      <w:r>
        <w:rPr>
          <w:rFonts w:ascii="宋体" w:hAnsi="宋体" w:cs="宋体" w:eastAsia="宋体" w:hint="default"/>
          <w:b/>
          <w:bCs/>
          <w:spacing w:val="4"/>
          <w:w w:val="95"/>
          <w:sz w:val="28"/>
          <w:szCs w:val="28"/>
        </w:rPr>
        <w:t>的人才团队对公司的发展壮大至关重要。然而，相对于有形的硬件，软件技术</w:t>
      </w:r>
      <w:r>
        <w:rPr>
          <w:rFonts w:ascii="宋体" w:hAnsi="宋体" w:cs="宋体" w:eastAsia="宋体" w:hint="default"/>
          <w:b/>
          <w:bCs/>
          <w:spacing w:val="135"/>
          <w:w w:val="95"/>
          <w:sz w:val="28"/>
          <w:szCs w:val="28"/>
        </w:rPr>
        <w:t> </w:t>
      </w:r>
      <w:r>
        <w:rPr>
          <w:rFonts w:ascii="宋体" w:hAnsi="宋体" w:cs="宋体" w:eastAsia="宋体" w:hint="default"/>
          <w:b/>
          <w:bCs/>
          <w:spacing w:val="135"/>
          <w:w w:val="95"/>
          <w:sz w:val="28"/>
          <w:szCs w:val="28"/>
        </w:rPr>
      </w:r>
      <w:r>
        <w:rPr>
          <w:rFonts w:ascii="宋体" w:hAnsi="宋体" w:cs="宋体" w:eastAsia="宋体" w:hint="default"/>
          <w:b/>
          <w:bCs/>
          <w:spacing w:val="4"/>
          <w:w w:val="95"/>
          <w:sz w:val="28"/>
          <w:szCs w:val="28"/>
        </w:rPr>
        <w:t>保密难度较大，同时，由于我国知识产权保护体系尚不完善，使得软件行业技</w:t>
      </w:r>
      <w:r>
        <w:rPr>
          <w:rFonts w:ascii="宋体" w:hAnsi="宋体" w:cs="宋体" w:eastAsia="宋体" w:hint="default"/>
          <w:spacing w:val="4"/>
          <w:sz w:val="28"/>
          <w:szCs w:val="28"/>
        </w:rPr>
      </w:r>
    </w:p>
    <w:p>
      <w:pPr>
        <w:spacing w:after="0" w:line="408" w:lineRule="auto"/>
        <w:jc w:val="both"/>
        <w:rPr>
          <w:rFonts w:ascii="宋体" w:hAnsi="宋体" w:cs="宋体" w:eastAsia="宋体" w:hint="default"/>
          <w:sz w:val="28"/>
          <w:szCs w:val="28"/>
        </w:rPr>
        <w:sectPr>
          <w:pgSz w:w="11910" w:h="16840"/>
          <w:pgMar w:header="741"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spacing w:line="408" w:lineRule="auto" w:before="12"/>
        <w:ind w:left="153" w:right="1141" w:firstLine="0"/>
        <w:jc w:val="both"/>
        <w:rPr>
          <w:rFonts w:ascii="宋体" w:hAnsi="宋体" w:cs="宋体" w:eastAsia="宋体" w:hint="default"/>
          <w:sz w:val="28"/>
          <w:szCs w:val="28"/>
        </w:rPr>
      </w:pPr>
      <w:r>
        <w:rPr>
          <w:rFonts w:ascii="宋体" w:hAnsi="宋体" w:cs="宋体" w:eastAsia="宋体" w:hint="default"/>
          <w:b/>
          <w:bCs/>
          <w:spacing w:val="-4"/>
          <w:w w:val="95"/>
          <w:sz w:val="28"/>
          <w:szCs w:val="28"/>
        </w:rPr>
        <w:t>术流失风险较大。当前，软件行业因技术团队离职而造成的技术流失情况较多。</w:t>
      </w:r>
      <w:r>
        <w:rPr>
          <w:rFonts w:ascii="宋体" w:hAnsi="宋体" w:cs="宋体" w:eastAsia="宋体" w:hint="default"/>
          <w:b/>
          <w:bCs/>
          <w:spacing w:val="17"/>
          <w:w w:val="95"/>
          <w:sz w:val="28"/>
          <w:szCs w:val="28"/>
        </w:rPr>
        <w:t> </w:t>
      </w:r>
      <w:r>
        <w:rPr>
          <w:rFonts w:ascii="宋体" w:hAnsi="宋体" w:cs="宋体" w:eastAsia="宋体" w:hint="default"/>
          <w:b/>
          <w:bCs/>
          <w:spacing w:val="17"/>
          <w:w w:val="95"/>
          <w:sz w:val="28"/>
          <w:szCs w:val="28"/>
        </w:rPr>
      </w:r>
      <w:r>
        <w:rPr>
          <w:rFonts w:ascii="宋体" w:hAnsi="宋体" w:cs="宋体" w:eastAsia="宋体" w:hint="default"/>
          <w:b/>
          <w:bCs/>
          <w:spacing w:val="4"/>
          <w:w w:val="95"/>
          <w:sz w:val="28"/>
          <w:szCs w:val="28"/>
        </w:rPr>
        <w:t>如果公司未来不能在发展前景、薪酬、福利、工作环境等方面持续提供具有竞</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争力的待遇并建立良好的激励机制，可能会造成骨干技术团队流失，不仅影响</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公司的后续技术开发能力，也会造成公司核心技术泄露的风险，从而对公司的</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持续发展造成负面影响。公司将通过对核心团队人员的持续培训来提升现有人</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员的管理水平，并且根据经营发展需要引进多方面人才。同时完善公司薪酬和</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2"/>
          <w:sz w:val="28"/>
          <w:szCs w:val="28"/>
        </w:rPr>
        <w:t>考核激励体系，维持核心技术团队的稳定并提升公司对优秀人才的吸引力。</w:t>
      </w:r>
      <w:r>
        <w:rPr>
          <w:rFonts w:ascii="宋体" w:hAnsi="宋体" w:cs="宋体" w:eastAsia="宋体" w:hint="default"/>
          <w:spacing w:val="2"/>
          <w:sz w:val="28"/>
          <w:szCs w:val="28"/>
        </w:rPr>
      </w:r>
    </w:p>
    <w:p>
      <w:pPr>
        <w:spacing w:line="448" w:lineRule="auto" w:before="163"/>
        <w:ind w:left="714" w:right="0" w:firstLine="0"/>
        <w:jc w:val="left"/>
        <w:rPr>
          <w:rFonts w:ascii="宋体" w:hAnsi="宋体" w:cs="宋体" w:eastAsia="宋体" w:hint="default"/>
          <w:sz w:val="28"/>
          <w:szCs w:val="28"/>
        </w:rPr>
      </w:pPr>
      <w:r>
        <w:rPr>
          <w:rFonts w:ascii="Times New Roman" w:hAnsi="Times New Roman" w:cs="Times New Roman" w:eastAsia="Times New Roman" w:hint="default"/>
          <w:b/>
          <w:bCs/>
          <w:spacing w:val="2"/>
          <w:sz w:val="28"/>
          <w:szCs w:val="28"/>
        </w:rPr>
        <w:t>5</w:t>
      </w:r>
      <w:r>
        <w:rPr>
          <w:rFonts w:ascii="宋体" w:hAnsi="宋体" w:cs="宋体" w:eastAsia="宋体" w:hint="default"/>
          <w:b/>
          <w:bCs/>
          <w:spacing w:val="2"/>
          <w:sz w:val="28"/>
          <w:szCs w:val="28"/>
        </w:rPr>
        <w:t>、其他突发性风险</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例如近期发生的新冠肺炎疫情导致全国企业不同程度的延迟复工，对整个</w:t>
      </w:r>
      <w:r>
        <w:rPr>
          <w:rFonts w:ascii="宋体" w:hAnsi="宋体" w:cs="宋体" w:eastAsia="宋体" w:hint="default"/>
          <w:spacing w:val="4"/>
          <w:sz w:val="28"/>
          <w:szCs w:val="28"/>
        </w:rPr>
      </w:r>
    </w:p>
    <w:p>
      <w:pPr>
        <w:spacing w:line="408" w:lineRule="auto" w:before="14"/>
        <w:ind w:left="153" w:right="1141" w:firstLine="0"/>
        <w:jc w:val="both"/>
        <w:rPr>
          <w:rFonts w:ascii="宋体" w:hAnsi="宋体" w:cs="宋体" w:eastAsia="宋体" w:hint="default"/>
          <w:sz w:val="28"/>
          <w:szCs w:val="28"/>
        </w:rPr>
      </w:pPr>
      <w:r>
        <w:rPr>
          <w:rFonts w:ascii="宋体" w:hAnsi="宋体" w:cs="宋体" w:eastAsia="宋体" w:hint="default"/>
          <w:b/>
          <w:bCs/>
          <w:spacing w:val="4"/>
          <w:w w:val="95"/>
          <w:sz w:val="28"/>
          <w:szCs w:val="28"/>
        </w:rPr>
        <w:t>产业经济都有一定的影响。公司日常经营面临流动性风险、国家政策变化、重</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大突发事件等多种宏观不可抗风险，公司作为智慧医疗领域的科技型企业，一</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方面提升项目方案规划及风险规避预案的顶层设计，同时持续强化公司在项目</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快速交付、实施方面的专业能力；另一方面通过募集资金、完善成本控制等方</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4"/>
          <w:w w:val="95"/>
          <w:sz w:val="28"/>
          <w:szCs w:val="28"/>
        </w:rPr>
        <w:t>面举措提高公司的抗风险能力、财务安全水平及灵活性，为公司进一步发展提</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2"/>
          <w:sz w:val="28"/>
          <w:szCs w:val="28"/>
        </w:rPr>
        <w:t>供资金保障，从而提升公司竞争力及持续盈利能力。</w:t>
      </w:r>
      <w:r>
        <w:rPr>
          <w:rFonts w:ascii="宋体" w:hAnsi="宋体" w:cs="宋体" w:eastAsia="宋体" w:hint="default"/>
          <w:spacing w:val="2"/>
          <w:sz w:val="28"/>
          <w:szCs w:val="28"/>
        </w:rPr>
      </w:r>
    </w:p>
    <w:p>
      <w:pPr>
        <w:spacing w:line="240" w:lineRule="auto" w:before="0"/>
        <w:rPr>
          <w:rFonts w:ascii="宋体" w:hAnsi="宋体" w:cs="宋体" w:eastAsia="宋体" w:hint="default"/>
          <w:b/>
          <w:bCs/>
          <w:sz w:val="28"/>
          <w:szCs w:val="28"/>
        </w:rPr>
      </w:pPr>
    </w:p>
    <w:p>
      <w:pPr>
        <w:spacing w:line="240" w:lineRule="auto" w:before="6"/>
        <w:rPr>
          <w:rFonts w:ascii="宋体" w:hAnsi="宋体" w:cs="宋体" w:eastAsia="宋体" w:hint="default"/>
          <w:b/>
          <w:bCs/>
          <w:sz w:val="39"/>
          <w:szCs w:val="39"/>
        </w:rPr>
      </w:pPr>
    </w:p>
    <w:p>
      <w:pPr>
        <w:spacing w:line="398" w:lineRule="auto" w:before="0"/>
        <w:ind w:left="153" w:right="1128" w:firstLine="561"/>
        <w:jc w:val="both"/>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公司经本次董事会审议通过的利润分配预案为：以未来实施</w:t>
      </w:r>
      <w:r>
        <w:rPr>
          <w:rFonts w:ascii="宋体" w:hAnsi="宋体" w:cs="宋体" w:eastAsia="宋体" w:hint="default"/>
          <w:b/>
          <w:bCs/>
          <w:spacing w:val="-95"/>
          <w:sz w:val="28"/>
          <w:szCs w:val="28"/>
        </w:rPr>
        <w:t> </w:t>
      </w:r>
      <w:r>
        <w:rPr>
          <w:rFonts w:ascii="Times New Roman" w:hAnsi="Times New Roman" w:cs="Times New Roman" w:eastAsia="Times New Roman" w:hint="default"/>
          <w:b/>
          <w:bCs/>
          <w:sz w:val="28"/>
          <w:szCs w:val="28"/>
        </w:rPr>
        <w:t>2019</w:t>
      </w:r>
      <w:r>
        <w:rPr>
          <w:rFonts w:ascii="Times New Roman" w:hAnsi="Times New Roman" w:cs="Times New Roman" w:eastAsia="Times New Roman" w:hint="default"/>
          <w:b/>
          <w:bCs/>
          <w:spacing w:val="-33"/>
          <w:sz w:val="28"/>
          <w:szCs w:val="28"/>
        </w:rPr>
        <w:t> </w:t>
      </w:r>
      <w:r>
        <w:rPr>
          <w:rFonts w:ascii="宋体" w:hAnsi="宋体" w:cs="宋体" w:eastAsia="宋体" w:hint="default"/>
          <w:b/>
          <w:bCs/>
          <w:sz w:val="28"/>
          <w:szCs w:val="28"/>
        </w:rPr>
        <w:t>年年度权</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益分配方案时股权登记日享有利润分配、公积金转增股本权利的总股本为为基</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1"/>
          <w:w w:val="99"/>
          <w:sz w:val="28"/>
          <w:szCs w:val="28"/>
        </w:rPr>
        <w:t>数，向全体股东每</w:t>
      </w:r>
      <w:r>
        <w:rPr>
          <w:rFonts w:ascii="宋体" w:hAnsi="宋体" w:cs="宋体" w:eastAsia="宋体" w:hint="default"/>
          <w:b/>
          <w:bCs/>
          <w:spacing w:val="-59"/>
          <w:w w:val="99"/>
          <w:sz w:val="28"/>
          <w:szCs w:val="28"/>
        </w:rPr>
        <w:t> </w:t>
      </w:r>
      <w:r>
        <w:rPr>
          <w:rFonts w:ascii="Times New Roman" w:hAnsi="Times New Roman" w:cs="Times New Roman" w:eastAsia="Times New Roman" w:hint="default"/>
          <w:b/>
          <w:bCs/>
          <w:w w:val="99"/>
          <w:sz w:val="28"/>
          <w:szCs w:val="28"/>
        </w:rPr>
        <w:t>10 </w:t>
      </w:r>
      <w:r>
        <w:rPr>
          <w:rFonts w:ascii="宋体" w:hAnsi="宋体" w:cs="宋体" w:eastAsia="宋体" w:hint="default"/>
          <w:b/>
          <w:bCs/>
          <w:spacing w:val="1"/>
          <w:w w:val="99"/>
          <w:sz w:val="28"/>
          <w:szCs w:val="28"/>
        </w:rPr>
        <w:t>股派发现金红利</w:t>
      </w:r>
      <w:r>
        <w:rPr>
          <w:rFonts w:ascii="宋体" w:hAnsi="宋体" w:cs="宋体" w:eastAsia="宋体" w:hint="default"/>
          <w:b/>
          <w:bCs/>
          <w:spacing w:val="-59"/>
          <w:w w:val="99"/>
          <w:sz w:val="28"/>
          <w:szCs w:val="28"/>
        </w:rPr>
        <w:t> </w:t>
      </w:r>
      <w:r>
        <w:rPr>
          <w:rFonts w:ascii="Times New Roman" w:hAnsi="Times New Roman" w:cs="Times New Roman" w:eastAsia="Times New Roman" w:hint="default"/>
          <w:b/>
          <w:bCs/>
          <w:spacing w:val="-1"/>
          <w:w w:val="99"/>
          <w:sz w:val="28"/>
          <w:szCs w:val="28"/>
        </w:rPr>
        <w:t>0.55</w:t>
      </w:r>
      <w:r>
        <w:rPr>
          <w:rFonts w:ascii="Times New Roman" w:hAnsi="Times New Roman" w:cs="Times New Roman" w:eastAsia="Times New Roman" w:hint="default"/>
          <w:b/>
          <w:bCs/>
          <w:spacing w:val="5"/>
          <w:w w:val="99"/>
          <w:sz w:val="28"/>
          <w:szCs w:val="28"/>
        </w:rPr>
        <w:t> </w:t>
      </w:r>
      <w:r>
        <w:rPr>
          <w:rFonts w:ascii="宋体" w:hAnsi="宋体" w:cs="宋体" w:eastAsia="宋体" w:hint="default"/>
          <w:b/>
          <w:bCs/>
          <w:spacing w:val="-20"/>
          <w:w w:val="99"/>
          <w:sz w:val="28"/>
          <w:szCs w:val="28"/>
        </w:rPr>
        <w:t>元（含税），送红股</w:t>
      </w:r>
      <w:r>
        <w:rPr>
          <w:rFonts w:ascii="宋体" w:hAnsi="宋体" w:cs="宋体" w:eastAsia="宋体" w:hint="default"/>
          <w:b/>
          <w:bCs/>
          <w:spacing w:val="-59"/>
          <w:w w:val="99"/>
          <w:sz w:val="28"/>
          <w:szCs w:val="28"/>
        </w:rPr>
        <w:t> </w:t>
      </w:r>
      <w:r>
        <w:rPr>
          <w:rFonts w:ascii="Times New Roman" w:hAnsi="Times New Roman" w:cs="Times New Roman" w:eastAsia="Times New Roman" w:hint="default"/>
          <w:b/>
          <w:bCs/>
          <w:w w:val="99"/>
          <w:sz w:val="28"/>
          <w:szCs w:val="28"/>
        </w:rPr>
        <w:t>0 </w:t>
      </w:r>
      <w:r>
        <w:rPr>
          <w:rFonts w:ascii="宋体" w:hAnsi="宋体" w:cs="宋体" w:eastAsia="宋体" w:hint="default"/>
          <w:b/>
          <w:bCs/>
          <w:spacing w:val="-26"/>
          <w:w w:val="99"/>
          <w:sz w:val="28"/>
          <w:szCs w:val="28"/>
        </w:rPr>
        <w:t>股（含税），以</w:t>
      </w:r>
      <w:r>
        <w:rPr>
          <w:rFonts w:ascii="宋体" w:hAnsi="宋体" w:cs="宋体" w:eastAsia="宋体" w:hint="default"/>
          <w:spacing w:val="-26"/>
          <w:sz w:val="28"/>
          <w:szCs w:val="28"/>
        </w:rPr>
      </w:r>
    </w:p>
    <w:p>
      <w:pPr>
        <w:spacing w:before="31"/>
        <w:ind w:left="153" w:right="0" w:firstLine="0"/>
        <w:jc w:val="both"/>
        <w:rPr>
          <w:rFonts w:ascii="宋体" w:hAnsi="宋体" w:cs="宋体" w:eastAsia="宋体" w:hint="default"/>
          <w:sz w:val="28"/>
          <w:szCs w:val="28"/>
        </w:rPr>
      </w:pPr>
      <w:r>
        <w:rPr>
          <w:rFonts w:ascii="宋体" w:hAnsi="宋体" w:cs="宋体" w:eastAsia="宋体" w:hint="default"/>
          <w:b/>
          <w:bCs/>
          <w:spacing w:val="2"/>
          <w:sz w:val="28"/>
          <w:szCs w:val="28"/>
        </w:rPr>
        <w:t>资本公积金向全体股东每</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13"/>
          <w:sz w:val="28"/>
          <w:szCs w:val="28"/>
        </w:rPr>
        <w:t> </w:t>
      </w:r>
      <w:r>
        <w:rPr>
          <w:rFonts w:ascii="宋体" w:hAnsi="宋体" w:cs="宋体" w:eastAsia="宋体" w:hint="default"/>
          <w:b/>
          <w:bCs/>
          <w:sz w:val="28"/>
          <w:szCs w:val="28"/>
        </w:rPr>
        <w:t>股转增</w:t>
      </w:r>
      <w:r>
        <w:rPr>
          <w:rFonts w:ascii="宋体" w:hAnsi="宋体" w:cs="宋体" w:eastAsia="宋体" w:hint="default"/>
          <w:b/>
          <w:bCs/>
          <w:spacing w:val="-75"/>
          <w:sz w:val="28"/>
          <w:szCs w:val="28"/>
        </w:rPr>
        <w:t> </w:t>
      </w:r>
      <w:r>
        <w:rPr>
          <w:rFonts w:ascii="Times New Roman" w:hAnsi="Times New Roman" w:cs="Times New Roman" w:eastAsia="Times New Roman" w:hint="default"/>
          <w:b/>
          <w:bCs/>
          <w:sz w:val="28"/>
          <w:szCs w:val="28"/>
        </w:rPr>
        <w:t>4</w:t>
      </w:r>
      <w:r>
        <w:rPr>
          <w:rFonts w:ascii="Times New Roman" w:hAnsi="Times New Roman" w:cs="Times New Roman" w:eastAsia="Times New Roman" w:hint="default"/>
          <w:b/>
          <w:bCs/>
          <w:spacing w:val="-13"/>
          <w:sz w:val="28"/>
          <w:szCs w:val="28"/>
        </w:rPr>
        <w:t> </w:t>
      </w:r>
      <w:r>
        <w:rPr>
          <w:rFonts w:ascii="宋体" w:hAnsi="宋体" w:cs="宋体" w:eastAsia="宋体" w:hint="default"/>
          <w:b/>
          <w:bCs/>
          <w:spacing w:val="4"/>
          <w:sz w:val="28"/>
          <w:szCs w:val="28"/>
        </w:rPr>
        <w:t>股。</w:t>
      </w:r>
      <w:r>
        <w:rPr>
          <w:rFonts w:ascii="宋体" w:hAnsi="宋体" w:cs="宋体" w:eastAsia="宋体" w:hint="default"/>
          <w:sz w:val="28"/>
          <w:szCs w:val="28"/>
        </w:rPr>
      </w:r>
    </w:p>
    <w:p>
      <w:pPr>
        <w:spacing w:after="0"/>
        <w:jc w:val="both"/>
        <w:rPr>
          <w:rFonts w:ascii="宋体" w:hAnsi="宋体" w:cs="宋体" w:eastAsia="宋体" w:hint="default"/>
          <w:sz w:val="28"/>
          <w:szCs w:val="28"/>
        </w:rPr>
        <w:sectPr>
          <w:pgSz w:w="11910" w:h="16840"/>
          <w:pgMar w:header="741"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4"/>
        <w:ind w:left="2783" w:right="3757" w:firstLine="0"/>
        <w:jc w:val="center"/>
        <w:rPr>
          <w:rFonts w:ascii="宋体" w:hAnsi="宋体" w:cs="宋体" w:eastAsia="宋体" w:hint="default"/>
          <w:sz w:val="36"/>
          <w:szCs w:val="36"/>
        </w:rPr>
      </w:pPr>
      <w:r>
        <w:rPr>
          <w:rFonts w:ascii="宋体" w:hAnsi="宋体" w:cs="宋体" w:eastAsia="宋体" w:hint="default"/>
          <w:b/>
          <w:bCs/>
          <w:spacing w:val="4"/>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2"/>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5"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20"/>
              </w:rPr>
              <w:t> </w:t>
            </w:r>
            <w:r>
              <w:rPr/>
              <w:t>重要提示、目录和释义</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20"/>
              </w:rPr>
              <w:t> </w:t>
            </w:r>
            <w:r>
              <w:rPr/>
              <w:t>公司简介和主要财务指标</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9785" w:val="right" w:leader="dot"/>
            </w:tabs>
            <w:spacing w:line="240" w:lineRule="auto" w:before="158"/>
            <w:ind w:right="0"/>
            <w:jc w:val="left"/>
            <w:rPr>
              <w:rFonts w:ascii="Times New Roman" w:hAnsi="Times New Roman" w:cs="Times New Roman" w:eastAsia="Times New Roman" w:hint="default"/>
              <w:b w:val="0"/>
              <w:bCs w:val="0"/>
            </w:rPr>
          </w:pPr>
          <w:hyperlink w:history="true" w:anchor="_bookmark2">
            <w:r>
              <w:rPr/>
              <w:t>第三节</w:t>
            </w:r>
            <w:r>
              <w:rPr>
                <w:spacing w:val="-20"/>
              </w:rPr>
              <w:t> </w:t>
            </w:r>
            <w:r>
              <w:rPr/>
              <w:t>公司业务概要</w:t>
            </w:r>
            <w:r>
              <w:rPr>
                <w:rFonts w:ascii="Times New Roman" w:hAnsi="Times New Roman" w:cs="Times New Roman" w:eastAsia="Times New Roman" w:hint="default"/>
              </w:rPr>
              <w:tab/>
              <w:t>18</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20"/>
              </w:rPr>
              <w:t> </w:t>
            </w:r>
            <w:r>
              <w:rPr/>
              <w:t>经营情况讨论与分析</w:t>
            </w:r>
            <w:r>
              <w:rPr>
                <w:rFonts w:ascii="Times New Roman" w:hAnsi="Times New Roman" w:cs="Times New Roman" w:eastAsia="Times New Roman" w:hint="default"/>
              </w:rPr>
              <w:tab/>
              <w:t>39</w:t>
            </w:r>
            <w:r>
              <w:rPr>
                <w:rFonts w:ascii="Times New Roman" w:hAnsi="Times New Roman" w:cs="Times New Roman" w:eastAsia="Times New Roman" w:hint="default"/>
                <w:b w:val="0"/>
                <w:bCs w:val="0"/>
              </w:rPr>
            </w:r>
          </w:hyperlink>
        </w:p>
        <w:p>
          <w:pPr>
            <w:pStyle w:val="TOC1"/>
            <w:tabs>
              <w:tab w:pos="9785" w:val="right" w:leader="dot"/>
            </w:tabs>
            <w:spacing w:line="240" w:lineRule="auto" w:before="157"/>
            <w:ind w:right="0"/>
            <w:jc w:val="left"/>
            <w:rPr>
              <w:rFonts w:ascii="Times New Roman" w:hAnsi="Times New Roman" w:cs="Times New Roman" w:eastAsia="Times New Roman" w:hint="default"/>
              <w:b w:val="0"/>
              <w:bCs w:val="0"/>
            </w:rPr>
          </w:pPr>
          <w:hyperlink w:history="true" w:anchor="_bookmark4">
            <w:r>
              <w:rPr/>
              <w:t>第五节</w:t>
            </w:r>
            <w:r>
              <w:rPr>
                <w:spacing w:val="-20"/>
              </w:rPr>
              <w:t> </w:t>
            </w:r>
            <w:r>
              <w:rPr/>
              <w:t>重要事项</w:t>
            </w:r>
            <w:r>
              <w:rPr>
                <w:rFonts w:ascii="Times New Roman" w:hAnsi="Times New Roman" w:cs="Times New Roman" w:eastAsia="Times New Roman" w:hint="default"/>
              </w:rPr>
              <w:tab/>
              <w:t>68</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20"/>
              </w:rPr>
              <w:t> </w:t>
            </w:r>
            <w:r>
              <w:rPr/>
              <w:t>股份变动及股东情况</w:t>
            </w:r>
            <w:r>
              <w:rPr>
                <w:rFonts w:ascii="Times New Roman" w:hAnsi="Times New Roman" w:cs="Times New Roman" w:eastAsia="Times New Roman" w:hint="default"/>
              </w:rPr>
              <w:tab/>
              <w:t>79</w:t>
            </w:r>
            <w:r>
              <w:rPr>
                <w:rFonts w:ascii="Times New Roman" w:hAnsi="Times New Roman" w:cs="Times New Roman" w:eastAsia="Times New Roman" w:hint="default"/>
                <w:b w:val="0"/>
                <w:bCs w:val="0"/>
              </w:rPr>
            </w:r>
          </w:hyperlink>
        </w:p>
        <w:p>
          <w:pPr>
            <w:pStyle w:val="TOC1"/>
            <w:tabs>
              <w:tab w:pos="9785" w:val="right" w:leader="dot"/>
            </w:tabs>
            <w:spacing w:line="240" w:lineRule="auto" w:before="157"/>
            <w:ind w:right="0"/>
            <w:jc w:val="left"/>
            <w:rPr>
              <w:rFonts w:ascii="Times New Roman" w:hAnsi="Times New Roman" w:cs="Times New Roman" w:eastAsia="Times New Roman" w:hint="default"/>
              <w:b w:val="0"/>
              <w:bCs w:val="0"/>
            </w:rPr>
          </w:pPr>
          <w:hyperlink w:history="true" w:anchor="_bookmark5">
            <w:r>
              <w:rPr/>
              <w:t>第七节</w:t>
            </w:r>
            <w:r>
              <w:rPr>
                <w:spacing w:val="-21"/>
              </w:rPr>
              <w:t> </w:t>
            </w:r>
            <w:r>
              <w:rPr/>
              <w:t>优先股相关情况</w:t>
            </w:r>
            <w:r>
              <w:rPr>
                <w:rFonts w:ascii="Times New Roman" w:hAnsi="Times New Roman" w:cs="Times New Roman" w:eastAsia="Times New Roman" w:hint="default"/>
              </w:rPr>
              <w:tab/>
              <w:t>79</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第八节</w:t>
            </w:r>
            <w:r>
              <w:rPr>
                <w:spacing w:val="-20"/>
              </w:rPr>
              <w:t> </w:t>
            </w:r>
            <w:r>
              <w:rPr/>
              <w:t>可转换公司债券相关情况</w:t>
            </w:r>
            <w:r>
              <w:rPr>
                <w:rFonts w:ascii="Times New Roman" w:hAnsi="Times New Roman" w:cs="Times New Roman" w:eastAsia="Times New Roman" w:hint="default"/>
              </w:rPr>
              <w:tab/>
              <w:t>79</w:t>
            </w:r>
            <w:r>
              <w:rPr>
                <w:rFonts w:ascii="Times New Roman" w:hAnsi="Times New Roman" w:cs="Times New Roman" w:eastAsia="Times New Roman" w:hint="default"/>
                <w:b w:val="0"/>
                <w:bCs w:val="0"/>
              </w:rPr>
            </w:r>
          </w:hyperlink>
        </w:p>
        <w:p>
          <w:pPr>
            <w:pStyle w:val="TOC1"/>
            <w:tabs>
              <w:tab w:pos="9785" w:val="right" w:leader="dot"/>
            </w:tabs>
            <w:spacing w:line="240" w:lineRule="auto" w:before="157"/>
            <w:ind w:right="0"/>
            <w:jc w:val="left"/>
            <w:rPr>
              <w:rFonts w:ascii="Times New Roman" w:hAnsi="Times New Roman" w:cs="Times New Roman" w:eastAsia="Times New Roman" w:hint="default"/>
              <w:b w:val="0"/>
              <w:bCs w:val="0"/>
            </w:rPr>
          </w:pPr>
          <w:hyperlink w:history="true" w:anchor="_bookmark6">
            <w:r>
              <w:rPr/>
              <w:t>第九节</w:t>
            </w:r>
            <w:r>
              <w:rPr>
                <w:spacing w:val="-21"/>
              </w:rPr>
              <w:t> </w:t>
            </w:r>
            <w:r>
              <w:rPr/>
              <w:t>董事、监事、高级管理人员和员工情况</w:t>
            </w:r>
            <w:r>
              <w:rPr>
                <w:rFonts w:ascii="Times New Roman" w:hAnsi="Times New Roman" w:cs="Times New Roman" w:eastAsia="Times New Roman" w:hint="default"/>
              </w:rPr>
              <w:tab/>
              <w:t>80</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第十节</w:t>
            </w:r>
            <w:r>
              <w:rPr>
                <w:spacing w:val="-20"/>
              </w:rPr>
              <w:t> </w:t>
            </w:r>
            <w:r>
              <w:rPr/>
              <w:t>公司治理</w:t>
            </w:r>
            <w:r>
              <w:rPr>
                <w:rFonts w:ascii="Times New Roman" w:hAnsi="Times New Roman" w:cs="Times New Roman" w:eastAsia="Times New Roman" w:hint="default"/>
              </w:rPr>
              <w:tab/>
              <w:t>81</w:t>
            </w:r>
            <w:r>
              <w:rPr>
                <w:rFonts w:ascii="Times New Roman" w:hAnsi="Times New Roman" w:cs="Times New Roman" w:eastAsia="Times New Roman" w:hint="default"/>
                <w:b w:val="0"/>
                <w:bCs w:val="0"/>
              </w:rPr>
            </w:r>
          </w:hyperlink>
        </w:p>
        <w:p>
          <w:pPr>
            <w:pStyle w:val="TOC1"/>
            <w:tabs>
              <w:tab w:pos="9785" w:val="right" w:leader="dot"/>
            </w:tabs>
            <w:spacing w:line="240" w:lineRule="auto" w:before="157"/>
            <w:ind w:right="0"/>
            <w:jc w:val="left"/>
            <w:rPr>
              <w:rFonts w:ascii="Times New Roman" w:hAnsi="Times New Roman" w:cs="Times New Roman" w:eastAsia="Times New Roman" w:hint="default"/>
              <w:b w:val="0"/>
              <w:bCs w:val="0"/>
            </w:rPr>
          </w:pPr>
          <w:hyperlink w:history="true" w:anchor="_bookmark8">
            <w:r>
              <w:rPr/>
              <w:t>第十一节</w:t>
            </w:r>
            <w:r>
              <w:rPr>
                <w:spacing w:val="-20"/>
              </w:rPr>
              <w:t> </w:t>
            </w:r>
            <w:r>
              <w:rPr/>
              <w:t>公司债券相关情况</w:t>
            </w:r>
            <w:r>
              <w:rPr>
                <w:rFonts w:ascii="Times New Roman" w:hAnsi="Times New Roman" w:cs="Times New Roman" w:eastAsia="Times New Roman" w:hint="default"/>
              </w:rPr>
              <w:tab/>
              <w:t>89</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第十二节</w:t>
            </w:r>
            <w:r>
              <w:rPr>
                <w:spacing w:val="-20"/>
              </w:rPr>
              <w:t> </w:t>
            </w:r>
            <w:r>
              <w:rPr/>
              <w:t>财务报告</w:t>
            </w:r>
            <w:r>
              <w:rPr>
                <w:rFonts w:ascii="Times New Roman" w:hAnsi="Times New Roman" w:cs="Times New Roman" w:eastAsia="Times New Roman" w:hint="default"/>
              </w:rPr>
              <w:tab/>
              <w:t>95</w:t>
            </w:r>
            <w:r>
              <w:rPr>
                <w:rFonts w:ascii="Times New Roman" w:hAnsi="Times New Roman" w:cs="Times New Roman" w:eastAsia="Times New Roman" w:hint="default"/>
                <w:b w:val="0"/>
                <w:bCs w:val="0"/>
              </w:rPr>
            </w:r>
          </w:hyperlink>
        </w:p>
        <w:p>
          <w:pPr>
            <w:pStyle w:val="TOC1"/>
            <w:tabs>
              <w:tab w:pos="9785" w:val="right" w:leader="dot"/>
            </w:tabs>
            <w:spacing w:line="240" w:lineRule="auto" w:before="157"/>
            <w:ind w:right="0"/>
            <w:jc w:val="left"/>
            <w:rPr>
              <w:rFonts w:ascii="Times New Roman" w:hAnsi="Times New Roman" w:cs="Times New Roman" w:eastAsia="Times New Roman" w:hint="default"/>
              <w:b w:val="0"/>
              <w:bCs w:val="0"/>
            </w:rPr>
          </w:pPr>
          <w:hyperlink w:history="true" w:anchor="_bookmark10">
            <w:r>
              <w:rPr/>
              <w:t>第十三节</w:t>
            </w:r>
            <w:r>
              <w:rPr>
                <w:spacing w:val="-21"/>
              </w:rPr>
              <w:t> </w:t>
            </w:r>
            <w:r>
              <w:rPr/>
              <w:t>备查文件目录</w:t>
            </w:r>
            <w:r>
              <w:rPr>
                <w:rFonts w:ascii="Times New Roman" w:hAnsi="Times New Roman" w:cs="Times New Roman" w:eastAsia="Times New Roman" w:hint="default"/>
              </w:rPr>
              <w:tab/>
              <w:t>96</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1" w:footer="979" w:top="1060" w:bottom="1160" w:left="980" w:right="0"/>
        </w:sectPr>
      </w:pPr>
    </w:p>
    <w:p>
      <w:pPr>
        <w:spacing w:before="954"/>
        <w:ind w:left="2783" w:right="3757"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19"/>
          <w:szCs w:val="19"/>
        </w:rPr>
      </w:pPr>
    </w:p>
    <w:p>
      <w:pPr>
        <w:pStyle w:val="BodyText"/>
        <w:spacing w:line="240" w:lineRule="auto"/>
        <w:ind w:left="0" w:right="1128"/>
        <w:jc w:val="right"/>
      </w:pPr>
      <w:r>
        <w:rPr/>
        <w:pict>
          <v:shape style="position:absolute;margin-left:56.424pt;margin-top:-559.178284pt;width:479.5pt;height:590.3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37"/>
                    <w:gridCol w:w="600"/>
                    <w:gridCol w:w="5438"/>
                  </w:tblGrid>
                  <w:tr>
                    <w:trPr>
                      <w:trHeight w:val="403" w:hRule="exact"/>
                    </w:trPr>
                    <w:tc>
                      <w:tcPr>
                        <w:tcW w:w="3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和仁科技</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浙江和仁科技股份有限公司</w:t>
                        </w:r>
                      </w:p>
                    </w:tc>
                  </w:tr>
                  <w:tr>
                    <w:trPr>
                      <w:trHeight w:val="399"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和仁湘雅</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湖南和仁湘雅数字医疗技术有限公司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和仁云慧</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江西和仁云慧信息服务有限公司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天津和仁</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和仁（天津）科技有限公司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北京和仁</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和仁数字科技（北京）有限公司</w:t>
                        </w:r>
                      </w:p>
                    </w:tc>
                  </w:tr>
                  <w:tr>
                    <w:trPr>
                      <w:trHeight w:val="399"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赣州和仁</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赣州和仁信息服务有限公司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重庆和仁</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重庆和仁同创科技有限公司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黑龙江和仁</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黑龙江和仁科技有限公司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广西和仁</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广西和仁医铭科技有限公司</w:t>
                        </w:r>
                      </w:p>
                    </w:tc>
                  </w:tr>
                  <w:tr>
                    <w:trPr>
                      <w:trHeight w:val="399"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江苏和仁</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江苏和仁泰颐智能科技有限公司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西安和仁</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西安和仁汇达信息科技有限公司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和仁科技北京分公司</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浙江和仁科技股份有限公司北京分公司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中原和仁公司</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中原和仁医疗科技有限公司</w:t>
                        </w:r>
                      </w:p>
                    </w:tc>
                  </w:tr>
                  <w:tr>
                    <w:trPr>
                      <w:trHeight w:val="399"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四川和仁</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四川和仁乾堂科技有限公司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磐源投资</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杭州磐源投资有限公司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磐鸿投资</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杭州磐鸿投资管理合伙企业（有限合伙）</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复贞投资</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杭州复贞投资管理有限公司</w:t>
                        </w:r>
                      </w:p>
                    </w:tc>
                  </w:tr>
                  <w:tr>
                    <w:trPr>
                      <w:trHeight w:val="398"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云骥投资</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杭州云骥投资管理有限公司</w:t>
                        </w:r>
                      </w:p>
                    </w:tc>
                  </w:tr>
                  <w:tr>
                    <w:trPr>
                      <w:trHeight w:val="404"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杭州云医</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杭州云医健康服务有限公司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和仁有限</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浙江和仁科技有限公司</w:t>
                        </w:r>
                      </w:p>
                    </w:tc>
                  </w:tr>
                  <w:tr>
                    <w:trPr>
                      <w:trHeight w:val="317" w:hRule="exact"/>
                    </w:trPr>
                    <w:tc>
                      <w:tcPr>
                        <w:tcW w:w="3537"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医疗信息化</w:t>
                        </w:r>
                      </w:p>
                    </w:tc>
                    <w:tc>
                      <w:tcPr>
                        <w:tcW w:w="60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8" w:type="dxa"/>
                        <w:vMerge w:val="restart"/>
                        <w:tcBorders>
                          <w:top w:val="single" w:sz="4" w:space="0" w:color="000000"/>
                          <w:left w:val="single" w:sz="10" w:space="0" w:color="D2D2D2"/>
                          <w:right w:val="single" w:sz="4" w:space="0" w:color="000000"/>
                        </w:tcBorders>
                      </w:tcPr>
                      <w:p>
                        <w:pPr>
                          <w:pStyle w:val="TableParagraph"/>
                          <w:spacing w:line="319" w:lineRule="auto" w:before="53"/>
                          <w:ind w:left="28" w:right="18"/>
                          <w:jc w:val="both"/>
                          <w:rPr>
                            <w:rFonts w:ascii="宋体" w:hAnsi="宋体" w:cs="宋体" w:eastAsia="宋体" w:hint="default"/>
                            <w:sz w:val="18"/>
                            <w:szCs w:val="18"/>
                          </w:rPr>
                        </w:pPr>
                        <w:r>
                          <w:rPr>
                            <w:rFonts w:ascii="宋体" w:hAnsi="宋体" w:cs="宋体" w:eastAsia="宋体" w:hint="default"/>
                            <w:spacing w:val="-4"/>
                            <w:sz w:val="18"/>
                            <w:szCs w:val="18"/>
                          </w:rPr>
                          <w:t>通过计算机技术、网络通信技术及数据库技术，为医疗机构提供诊疗</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pacing w:val="-4"/>
                            <w:sz w:val="18"/>
                            <w:szCs w:val="18"/>
                          </w:rPr>
                          <w:t>信息和管理信息的收集、存储、处理、提取和数据交换，并满足授权</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z w:val="18"/>
                            <w:szCs w:val="18"/>
                          </w:rPr>
                          <w:t>用户的功能需求。</w:t>
                        </w:r>
                      </w:p>
                    </w:tc>
                  </w:tr>
                  <w:tr>
                    <w:trPr>
                      <w:trHeight w:val="394" w:hRule="exact"/>
                    </w:trPr>
                    <w:tc>
                      <w:tcPr>
                        <w:tcW w:w="3537" w:type="dxa"/>
                        <w:vMerge/>
                        <w:tcBorders>
                          <w:left w:val="single" w:sz="4" w:space="0" w:color="000000"/>
                          <w:right w:val="single" w:sz="10" w:space="0" w:color="D2D2D2"/>
                        </w:tcBorders>
                      </w:tcPr>
                      <w:p>
                        <w:pPr/>
                      </w:p>
                    </w:tc>
                    <w:tc>
                      <w:tcPr>
                        <w:tcW w:w="6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vMerge/>
                        <w:tcBorders>
                          <w:left w:val="single" w:sz="10" w:space="0" w:color="D2D2D2"/>
                          <w:right w:val="single" w:sz="4" w:space="0" w:color="000000"/>
                        </w:tcBorders>
                      </w:tcPr>
                      <w:p>
                        <w:pPr/>
                      </w:p>
                    </w:tc>
                  </w:tr>
                  <w:tr>
                    <w:trPr>
                      <w:trHeight w:val="317" w:hRule="exact"/>
                    </w:trPr>
                    <w:tc>
                      <w:tcPr>
                        <w:tcW w:w="3537" w:type="dxa"/>
                        <w:vMerge/>
                        <w:tcBorders>
                          <w:left w:val="single" w:sz="4" w:space="0" w:color="000000"/>
                          <w:bottom w:val="single" w:sz="4" w:space="0" w:color="000000"/>
                          <w:right w:val="single" w:sz="10" w:space="0" w:color="D2D2D2"/>
                        </w:tcBorders>
                      </w:tcPr>
                      <w:p>
                        <w:pPr/>
                      </w:p>
                    </w:tc>
                    <w:tc>
                      <w:tcPr>
                        <w:tcW w:w="60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8" w:type="dxa"/>
                        <w:vMerge/>
                        <w:tcBorders>
                          <w:left w:val="single" w:sz="10" w:space="0" w:color="D2D2D2"/>
                          <w:bottom w:val="single" w:sz="4" w:space="0" w:color="000000"/>
                          <w:right w:val="single" w:sz="4" w:space="0" w:color="000000"/>
                        </w:tcBorders>
                      </w:tcPr>
                      <w:p>
                        <w:pPr/>
                      </w:p>
                    </w:tc>
                  </w:tr>
                  <w:tr>
                    <w:trPr>
                      <w:trHeight w:val="317" w:hRule="exact"/>
                    </w:trPr>
                    <w:tc>
                      <w:tcPr>
                        <w:tcW w:w="3537"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pacing w:val="-3"/>
                            <w:sz w:val="18"/>
                            <w:szCs w:val="18"/>
                          </w:rPr>
                          <w:t>医院管理信息系统（</w:t>
                        </w:r>
                        <w:r>
                          <w:rPr>
                            <w:rFonts w:ascii="Times New Roman" w:hAnsi="Times New Roman" w:cs="Times New Roman" w:eastAsia="Times New Roman" w:hint="default"/>
                            <w:spacing w:val="-3"/>
                            <w:sz w:val="18"/>
                            <w:szCs w:val="18"/>
                          </w:rPr>
                          <w:t>HIS</w:t>
                        </w:r>
                        <w:r>
                          <w:rPr>
                            <w:rFonts w:ascii="宋体" w:hAnsi="宋体" w:cs="宋体" w:eastAsia="宋体" w:hint="default"/>
                            <w:spacing w:val="-3"/>
                            <w:sz w:val="18"/>
                            <w:szCs w:val="18"/>
                          </w:rPr>
                          <w:t>）</w:t>
                        </w:r>
                      </w:p>
                    </w:tc>
                    <w:tc>
                      <w:tcPr>
                        <w:tcW w:w="60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8" w:type="dxa"/>
                        <w:vMerge w:val="restart"/>
                        <w:tcBorders>
                          <w:top w:val="single" w:sz="4" w:space="0" w:color="000000"/>
                          <w:left w:val="single" w:sz="10" w:space="0" w:color="D2D2D2"/>
                          <w:right w:val="single" w:sz="4" w:space="0" w:color="000000"/>
                        </w:tcBorders>
                      </w:tcPr>
                      <w:p>
                        <w:pPr>
                          <w:pStyle w:val="TableParagraph"/>
                          <w:spacing w:line="309" w:lineRule="auto" w:before="53"/>
                          <w:ind w:left="28" w:right="17"/>
                          <w:jc w:val="both"/>
                          <w:rPr>
                            <w:rFonts w:ascii="宋体" w:hAnsi="宋体" w:cs="宋体" w:eastAsia="宋体" w:hint="default"/>
                            <w:sz w:val="18"/>
                            <w:szCs w:val="18"/>
                          </w:rPr>
                        </w:pPr>
                        <w:r>
                          <w:rPr>
                            <w:rFonts w:ascii="宋体" w:hAnsi="宋体" w:cs="宋体" w:eastAsia="宋体" w:hint="default"/>
                            <w:spacing w:val="-6"/>
                            <w:sz w:val="18"/>
                            <w:szCs w:val="18"/>
                          </w:rPr>
                          <w:t>以收费为中心，将门诊</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急诊挂号、核价、收费、配药和住院登记、收</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4"/>
                            <w:sz w:val="18"/>
                            <w:szCs w:val="18"/>
                          </w:rPr>
                          <w:t>费，以及医疗机构人、财、物等资源调配信息，借助信息网络技术进</w:t>
                        </w:r>
                        <w:r>
                          <w:rPr>
                            <w:rFonts w:ascii="宋体" w:hAnsi="宋体" w:cs="宋体" w:eastAsia="宋体" w:hint="default"/>
                            <w:spacing w:val="-3"/>
                            <w:sz w:val="18"/>
                            <w:szCs w:val="18"/>
                          </w:rPr>
                          <w:t> </w:t>
                        </w:r>
                        <w:r>
                          <w:rPr>
                            <w:rFonts w:ascii="宋体" w:hAnsi="宋体" w:cs="宋体" w:eastAsia="宋体" w:hint="default"/>
                            <w:spacing w:val="-3"/>
                            <w:sz w:val="18"/>
                            <w:szCs w:val="18"/>
                          </w:rPr>
                          <w:t>行管理，并采集整合各节点信息，供相关人员查询、分析和决策。</w:t>
                        </w:r>
                      </w:p>
                    </w:tc>
                  </w:tr>
                  <w:tr>
                    <w:trPr>
                      <w:trHeight w:val="389" w:hRule="exact"/>
                    </w:trPr>
                    <w:tc>
                      <w:tcPr>
                        <w:tcW w:w="3537" w:type="dxa"/>
                        <w:vMerge/>
                        <w:tcBorders>
                          <w:left w:val="single" w:sz="4" w:space="0" w:color="000000"/>
                          <w:right w:val="single" w:sz="10" w:space="0" w:color="D2D2D2"/>
                        </w:tcBorders>
                      </w:tcPr>
                      <w:p>
                        <w:pPr/>
                      </w:p>
                    </w:tc>
                    <w:tc>
                      <w:tcPr>
                        <w:tcW w:w="6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vMerge/>
                        <w:tcBorders>
                          <w:left w:val="single" w:sz="10" w:space="0" w:color="D2D2D2"/>
                          <w:right w:val="single" w:sz="4" w:space="0" w:color="000000"/>
                        </w:tcBorders>
                      </w:tcPr>
                      <w:p>
                        <w:pPr/>
                      </w:p>
                    </w:tc>
                  </w:tr>
                  <w:tr>
                    <w:trPr>
                      <w:trHeight w:val="317" w:hRule="exact"/>
                    </w:trPr>
                    <w:tc>
                      <w:tcPr>
                        <w:tcW w:w="3537" w:type="dxa"/>
                        <w:vMerge/>
                        <w:tcBorders>
                          <w:left w:val="single" w:sz="4" w:space="0" w:color="000000"/>
                          <w:bottom w:val="single" w:sz="4" w:space="0" w:color="000000"/>
                          <w:right w:val="single" w:sz="10" w:space="0" w:color="D2D2D2"/>
                        </w:tcBorders>
                      </w:tcPr>
                      <w:p>
                        <w:pPr/>
                      </w:p>
                    </w:tc>
                    <w:tc>
                      <w:tcPr>
                        <w:tcW w:w="60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8" w:type="dxa"/>
                        <w:vMerge/>
                        <w:tcBorders>
                          <w:left w:val="single" w:sz="10" w:space="0" w:color="D2D2D2"/>
                          <w:bottom w:val="single" w:sz="4" w:space="0" w:color="000000"/>
                          <w:right w:val="single" w:sz="4" w:space="0" w:color="000000"/>
                        </w:tcBorders>
                      </w:tcPr>
                      <w:p>
                        <w:pPr/>
                      </w:p>
                    </w:tc>
                  </w:tr>
                  <w:tr>
                    <w:trPr>
                      <w:trHeight w:val="456" w:hRule="exact"/>
                    </w:trPr>
                    <w:tc>
                      <w:tcPr>
                        <w:tcW w:w="3537"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临床医疗管理信息系统（</w:t>
                        </w:r>
                        <w:r>
                          <w:rPr>
                            <w:rFonts w:ascii="Times New Roman" w:hAnsi="Times New Roman" w:cs="Times New Roman" w:eastAsia="Times New Roman" w:hint="default"/>
                            <w:spacing w:val="-3"/>
                            <w:sz w:val="18"/>
                            <w:szCs w:val="18"/>
                          </w:rPr>
                          <w:t>CIS</w:t>
                        </w:r>
                        <w:r>
                          <w:rPr>
                            <w:rFonts w:ascii="宋体" w:hAnsi="宋体" w:cs="宋体" w:eastAsia="宋体" w:hint="default"/>
                            <w:spacing w:val="-3"/>
                            <w:sz w:val="18"/>
                            <w:szCs w:val="18"/>
                          </w:rPr>
                          <w:t>）</w:t>
                        </w:r>
                      </w:p>
                    </w:tc>
                    <w:tc>
                      <w:tcPr>
                        <w:tcW w:w="60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8" w:type="dxa"/>
                        <w:vMerge w:val="restart"/>
                        <w:tcBorders>
                          <w:top w:val="single" w:sz="4" w:space="0" w:color="000000"/>
                          <w:left w:val="single" w:sz="10" w:space="0" w:color="D2D2D2"/>
                          <w:right w:val="single" w:sz="4" w:space="0" w:color="000000"/>
                        </w:tcBorders>
                      </w:tcPr>
                      <w:p>
                        <w:pPr>
                          <w:pStyle w:val="TableParagraph"/>
                          <w:spacing w:line="319" w:lineRule="auto" w:before="53"/>
                          <w:ind w:left="28" w:right="18"/>
                          <w:jc w:val="left"/>
                          <w:rPr>
                            <w:rFonts w:ascii="宋体" w:hAnsi="宋体" w:cs="宋体" w:eastAsia="宋体" w:hint="default"/>
                            <w:sz w:val="18"/>
                            <w:szCs w:val="18"/>
                          </w:rPr>
                        </w:pPr>
                        <w:r>
                          <w:rPr>
                            <w:rFonts w:ascii="宋体" w:hAnsi="宋体" w:cs="宋体" w:eastAsia="宋体" w:hint="default"/>
                            <w:spacing w:val="-4"/>
                            <w:sz w:val="18"/>
                            <w:szCs w:val="18"/>
                          </w:rPr>
                          <w:t>以患者为中心，以医生临床诊疗行为为导向，借助多种软件应用系统</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pacing w:val="-4"/>
                            <w:sz w:val="18"/>
                            <w:szCs w:val="18"/>
                          </w:rPr>
                          <w:t>整合患者临床诊疗数据，完成电子化汇总、集成、共享，医务人员通</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pacing w:val="-7"/>
                            <w:sz w:val="18"/>
                            <w:szCs w:val="18"/>
                          </w:rPr>
                          <w:t>过信息终端浏览辅助诊疗路径、发送医嘱、接受诊疗结果、完成分析</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4"/>
                            <w:sz w:val="18"/>
                            <w:szCs w:val="18"/>
                          </w:rPr>
                          <w:t>实现全院级别的诊疗信息与管理信息集成，并在此基础上，不断延伸</w:t>
                        </w:r>
                      </w:p>
                    </w:tc>
                  </w:tr>
                  <w:tr>
                    <w:trPr>
                      <w:trHeight w:val="389" w:hRule="exact"/>
                    </w:trPr>
                    <w:tc>
                      <w:tcPr>
                        <w:tcW w:w="3537" w:type="dxa"/>
                        <w:vMerge/>
                        <w:tcBorders>
                          <w:left w:val="single" w:sz="4" w:space="0" w:color="000000"/>
                          <w:right w:val="single" w:sz="10" w:space="0" w:color="D2D2D2"/>
                        </w:tcBorders>
                      </w:tcPr>
                      <w:p>
                        <w:pPr/>
                      </w:p>
                    </w:tc>
                    <w:tc>
                      <w:tcPr>
                        <w:tcW w:w="6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vMerge/>
                        <w:tcBorders>
                          <w:left w:val="single" w:sz="10" w:space="0" w:color="D2D2D2"/>
                          <w:right w:val="single" w:sz="4" w:space="0" w:color="000000"/>
                        </w:tcBorders>
                      </w:tcPr>
                      <w:p>
                        <w:pPr/>
                      </w:p>
                    </w:tc>
                  </w:tr>
                  <w:tr>
                    <w:trPr>
                      <w:trHeight w:val="456" w:hRule="exact"/>
                    </w:trPr>
                    <w:tc>
                      <w:tcPr>
                        <w:tcW w:w="3537" w:type="dxa"/>
                        <w:vMerge/>
                        <w:tcBorders>
                          <w:left w:val="single" w:sz="4" w:space="0" w:color="000000"/>
                          <w:bottom w:val="single" w:sz="4" w:space="0" w:color="000000"/>
                          <w:right w:val="single" w:sz="10" w:space="0" w:color="D2D2D2"/>
                        </w:tcBorders>
                      </w:tcPr>
                      <w:p>
                        <w:pPr/>
                      </w:p>
                    </w:tc>
                    <w:tc>
                      <w:tcPr>
                        <w:tcW w:w="60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8" w:type="dxa"/>
                        <w:vMerge/>
                        <w:tcBorders>
                          <w:left w:val="single" w:sz="10" w:space="0" w:color="D2D2D2"/>
                          <w:bottom w:val="single" w:sz="4" w:space="0" w:color="000000"/>
                          <w:right w:val="single" w:sz="4" w:space="0" w:color="000000"/>
                        </w:tcBorders>
                      </w:tcPr>
                      <w:p>
                        <w:pPr/>
                      </w:p>
                    </w:tc>
                  </w:tr>
                </w:tbl>
                <w:p>
                  <w:pPr/>
                </w:p>
              </w:txbxContent>
            </v:textbox>
            <w10:wrap type="none"/>
          </v:shape>
        </w:pict>
      </w:r>
      <w:r>
        <w:rPr>
          <w:w w:val="101"/>
        </w:rPr>
        <w:t>，</w:t>
      </w:r>
      <w:r>
        <w:rPr/>
      </w:r>
    </w:p>
    <w:p>
      <w:pPr>
        <w:spacing w:after="0" w:line="240" w:lineRule="auto"/>
        <w:jc w:val="right"/>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5"/>
        <w:gridCol w:w="624"/>
        <w:gridCol w:w="5426"/>
      </w:tblGrid>
      <w:tr>
        <w:trPr>
          <w:trHeight w:val="360" w:hRule="exact"/>
        </w:trPr>
        <w:tc>
          <w:tcPr>
            <w:tcW w:w="3525"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出各类信息应用系统。</w:t>
            </w:r>
          </w:p>
        </w:tc>
      </w:tr>
      <w:tr>
        <w:trPr>
          <w:trHeight w:val="165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区域公共医疗管理信息系统（</w:t>
            </w:r>
            <w:r>
              <w:rPr>
                <w:rFonts w:ascii="Times New Roman" w:hAnsi="Times New Roman" w:cs="Times New Roman" w:eastAsia="Times New Roman" w:hint="default"/>
                <w:spacing w:val="-3"/>
                <w:sz w:val="18"/>
                <w:szCs w:val="18"/>
              </w:rPr>
              <w:t>GMIS</w:t>
            </w:r>
            <w:r>
              <w:rPr>
                <w:rFonts w:ascii="宋体" w:hAnsi="宋体" w:cs="宋体" w:eastAsia="宋体" w:hint="default"/>
                <w:spacing w:val="-3"/>
                <w:sz w:val="18"/>
                <w:szCs w:val="18"/>
              </w:rPr>
              <w:t>）</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7"/>
              <w:jc w:val="both"/>
              <w:rPr>
                <w:rFonts w:ascii="宋体" w:hAnsi="宋体" w:cs="宋体" w:eastAsia="宋体" w:hint="default"/>
                <w:sz w:val="18"/>
                <w:szCs w:val="18"/>
              </w:rPr>
            </w:pPr>
            <w:r>
              <w:rPr>
                <w:rFonts w:ascii="宋体" w:hAnsi="宋体" w:cs="宋体" w:eastAsia="宋体" w:hint="default"/>
                <w:spacing w:val="-4"/>
                <w:sz w:val="18"/>
                <w:szCs w:val="18"/>
              </w:rPr>
              <w:t>将一定区域内的所有医疗机构诊疗业务和管理信息集成整合，将医疗</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4"/>
                <w:sz w:val="18"/>
                <w:szCs w:val="18"/>
              </w:rPr>
              <w:t>保险、社区医疗、远程医疗、卫生管理机构、药品及医疗器械供应商</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pacing w:val="-4"/>
                <w:sz w:val="18"/>
                <w:szCs w:val="18"/>
              </w:rPr>
              <w:t>等相关主体连接为一个用于汇总处理卫生行业数据的信息平台，从而</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4"/>
                <w:sz w:val="18"/>
                <w:szCs w:val="18"/>
              </w:rPr>
              <w:t>实现区域医疗资源智能管理和信息共享，提高区域医疗服务水平、医</w:t>
            </w:r>
            <w:r>
              <w:rPr>
                <w:rFonts w:ascii="宋体" w:hAnsi="宋体" w:cs="宋体" w:eastAsia="宋体" w:hint="default"/>
                <w:spacing w:val="-3"/>
                <w:sz w:val="18"/>
                <w:szCs w:val="18"/>
              </w:rPr>
              <w:t> </w:t>
            </w:r>
            <w:r>
              <w:rPr>
                <w:rFonts w:ascii="宋体" w:hAnsi="宋体" w:cs="宋体" w:eastAsia="宋体" w:hint="default"/>
                <w:spacing w:val="-3"/>
                <w:sz w:val="18"/>
                <w:szCs w:val="18"/>
              </w:rPr>
              <w:t>疗卫生体系运转效率以及卫生行政管理科学性。</w:t>
            </w:r>
          </w:p>
        </w:tc>
      </w:tr>
      <w:tr>
        <w:trPr>
          <w:trHeight w:val="1340"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4" w:right="0"/>
              <w:jc w:val="left"/>
              <w:rPr>
                <w:rFonts w:ascii="宋体" w:hAnsi="宋体" w:cs="宋体" w:eastAsia="宋体" w:hint="default"/>
                <w:sz w:val="18"/>
                <w:szCs w:val="18"/>
              </w:rPr>
            </w:pPr>
            <w:r>
              <w:rPr>
                <w:rFonts w:ascii="宋体" w:hAnsi="宋体" w:cs="宋体" w:eastAsia="宋体" w:hint="default"/>
                <w:sz w:val="18"/>
                <w:szCs w:val="18"/>
              </w:rPr>
              <w:t>医疗管理应用系统</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3" w:right="17"/>
              <w:jc w:val="both"/>
              <w:rPr>
                <w:rFonts w:ascii="宋体" w:hAnsi="宋体" w:cs="宋体" w:eastAsia="宋体" w:hint="default"/>
                <w:sz w:val="18"/>
                <w:szCs w:val="18"/>
              </w:rPr>
            </w:pPr>
            <w:r>
              <w:rPr>
                <w:rFonts w:ascii="宋体" w:hAnsi="宋体" w:cs="宋体" w:eastAsia="宋体" w:hint="default"/>
                <w:spacing w:val="-8"/>
                <w:w w:val="101"/>
                <w:sz w:val="18"/>
                <w:szCs w:val="18"/>
              </w:rPr>
              <w:t>以企业管理的视角，将商业分析（</w:t>
            </w:r>
            <w:r>
              <w:rPr>
                <w:rFonts w:ascii="Times New Roman" w:hAnsi="Times New Roman" w:cs="Times New Roman" w:eastAsia="Times New Roman" w:hint="default"/>
                <w:spacing w:val="-8"/>
                <w:w w:val="101"/>
                <w:sz w:val="18"/>
                <w:szCs w:val="18"/>
              </w:rPr>
              <w:t>BI</w:t>
            </w:r>
            <w:r>
              <w:rPr>
                <w:rFonts w:ascii="宋体" w:hAnsi="宋体" w:cs="宋体" w:eastAsia="宋体" w:hint="default"/>
                <w:spacing w:val="-8"/>
                <w:w w:val="101"/>
                <w:sz w:val="18"/>
                <w:szCs w:val="18"/>
              </w:rPr>
              <w:t>）、企业资源计划（</w:t>
            </w:r>
            <w:r>
              <w:rPr>
                <w:rFonts w:ascii="Times New Roman" w:hAnsi="Times New Roman" w:cs="Times New Roman" w:eastAsia="Times New Roman" w:hint="default"/>
                <w:spacing w:val="-8"/>
                <w:w w:val="101"/>
                <w:sz w:val="18"/>
                <w:szCs w:val="18"/>
              </w:rPr>
              <w:t>ERP</w:t>
            </w:r>
            <w:r>
              <w:rPr>
                <w:rFonts w:ascii="宋体" w:hAnsi="宋体" w:cs="宋体" w:eastAsia="宋体" w:hint="default"/>
                <w:spacing w:val="-8"/>
                <w:w w:val="101"/>
                <w:sz w:val="18"/>
                <w:szCs w:val="18"/>
              </w:rPr>
              <w:t>）、客户</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pacing w:val="-5"/>
                <w:sz w:val="18"/>
                <w:szCs w:val="18"/>
              </w:rPr>
              <w:t>关系管理（</w:t>
            </w:r>
            <w:r>
              <w:rPr>
                <w:rFonts w:ascii="Times New Roman" w:hAnsi="Times New Roman" w:cs="Times New Roman" w:eastAsia="Times New Roman" w:hint="default"/>
                <w:spacing w:val="-5"/>
                <w:sz w:val="18"/>
                <w:szCs w:val="18"/>
              </w:rPr>
              <w:t>CRM</w:t>
            </w:r>
            <w:r>
              <w:rPr>
                <w:rFonts w:ascii="宋体" w:hAnsi="宋体" w:cs="宋体" w:eastAsia="宋体" w:hint="default"/>
                <w:spacing w:val="-5"/>
                <w:sz w:val="18"/>
                <w:szCs w:val="18"/>
              </w:rPr>
              <w:t>）等企业经营管理理念运用于医疗机构日常运营，其</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4"/>
                <w:sz w:val="18"/>
                <w:szCs w:val="18"/>
              </w:rPr>
              <w:t>最终实现需以医疗机构临床业务信息为基础，因此，将其归为临床医</w:t>
            </w:r>
            <w:r>
              <w:rPr>
                <w:rFonts w:ascii="宋体" w:hAnsi="宋体" w:cs="宋体" w:eastAsia="宋体" w:hint="default"/>
                <w:spacing w:val="-3"/>
                <w:sz w:val="18"/>
                <w:szCs w:val="18"/>
              </w:rPr>
              <w:t> </w:t>
            </w:r>
            <w:r>
              <w:rPr>
                <w:rFonts w:ascii="宋体" w:hAnsi="宋体" w:cs="宋体" w:eastAsia="宋体" w:hint="default"/>
                <w:spacing w:val="-3"/>
                <w:sz w:val="18"/>
                <w:szCs w:val="18"/>
              </w:rPr>
              <w:t>疗管理信息系统的分支之一。</w:t>
            </w:r>
          </w:p>
        </w:tc>
      </w:tr>
      <w:tr>
        <w:trPr>
          <w:trHeight w:val="1340"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pacing w:val="-3"/>
                <w:sz w:val="18"/>
                <w:szCs w:val="18"/>
              </w:rPr>
              <w:t>数字化场景应用方案</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8"/>
              <w:jc w:val="both"/>
              <w:rPr>
                <w:rFonts w:ascii="宋体" w:hAnsi="宋体" w:cs="宋体" w:eastAsia="宋体" w:hint="default"/>
                <w:sz w:val="18"/>
                <w:szCs w:val="18"/>
              </w:rPr>
            </w:pPr>
            <w:r>
              <w:rPr>
                <w:rFonts w:ascii="宋体" w:hAnsi="宋体" w:cs="宋体" w:eastAsia="宋体" w:hint="default"/>
                <w:spacing w:val="-4"/>
                <w:sz w:val="18"/>
                <w:szCs w:val="18"/>
              </w:rPr>
              <w:t>以信息设备为基础，借助信息技术、网络技术、数据库技术、流媒体</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pacing w:val="-4"/>
                <w:sz w:val="18"/>
                <w:szCs w:val="18"/>
              </w:rPr>
              <w:t>技术，通过系统集成实现医疗机构具体运营场景的信息化管理，包括</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pacing w:val="-4"/>
                <w:sz w:val="18"/>
                <w:szCs w:val="18"/>
              </w:rPr>
              <w:t>一体化手术室系统、远程协同医疗系统、医疗机构运营控制系统、病</w:t>
            </w:r>
            <w:r>
              <w:rPr>
                <w:rFonts w:ascii="宋体" w:hAnsi="宋体" w:cs="宋体" w:eastAsia="宋体" w:hint="default"/>
                <w:spacing w:val="-3"/>
                <w:sz w:val="18"/>
                <w:szCs w:val="18"/>
              </w:rPr>
              <w:t> </w:t>
            </w:r>
            <w:r>
              <w:rPr>
                <w:rFonts w:ascii="宋体" w:hAnsi="宋体" w:cs="宋体" w:eastAsia="宋体" w:hint="default"/>
                <w:spacing w:val="-3"/>
                <w:sz w:val="18"/>
                <w:szCs w:val="18"/>
              </w:rPr>
              <w:t>房管理系统、环境监测系统、安防监控系统等。</w:t>
            </w:r>
          </w:p>
        </w:tc>
      </w:tr>
      <w:tr>
        <w:trPr>
          <w:trHeight w:val="164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数字化医院整体解决方案</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3" w:right="-14"/>
              <w:jc w:val="both"/>
              <w:rPr>
                <w:rFonts w:ascii="宋体" w:hAnsi="宋体" w:cs="宋体" w:eastAsia="宋体" w:hint="default"/>
                <w:sz w:val="18"/>
                <w:szCs w:val="18"/>
              </w:rPr>
            </w:pPr>
            <w:r>
              <w:rPr>
                <w:rFonts w:ascii="宋体" w:hAnsi="宋体" w:cs="宋体" w:eastAsia="宋体" w:hint="default"/>
                <w:spacing w:val="-7"/>
                <w:w w:val="101"/>
                <w:sz w:val="18"/>
                <w:szCs w:val="18"/>
              </w:rPr>
              <w:t>以数字化场景应用方案、管理信息系统（</w:t>
            </w:r>
            <w:r>
              <w:rPr>
                <w:rFonts w:ascii="Times New Roman" w:hAnsi="Times New Roman" w:cs="Times New Roman" w:eastAsia="Times New Roman" w:hint="default"/>
                <w:spacing w:val="-7"/>
                <w:w w:val="101"/>
                <w:sz w:val="18"/>
                <w:szCs w:val="18"/>
              </w:rPr>
              <w:t>HIS</w:t>
            </w:r>
            <w:r>
              <w:rPr>
                <w:rFonts w:ascii="宋体" w:hAnsi="宋体" w:cs="宋体" w:eastAsia="宋体" w:hint="default"/>
                <w:spacing w:val="-7"/>
                <w:w w:val="101"/>
                <w:sz w:val="18"/>
                <w:szCs w:val="18"/>
              </w:rPr>
              <w:t>）、临床医疗管理信息系</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pacing w:val="-3"/>
                <w:sz w:val="18"/>
                <w:szCs w:val="18"/>
              </w:rPr>
              <w:t>统（</w:t>
            </w:r>
            <w:r>
              <w:rPr>
                <w:rFonts w:ascii="Times New Roman" w:hAnsi="Times New Roman" w:cs="Times New Roman" w:eastAsia="Times New Roman" w:hint="default"/>
                <w:spacing w:val="-3"/>
                <w:sz w:val="18"/>
                <w:szCs w:val="18"/>
              </w:rPr>
              <w:t>CIS</w:t>
            </w:r>
            <w:r>
              <w:rPr>
                <w:rFonts w:ascii="宋体" w:hAnsi="宋体" w:cs="宋体" w:eastAsia="宋体" w:hint="default"/>
                <w:spacing w:val="-3"/>
                <w:sz w:val="18"/>
                <w:szCs w:val="18"/>
              </w:rPr>
              <w:t>）为基础，包括医疗机构信息化蓝图规划、软硬件配置，实</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4"/>
                <w:sz w:val="18"/>
                <w:szCs w:val="18"/>
              </w:rPr>
              <w:t>施定制开发、系统集成、流程优化、数据融合，上线调试、业务培训</w:t>
            </w:r>
            <w:r>
              <w:rPr>
                <w:rFonts w:ascii="宋体" w:hAnsi="宋体" w:cs="宋体" w:eastAsia="宋体" w:hint="default"/>
                <w:spacing w:val="-3"/>
                <w:sz w:val="18"/>
                <w:szCs w:val="18"/>
              </w:rPr>
              <w:t> </w:t>
            </w:r>
            <w:r>
              <w:rPr>
                <w:rFonts w:ascii="宋体" w:hAnsi="宋体" w:cs="宋体" w:eastAsia="宋体" w:hint="default"/>
                <w:spacing w:val="-3"/>
                <w:sz w:val="18"/>
                <w:szCs w:val="18"/>
              </w:rPr>
              <w:t>等工作内容在内的全套医疗信息化业务，具有系统实施、整体交付、</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一体化服务等特点。</w:t>
            </w:r>
          </w:p>
        </w:tc>
      </w:tr>
      <w:tr>
        <w:trPr>
          <w:trHeight w:val="102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pacing w:val="-3"/>
                <w:sz w:val="18"/>
                <w:szCs w:val="18"/>
              </w:rPr>
              <w:t>电子病历（</w:t>
            </w:r>
            <w:r>
              <w:rPr>
                <w:rFonts w:ascii="Times New Roman" w:hAnsi="Times New Roman" w:cs="Times New Roman" w:eastAsia="Times New Roman" w:hint="default"/>
                <w:spacing w:val="-3"/>
                <w:sz w:val="18"/>
                <w:szCs w:val="18"/>
              </w:rPr>
              <w:t>EMR</w:t>
            </w:r>
            <w:r>
              <w:rPr>
                <w:rFonts w:ascii="宋体" w:hAnsi="宋体" w:cs="宋体" w:eastAsia="宋体" w:hint="default"/>
                <w:spacing w:val="-3"/>
                <w:sz w:val="18"/>
                <w:szCs w:val="18"/>
              </w:rPr>
              <w:t>）</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4"/>
              <w:jc w:val="both"/>
              <w:rPr>
                <w:rFonts w:ascii="宋体" w:hAnsi="宋体" w:cs="宋体" w:eastAsia="宋体" w:hint="default"/>
                <w:sz w:val="18"/>
                <w:szCs w:val="18"/>
              </w:rPr>
            </w:pPr>
            <w:r>
              <w:rPr>
                <w:rFonts w:ascii="宋体" w:hAnsi="宋体" w:cs="宋体" w:eastAsia="宋体" w:hint="default"/>
                <w:spacing w:val="-3"/>
                <w:sz w:val="18"/>
                <w:szCs w:val="18"/>
              </w:rPr>
              <w:t>医务人员在医疗活动过程中，通过医院信息系统生成的文字、符号、</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4"/>
                <w:sz w:val="18"/>
                <w:szCs w:val="18"/>
              </w:rPr>
              <w:t>图表、图形、数据、影像等数字化信息，并能实现存储、管理、传输</w:t>
            </w:r>
            <w:r>
              <w:rPr>
                <w:rFonts w:ascii="宋体" w:hAnsi="宋体" w:cs="宋体" w:eastAsia="宋体" w:hint="default"/>
                <w:spacing w:val="-3"/>
                <w:sz w:val="18"/>
                <w:szCs w:val="18"/>
              </w:rPr>
              <w:t> </w:t>
            </w:r>
            <w:r>
              <w:rPr>
                <w:rFonts w:ascii="宋体" w:hAnsi="宋体" w:cs="宋体" w:eastAsia="宋体" w:hint="default"/>
                <w:spacing w:val="-3"/>
                <w:sz w:val="18"/>
                <w:szCs w:val="18"/>
              </w:rPr>
              <w:t>和重现的医疗记录。</w:t>
            </w:r>
          </w:p>
        </w:tc>
      </w:tr>
      <w:tr>
        <w:trPr>
          <w:trHeight w:val="227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电子病历系统</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7"/>
              <w:jc w:val="both"/>
              <w:rPr>
                <w:rFonts w:ascii="宋体" w:hAnsi="宋体" w:cs="宋体" w:eastAsia="宋体" w:hint="default"/>
                <w:sz w:val="18"/>
                <w:szCs w:val="18"/>
              </w:rPr>
            </w:pPr>
            <w:r>
              <w:rPr>
                <w:rFonts w:ascii="宋体" w:hAnsi="宋体" w:cs="宋体" w:eastAsia="宋体" w:hint="default"/>
                <w:spacing w:val="-4"/>
                <w:sz w:val="18"/>
                <w:szCs w:val="18"/>
              </w:rPr>
              <w:t>医疗机构内部支持电子病历信息的采集、存储和访问，并围绕提高医</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pacing w:val="-4"/>
                <w:sz w:val="18"/>
                <w:szCs w:val="18"/>
              </w:rPr>
              <w:t>疗质量、保障医疗安全、提高医疗效率而提供信息处理和智能化服务</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pacing w:val="-4"/>
                <w:sz w:val="18"/>
                <w:szCs w:val="18"/>
              </w:rPr>
              <w:t>功能的计算机信息系统，既包括应用于门（急）诊、病房的临床信息</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pacing w:val="-4"/>
                <w:sz w:val="18"/>
                <w:szCs w:val="18"/>
              </w:rPr>
              <w:t>系统，也包括医技科室的信息系统，其产出物为电子病历。电子病历</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pacing w:val="-4"/>
                <w:sz w:val="18"/>
                <w:szCs w:val="18"/>
              </w:rPr>
              <w:t>系统是一个动态的系统，它的数据和信息来源于多个临床部门，所以</w:t>
            </w:r>
            <w:r>
              <w:rPr>
                <w:rFonts w:ascii="宋体" w:hAnsi="宋体" w:cs="宋体" w:eastAsia="宋体" w:hint="default"/>
                <w:spacing w:val="-3"/>
                <w:sz w:val="18"/>
                <w:szCs w:val="18"/>
              </w:rPr>
              <w:t> </w:t>
            </w:r>
            <w:r>
              <w:rPr>
                <w:rFonts w:ascii="宋体" w:hAnsi="宋体" w:cs="宋体" w:eastAsia="宋体" w:hint="default"/>
                <w:spacing w:val="-3"/>
                <w:sz w:val="18"/>
                <w:szCs w:val="18"/>
              </w:rPr>
            </w:r>
            <w:r>
              <w:rPr>
                <w:rFonts w:ascii="宋体" w:hAnsi="宋体" w:cs="宋体" w:eastAsia="宋体" w:hint="default"/>
                <w:spacing w:val="-4"/>
                <w:sz w:val="18"/>
                <w:szCs w:val="18"/>
              </w:rPr>
              <w:t>电子病历系统需要与其他各种系统集成以获取信息；同时电子病历系</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统也是临床路径管理和未来区域医疗信息管理的基础。</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9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8"/>
          <w:szCs w:val="28"/>
        </w:rPr>
      </w:pPr>
    </w:p>
    <w:p>
      <w:pPr>
        <w:pStyle w:val="Heading1"/>
        <w:spacing w:line="240" w:lineRule="auto"/>
        <w:ind w:left="2722" w:right="0"/>
        <w:jc w:val="left"/>
        <w:rPr>
          <w:b w:val="0"/>
          <w:bCs w:val="0"/>
        </w:rPr>
      </w:pPr>
      <w:bookmarkStart w:name="第二节公司简介和主要财务指标" w:id="2"/>
      <w:bookmarkEnd w:id="2"/>
      <w:r>
        <w:rPr>
          <w:b w:val="0"/>
          <w:bCs w:val="0"/>
        </w:rPr>
      </w:r>
      <w:bookmarkStart w:name="_bookmark0" w:id="3"/>
      <w:bookmarkEnd w:id="3"/>
      <w:r>
        <w:rPr>
          <w:b w:val="0"/>
          <w:bCs w:val="0"/>
        </w:rPr>
      </w:r>
      <w:r>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r>
        <w:rPr/>
        <w:pict>
          <v:group style="position:absolute;margin-left:171.190002pt;margin-top:114.575615pt;width:362.8pt;height:20.65pt;mso-position-horizontal-relative:page;mso-position-vertical-relative:paragraph;z-index:-1110928" coordorigin="3424,2292" coordsize="7256,413">
            <v:group style="position:absolute;left:3436;top:2304;width:2;height:389" coordorigin="3436,2304" coordsize="2,389">
              <v:shape style="position:absolute;left:3436;top:2304;width:2;height:389" coordorigin="3436,2304" coordsize="0,389" path="m3436,2304l3436,2692e" filled="false" stroked="true" strokeweight="1.2pt" strokecolor="#ffffff">
                <v:path arrowok="t"/>
              </v:shape>
            </v:group>
            <v:group style="position:absolute;left:3448;top:2304;width:7232;height:389" coordorigin="3448,2304" coordsize="7232,389">
              <v:shape style="position:absolute;left:3448;top:2304;width:7232;height:389" coordorigin="3448,2304" coordsize="7232,389" path="m3448,2692l10679,2692,10679,2304,3448,2304,3448,2692xe" filled="true" fillcolor="#ffffff" stroked="false">
                <v:path arrowok="t"/>
                <v:fill type="solid"/>
              </v:shape>
            </v:group>
            <w10:wrap type="none"/>
          </v:group>
        </w:pict>
      </w:r>
      <w:bookmarkStart w:name="一、公司信息" w:id="4"/>
      <w:bookmarkEnd w:id="4"/>
      <w:r>
        <w:rPr>
          <w:b w:val="0"/>
          <w:bCs w:val="0"/>
        </w:rPr>
      </w:r>
      <w:r>
        <w:rPr/>
        <w:t>一、公司信息</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2286"/>
        <w:gridCol w:w="2965"/>
        <w:gridCol w:w="2144"/>
        <w:gridCol w:w="2180"/>
      </w:tblGrid>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和仁科技</w:t>
            </w:r>
          </w:p>
        </w:tc>
        <w:tc>
          <w:tcPr>
            <w:tcW w:w="2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300550</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公司的中文名称</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浙江和仁科技股份有限公司</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公司的中文简称</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和仁科技</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公司的外文名称（如有）</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Heren Health</w:t>
            </w:r>
            <w:r>
              <w:rPr>
                <w:rFonts w:ascii="Times New Roman"/>
                <w:spacing w:val="-7"/>
                <w:sz w:val="18"/>
              </w:rPr>
              <w:t> </w:t>
            </w:r>
            <w:r>
              <w:rPr>
                <w:rFonts w:ascii="Times New Roman"/>
                <w:sz w:val="18"/>
              </w:rPr>
              <w:t>Co.,Ltd.</w:t>
            </w:r>
          </w:p>
        </w:tc>
      </w:tr>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34"/>
              <w:jc w:val="left"/>
              <w:rPr>
                <w:rFonts w:ascii="宋体" w:hAnsi="宋体" w:cs="宋体" w:eastAsia="宋体" w:hint="default"/>
                <w:sz w:val="18"/>
                <w:szCs w:val="18"/>
              </w:rPr>
            </w:pPr>
            <w:r>
              <w:rPr>
                <w:rFonts w:ascii="宋体" w:hAnsi="宋体" w:cs="宋体" w:eastAsia="宋体" w:hint="default"/>
                <w:spacing w:val="-7"/>
                <w:sz w:val="18"/>
                <w:szCs w:val="18"/>
              </w:rPr>
              <w:t>公司的外文名称缩写（如有）</w:t>
            </w:r>
            <w:r>
              <w:rPr>
                <w:rFonts w:ascii="宋体" w:hAnsi="宋体" w:cs="宋体" w:eastAsia="宋体" w:hint="default"/>
                <w:sz w:val="18"/>
                <w:szCs w:val="18"/>
              </w:rPr>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Heren Health</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杨一兵</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浙江省杭州市滨江区西兴街道新联路 </w:t>
            </w:r>
            <w:r>
              <w:rPr>
                <w:rFonts w:ascii="Times New Roman" w:hAnsi="Times New Roman" w:cs="Times New Roman" w:eastAsia="Times New Roman" w:hint="default"/>
                <w:sz w:val="18"/>
                <w:szCs w:val="18"/>
              </w:rPr>
              <w:t>625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注册地址的邮政编码</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310051</w:t>
            </w:r>
          </w:p>
        </w:tc>
      </w:tr>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浙江省杭州市滨江区西兴街道新联路 </w:t>
            </w:r>
            <w:r>
              <w:rPr>
                <w:rFonts w:ascii="Times New Roman" w:hAnsi="Times New Roman" w:cs="Times New Roman" w:eastAsia="Times New Roman" w:hint="default"/>
                <w:sz w:val="18"/>
                <w:szCs w:val="18"/>
              </w:rPr>
              <w:t>625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办公地址的邮政编码</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310051</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公司国际互联网网址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9">
              <w:r>
                <w:rPr>
                  <w:rFonts w:ascii="Times New Roman"/>
                  <w:spacing w:val="-3"/>
                  <w:sz w:val="18"/>
                </w:rPr>
                <w:t>www.herenit.com</w:t>
              </w:r>
            </w:hyperlink>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10">
              <w:r>
                <w:rPr>
                  <w:rFonts w:ascii="Times New Roman"/>
                  <w:sz w:val="18"/>
                </w:rPr>
                <w:t>contact@herenit.com</w:t>
              </w:r>
            </w:hyperlink>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0"/>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3176"/>
        <w:gridCol w:w="3193"/>
        <w:gridCol w:w="3193"/>
      </w:tblGrid>
      <w:tr>
        <w:trPr>
          <w:trHeight w:val="404"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398"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16" w:right="0"/>
              <w:jc w:val="left"/>
              <w:rPr>
                <w:rFonts w:ascii="宋体" w:hAnsi="宋体" w:cs="宋体" w:eastAsia="宋体" w:hint="default"/>
                <w:sz w:val="18"/>
                <w:szCs w:val="18"/>
              </w:rPr>
            </w:pPr>
            <w:r>
              <w:rPr>
                <w:rFonts w:ascii="宋体" w:hAnsi="宋体" w:cs="宋体" w:eastAsia="宋体" w:hint="default"/>
                <w:sz w:val="18"/>
                <w:szCs w:val="18"/>
              </w:rPr>
              <w:t>章逸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屈鑫</w:t>
            </w:r>
          </w:p>
        </w:tc>
      </w:tr>
      <w:tr>
        <w:trPr>
          <w:trHeight w:val="163" w:hRule="exact"/>
        </w:trPr>
        <w:tc>
          <w:tcPr>
            <w:tcW w:w="317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3" w:type="dxa"/>
            <w:vMerge w:val="restart"/>
            <w:tcBorders>
              <w:top w:val="single" w:sz="4" w:space="0" w:color="000000"/>
              <w:left w:val="single" w:sz="10" w:space="0" w:color="D2D2D2"/>
              <w:right w:val="single" w:sz="4" w:space="0" w:color="000000"/>
            </w:tcBorders>
          </w:tcPr>
          <w:p>
            <w:pPr>
              <w:pStyle w:val="TableParagraph"/>
              <w:spacing w:line="240" w:lineRule="auto" w:before="53"/>
              <w:ind w:left="16" w:right="0"/>
              <w:jc w:val="left"/>
              <w:rPr>
                <w:rFonts w:ascii="宋体" w:hAnsi="宋体" w:cs="宋体" w:eastAsia="宋体" w:hint="default"/>
                <w:sz w:val="18"/>
                <w:szCs w:val="18"/>
              </w:rPr>
            </w:pPr>
            <w:r>
              <w:rPr>
                <w:rFonts w:ascii="宋体" w:hAnsi="宋体" w:cs="宋体" w:eastAsia="宋体" w:hint="default"/>
                <w:spacing w:val="-3"/>
                <w:sz w:val="18"/>
                <w:szCs w:val="18"/>
              </w:rPr>
              <w:t>浙江省杭州市滨江区西兴街道新联路</w:t>
            </w:r>
          </w:p>
          <w:p>
            <w:pPr>
              <w:pStyle w:val="TableParagraph"/>
              <w:spacing w:line="240" w:lineRule="auto" w:before="8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c>
          <w:tcPr>
            <w:tcW w:w="3193" w:type="dxa"/>
            <w:vMerge w:val="restart"/>
            <w:tcBorders>
              <w:top w:val="single" w:sz="4" w:space="0" w:color="000000"/>
              <w:left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浙江省杭州市滨江区西兴街道新联路</w:t>
            </w:r>
          </w:p>
          <w:p>
            <w:pPr>
              <w:pStyle w:val="TableParagraph"/>
              <w:spacing w:line="240" w:lineRule="auto" w:before="8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r>
      <w:tr>
        <w:trPr>
          <w:trHeight w:val="394" w:hRule="exact"/>
        </w:trPr>
        <w:tc>
          <w:tcPr>
            <w:tcW w:w="31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3" w:type="dxa"/>
            <w:vMerge/>
            <w:tcBorders>
              <w:left w:val="single" w:sz="10" w:space="0" w:color="D2D2D2"/>
              <w:right w:val="single" w:sz="4" w:space="0" w:color="000000"/>
            </w:tcBorders>
          </w:tcPr>
          <w:p>
            <w:pPr/>
          </w:p>
        </w:tc>
        <w:tc>
          <w:tcPr>
            <w:tcW w:w="3193" w:type="dxa"/>
            <w:vMerge/>
            <w:tcBorders>
              <w:left w:val="single" w:sz="4" w:space="0" w:color="000000"/>
              <w:right w:val="single" w:sz="4" w:space="0" w:color="000000"/>
            </w:tcBorders>
          </w:tcPr>
          <w:p>
            <w:pPr/>
          </w:p>
        </w:tc>
      </w:tr>
      <w:tr>
        <w:trPr>
          <w:trHeight w:val="158" w:hRule="exact"/>
        </w:trPr>
        <w:tc>
          <w:tcPr>
            <w:tcW w:w="3176"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3" w:type="dxa"/>
            <w:vMerge/>
            <w:tcBorders>
              <w:left w:val="single" w:sz="10" w:space="0" w:color="D2D2D2"/>
              <w:bottom w:val="single" w:sz="4" w:space="0" w:color="000000"/>
              <w:right w:val="single" w:sz="4" w:space="0" w:color="000000"/>
            </w:tcBorders>
          </w:tcPr>
          <w:p>
            <w:pPr/>
          </w:p>
        </w:tc>
        <w:tc>
          <w:tcPr>
            <w:tcW w:w="3193" w:type="dxa"/>
            <w:vMerge/>
            <w:tcBorders>
              <w:left w:val="single" w:sz="4" w:space="0" w:color="000000"/>
              <w:bottom w:val="single" w:sz="4" w:space="0" w:color="000000"/>
              <w:right w:val="single" w:sz="4" w:space="0" w:color="000000"/>
            </w:tcBorders>
          </w:tcPr>
          <w:p>
            <w:pPr/>
          </w:p>
        </w:tc>
      </w:tr>
      <w:tr>
        <w:trPr>
          <w:trHeight w:val="404"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16" w:right="0"/>
              <w:jc w:val="left"/>
              <w:rPr>
                <w:rFonts w:ascii="Times New Roman" w:hAnsi="Times New Roman" w:cs="Times New Roman" w:eastAsia="Times New Roman" w:hint="default"/>
                <w:sz w:val="18"/>
                <w:szCs w:val="18"/>
              </w:rPr>
            </w:pPr>
            <w:r>
              <w:rPr>
                <w:rFonts w:ascii="Times New Roman"/>
                <w:sz w:val="18"/>
              </w:rPr>
              <w:t>0571-81397006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0571-81397006</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16" w:right="0"/>
              <w:jc w:val="left"/>
              <w:rPr>
                <w:rFonts w:ascii="Times New Roman" w:hAnsi="Times New Roman" w:cs="Times New Roman" w:eastAsia="Times New Roman" w:hint="default"/>
                <w:sz w:val="18"/>
                <w:szCs w:val="18"/>
              </w:rPr>
            </w:pPr>
            <w:r>
              <w:rPr>
                <w:rFonts w:ascii="Times New Roman"/>
                <w:sz w:val="18"/>
              </w:rPr>
              <w:t>0571-81397100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0571-81397100</w:t>
            </w:r>
          </w:p>
        </w:tc>
      </w:tr>
      <w:tr>
        <w:trPr>
          <w:trHeight w:val="398"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16" w:right="0"/>
              <w:jc w:val="left"/>
              <w:rPr>
                <w:rFonts w:ascii="Times New Roman" w:hAnsi="Times New Roman" w:cs="Times New Roman" w:eastAsia="Times New Roman" w:hint="default"/>
                <w:sz w:val="18"/>
                <w:szCs w:val="18"/>
              </w:rPr>
            </w:pPr>
            <w:hyperlink r:id="rId10">
              <w:r>
                <w:rPr>
                  <w:rFonts w:ascii="Times New Roman"/>
                  <w:sz w:val="18"/>
                </w:rPr>
                <w:t>contact@herenit.com</w:t>
              </w:r>
            </w:hyperlink>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10">
              <w:r>
                <w:rPr>
                  <w:rFonts w:ascii="Times New Roman"/>
                  <w:sz w:val="18"/>
                </w:rPr>
                <w:t>contact@herenit.com</w:t>
              </w:r>
            </w:hyperlink>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6"/>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983"/>
        <w:gridCol w:w="5587"/>
      </w:tblGrid>
      <w:tr>
        <w:trPr>
          <w:trHeight w:val="403" w:hRule="exact"/>
        </w:trPr>
        <w:tc>
          <w:tcPr>
            <w:tcW w:w="3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公司选定的信息披露媒体的名称</w:t>
            </w:r>
          </w:p>
        </w:tc>
        <w:tc>
          <w:tcPr>
            <w:tcW w:w="55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上</w:t>
            </w:r>
            <w:r>
              <w:rPr>
                <w:rFonts w:ascii="宋体" w:hAnsi="宋体" w:cs="宋体" w:eastAsia="宋体" w:hint="default"/>
                <w:w w:val="101"/>
                <w:sz w:val="18"/>
                <w:szCs w:val="18"/>
              </w:rPr>
              <w:t>海</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报</w:t>
            </w:r>
            <w:r>
              <w:rPr>
                <w:rFonts w:ascii="宋体" w:hAnsi="宋体" w:cs="宋体" w:eastAsia="宋体" w:hint="default"/>
                <w:w w:val="101"/>
                <w:sz w:val="18"/>
                <w:szCs w:val="18"/>
              </w:rPr>
              <w:t>》</w:t>
            </w:r>
            <w:r>
              <w:rPr>
                <w:rFonts w:ascii="宋体" w:hAnsi="宋体" w:cs="宋体" w:eastAsia="宋体" w:hint="default"/>
                <w:sz w:val="18"/>
                <w:szCs w:val="18"/>
              </w:rPr>
            </w:r>
          </w:p>
        </w:tc>
      </w:tr>
      <w:tr>
        <w:trPr>
          <w:trHeight w:val="398" w:hRule="exact"/>
        </w:trPr>
        <w:tc>
          <w:tcPr>
            <w:tcW w:w="3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登载年度报告的中国证监会指定网站的网址</w:t>
            </w:r>
          </w:p>
        </w:tc>
        <w:tc>
          <w:tcPr>
            <w:tcW w:w="55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hyperlink r:id="rId11">
              <w:r>
                <w:rPr>
                  <w:rFonts w:ascii="Times New Roman"/>
                  <w:spacing w:val="-3"/>
                  <w:sz w:val="18"/>
                </w:rPr>
                <w:t>www.cninfo.com.cn</w:t>
              </w:r>
            </w:hyperlink>
          </w:p>
        </w:tc>
      </w:tr>
      <w:tr>
        <w:trPr>
          <w:trHeight w:val="403" w:hRule="exact"/>
        </w:trPr>
        <w:tc>
          <w:tcPr>
            <w:tcW w:w="3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浙江省杭州市滨江区西兴街道新联路 </w:t>
            </w:r>
            <w:r>
              <w:rPr>
                <w:rFonts w:ascii="Times New Roman" w:hAnsi="Times New Roman" w:cs="Times New Roman" w:eastAsia="Times New Roman" w:hint="default"/>
                <w:sz w:val="18"/>
                <w:szCs w:val="18"/>
              </w:rPr>
              <w:t>625 </w:t>
            </w:r>
            <w:r>
              <w:rPr>
                <w:rFonts w:ascii="宋体" w:hAnsi="宋体" w:cs="宋体" w:eastAsia="宋体" w:hint="default"/>
                <w:sz w:val="18"/>
                <w:szCs w:val="18"/>
              </w:rPr>
              <w:t>号</w:t>
            </w:r>
            <w:r>
              <w:rPr>
                <w:rFonts w:ascii="宋体" w:hAnsi="宋体" w:cs="宋体" w:eastAsia="宋体" w:hint="default"/>
                <w:spacing w:val="37"/>
                <w:sz w:val="18"/>
                <w:szCs w:val="18"/>
              </w:rPr>
              <w:t> </w:t>
            </w:r>
            <w:r>
              <w:rPr>
                <w:rFonts w:ascii="宋体" w:hAnsi="宋体" w:cs="宋体" w:eastAsia="宋体" w:hint="default"/>
                <w:spacing w:val="-3"/>
                <w:sz w:val="18"/>
                <w:szCs w:val="18"/>
              </w:rPr>
              <w:t>和仁科技董事会办公室</w:t>
            </w:r>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bookmarkStart w:name="四、其他有关资料" w:id="7"/>
      <w:bookmarkEnd w:id="7"/>
      <w:r>
        <w:rPr>
          <w:b w:val="0"/>
          <w:bCs w:val="0"/>
        </w:rPr>
      </w:r>
      <w:r>
        <w:rPr/>
        <w:t>四、其他有关资料</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left"/>
      </w:pPr>
      <w:r>
        <w:rPr>
          <w:spacing w:val="-3"/>
        </w:rPr>
        <w:t>公司聘请的会计师事务所</w:t>
      </w:r>
    </w:p>
    <w:p>
      <w:pPr>
        <w:spacing w:after="0" w:line="240" w:lineRule="auto"/>
        <w:jc w:val="left"/>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665"/>
        <w:gridCol w:w="6905"/>
      </w:tblGrid>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天健会计师事务所</w:t>
            </w:r>
          </w:p>
        </w:tc>
      </w:tr>
      <w:tr>
        <w:trPr>
          <w:trHeight w:val="398"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浙江省杭州市钱江路 </w:t>
            </w:r>
            <w:r>
              <w:rPr>
                <w:rFonts w:ascii="Times New Roman" w:hAnsi="Times New Roman" w:cs="Times New Roman" w:eastAsia="Times New Roman" w:hint="default"/>
                <w:sz w:val="18"/>
                <w:szCs w:val="18"/>
              </w:rPr>
              <w:t>1366  </w:t>
            </w:r>
            <w:r>
              <w:rPr>
                <w:rFonts w:ascii="宋体" w:hAnsi="宋体" w:cs="宋体" w:eastAsia="宋体" w:hint="default"/>
                <w:sz w:val="18"/>
                <w:szCs w:val="18"/>
              </w:rPr>
              <w:t>号华润大厦 </w:t>
            </w:r>
            <w:r>
              <w:rPr>
                <w:rFonts w:ascii="Times New Roman" w:hAnsi="Times New Roman" w:cs="Times New Roman" w:eastAsia="Times New Roman" w:hint="default"/>
                <w:sz w:val="18"/>
                <w:szCs w:val="18"/>
              </w:rPr>
              <w:t>B </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座</w:t>
            </w:r>
          </w:p>
        </w:tc>
      </w:tr>
      <w:tr>
        <w:trPr>
          <w:trHeight w:val="404"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签字会计师姓名</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吕安吉、吴传淼</w:t>
            </w:r>
          </w:p>
        </w:tc>
      </w:tr>
    </w:tbl>
    <w:p>
      <w:pPr>
        <w:pStyle w:val="BodyText"/>
        <w:spacing w:line="240" w:lineRule="auto" w:before="53"/>
        <w:ind w:right="0"/>
        <w:jc w:val="left"/>
      </w:pPr>
      <w:r>
        <w:rPr>
          <w:spacing w:val="-3"/>
        </w:rPr>
        <w:t>公司聘请的报告期内履行持续督导职责的保荐机构</w:t>
      </w:r>
    </w:p>
    <w:p>
      <w:pPr>
        <w:pStyle w:val="BodyText"/>
        <w:spacing w:line="240" w:lineRule="auto" w:before="119"/>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1" w:right="0"/>
              <w:jc w:val="left"/>
              <w:rPr>
                <w:rFonts w:ascii="宋体" w:hAnsi="宋体" w:cs="宋体" w:eastAsia="宋体" w:hint="default"/>
                <w:sz w:val="18"/>
                <w:szCs w:val="18"/>
              </w:rPr>
            </w:pPr>
            <w:r>
              <w:rPr>
                <w:rFonts w:ascii="宋体" w:hAnsi="宋体" w:cs="宋体" w:eastAsia="宋体" w:hint="default"/>
                <w:spacing w:val="-3"/>
                <w:sz w:val="18"/>
                <w:szCs w:val="18"/>
              </w:rPr>
              <w:t>保荐代表人姓名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102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3" w:right="13"/>
              <w:jc w:val="left"/>
              <w:rPr>
                <w:rFonts w:ascii="宋体" w:hAnsi="宋体" w:cs="宋体" w:eastAsia="宋体" w:hint="default"/>
                <w:sz w:val="18"/>
                <w:szCs w:val="18"/>
              </w:rPr>
            </w:pPr>
            <w:r>
              <w:rPr>
                <w:rFonts w:ascii="宋体" w:hAnsi="宋体" w:cs="宋体" w:eastAsia="宋体" w:hint="default"/>
                <w:spacing w:val="-3"/>
                <w:sz w:val="18"/>
                <w:szCs w:val="18"/>
              </w:rPr>
              <w:t>广东省深圳市福田区中心三</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号卓越时代广场（二期）</w:t>
            </w:r>
            <w:r>
              <w:rPr>
                <w:rFonts w:ascii="宋体" w:hAnsi="宋体" w:cs="宋体" w:eastAsia="宋体" w:hint="default"/>
                <w:w w:val="101"/>
                <w:sz w:val="18"/>
                <w:szCs w:val="18"/>
              </w:rPr>
              <w:t> </w:t>
            </w:r>
            <w:r>
              <w:rPr>
                <w:rFonts w:ascii="宋体" w:hAnsi="宋体" w:cs="宋体" w:eastAsia="宋体" w:hint="default"/>
                <w:sz w:val="18"/>
                <w:szCs w:val="18"/>
              </w:rPr>
              <w:t>北座</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毛宗玄、王琦</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3"/>
        <w:ind w:right="0"/>
        <w:jc w:val="left"/>
      </w:pPr>
      <w:r>
        <w:rPr>
          <w:spacing w:val="-3"/>
        </w:rPr>
        <w:t>公司聘请的报告期内履行持续督导职责的财务顾问</w:t>
      </w:r>
    </w:p>
    <w:p>
      <w:pPr>
        <w:pStyle w:val="BodyText"/>
        <w:spacing w:line="240" w:lineRule="auto" w:before="119"/>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3"/>
        <w:rPr>
          <w:rFonts w:ascii="宋体" w:hAnsi="宋体" w:cs="宋体" w:eastAsia="宋体" w:hint="default"/>
          <w:sz w:val="22"/>
          <w:szCs w:val="22"/>
        </w:rPr>
      </w:pPr>
    </w:p>
    <w:p>
      <w:pPr>
        <w:pStyle w:val="Heading2"/>
        <w:spacing w:line="240" w:lineRule="auto"/>
        <w:ind w:right="0"/>
        <w:jc w:val="left"/>
        <w:rPr>
          <w:b w:val="0"/>
          <w:bCs w:val="0"/>
        </w:rPr>
      </w:pPr>
      <w:bookmarkStart w:name="五、主要会计数据和财务指标" w:id="8"/>
      <w:bookmarkEnd w:id="8"/>
      <w:r>
        <w:rPr>
          <w:b w:val="0"/>
          <w:bCs w:val="0"/>
        </w:rPr>
      </w:r>
      <w:r>
        <w:rPr/>
        <w:t>五、主要会计数据和财务指标</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spacing w:val="-3"/>
        </w:rPr>
        <w:t>公司是否需追溯调整或重述以前年度会计数据</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0"/>
        <w:gridCol w:w="1738"/>
        <w:gridCol w:w="1738"/>
        <w:gridCol w:w="1738"/>
      </w:tblGrid>
      <w:tr>
        <w:trPr>
          <w:trHeight w:val="398"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pacing w:val="-3"/>
                <w:sz w:val="18"/>
                <w:szCs w:val="18"/>
              </w:rPr>
              <w:t>本年比上年增减</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营业收入（元）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440,959,834.78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391,421,018.50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276,257,927.40</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41,234,827.65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40,444,026.83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32,904,573.34</w:t>
            </w:r>
          </w:p>
        </w:tc>
      </w:tr>
      <w:tr>
        <w:trPr>
          <w:trHeight w:val="71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48"/>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归属于上市公司股东的扣除非经</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常性损益的净利润（元）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32,192,174.83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34,900,971.38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-7.76%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26,151,575.23</w:t>
            </w:r>
          </w:p>
        </w:tc>
      </w:tr>
      <w:tr>
        <w:trPr>
          <w:trHeight w:val="710"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41,415,638.33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18,228,433.35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127.20%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44,675,867.09</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基本每股收益（元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0.36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0.36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0.41</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稀释每股收益（元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0.36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0.36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0.41</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7.07%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7.68%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-0.61%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6.69%</w:t>
            </w:r>
          </w:p>
        </w:tc>
      </w:tr>
      <w:tr>
        <w:trPr>
          <w:trHeight w:val="398"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1"/>
              <w:jc w:val="right"/>
              <w:rPr>
                <w:rFonts w:ascii="宋体" w:hAnsi="宋体" w:cs="宋体" w:eastAsia="宋体" w:hint="default"/>
                <w:sz w:val="18"/>
                <w:szCs w:val="18"/>
              </w:rPr>
            </w:pPr>
            <w:r>
              <w:rPr>
                <w:rFonts w:ascii="宋体" w:hAnsi="宋体" w:cs="宋体" w:eastAsia="宋体" w:hint="default"/>
                <w:spacing w:val="-3"/>
                <w:sz w:val="18"/>
                <w:szCs w:val="18"/>
              </w:rPr>
              <w:t>本年末比上年末增减</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资产总额（元）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953,077,638.81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943,820,410.81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0.98%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692,920,611.49</w:t>
            </w:r>
          </w:p>
        </w:tc>
      </w:tr>
      <w:tr>
        <w:trPr>
          <w:trHeight w:val="71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618,277,579.88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547,191,116.31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504,839,977.70</w:t>
            </w:r>
          </w:p>
        </w:tc>
      </w:tr>
    </w:tbl>
    <w:p>
      <w:pPr>
        <w:pStyle w:val="BodyText"/>
        <w:spacing w:line="316" w:lineRule="auto" w:before="53"/>
        <w:ind w:right="1037"/>
        <w:jc w:val="left"/>
      </w:pPr>
      <w:r>
        <w:rPr>
          <w:spacing w:val="-4"/>
        </w:rPr>
        <w:t>公司报告期末至年度报告披露日股本是否因发行新股、增发、配股、股权激励行权、回购等原因发生变化且影响所有者权益</w:t>
      </w:r>
      <w:r>
        <w:rPr>
          <w:spacing w:val="40"/>
        </w:rPr>
        <w:t> </w:t>
      </w:r>
      <w:r>
        <w:rPr>
          <w:spacing w:val="40"/>
        </w:rPr>
      </w:r>
      <w:r>
        <w:rPr/>
        <w:t>金额</w:t>
      </w:r>
    </w:p>
    <w:p>
      <w:pPr>
        <w:pStyle w:val="BodyText"/>
        <w:spacing w:line="240" w:lineRule="auto" w:before="62"/>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4513"/>
        <w:gridCol w:w="5056"/>
      </w:tblGrid>
      <w:tr>
        <w:trPr>
          <w:trHeight w:val="403" w:hRule="exact"/>
        </w:trPr>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支付的优先股股利</w:t>
            </w:r>
          </w:p>
        </w:tc>
        <w:tc>
          <w:tcPr>
            <w:tcW w:w="505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r>
      <w:tr>
        <w:trPr>
          <w:trHeight w:val="399" w:hRule="exact"/>
        </w:trPr>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用最新股本计算的全面摊薄每股收益（元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505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0.3519</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Heading2"/>
        <w:spacing w:line="240" w:lineRule="auto" w:before="26"/>
        <w:ind w:right="0"/>
        <w:jc w:val="left"/>
        <w:rPr>
          <w:b w:val="0"/>
          <w:bCs w:val="0"/>
        </w:rPr>
      </w:pPr>
      <w:bookmarkStart w:name="六、分季度主要财务指标" w:id="9"/>
      <w:bookmarkEnd w:id="9"/>
      <w:r>
        <w:rPr>
          <w:b w:val="0"/>
          <w:bCs w:val="0"/>
        </w:rPr>
      </w:r>
      <w:r>
        <w:rPr/>
        <w:t>六、分季度主要财务指标</w:t>
      </w:r>
      <w:r>
        <w:rPr>
          <w:b w:val="0"/>
          <w:bCs w:val="0"/>
        </w:rPr>
      </w:r>
    </w:p>
    <w:p>
      <w:pPr>
        <w:spacing w:line="240" w:lineRule="auto" w:before="9"/>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5"/>
        <w:gridCol w:w="1738"/>
        <w:gridCol w:w="1738"/>
        <w:gridCol w:w="1733"/>
      </w:tblGrid>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04"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64,374,593.48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121,715,383.40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107,222,436.58</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147,647,421.32</w:t>
            </w:r>
          </w:p>
        </w:tc>
      </w:tr>
      <w:tr>
        <w:trPr>
          <w:trHeight w:val="398"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归属于上市公司股东的净利润</w:t>
            </w:r>
          </w:p>
        </w:tc>
        <w:tc>
          <w:tcPr>
            <w:tcW w:w="1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6,457,702.82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14,773,742.07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13,441,931.58</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6,561,451.18</w:t>
            </w:r>
          </w:p>
        </w:tc>
      </w:tr>
      <w:tr>
        <w:trPr>
          <w:trHeight w:val="71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48"/>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归属于上市公司股东的扣除非经</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常性损益的净利润</w:t>
            </w:r>
          </w:p>
        </w:tc>
        <w:tc>
          <w:tcPr>
            <w:tcW w:w="1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5,981,708.35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13,171,278.23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9,533,562.75</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3,505,625.50</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1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-50,320,450.99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-10,060,844.04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12,949,701.80</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88,847,231.56</w:t>
            </w:r>
          </w:p>
        </w:tc>
      </w:tr>
    </w:tbl>
    <w:p>
      <w:pPr>
        <w:pStyle w:val="BodyText"/>
        <w:spacing w:line="240" w:lineRule="auto" w:before="53"/>
        <w:ind w:right="0"/>
        <w:jc w:val="left"/>
      </w:pPr>
      <w:r>
        <w:rPr>
          <w:spacing w:val="-3"/>
        </w:rPr>
        <w:t>上述财务指标或其加总数是否与公司已披露季度报告、半年度报告相关财务指标存在重大差异</w:t>
      </w:r>
    </w:p>
    <w:p>
      <w:pPr>
        <w:pStyle w:val="BodyText"/>
        <w:spacing w:line="240" w:lineRule="auto" w:before="119"/>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2"/>
          <w:szCs w:val="22"/>
        </w:rPr>
      </w:pPr>
    </w:p>
    <w:p>
      <w:pPr>
        <w:pStyle w:val="Heading2"/>
        <w:spacing w:line="240" w:lineRule="auto"/>
        <w:ind w:right="0"/>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0"/>
        <w:jc w:val="left"/>
        <w:rPr>
          <w:b w:val="0"/>
          <w:bCs w:val="0"/>
        </w:rPr>
      </w:pPr>
      <w:bookmarkStart w:name="1、同时按照国际会计准则与按照中国会计准则披露的财务报告中净利润和净资产差异情况" w:id="11"/>
      <w:bookmarkEnd w:id="11"/>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182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公司报告期不存在按照国际会计准则与按照中国会计准则披露的财务报告中净利润和净资产差异情况。</w:t>
      </w:r>
    </w:p>
    <w:p>
      <w:pPr>
        <w:spacing w:line="240" w:lineRule="auto" w:before="9"/>
        <w:rPr>
          <w:rFonts w:ascii="宋体" w:hAnsi="宋体" w:cs="宋体" w:eastAsia="宋体" w:hint="default"/>
          <w:sz w:val="20"/>
          <w:szCs w:val="20"/>
        </w:rPr>
      </w:pPr>
    </w:p>
    <w:p>
      <w:pPr>
        <w:pStyle w:val="Heading4"/>
        <w:spacing w:line="240" w:lineRule="auto"/>
        <w:ind w:right="0"/>
        <w:jc w:val="left"/>
        <w:rPr>
          <w:b w:val="0"/>
          <w:bCs w:val="0"/>
        </w:rPr>
      </w:pPr>
      <w:bookmarkStart w:name="2、同时按照境外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1"/>
        <w:rPr>
          <w:rFonts w:ascii="宋体" w:hAnsi="宋体" w:cs="宋体" w:eastAsia="宋体" w:hint="default"/>
          <w:b/>
          <w:bCs/>
          <w:sz w:val="27"/>
          <w:szCs w:val="27"/>
        </w:rPr>
      </w:pPr>
    </w:p>
    <w:p>
      <w:pPr>
        <w:pStyle w:val="BodyText"/>
        <w:spacing w:line="343" w:lineRule="auto"/>
        <w:ind w:right="182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公司报告期不存在按照境外会计准则与按照中国会计准则披露的财务报告中净利润和净资产差异情况。</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八、非经常性损益项目及金额" w:id="13"/>
      <w:bookmarkEnd w:id="13"/>
      <w:r>
        <w:rPr>
          <w:b w:val="0"/>
          <w:bCs w:val="0"/>
        </w:rPr>
      </w:r>
      <w:r>
        <w:rPr/>
        <w:t>八、非经常性损益项目及金额</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5"/>
        <w:gridCol w:w="1530"/>
        <w:gridCol w:w="1522"/>
        <w:gridCol w:w="1522"/>
        <w:gridCol w:w="1709"/>
      </w:tblGrid>
      <w:tr>
        <w:trPr>
          <w:trHeight w:val="399"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5"/>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非流动资产处置损益（包括已计提资产减</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值准备的冲销部分）</w:t>
            </w:r>
          </w:p>
        </w:tc>
        <w:tc>
          <w:tcPr>
            <w:tcW w:w="153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405,474.43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-55,382.38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-42,728.94</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5"/>
              <w:jc w:val="both"/>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切相关，按照国家统一标准定额或定量享</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受的政府补助除外）</w:t>
            </w:r>
          </w:p>
        </w:tc>
        <w:tc>
          <w:tcPr>
            <w:tcW w:w="153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4,989,150.77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839,998.66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4,507,211.48</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委托他人投资或管理资产的损益</w:t>
            </w:r>
          </w:p>
        </w:tc>
        <w:tc>
          <w:tcPr>
            <w:tcW w:w="153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7,286,027.70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6,013,471.97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3,945,477.07</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除上述各项之外的其他营业外收入和支出</w:t>
            </w:r>
          </w:p>
        </w:tc>
        <w:tc>
          <w:tcPr>
            <w:tcW w:w="153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-1,192,468.96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-270,481.48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-231,473.33</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其他符合非经常性损益定义的损益项目</w:t>
            </w:r>
          </w:p>
        </w:tc>
        <w:tc>
          <w:tcPr>
            <w:tcW w:w="153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39,432.31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108,108.40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1,627,476.91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989,896.24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1,069,916.20</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少数股东权益影响额（税后）</w:t>
            </w:r>
          </w:p>
        </w:tc>
        <w:tc>
          <w:tcPr>
            <w:tcW w:w="153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857,486.52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102,763.48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355,571.97</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0"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9,042,652.82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5,543,055.45</w:t>
            </w:r>
          </w:p>
        </w:tc>
        <w:tc>
          <w:tcPr>
            <w:tcW w:w="1522"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6"/>
              <w:ind w:right="10"/>
              <w:jc w:val="right"/>
              <w:rPr>
                <w:rFonts w:ascii="Times New Roman" w:hAnsi="Times New Roman" w:cs="Times New Roman" w:eastAsia="Times New Roman" w:hint="default"/>
                <w:sz w:val="18"/>
                <w:szCs w:val="18"/>
              </w:rPr>
            </w:pPr>
            <w:r>
              <w:rPr>
                <w:rFonts w:ascii="Times New Roman"/>
                <w:spacing w:val="-2"/>
                <w:sz w:val="18"/>
              </w:rPr>
              <w:t>6,752,998.11</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pStyle w:val="BodyText"/>
        <w:spacing w:line="240" w:lineRule="auto" w:before="46"/>
        <w:ind w:right="0"/>
        <w:jc w:val="left"/>
      </w:pPr>
      <w:r>
        <w:rPr>
          <w:w w:val="101"/>
        </w:rPr>
        <w:t>对</w:t>
      </w:r>
      <w:r>
        <w:rPr>
          <w:spacing w:val="-5"/>
          <w:w w:val="101"/>
        </w:rPr>
        <w:t>公</w:t>
      </w:r>
      <w:r>
        <w:rPr>
          <w:w w:val="101"/>
        </w:rPr>
        <w:t>司</w:t>
      </w:r>
      <w:r>
        <w:rPr>
          <w:spacing w:val="-5"/>
          <w:w w:val="101"/>
        </w:rPr>
        <w:t>根</w:t>
      </w:r>
      <w:r>
        <w:rPr>
          <w:spacing w:val="-68"/>
          <w:w w:val="101"/>
        </w:rPr>
        <w:t>据</w:t>
      </w:r>
      <w:r>
        <w:rPr>
          <w:w w:val="101"/>
        </w:rPr>
        <w:t>《</w:t>
      </w:r>
      <w:r>
        <w:rPr>
          <w:spacing w:val="-5"/>
          <w:w w:val="101"/>
        </w:rPr>
        <w:t>公</w:t>
      </w:r>
      <w:r>
        <w:rPr>
          <w:w w:val="101"/>
        </w:rPr>
        <w:t>开</w:t>
      </w:r>
      <w:r>
        <w:rPr>
          <w:spacing w:val="-5"/>
          <w:w w:val="101"/>
        </w:rPr>
        <w:t>发</w:t>
      </w:r>
      <w:r>
        <w:rPr>
          <w:w w:val="101"/>
        </w:rPr>
        <w:t>行</w:t>
      </w:r>
      <w:r>
        <w:rPr>
          <w:spacing w:val="-5"/>
          <w:w w:val="101"/>
        </w:rPr>
        <w:t>证</w:t>
      </w:r>
      <w:r>
        <w:rPr>
          <w:w w:val="101"/>
        </w:rPr>
        <w:t>券</w:t>
      </w:r>
      <w:r>
        <w:rPr>
          <w:spacing w:val="-5"/>
          <w:w w:val="101"/>
        </w:rPr>
        <w:t>的</w:t>
      </w:r>
      <w:r>
        <w:rPr>
          <w:w w:val="101"/>
        </w:rPr>
        <w:t>公</w:t>
      </w:r>
      <w:r>
        <w:rPr>
          <w:spacing w:val="-5"/>
          <w:w w:val="101"/>
        </w:rPr>
        <w:t>司</w:t>
      </w:r>
      <w:r>
        <w:rPr>
          <w:w w:val="101"/>
        </w:rPr>
        <w:t>信</w:t>
      </w:r>
      <w:r>
        <w:rPr>
          <w:spacing w:val="-5"/>
          <w:w w:val="101"/>
        </w:rPr>
        <w:t>息</w:t>
      </w:r>
      <w:r>
        <w:rPr>
          <w:w w:val="101"/>
        </w:rPr>
        <w:t>披</w:t>
      </w:r>
      <w:r>
        <w:rPr>
          <w:spacing w:val="-5"/>
          <w:w w:val="101"/>
        </w:rPr>
        <w:t>露</w:t>
      </w:r>
      <w:r>
        <w:rPr>
          <w:w w:val="101"/>
        </w:rPr>
        <w:t>解</w:t>
      </w:r>
      <w:r>
        <w:rPr>
          <w:spacing w:val="-5"/>
          <w:w w:val="101"/>
        </w:rPr>
        <w:t>释</w:t>
      </w:r>
      <w:r>
        <w:rPr>
          <w:w w:val="101"/>
        </w:rPr>
        <w:t>性</w:t>
      </w:r>
      <w:r>
        <w:rPr>
          <w:spacing w:val="-5"/>
          <w:w w:val="101"/>
        </w:rPr>
        <w:t>公</w:t>
      </w:r>
      <w:r>
        <w:rPr>
          <w:w w:val="101"/>
        </w:rPr>
        <w:t>告第</w:t>
      </w:r>
      <w:r>
        <w:rPr>
          <w:spacing w:val="-46"/>
        </w:rPr>
        <w:t> </w:t>
      </w:r>
      <w:r>
        <w:rPr>
          <w:rFonts w:ascii="Times New Roman" w:hAnsi="Times New Roman" w:cs="Times New Roman" w:eastAsia="Times New Roman" w:hint="default"/>
          <w:w w:val="101"/>
        </w:rPr>
        <w:t>1</w:t>
      </w:r>
      <w:r>
        <w:rPr>
          <w:rFonts w:ascii="Times New Roman" w:hAnsi="Times New Roman" w:cs="Times New Roman" w:eastAsia="Times New Roman" w:hint="default"/>
          <w:spacing w:val="-2"/>
        </w:rPr>
        <w:t> </w:t>
      </w:r>
      <w:r>
        <w:rPr>
          <w:spacing w:val="-5"/>
          <w:w w:val="101"/>
        </w:rPr>
        <w:t>号</w:t>
      </w:r>
      <w:r>
        <w:rPr>
          <w:rFonts w:ascii="Times New Roman" w:hAnsi="Times New Roman" w:cs="Times New Roman" w:eastAsia="Times New Roman" w:hint="default"/>
          <w:w w:val="101"/>
        </w:rPr>
        <w:t>—</w:t>
      </w:r>
      <w:r>
        <w:rPr>
          <w:rFonts w:ascii="Times New Roman" w:hAnsi="Times New Roman" w:cs="Times New Roman" w:eastAsia="Times New Roman" w:hint="default"/>
          <w:spacing w:val="-5"/>
          <w:w w:val="101"/>
        </w:rPr>
        <w:t>—</w:t>
      </w:r>
      <w:r>
        <w:rPr>
          <w:w w:val="101"/>
        </w:rPr>
        <w:t>非</w:t>
      </w:r>
      <w:r>
        <w:rPr>
          <w:spacing w:val="-5"/>
          <w:w w:val="101"/>
        </w:rPr>
        <w:t>经</w:t>
      </w:r>
      <w:r>
        <w:rPr>
          <w:w w:val="101"/>
        </w:rPr>
        <w:t>常</w:t>
      </w:r>
      <w:r>
        <w:rPr>
          <w:spacing w:val="-5"/>
          <w:w w:val="101"/>
        </w:rPr>
        <w:t>性</w:t>
      </w:r>
      <w:r>
        <w:rPr>
          <w:w w:val="101"/>
        </w:rPr>
        <w:t>损益</w:t>
      </w:r>
      <w:r>
        <w:rPr>
          <w:spacing w:val="-73"/>
          <w:w w:val="101"/>
        </w:rPr>
        <w:t>》</w:t>
      </w:r>
      <w:r>
        <w:rPr>
          <w:w w:val="101"/>
        </w:rPr>
        <w:t>定</w:t>
      </w:r>
      <w:r>
        <w:rPr>
          <w:spacing w:val="-5"/>
          <w:w w:val="101"/>
        </w:rPr>
        <w:t>义</w:t>
      </w:r>
      <w:r>
        <w:rPr>
          <w:w w:val="101"/>
        </w:rPr>
        <w:t>界</w:t>
      </w:r>
      <w:r>
        <w:rPr>
          <w:spacing w:val="-5"/>
          <w:w w:val="101"/>
        </w:rPr>
        <w:t>定</w:t>
      </w:r>
      <w:r>
        <w:rPr>
          <w:w w:val="101"/>
        </w:rPr>
        <w:t>的</w:t>
      </w:r>
      <w:r>
        <w:rPr>
          <w:spacing w:val="-5"/>
          <w:w w:val="101"/>
        </w:rPr>
        <w:t>非</w:t>
      </w:r>
      <w:r>
        <w:rPr>
          <w:w w:val="101"/>
        </w:rPr>
        <w:t>经</w:t>
      </w:r>
      <w:r>
        <w:rPr>
          <w:spacing w:val="-5"/>
          <w:w w:val="101"/>
        </w:rPr>
        <w:t>常</w:t>
      </w:r>
      <w:r>
        <w:rPr>
          <w:w w:val="101"/>
        </w:rPr>
        <w:t>性</w:t>
      </w:r>
      <w:r>
        <w:rPr>
          <w:spacing w:val="-5"/>
          <w:w w:val="101"/>
        </w:rPr>
        <w:t>损</w:t>
      </w:r>
      <w:r>
        <w:rPr>
          <w:w w:val="101"/>
        </w:rPr>
        <w:t>益</w:t>
      </w:r>
      <w:r>
        <w:rPr>
          <w:spacing w:val="-5"/>
          <w:w w:val="101"/>
        </w:rPr>
        <w:t>项</w:t>
      </w:r>
      <w:r>
        <w:rPr>
          <w:w w:val="101"/>
        </w:rPr>
        <w:t>目</w:t>
      </w:r>
      <w:r>
        <w:rPr>
          <w:spacing w:val="-68"/>
          <w:w w:val="101"/>
        </w:rPr>
        <w:t>，</w:t>
      </w:r>
      <w:r>
        <w:rPr>
          <w:spacing w:val="-5"/>
          <w:w w:val="101"/>
        </w:rPr>
        <w:t>以</w:t>
      </w:r>
      <w:r>
        <w:rPr>
          <w:w w:val="101"/>
        </w:rPr>
        <w:t>及</w:t>
      </w:r>
      <w:r>
        <w:rPr>
          <w:spacing w:val="-73"/>
          <w:w w:val="101"/>
        </w:rPr>
        <w:t>把</w:t>
      </w:r>
      <w:r>
        <w:rPr>
          <w:w w:val="101"/>
        </w:rPr>
        <w:t>《公</w:t>
      </w:r>
      <w:r>
        <w:rPr/>
      </w:r>
    </w:p>
    <w:p>
      <w:pPr>
        <w:pStyle w:val="BodyText"/>
        <w:spacing w:line="304" w:lineRule="auto" w:before="58"/>
        <w:ind w:right="1037"/>
        <w:jc w:val="left"/>
      </w:pPr>
      <w:r>
        <w:rPr>
          <w:spacing w:val="-3"/>
        </w:rPr>
        <w:t>开发行证券的公司信息披露解释性公告第 </w:t>
      </w:r>
      <w:r>
        <w:rPr>
          <w:rFonts w:ascii="Times New Roman" w:hAnsi="Times New Roman" w:cs="Times New Roman" w:eastAsia="Times New Roman" w:hint="default"/>
        </w:rPr>
        <w:t>1 </w:t>
      </w:r>
      <w:r>
        <w:rPr>
          <w:spacing w:val="-5"/>
        </w:rPr>
        <w:t>号</w:t>
      </w:r>
      <w:r>
        <w:rPr>
          <w:rFonts w:ascii="Times New Roman" w:hAnsi="Times New Roman" w:cs="Times New Roman" w:eastAsia="Times New Roman" w:hint="default"/>
          <w:spacing w:val="-5"/>
        </w:rPr>
        <w:t>——</w:t>
      </w:r>
      <w:r>
        <w:rPr>
          <w:spacing w:val="-5"/>
        </w:rPr>
        <w:t>非经常性损益》中列举的非经常性损益项目界定为经常性损益的项目，应</w:t>
      </w:r>
      <w:r>
        <w:rPr>
          <w:spacing w:val="-35"/>
        </w:rPr>
        <w:t> </w:t>
      </w:r>
      <w:r>
        <w:rPr>
          <w:spacing w:val="-35"/>
        </w:rPr>
      </w:r>
      <w:r>
        <w:rPr/>
        <w:t>说明原因</w:t>
      </w:r>
    </w:p>
    <w:p>
      <w:pPr>
        <w:pStyle w:val="BodyText"/>
        <w:spacing w:line="240" w:lineRule="auto" w:before="67"/>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304" w:lineRule="auto" w:before="101"/>
        <w:ind w:right="0"/>
        <w:jc w:val="left"/>
      </w:pPr>
      <w:r>
        <w:rPr>
          <w:spacing w:val="-4"/>
        </w:rPr>
        <w:t>公司报告期不存在将根据《公开发行证券的公司信息披露解释性公告第 </w:t>
      </w:r>
      <w:r>
        <w:rPr>
          <w:rFonts w:ascii="Times New Roman" w:hAnsi="Times New Roman" w:cs="Times New Roman" w:eastAsia="Times New Roman" w:hint="default"/>
        </w:rPr>
        <w:t>1 </w:t>
      </w:r>
      <w:r>
        <w:rPr>
          <w:spacing w:val="-5"/>
        </w:rPr>
        <w:t>号</w:t>
      </w:r>
      <w:r>
        <w:rPr>
          <w:rFonts w:ascii="Times New Roman" w:hAnsi="Times New Roman" w:cs="Times New Roman" w:eastAsia="Times New Roman" w:hint="default"/>
          <w:spacing w:val="-5"/>
        </w:rPr>
        <w:t>——</w:t>
      </w:r>
      <w:r>
        <w:rPr>
          <w:spacing w:val="-5"/>
        </w:rPr>
        <w:t>非经常性损益》定义、列举的非经常性损益</w:t>
      </w:r>
      <w:r>
        <w:rPr>
          <w:spacing w:val="-24"/>
        </w:rPr>
        <w:t> </w:t>
      </w:r>
      <w:r>
        <w:rPr>
          <w:spacing w:val="-24"/>
        </w:rPr>
      </w:r>
      <w:r>
        <w:rPr>
          <w:spacing w:val="-3"/>
        </w:rPr>
        <w:t>项目界定为经常性损益的项目的情形。</w:t>
      </w:r>
    </w:p>
    <w:p>
      <w:pPr>
        <w:spacing w:after="0" w:line="304"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3529" w:right="0"/>
        <w:jc w:val="left"/>
        <w:rPr>
          <w:b w:val="0"/>
          <w:bCs w:val="0"/>
        </w:rPr>
      </w:pPr>
      <w:bookmarkStart w:name="第三节公司业务概要" w:id="14"/>
      <w:bookmarkEnd w:id="14"/>
      <w:r>
        <w:rPr>
          <w:b w:val="0"/>
          <w:bCs w:val="0"/>
        </w:rPr>
      </w:r>
      <w:bookmarkStart w:name="_bookmark1" w:id="15"/>
      <w:bookmarkEnd w:id="15"/>
      <w:r>
        <w:rPr>
          <w:b w:val="0"/>
          <w:bCs w:val="0"/>
        </w:rPr>
      </w:r>
      <w:r>
        <w:rPr/>
        <w:t>第三节公司业务概要</w:t>
      </w:r>
      <w:r>
        <w:rPr>
          <w:b w:val="0"/>
          <w:bCs w:val="0"/>
        </w:rPr>
      </w:r>
    </w:p>
    <w:p>
      <w:pPr>
        <w:spacing w:line="240" w:lineRule="auto" w:before="4"/>
        <w:rPr>
          <w:rFonts w:ascii="宋体" w:hAnsi="宋体" w:cs="宋体" w:eastAsia="宋体" w:hint="default"/>
          <w:b/>
          <w:bCs/>
          <w:sz w:val="38"/>
          <w:szCs w:val="38"/>
        </w:rPr>
      </w:pPr>
    </w:p>
    <w:p>
      <w:pPr>
        <w:pStyle w:val="Heading2"/>
        <w:spacing w:line="240" w:lineRule="auto"/>
        <w:ind w:right="0"/>
        <w:jc w:val="both"/>
        <w:rPr>
          <w:b w:val="0"/>
          <w:bCs w:val="0"/>
        </w:rPr>
      </w:pPr>
      <w:bookmarkStart w:name="一、报告期内公司从事的主要业务" w:id="16"/>
      <w:bookmarkEnd w:id="16"/>
      <w:r>
        <w:rPr>
          <w:b w:val="0"/>
          <w:bCs w:val="0"/>
        </w:rPr>
      </w:r>
      <w:r>
        <w:rPr/>
        <w:t>一、报告期内公司从事的主要业务</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both"/>
      </w:pPr>
      <w:r>
        <w:rPr>
          <w:spacing w:val="-3"/>
        </w:rPr>
        <w:t>公司需遵守《深圳证券交易所行业信息披露指引第 </w:t>
      </w:r>
      <w:r>
        <w:rPr>
          <w:rFonts w:ascii="Times New Roman" w:hAnsi="Times New Roman" w:cs="Times New Roman" w:eastAsia="Times New Roman" w:hint="default"/>
        </w:rPr>
        <w:t>12  </w:t>
      </w:r>
      <w:r>
        <w:rPr>
          <w:rFonts w:ascii="Times New Roman" w:hAnsi="Times New Roman" w:cs="Times New Roman" w:eastAsia="Times New Roman" w:hint="default"/>
          <w:spacing w:val="11"/>
        </w:rPr>
        <w:t> </w:t>
      </w:r>
      <w:r>
        <w:rPr>
          <w:spacing w:val="-3"/>
        </w:rPr>
        <w:t>号</w:t>
      </w:r>
      <w:r>
        <w:rPr>
          <w:rFonts w:ascii="Times New Roman" w:hAnsi="Times New Roman" w:cs="Times New Roman" w:eastAsia="Times New Roman" w:hint="default"/>
          <w:spacing w:val="-3"/>
        </w:rPr>
        <w:t>——</w:t>
      </w:r>
      <w:r>
        <w:rPr>
          <w:spacing w:val="-3"/>
        </w:rPr>
        <w:t>上市公司从事软件与信息技术服务业务》的披露要求</w:t>
      </w:r>
    </w:p>
    <w:p>
      <w:pPr>
        <w:pStyle w:val="BodyText"/>
        <w:spacing w:line="352" w:lineRule="auto" w:before="101"/>
        <w:ind w:left="513" w:right="0"/>
        <w:jc w:val="left"/>
      </w:pPr>
      <w:r>
        <w:rPr>
          <w:spacing w:val="-3"/>
        </w:rPr>
        <w:t>（一）公司主要业务和所处行业情况</w:t>
      </w:r>
      <w:r>
        <w:rPr>
          <w:spacing w:val="-39"/>
        </w:rPr>
        <w:t> </w:t>
      </w:r>
      <w:r>
        <w:rPr>
          <w:spacing w:val="-39"/>
        </w:rPr>
      </w:r>
      <w:r>
        <w:rPr>
          <w:spacing w:val="-4"/>
        </w:rPr>
        <w:t>公司是以医疗信息系统及数字化场景应用系统的研发销售、实施集成、服务支持为主营业务的总体解决方案服务商。从</w:t>
      </w:r>
    </w:p>
    <w:p>
      <w:pPr>
        <w:pStyle w:val="BodyText"/>
        <w:spacing w:line="316" w:lineRule="auto"/>
        <w:ind w:right="1124"/>
        <w:jc w:val="both"/>
      </w:pPr>
      <w:r>
        <w:rPr>
          <w:spacing w:val="-4"/>
        </w:rPr>
        <w:t>流程、系统、数据的角度，公司为医疗机构与医疗卫生管理及协作机构的数据采集、融合、处理、存储、传输、共享和应用</w:t>
      </w:r>
      <w:r>
        <w:rPr>
          <w:spacing w:val="40"/>
        </w:rPr>
        <w:t> </w:t>
      </w:r>
      <w:r>
        <w:rPr>
          <w:spacing w:val="40"/>
        </w:rPr>
      </w:r>
      <w:r>
        <w:rPr>
          <w:spacing w:val="-3"/>
        </w:rPr>
        <w:t>提出基于自有核心系统的整体解决方案。公司的主要业务可以分为医疗信息系统和数字化场景应用系统两大部分。</w:t>
      </w:r>
    </w:p>
    <w:p>
      <w:pPr>
        <w:pStyle w:val="BodyText"/>
        <w:spacing w:line="300" w:lineRule="auto" w:before="19"/>
        <w:ind w:left="513" w:right="0" w:firstLine="4"/>
        <w:jc w:val="left"/>
      </w:pPr>
      <w:r>
        <w:rPr>
          <w:rFonts w:ascii="Times New Roman" w:hAnsi="Times New Roman" w:cs="Times New Roman" w:eastAsia="Times New Roman" w:hint="default"/>
          <w:b/>
          <w:bCs/>
        </w:rPr>
        <w:t>1</w:t>
      </w:r>
      <w:r>
        <w:rPr>
          <w:rFonts w:ascii="宋体" w:hAnsi="宋体" w:cs="宋体" w:eastAsia="宋体" w:hint="default"/>
          <w:b/>
          <w:bCs/>
        </w:rPr>
        <w:t>、医疗信息系统</w:t>
      </w:r>
      <w:r>
        <w:rPr>
          <w:rFonts w:ascii="宋体" w:hAnsi="宋体" w:cs="宋体" w:eastAsia="宋体" w:hint="default"/>
          <w:b/>
          <w:bCs/>
          <w:w w:val="100"/>
        </w:rPr>
        <w:t> </w:t>
      </w:r>
      <w:r>
        <w:rPr>
          <w:spacing w:val="-5"/>
          <w:w w:val="101"/>
        </w:rPr>
        <w:t>医疗信息系统业务是根据医疗机构和医疗卫生管理及协作机构的具体业务流程和数据管理应用需求，构建相应系统和底</w:t>
      </w:r>
      <w:r>
        <w:rPr>
          <w:spacing w:val="-5"/>
        </w:rPr>
      </w:r>
    </w:p>
    <w:p>
      <w:pPr>
        <w:pStyle w:val="BodyText"/>
        <w:spacing w:line="316" w:lineRule="auto" w:before="32"/>
        <w:ind w:right="1122"/>
        <w:jc w:val="both"/>
      </w:pPr>
      <w:r>
        <w:rPr>
          <w:spacing w:val="-4"/>
        </w:rPr>
        <w:t>层数据架构，最终实现医疗行为流程的系统管理、数据的互联互通、系统和数据的融合。医疗信息系统业务可以具体分为医</w:t>
      </w:r>
      <w:r>
        <w:rPr>
          <w:spacing w:val="41"/>
        </w:rPr>
        <w:t> </w:t>
      </w:r>
      <w:r>
        <w:rPr>
          <w:spacing w:val="41"/>
        </w:rPr>
      </w:r>
      <w:r>
        <w:rPr>
          <w:spacing w:val="-3"/>
        </w:rPr>
        <w:t>院临床信息系统、城市级智慧医疗解决方案两个板块。</w:t>
      </w:r>
    </w:p>
    <w:p>
      <w:pPr>
        <w:pStyle w:val="BodyText"/>
        <w:spacing w:line="314" w:lineRule="auto" w:before="19"/>
        <w:ind w:right="1122" w:firstLine="360"/>
        <w:jc w:val="both"/>
      </w:pPr>
      <w:r>
        <w:rPr>
          <w:spacing w:val="-5"/>
        </w:rPr>
        <w:t>医院临床信息系统以电子病历为核心实现临床医疗行为的完整纪录，医疗数据的不错、不漏和实时互联互通。该系统主</w:t>
      </w:r>
      <w:r>
        <w:rPr>
          <w:w w:val="101"/>
        </w:rPr>
        <w:t> </w:t>
      </w:r>
      <w:r>
        <w:rPr>
          <w:spacing w:val="-4"/>
        </w:rPr>
        <w:t>要包括高端结构化电子病历系统、一体化医护工作站、移动护理系统、医疗信息集成平台、临床数据中心、临床路径系统等</w:t>
      </w:r>
      <w:r>
        <w:rPr>
          <w:spacing w:val="40"/>
        </w:rPr>
        <w:t> </w:t>
      </w:r>
      <w:r>
        <w:rPr>
          <w:spacing w:val="40"/>
        </w:rPr>
      </w:r>
      <w:r>
        <w:rPr>
          <w:spacing w:val="-2"/>
        </w:rPr>
        <w:t>电子病历及应用延伸系统，和将商业分析（</w:t>
      </w:r>
      <w:r>
        <w:rPr>
          <w:rFonts w:ascii="Times New Roman" w:hAnsi="Times New Roman" w:cs="Times New Roman" w:eastAsia="Times New Roman" w:hint="default"/>
          <w:spacing w:val="-2"/>
        </w:rPr>
        <w:t>BI</w:t>
      </w:r>
      <w:r>
        <w:rPr>
          <w:spacing w:val="-2"/>
        </w:rPr>
        <w:t>）、企业资源管理（</w:t>
      </w:r>
      <w:r>
        <w:rPr>
          <w:rFonts w:ascii="Times New Roman" w:hAnsi="Times New Roman" w:cs="Times New Roman" w:eastAsia="Times New Roman" w:hint="default"/>
          <w:spacing w:val="-2"/>
        </w:rPr>
        <w:t>HRP</w:t>
      </w:r>
      <w:r>
        <w:rPr>
          <w:spacing w:val="-2"/>
        </w:rPr>
        <w:t>）、客户关系管理（</w:t>
      </w:r>
      <w:r>
        <w:rPr>
          <w:rFonts w:ascii="Times New Roman" w:hAnsi="Times New Roman" w:cs="Times New Roman" w:eastAsia="Times New Roman" w:hint="default"/>
          <w:spacing w:val="-2"/>
        </w:rPr>
        <w:t>CRM</w:t>
      </w:r>
      <w:r>
        <w:rPr>
          <w:spacing w:val="-2"/>
        </w:rPr>
        <w:t>）等企业经营管理理念运</w:t>
      </w:r>
      <w:r>
        <w:rPr>
          <w:spacing w:val="1"/>
        </w:rPr>
        <w:t> </w:t>
      </w:r>
      <w:r>
        <w:rPr>
          <w:spacing w:val="1"/>
        </w:rPr>
      </w:r>
      <w:r>
        <w:rPr>
          <w:spacing w:val="-4"/>
        </w:rPr>
        <w:t>用于医疗机构日常运营的管理应用系统。医院临床临床信息系统覆盖和支撑医院线下业务、线上互联网医疗业务，以及医院</w:t>
      </w:r>
      <w:r>
        <w:rPr>
          <w:spacing w:val="44"/>
        </w:rPr>
        <w:t> </w:t>
      </w:r>
      <w:r>
        <w:rPr>
          <w:spacing w:val="44"/>
        </w:rPr>
      </w:r>
      <w:r>
        <w:rPr>
          <w:spacing w:val="-3"/>
        </w:rPr>
        <w:t>集团和医联体业务。</w:t>
      </w:r>
    </w:p>
    <w:p>
      <w:pPr>
        <w:pStyle w:val="BodyText"/>
        <w:spacing w:line="314" w:lineRule="auto" w:before="20"/>
        <w:ind w:right="0" w:firstLine="360"/>
        <w:jc w:val="left"/>
      </w:pPr>
      <w:r>
        <w:rPr>
          <w:spacing w:val="-3"/>
        </w:rPr>
        <w:t>城市级智慧医疗解决方案是针对城市区域范围内医疗</w:t>
      </w:r>
      <w:r>
        <w:rPr>
          <w:rFonts w:ascii="Times New Roman" w:hAnsi="Times New Roman" w:cs="Times New Roman" w:eastAsia="Times New Roman" w:hint="default"/>
          <w:spacing w:val="-3"/>
        </w:rPr>
        <w:t>-</w:t>
      </w:r>
      <w:r>
        <w:rPr>
          <w:spacing w:val="-3"/>
        </w:rPr>
        <w:t>卫生</w:t>
      </w:r>
      <w:r>
        <w:rPr>
          <w:rFonts w:ascii="Times New Roman" w:hAnsi="Times New Roman" w:cs="Times New Roman" w:eastAsia="Times New Roman" w:hint="default"/>
          <w:spacing w:val="-3"/>
        </w:rPr>
        <w:t>-</w:t>
      </w:r>
      <w:r>
        <w:rPr>
          <w:spacing w:val="-3"/>
        </w:rPr>
        <w:t>健康数据的互联互通、支撑机构间业务流程协作的整体解决</w:t>
      </w:r>
      <w:r>
        <w:rPr>
          <w:w w:val="101"/>
        </w:rPr>
        <w:t> </w:t>
      </w:r>
      <w:r>
        <w:rPr>
          <w:spacing w:val="-4"/>
        </w:rPr>
        <w:t>方案，是院内业务流程协作与数据互联互通在区域范围应用的延伸和拓展。该方案立足于大卫生、大健康、大数据和大服务</w:t>
      </w:r>
      <w:r>
        <w:rPr>
          <w:spacing w:val="40"/>
        </w:rPr>
        <w:t> </w:t>
      </w:r>
      <w:r>
        <w:rPr>
          <w:spacing w:val="40"/>
        </w:rPr>
      </w:r>
      <w:r>
        <w:rPr>
          <w:spacing w:val="-4"/>
        </w:rPr>
        <w:t>的角度，实现跨机构、甚至跨行业的业务协同和数据共享，提供了网上分时段预约分诊、检查检验结果共享互认、综合在线</w:t>
      </w:r>
      <w:r>
        <w:rPr>
          <w:spacing w:val="40"/>
        </w:rPr>
        <w:t> </w:t>
      </w:r>
      <w:r>
        <w:rPr>
          <w:spacing w:val="40"/>
        </w:rPr>
      </w:r>
      <w:r>
        <w:rPr>
          <w:spacing w:val="-3"/>
        </w:rPr>
        <w:t>支付、区域集合版电子病历、医生移动助手，与健康档案融合并提供实时在线查询、信用就医等惠民便民的医疗健康服务；</w:t>
      </w:r>
      <w:r>
        <w:rPr>
          <w:spacing w:val="76"/>
        </w:rPr>
        <w:t> </w:t>
      </w:r>
      <w:r>
        <w:rPr>
          <w:spacing w:val="76"/>
        </w:rPr>
      </w:r>
      <w:r>
        <w:rPr>
          <w:spacing w:val="-3"/>
        </w:rPr>
        <w:t>实现智慧医院、医共体等医疗健康服务机构的业务协作、远程医疗、分级诊疗、慢病和健康管理等业务的协作与管理平台；</w:t>
      </w:r>
      <w:r>
        <w:rPr>
          <w:spacing w:val="77"/>
        </w:rPr>
        <w:t> </w:t>
      </w:r>
      <w:r>
        <w:rPr>
          <w:spacing w:val="77"/>
        </w:rPr>
      </w:r>
      <w:r>
        <w:rPr>
          <w:spacing w:val="-4"/>
        </w:rPr>
        <w:t>同时辅助政府实现业务与数据的有效监管、质量控制、综合控费、辅助决策、应急管理等数字治理和实时服务需求；通过搭</w:t>
      </w:r>
      <w:r>
        <w:rPr>
          <w:spacing w:val="40"/>
        </w:rPr>
        <w:t> </w:t>
      </w:r>
      <w:r>
        <w:rPr>
          <w:spacing w:val="40"/>
        </w:rPr>
      </w:r>
      <w:r>
        <w:rPr>
          <w:spacing w:val="-4"/>
        </w:rPr>
        <w:t>建基于云架构的综合业务平台，可对接数字城市平台（城市大脑），满足数字城市总体建设中医疗健康的业务与数据的深度</w:t>
      </w:r>
      <w:r>
        <w:rPr>
          <w:spacing w:val="40"/>
        </w:rPr>
        <w:t> </w:t>
      </w:r>
      <w:r>
        <w:rPr>
          <w:spacing w:val="40"/>
        </w:rPr>
      </w:r>
      <w:r>
        <w:rPr>
          <w:spacing w:val="-3"/>
        </w:rPr>
        <w:t>应用需求，支撑健康产业发展。</w:t>
      </w:r>
    </w:p>
    <w:p>
      <w:pPr>
        <w:pStyle w:val="BodyText"/>
        <w:spacing w:line="300" w:lineRule="auto" w:before="20"/>
        <w:ind w:left="513" w:right="0" w:firstLine="4"/>
        <w:jc w:val="left"/>
      </w:pPr>
      <w:r>
        <w:rPr>
          <w:rFonts w:ascii="Times New Roman" w:hAnsi="Times New Roman" w:cs="Times New Roman" w:eastAsia="Times New Roman" w:hint="default"/>
          <w:b/>
          <w:bCs/>
        </w:rPr>
        <w:t>2</w:t>
      </w:r>
      <w:r>
        <w:rPr>
          <w:rFonts w:ascii="宋体" w:hAnsi="宋体" w:cs="宋体" w:eastAsia="宋体" w:hint="default"/>
          <w:b/>
          <w:bCs/>
        </w:rPr>
        <w:t>、数字化场景应用系统</w:t>
      </w:r>
      <w:r>
        <w:rPr>
          <w:rFonts w:ascii="宋体" w:hAnsi="宋体" w:cs="宋体" w:eastAsia="宋体" w:hint="default"/>
          <w:b/>
          <w:bCs/>
          <w:w w:val="100"/>
        </w:rPr>
        <w:t> </w:t>
      </w:r>
      <w:r>
        <w:rPr>
          <w:spacing w:val="-5"/>
        </w:rPr>
        <w:t>数字化场景应用系统是公司临床信息系统在不同医疗服务场景下的延续应用。该系统以各场景内的业务需求为导向，借</w:t>
      </w:r>
    </w:p>
    <w:p>
      <w:pPr>
        <w:pStyle w:val="BodyText"/>
        <w:spacing w:line="309" w:lineRule="auto" w:before="32"/>
        <w:ind w:right="1123"/>
        <w:jc w:val="both"/>
      </w:pPr>
      <w:r>
        <w:rPr>
          <w:spacing w:val="-2"/>
        </w:rPr>
        <w:t>助无线网络、物联网、</w:t>
      </w:r>
      <w:r>
        <w:rPr>
          <w:rFonts w:ascii="Times New Roman" w:hAnsi="Times New Roman" w:cs="Times New Roman" w:eastAsia="Times New Roman" w:hint="default"/>
          <w:spacing w:val="-2"/>
        </w:rPr>
        <w:t>5G</w:t>
      </w:r>
      <w:r>
        <w:rPr>
          <w:spacing w:val="-2"/>
        </w:rPr>
        <w:t>、区块链等通讯技术整合临床医疗信息系统、运营管理信息系统及该场景内其他设备、仪器等的</w:t>
      </w:r>
      <w:r>
        <w:rPr>
          <w:spacing w:val="74"/>
        </w:rPr>
        <w:t> </w:t>
      </w:r>
      <w:r>
        <w:rPr>
          <w:spacing w:val="74"/>
        </w:rPr>
      </w:r>
      <w:r>
        <w:rPr>
          <w:spacing w:val="-4"/>
        </w:rPr>
        <w:t>数据，进行该特定应用场景下的业务支撑和医疗及管理数据分析、挖掘和应用。该系统主要包括智慧门诊、智慧住院、智慧</w:t>
      </w:r>
      <w:r>
        <w:rPr>
          <w:spacing w:val="40"/>
        </w:rPr>
        <w:t> </w:t>
      </w:r>
      <w:r>
        <w:rPr>
          <w:spacing w:val="40"/>
        </w:rPr>
      </w:r>
      <w:r>
        <w:rPr>
          <w:spacing w:val="-3"/>
        </w:rPr>
        <w:t>医技、智慧手术、智慧重症监护、智慧后勤、智慧机房综合运维平台、综合运营和管理中心（</w:t>
      </w:r>
      <w:r>
        <w:rPr>
          <w:rFonts w:ascii="Times New Roman" w:hAnsi="Times New Roman" w:cs="Times New Roman" w:eastAsia="Times New Roman" w:hint="default"/>
          <w:spacing w:val="-3"/>
        </w:rPr>
        <w:t>HCC</w:t>
      </w:r>
      <w:r>
        <w:rPr>
          <w:spacing w:val="-3"/>
        </w:rPr>
        <w:t>）等。</w:t>
      </w:r>
      <w:r>
        <w:rPr/>
      </w:r>
    </w:p>
    <w:p>
      <w:pPr>
        <w:pStyle w:val="Heading6"/>
        <w:spacing w:line="240" w:lineRule="auto"/>
        <w:ind w:right="0"/>
        <w:jc w:val="left"/>
        <w:rPr>
          <w:b w:val="0"/>
          <w:bCs w:val="0"/>
        </w:rPr>
      </w:pPr>
      <w:r>
        <w:rPr/>
        <w:t>（二）客户行业情况</w:t>
      </w:r>
      <w:r>
        <w:rPr>
          <w:b w:val="0"/>
          <w:bCs w:val="0"/>
        </w:rPr>
      </w:r>
    </w:p>
    <w:p>
      <w:pPr>
        <w:pStyle w:val="BodyText"/>
        <w:spacing w:line="300" w:lineRule="auto" w:before="76"/>
        <w:ind w:left="513" w:right="0"/>
        <w:jc w:val="left"/>
      </w:pPr>
      <w:r>
        <w:rPr>
          <w:rFonts w:ascii="Times New Roman" w:hAnsi="Times New Roman" w:cs="Times New Roman" w:eastAsia="Times New Roman" w:hint="default"/>
          <w:spacing w:val="-3"/>
        </w:rPr>
        <w:t>1</w:t>
      </w:r>
      <w:r>
        <w:rPr>
          <w:spacing w:val="-3"/>
        </w:rPr>
        <w:t>、公司所在行业发展阶段、周期性特点</w:t>
      </w:r>
      <w:r>
        <w:rPr>
          <w:spacing w:val="-34"/>
        </w:rPr>
        <w:t> </w:t>
      </w:r>
      <w:r>
        <w:rPr>
          <w:spacing w:val="-34"/>
        </w:rPr>
      </w:r>
      <w:r>
        <w:rPr>
          <w:spacing w:val="-4"/>
        </w:rPr>
        <w:t>公司自成立至今一直耕耘于医疗健康服务业，为各级医疗卫生机构和卫生监管及协作机构提供信息技术服务，从而使其</w:t>
      </w:r>
    </w:p>
    <w:p>
      <w:pPr>
        <w:pStyle w:val="BodyText"/>
        <w:spacing w:line="316" w:lineRule="auto" w:before="31"/>
        <w:ind w:right="1123"/>
        <w:jc w:val="both"/>
      </w:pPr>
      <w:r>
        <w:rPr>
          <w:spacing w:val="-4"/>
        </w:rPr>
        <w:t>业务服务能力更高效、患者就医更便捷、临床医疗更安全、政府管理更精细。各级医疗机构和政府管理部门作为医疗服务和</w:t>
      </w:r>
      <w:r>
        <w:rPr>
          <w:spacing w:val="40"/>
        </w:rPr>
        <w:t> </w:t>
      </w:r>
      <w:r>
        <w:rPr>
          <w:spacing w:val="40"/>
        </w:rPr>
      </w:r>
      <w:r>
        <w:rPr>
          <w:spacing w:val="-3"/>
        </w:rPr>
        <w:t>管理的主体，是公司的主要目标市场。</w:t>
      </w:r>
    </w:p>
    <w:p>
      <w:pPr>
        <w:pStyle w:val="BodyText"/>
        <w:spacing w:line="309" w:lineRule="auto" w:before="19"/>
        <w:ind w:right="1123" w:firstLine="360"/>
        <w:jc w:val="both"/>
      </w:pPr>
      <w:r>
        <w:rPr>
          <w:spacing w:val="-4"/>
        </w:rPr>
        <w:t>九十年代开始，随着信息技术的发展，医疗行业开始出现了信息化建设的需求。早期的医院信息化建设主要是医院信息</w:t>
      </w:r>
      <w:r>
        <w:rPr>
          <w:w w:val="101"/>
        </w:rPr>
        <w:t> </w:t>
      </w:r>
      <w:r>
        <w:rPr>
          <w:spacing w:val="-2"/>
        </w:rPr>
        <w:t>系统（</w:t>
      </w:r>
      <w:r>
        <w:rPr>
          <w:rFonts w:ascii="Times New Roman" w:hAnsi="Times New Roman" w:cs="Times New Roman" w:eastAsia="Times New Roman" w:hint="default"/>
          <w:spacing w:val="-2"/>
        </w:rPr>
        <w:t>HIS</w:t>
      </w:r>
      <w:r>
        <w:rPr>
          <w:spacing w:val="-2"/>
        </w:rPr>
        <w:t>），功能是财务记账和收费，其核心是财务信息。</w:t>
      </w:r>
      <w:r>
        <w:rPr>
          <w:rFonts w:ascii="Times New Roman" w:hAnsi="Times New Roman" w:cs="Times New Roman" w:eastAsia="Times New Roman" w:hint="default"/>
          <w:spacing w:val="-2"/>
        </w:rPr>
        <w:t>HIS</w:t>
      </w:r>
      <w:r>
        <w:rPr>
          <w:spacing w:val="-2"/>
        </w:rPr>
        <w:t>系统不断扩充了药品信息，建立了医生工作站，通过医嘱</w:t>
      </w:r>
      <w:r>
        <w:rPr>
          <w:spacing w:val="80"/>
        </w:rPr>
        <w:t> </w:t>
      </w:r>
      <w:r>
        <w:rPr>
          <w:spacing w:val="80"/>
        </w:rPr>
      </w:r>
      <w:r>
        <w:rPr>
          <w:spacing w:val="-3"/>
        </w:rPr>
        <w:t>驱动收费业务和药品库存业务，成为了当时医院的主要信息系统。</w:t>
      </w:r>
    </w:p>
    <w:p>
      <w:pPr>
        <w:pStyle w:val="BodyText"/>
        <w:spacing w:line="300" w:lineRule="auto" w:before="24"/>
        <w:ind w:right="1122" w:firstLine="360"/>
        <w:jc w:val="both"/>
      </w:pPr>
      <w:r>
        <w:rPr>
          <w:spacing w:val="-3"/>
        </w:rPr>
        <w:t>随着医技部门的发展和医技设备的普及，逐步发展了医技科室用的信息系统，如影像存档传输系统（</w:t>
      </w:r>
      <w:r>
        <w:rPr>
          <w:rFonts w:ascii="Times New Roman" w:hAnsi="Times New Roman" w:cs="Times New Roman" w:eastAsia="Times New Roman" w:hint="default"/>
          <w:spacing w:val="-3"/>
        </w:rPr>
        <w:t>PACS</w:t>
      </w:r>
      <w:r>
        <w:rPr>
          <w:spacing w:val="-3"/>
        </w:rPr>
        <w:t>）、放射信</w:t>
      </w:r>
      <w:r>
        <w:rPr>
          <w:w w:val="101"/>
        </w:rPr>
        <w:t> </w:t>
      </w:r>
      <w:r>
        <w:rPr>
          <w:spacing w:val="-3"/>
        </w:rPr>
        <w:t>息系统（</w:t>
      </w:r>
      <w:r>
        <w:rPr>
          <w:rFonts w:ascii="Times New Roman" w:hAnsi="Times New Roman" w:cs="Times New Roman" w:eastAsia="Times New Roman" w:hint="default"/>
          <w:spacing w:val="-3"/>
        </w:rPr>
        <w:t>RIS</w:t>
      </w:r>
      <w:r>
        <w:rPr>
          <w:spacing w:val="-3"/>
        </w:rPr>
        <w:t>）、检验信息系统（</w:t>
      </w:r>
      <w:r>
        <w:rPr>
          <w:rFonts w:ascii="Times New Roman" w:hAnsi="Times New Roman" w:cs="Times New Roman" w:eastAsia="Times New Roman" w:hint="default"/>
          <w:spacing w:val="-3"/>
        </w:rPr>
        <w:t>LIS</w:t>
      </w:r>
      <w:r>
        <w:rPr>
          <w:spacing w:val="-3"/>
        </w:rPr>
        <w:t>）、超声信息系统（</w:t>
      </w:r>
      <w:r>
        <w:rPr>
          <w:rFonts w:ascii="Times New Roman" w:hAnsi="Times New Roman" w:cs="Times New Roman" w:eastAsia="Times New Roman" w:hint="default"/>
          <w:spacing w:val="-3"/>
        </w:rPr>
        <w:t>UIS</w:t>
      </w:r>
      <w:r>
        <w:rPr>
          <w:spacing w:val="-3"/>
        </w:rPr>
        <w:t>）等。患者的数据分散在这些不同科室的系统内，检查检验结</w:t>
      </w:r>
      <w:r>
        <w:rPr>
          <w:spacing w:val="56"/>
        </w:rPr>
        <w:t> </w:t>
      </w:r>
      <w:r>
        <w:rPr>
          <w:spacing w:val="56"/>
        </w:rPr>
      </w:r>
      <w:r>
        <w:rPr>
          <w:spacing w:val="-4"/>
        </w:rPr>
        <w:t>果需要患者进行收集后提供给医生进行诊断。随着医院各类信息系统不断增加，信息孤岛越来越多，数据共享程度低，系统</w:t>
      </w:r>
    </w:p>
    <w:p>
      <w:pPr>
        <w:spacing w:after="0" w:line="300" w:lineRule="auto"/>
        <w:jc w:val="both"/>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09" w:lineRule="auto" w:before="46"/>
        <w:ind w:right="1123"/>
        <w:jc w:val="both"/>
      </w:pPr>
      <w:r>
        <w:rPr>
          <w:spacing w:val="-4"/>
        </w:rPr>
        <w:t>难以有效地按业务流程进行协作，不能体现以患者为中心的</w:t>
      </w:r>
      <w:r>
        <w:rPr>
          <w:rFonts w:ascii="Times New Roman" w:hAnsi="Times New Roman" w:cs="Times New Roman" w:eastAsia="Times New Roman" w:hint="default"/>
          <w:spacing w:val="-4"/>
        </w:rPr>
        <w:t>“</w:t>
      </w:r>
      <w:r>
        <w:rPr>
          <w:spacing w:val="-4"/>
        </w:rPr>
        <w:t>数据一元化</w:t>
      </w:r>
      <w:r>
        <w:rPr>
          <w:rFonts w:ascii="Times New Roman" w:hAnsi="Times New Roman" w:cs="Times New Roman" w:eastAsia="Times New Roman" w:hint="default"/>
          <w:spacing w:val="-4"/>
        </w:rPr>
        <w:t>”</w:t>
      </w:r>
      <w:r>
        <w:rPr>
          <w:spacing w:val="-4"/>
        </w:rPr>
        <w:t>管理。另一方面，对医护人员的临床业务支撑能力</w:t>
      </w:r>
      <w:r>
        <w:rPr>
          <w:spacing w:val="59"/>
        </w:rPr>
        <w:t> </w:t>
      </w:r>
      <w:r>
        <w:rPr>
          <w:spacing w:val="59"/>
        </w:rPr>
      </w:r>
      <w:r>
        <w:rPr>
          <w:spacing w:val="-4"/>
        </w:rPr>
        <w:t>不足，医患人员急需能够帮助他们提升临床服务水平、减少临床差错、提高工作效率的信息化工具。因此电子病历、集成平</w:t>
      </w:r>
      <w:r>
        <w:rPr>
          <w:spacing w:val="40"/>
        </w:rPr>
        <w:t> </w:t>
      </w:r>
      <w:r>
        <w:rPr>
          <w:spacing w:val="40"/>
        </w:rPr>
      </w:r>
      <w:r>
        <w:rPr>
          <w:spacing w:val="-3"/>
        </w:rPr>
        <w:t>台和临床数据中心应运而生，成为医疗信息化的重要内容。</w:t>
      </w:r>
    </w:p>
    <w:p>
      <w:pPr>
        <w:pStyle w:val="BodyText"/>
        <w:spacing w:line="316" w:lineRule="auto" w:before="25"/>
        <w:ind w:right="1122" w:firstLine="360"/>
        <w:jc w:val="both"/>
      </w:pPr>
      <w:r>
        <w:rPr>
          <w:spacing w:val="-4"/>
        </w:rPr>
        <w:t>随着国家医药体制改革的深化和信息技术的持续发展，医疗信息系统逐步衍生出互联网医院、医院集团解决方案、医联</w:t>
      </w:r>
      <w:r>
        <w:rPr>
          <w:w w:val="101"/>
        </w:rPr>
        <w:t> </w:t>
      </w:r>
      <w:r>
        <w:rPr>
          <w:spacing w:val="-3"/>
        </w:rPr>
        <w:t>体和医共体解决方案，同时行业开始探索基于大数据的临床和管理应用。</w:t>
      </w:r>
    </w:p>
    <w:p>
      <w:pPr>
        <w:pStyle w:val="BodyText"/>
        <w:spacing w:line="319" w:lineRule="auto" w:before="19"/>
        <w:ind w:right="1122" w:firstLine="360"/>
        <w:jc w:val="both"/>
      </w:pPr>
      <w:r>
        <w:rPr>
          <w:spacing w:val="-4"/>
        </w:rPr>
        <w:t>公司的产品和服务是帮助医院制定智慧医院顶层设计与规划，实现业务流程全院梳理与优化，通过临床业务系统完整纪</w:t>
      </w:r>
      <w:r>
        <w:rPr>
          <w:w w:val="101"/>
        </w:rPr>
        <w:t> </w:t>
      </w:r>
      <w:r>
        <w:rPr>
          <w:spacing w:val="-4"/>
        </w:rPr>
        <w:t>录医疗业务流程，将各系统的数据和流程与电子病历系统按照对应流程与数据逻辑进行集成融合，按照标准化、结构化、以</w:t>
      </w:r>
      <w:r>
        <w:rPr>
          <w:spacing w:val="40"/>
        </w:rPr>
        <w:t> </w:t>
      </w:r>
      <w:r>
        <w:rPr>
          <w:spacing w:val="40"/>
        </w:rPr>
      </w:r>
      <w:r>
        <w:rPr>
          <w:spacing w:val="-4"/>
        </w:rPr>
        <w:t>病人为中心一元化的原则实现各业务系统数据的实时互联互通，形成院级临床数据中心，建设信息共享服务平台支撑数据应</w:t>
      </w:r>
      <w:r>
        <w:rPr>
          <w:spacing w:val="38"/>
        </w:rPr>
        <w:t> </w:t>
      </w:r>
      <w:r>
        <w:rPr>
          <w:spacing w:val="38"/>
        </w:rPr>
      </w:r>
      <w:r>
        <w:rPr>
          <w:spacing w:val="-4"/>
        </w:rPr>
        <w:t>用。从支撑临床业务流程和数据采集、融合、应用的角度系统性的解决医院对流程管理、系统管理、数据管理的需求，更好</w:t>
      </w:r>
      <w:r>
        <w:rPr>
          <w:spacing w:val="42"/>
        </w:rPr>
        <w:t> </w:t>
      </w:r>
      <w:r>
        <w:rPr>
          <w:spacing w:val="42"/>
        </w:rPr>
      </w:r>
      <w:r>
        <w:rPr>
          <w:spacing w:val="-3"/>
        </w:rPr>
        <w:t>的支撑医院临床业务的高效、准确开展。</w:t>
      </w:r>
    </w:p>
    <w:p>
      <w:pPr>
        <w:pStyle w:val="BodyText"/>
        <w:spacing w:line="316" w:lineRule="auto" w:before="17"/>
        <w:ind w:right="1123" w:firstLine="360"/>
        <w:jc w:val="both"/>
      </w:pPr>
      <w:r>
        <w:rPr>
          <w:spacing w:val="-4"/>
        </w:rPr>
        <w:t>医疗服务行业属于典型的弱周期行业。作为服务于医疗机构的医疗信息化行业，其发展受国家医疗体制改革政策、医疗</w:t>
      </w:r>
      <w:r>
        <w:rPr>
          <w:w w:val="101"/>
        </w:rPr>
        <w:t> </w:t>
      </w:r>
      <w:r>
        <w:rPr>
          <w:spacing w:val="-4"/>
        </w:rPr>
        <w:t>卫生事业发展规划、医疗机构信息化支出水平的影响，整体呈弱周期性特征。近年来，随着新医改的推进，医疗信息化被前</w:t>
      </w:r>
      <w:r>
        <w:rPr>
          <w:spacing w:val="40"/>
        </w:rPr>
        <w:t> </w:t>
      </w:r>
      <w:r>
        <w:rPr>
          <w:spacing w:val="40"/>
        </w:rPr>
      </w:r>
      <w:r>
        <w:rPr>
          <w:spacing w:val="-3"/>
        </w:rPr>
        <w:t>所未有的重视，国家和医院都较前些年加大了投入，逐步出现高速发展状态。</w:t>
      </w:r>
    </w:p>
    <w:p>
      <w:pPr>
        <w:pStyle w:val="BodyText"/>
        <w:spacing w:line="319" w:lineRule="auto" w:before="19"/>
        <w:ind w:right="1124" w:firstLine="360"/>
        <w:jc w:val="both"/>
      </w:pPr>
      <w:r>
        <w:rPr>
          <w:spacing w:val="-5"/>
        </w:rPr>
        <w:t>医疗健康行业的发展同时受到科技水平，特别是信息技术发展的支撑，近期大力发展的互联网、云平台、大数据、人工</w:t>
      </w:r>
      <w:r>
        <w:rPr>
          <w:w w:val="101"/>
        </w:rPr>
        <w:t> </w:t>
      </w:r>
      <w:r>
        <w:rPr>
          <w:spacing w:val="-3"/>
        </w:rPr>
        <w:t>智能、物联网、</w:t>
      </w:r>
      <w:r>
        <w:rPr>
          <w:rFonts w:ascii="Times New Roman" w:hAnsi="Times New Roman" w:cs="Times New Roman" w:eastAsia="Times New Roman" w:hint="default"/>
          <w:spacing w:val="-3"/>
        </w:rPr>
        <w:t>5G</w:t>
      </w:r>
      <w:r>
        <w:rPr>
          <w:spacing w:val="-3"/>
        </w:rPr>
        <w:t>等新兴技术和服务模式，对行业起到了极大推动作用，并且拓展服务内容和服务模式。</w:t>
      </w:r>
    </w:p>
    <w:p>
      <w:pPr>
        <w:pStyle w:val="BodyText"/>
        <w:spacing w:line="316" w:lineRule="auto"/>
        <w:ind w:right="0" w:firstLine="360"/>
        <w:jc w:val="left"/>
      </w:pPr>
      <w:r>
        <w:rPr>
          <w:spacing w:val="-4"/>
        </w:rPr>
        <w:t>医疗卫生领域内的采购工作大多执行预算管理制度，预算审批集中于当年上半年，采购招标则集中于年中完成，下半年</w:t>
      </w:r>
      <w:r>
        <w:rPr>
          <w:w w:val="101"/>
        </w:rPr>
        <w:t> </w:t>
      </w:r>
      <w:r>
        <w:rPr>
          <w:spacing w:val="-3"/>
        </w:rPr>
        <w:t>进入项目执行期。因此，上半年订单相对较少，当年新增项目实施在下半年相对集中，销售回款在年末或次年初较为集中，</w:t>
      </w:r>
      <w:r>
        <w:rPr>
          <w:spacing w:val="76"/>
        </w:rPr>
        <w:t> </w:t>
      </w:r>
      <w:r>
        <w:rPr>
          <w:spacing w:val="76"/>
        </w:rPr>
      </w:r>
      <w:r>
        <w:rPr>
          <w:spacing w:val="-4"/>
        </w:rPr>
        <w:t>使得本行业具有一定的季节性特征。公司的订单金额对相对于公司的年度收入规模来说金额较大，公司业务的季节性特征可</w:t>
      </w:r>
      <w:r>
        <w:rPr>
          <w:spacing w:val="42"/>
        </w:rPr>
        <w:t> </w:t>
      </w:r>
      <w:r>
        <w:rPr>
          <w:spacing w:val="42"/>
        </w:rPr>
      </w:r>
      <w:r>
        <w:rPr>
          <w:spacing w:val="-3"/>
        </w:rPr>
        <w:t>能受大金额项目的签约、实施节奏影响。</w:t>
      </w:r>
    </w:p>
    <w:p>
      <w:pPr>
        <w:pStyle w:val="BodyText"/>
        <w:spacing w:line="300" w:lineRule="auto" w:before="19"/>
        <w:ind w:left="513" w:right="0"/>
        <w:jc w:val="left"/>
      </w:pPr>
      <w:r>
        <w:rPr>
          <w:rFonts w:ascii="Times New Roman" w:hAnsi="Times New Roman" w:cs="Times New Roman" w:eastAsia="Times New Roman" w:hint="default"/>
        </w:rPr>
        <w:t>2</w:t>
      </w:r>
      <w:r>
        <w:rPr/>
        <w:t>、公司行业地位</w:t>
      </w:r>
      <w:r>
        <w:rPr>
          <w:spacing w:val="-87"/>
        </w:rPr>
        <w:t> </w:t>
      </w:r>
      <w:r>
        <w:rPr>
          <w:spacing w:val="-87"/>
        </w:rPr>
      </w:r>
      <w:r>
        <w:rPr>
          <w:spacing w:val="-2"/>
        </w:rPr>
        <w:t>公司是国内较早进入临床医疗信息化的产品服务商之一，成立至今一直专注于医疗卫生信息化领域</w:t>
      </w:r>
      <w:r>
        <w:rPr>
          <w:rFonts w:ascii="Times New Roman" w:hAnsi="Times New Roman" w:cs="Times New Roman" w:eastAsia="Times New Roman" w:hint="default"/>
          <w:spacing w:val="-2"/>
        </w:rPr>
        <w:t>,</w:t>
      </w:r>
      <w:r>
        <w:rPr>
          <w:spacing w:val="-2"/>
        </w:rPr>
        <w:t>目前拥有领先的技</w:t>
      </w:r>
    </w:p>
    <w:p>
      <w:pPr>
        <w:pStyle w:val="BodyText"/>
        <w:spacing w:line="307" w:lineRule="auto" w:before="13"/>
        <w:ind w:right="1122"/>
        <w:jc w:val="both"/>
      </w:pPr>
      <w:r>
        <w:rPr>
          <w:spacing w:val="-4"/>
        </w:rPr>
        <w:t>术体系、较强的自主研发能力、优势的产品服务，丰富的总体解决方案和大型项目实施交付经验，能够满足大型医疗机构客</w:t>
      </w:r>
      <w:r>
        <w:rPr>
          <w:spacing w:val="40"/>
        </w:rPr>
        <w:t> </w:t>
      </w:r>
      <w:r>
        <w:rPr>
          <w:spacing w:val="40"/>
        </w:rPr>
      </w:r>
      <w:r>
        <w:rPr>
          <w:spacing w:val="-3"/>
        </w:rPr>
        <w:t>户的定制化需求，在医疗卫生信息化行业跻身前列。自成立以来，公司凭借良好的行业口碑，发展了一批以</w:t>
      </w:r>
      <w:r>
        <w:rPr>
          <w:rFonts w:ascii="Times New Roman" w:hAnsi="Times New Roman" w:cs="Times New Roman" w:eastAsia="Times New Roman" w:hint="default"/>
          <w:spacing w:val="-3"/>
        </w:rPr>
        <w:t>301</w:t>
      </w:r>
      <w:r>
        <w:rPr>
          <w:spacing w:val="-3"/>
        </w:rPr>
        <w:t>医院、西京</w:t>
      </w:r>
      <w:r>
        <w:rPr>
          <w:spacing w:val="80"/>
        </w:rPr>
        <w:t> </w:t>
      </w:r>
      <w:r>
        <w:rPr>
          <w:spacing w:val="80"/>
        </w:rPr>
      </w:r>
      <w:r>
        <w:rPr>
          <w:spacing w:val="-4"/>
        </w:rPr>
        <w:t>医院、同济医院、湘雅医院、湘雅二院、浙医二院等国内</w:t>
      </w:r>
      <w:r>
        <w:rPr>
          <w:rFonts w:ascii="Times New Roman" w:hAnsi="Times New Roman" w:cs="Times New Roman" w:eastAsia="Times New Roman" w:hint="default"/>
          <w:spacing w:val="-4"/>
        </w:rPr>
        <w:t>TOP20</w:t>
      </w:r>
      <w:r>
        <w:rPr>
          <w:spacing w:val="-4"/>
        </w:rPr>
        <w:t>的一流知名医院为代表的标杆客户，体现了公司解决方案在</w:t>
      </w:r>
      <w:r>
        <w:rPr>
          <w:spacing w:val="69"/>
        </w:rPr>
        <w:t> </w:t>
      </w:r>
      <w:r>
        <w:rPr>
          <w:spacing w:val="69"/>
        </w:rPr>
      </w:r>
      <w:r>
        <w:rPr>
          <w:spacing w:val="-3"/>
        </w:rPr>
        <w:t>行业内的领先优势。</w:t>
      </w:r>
    </w:p>
    <w:p>
      <w:pPr>
        <w:pStyle w:val="BodyText"/>
        <w:spacing w:line="309" w:lineRule="auto" w:before="26"/>
        <w:ind w:right="1122" w:firstLine="360"/>
        <w:jc w:val="both"/>
      </w:pPr>
      <w:r>
        <w:rPr>
          <w:spacing w:val="-5"/>
        </w:rPr>
        <w:t>公司拥有一支由博士领衔，由管理专家、信息技术专家、医疗业务专家等共同组成的精英团队，注重产学研合作和国际</w:t>
      </w:r>
      <w:r>
        <w:rPr>
          <w:w w:val="101"/>
        </w:rPr>
        <w:t> </w:t>
      </w:r>
      <w:r>
        <w:rPr>
          <w:spacing w:val="-4"/>
        </w:rPr>
        <w:t>技术交流，通过持续的开拓创新，技术理念和技术成果居于行业领先地位。公司是浙江省重点企业研究院、浙江省高新技术</w:t>
      </w:r>
      <w:r>
        <w:rPr>
          <w:spacing w:val="41"/>
        </w:rPr>
        <w:t> </w:t>
      </w:r>
      <w:r>
        <w:rPr>
          <w:spacing w:val="41"/>
        </w:rPr>
      </w:r>
      <w:r>
        <w:rPr>
          <w:spacing w:val="-2"/>
        </w:rPr>
        <w:t>企业研发中心、浙江省博士后科研工作站，充分展现了公司高水平技术能力。公司建设的</w:t>
      </w:r>
      <w:r>
        <w:rPr>
          <w:rFonts w:ascii="Times New Roman" w:hAnsi="Times New Roman" w:cs="Times New Roman" w:eastAsia="Times New Roman" w:hint="default"/>
          <w:spacing w:val="-2"/>
        </w:rPr>
        <w:t>“</w:t>
      </w:r>
      <w:r>
        <w:rPr>
          <w:spacing w:val="-2"/>
        </w:rPr>
        <w:t>智慧医疗云平台</w:t>
      </w:r>
      <w:r>
        <w:rPr>
          <w:rFonts w:ascii="Times New Roman" w:hAnsi="Times New Roman" w:cs="Times New Roman" w:eastAsia="Times New Roman" w:hint="default"/>
          <w:spacing w:val="-2"/>
        </w:rPr>
        <w:t>”</w:t>
      </w:r>
      <w:r>
        <w:rPr>
          <w:spacing w:val="-2"/>
        </w:rPr>
        <w:t>先后荣获</w:t>
      </w:r>
      <w:r>
        <w:rPr>
          <w:rFonts w:ascii="Times New Roman" w:hAnsi="Times New Roman" w:cs="Times New Roman" w:eastAsia="Times New Roman" w:hint="default"/>
          <w:spacing w:val="-2"/>
        </w:rPr>
        <w:t>“</w:t>
      </w:r>
      <w:r>
        <w:rPr>
          <w:spacing w:val="-2"/>
        </w:rPr>
        <w:t>十二</w:t>
      </w:r>
      <w:r>
        <w:rPr>
          <w:spacing w:val="49"/>
        </w:rPr>
        <w:t> </w:t>
      </w:r>
      <w:r>
        <w:rPr>
          <w:spacing w:val="-3"/>
        </w:rPr>
        <w:t>五民生改善优秀案例、工信部优秀案例</w:t>
      </w:r>
      <w:r>
        <w:rPr>
          <w:rFonts w:ascii="Times New Roman" w:hAnsi="Times New Roman" w:cs="Times New Roman" w:eastAsia="Times New Roman" w:hint="default"/>
          <w:spacing w:val="-3"/>
        </w:rPr>
        <w:t>”</w:t>
      </w:r>
      <w:r>
        <w:rPr>
          <w:spacing w:val="-3"/>
        </w:rPr>
        <w:t>， </w:t>
      </w:r>
      <w:r>
        <w:rPr>
          <w:rFonts w:ascii="Times New Roman" w:hAnsi="Times New Roman" w:cs="Times New Roman" w:eastAsia="Times New Roman" w:hint="default"/>
          <w:spacing w:val="-3"/>
        </w:rPr>
        <w:t>2019</w:t>
      </w:r>
      <w:r>
        <w:rPr>
          <w:spacing w:val="-3"/>
        </w:rPr>
        <w:t>年公司承建的</w:t>
      </w:r>
      <w:r>
        <w:rPr>
          <w:rFonts w:ascii="Times New Roman" w:hAnsi="Times New Roman" w:cs="Times New Roman" w:eastAsia="Times New Roman" w:hint="default"/>
          <w:spacing w:val="-3"/>
        </w:rPr>
        <w:t>“</w:t>
      </w:r>
      <w:r>
        <w:rPr>
          <w:spacing w:val="-3"/>
        </w:rPr>
        <w:t>杭州城市大脑</w:t>
      </w:r>
      <w:r>
        <w:rPr>
          <w:rFonts w:ascii="Times New Roman" w:hAnsi="Times New Roman" w:cs="Times New Roman" w:eastAsia="Times New Roman" w:hint="default"/>
          <w:spacing w:val="-3"/>
        </w:rPr>
        <w:t>-</w:t>
      </w:r>
      <w:r>
        <w:rPr>
          <w:spacing w:val="-3"/>
        </w:rPr>
        <w:t>舒心就医</w:t>
      </w:r>
      <w:r>
        <w:rPr>
          <w:rFonts w:ascii="Times New Roman" w:hAnsi="Times New Roman" w:cs="Times New Roman" w:eastAsia="Times New Roman" w:hint="default"/>
          <w:spacing w:val="-3"/>
        </w:rPr>
        <w:t>”</w:t>
      </w:r>
      <w:r>
        <w:rPr>
          <w:spacing w:val="-3"/>
        </w:rPr>
        <w:t>平台已覆盖杭州市所有区县的</w:t>
      </w:r>
      <w:r>
        <w:rPr>
          <w:rFonts w:ascii="Times New Roman" w:hAnsi="Times New Roman" w:cs="Times New Roman" w:eastAsia="Times New Roman" w:hint="default"/>
          <w:spacing w:val="-3"/>
        </w:rPr>
        <w:t>254</w:t>
      </w:r>
      <w:r>
        <w:rPr>
          <w:spacing w:val="-3"/>
        </w:rPr>
        <w:t>家</w:t>
      </w:r>
      <w:r>
        <w:rPr>
          <w:spacing w:val="-28"/>
        </w:rPr>
        <w:t> </w:t>
      </w:r>
      <w:r>
        <w:rPr/>
        <w:t>医疗机构。</w:t>
      </w:r>
    </w:p>
    <w:p>
      <w:pPr>
        <w:pStyle w:val="BodyText"/>
        <w:spacing w:line="316" w:lineRule="auto" w:before="25"/>
        <w:ind w:right="1122" w:firstLine="360"/>
        <w:jc w:val="both"/>
      </w:pPr>
      <w:r>
        <w:rPr>
          <w:spacing w:val="-4"/>
        </w:rPr>
        <w:t>公司凭借技术、产品、解决方案和服务能力的综合优势，</w:t>
      </w:r>
      <w:r>
        <w:rPr>
          <w:rFonts w:ascii="宋体" w:hAnsi="宋体" w:cs="宋体" w:eastAsia="宋体" w:hint="default"/>
          <w:spacing w:val="-4"/>
        </w:rPr>
        <w:t>2018</w:t>
      </w:r>
      <w:r>
        <w:rPr>
          <w:spacing w:val="-4"/>
        </w:rPr>
        <w:t>年协助浙江省人民医院和邵逸夫医院通过卫健委互联互通</w:t>
      </w:r>
      <w:r>
        <w:rPr>
          <w:w w:val="101"/>
        </w:rPr>
        <w:t> </w:t>
      </w:r>
      <w:r>
        <w:rPr>
          <w:spacing w:val="-4"/>
        </w:rPr>
        <w:t>标准化成熟度测评四级甲等；</w:t>
      </w:r>
      <w:r>
        <w:rPr>
          <w:rFonts w:ascii="宋体" w:hAnsi="宋体" w:cs="宋体" w:eastAsia="宋体" w:hint="default"/>
          <w:spacing w:val="-4"/>
        </w:rPr>
        <w:t>2019</w:t>
      </w:r>
      <w:r>
        <w:rPr>
          <w:spacing w:val="-4"/>
        </w:rPr>
        <w:t>年公司被评选为年度国家重点规划布局内软件企业，并获得二级信息化建设及服务能力评</w:t>
      </w:r>
      <w:r>
        <w:rPr>
          <w:spacing w:val="53"/>
        </w:rPr>
        <w:t> </w:t>
      </w:r>
      <w:r>
        <w:rPr>
          <w:spacing w:val="53"/>
        </w:rPr>
      </w:r>
      <w:r>
        <w:rPr>
          <w:spacing w:val="-3"/>
        </w:rPr>
        <w:t>价。公司技术、产品、解决方案和服务能力代表了国内医院信息化建设的先进水平。</w:t>
      </w:r>
    </w:p>
    <w:p>
      <w:pPr>
        <w:pStyle w:val="BodyText"/>
        <w:spacing w:line="240" w:lineRule="auto" w:before="19"/>
        <w:ind w:left="513" w:right="0"/>
        <w:jc w:val="left"/>
      </w:pPr>
      <w:r>
        <w:rPr>
          <w:spacing w:val="-3"/>
        </w:rPr>
        <w:t>（三）客户行业情况</w:t>
      </w:r>
    </w:p>
    <w:p>
      <w:pPr>
        <w:spacing w:line="300" w:lineRule="auto" w:before="76"/>
        <w:ind w:left="513" w:right="0" w:firstLine="4"/>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、客户所处行业的相关变化情况</w:t>
      </w:r>
      <w:r>
        <w:rPr>
          <w:rFonts w:ascii="宋体" w:hAnsi="宋体" w:cs="宋体" w:eastAsia="宋体" w:hint="default"/>
          <w:b/>
          <w:bCs/>
          <w:w w:val="100"/>
          <w:sz w:val="18"/>
          <w:szCs w:val="18"/>
        </w:rPr>
        <w:t> </w:t>
      </w:r>
      <w:r>
        <w:rPr>
          <w:rFonts w:ascii="宋体" w:hAnsi="宋体" w:cs="宋体" w:eastAsia="宋体" w:hint="default"/>
          <w:spacing w:val="-5"/>
          <w:w w:val="101"/>
          <w:sz w:val="18"/>
          <w:szCs w:val="18"/>
        </w:rPr>
        <w:t>我国深化医药卫生体制改革的重点工作从战略层面的顶层设计转变为战术层面的执行落实，即由多部门共同推进健康中</w:t>
      </w:r>
      <w:r>
        <w:rPr>
          <w:rFonts w:ascii="宋体" w:hAnsi="宋体" w:cs="宋体" w:eastAsia="宋体" w:hint="default"/>
          <w:spacing w:val="-5"/>
          <w:sz w:val="18"/>
          <w:szCs w:val="18"/>
        </w:rPr>
      </w:r>
    </w:p>
    <w:p>
      <w:pPr>
        <w:pStyle w:val="BodyText"/>
        <w:spacing w:line="309" w:lineRule="auto" w:before="32"/>
        <w:ind w:right="1035"/>
        <w:jc w:val="both"/>
      </w:pPr>
      <w:r>
        <w:rPr>
          <w:spacing w:val="-3"/>
        </w:rPr>
        <w:t>国的国家战略落地，进一步树立大卫生、大健康理念，从以治病为中心转变到以人民健康为中心，不断提高医疗保障水平，</w:t>
      </w:r>
      <w:r>
        <w:rPr>
          <w:spacing w:val="76"/>
        </w:rPr>
        <w:t> </w:t>
      </w:r>
      <w:r>
        <w:rPr>
          <w:spacing w:val="76"/>
        </w:rPr>
      </w:r>
      <w:r>
        <w:rPr>
          <w:spacing w:val="-2"/>
        </w:rPr>
        <w:t>确保医保资金合理使用、安全可控，统筹推进医疗、医保、医药</w:t>
      </w:r>
      <w:r>
        <w:rPr>
          <w:rFonts w:ascii="Times New Roman" w:hAnsi="Times New Roman" w:cs="Times New Roman" w:eastAsia="Times New Roman" w:hint="default"/>
          <w:spacing w:val="-2"/>
        </w:rPr>
        <w:t>“</w:t>
      </w:r>
      <w:r>
        <w:rPr>
          <w:spacing w:val="-2"/>
        </w:rPr>
        <w:t>三医联动</w:t>
      </w:r>
      <w:r>
        <w:rPr>
          <w:rFonts w:ascii="Times New Roman" w:hAnsi="Times New Roman" w:cs="Times New Roman" w:eastAsia="Times New Roman" w:hint="default"/>
          <w:spacing w:val="-2"/>
        </w:rPr>
        <w:t>”</w:t>
      </w:r>
      <w:r>
        <w:rPr>
          <w:spacing w:val="-2"/>
        </w:rPr>
        <w:t>改革，更好保障人民群众病有所医。报告期内，</w:t>
      </w:r>
      <w:r>
        <w:rPr>
          <w:spacing w:val="45"/>
        </w:rPr>
        <w:t> </w:t>
      </w:r>
      <w:r>
        <w:rPr>
          <w:spacing w:val="45"/>
        </w:rPr>
      </w:r>
      <w:r>
        <w:rPr>
          <w:spacing w:val="-3"/>
        </w:rPr>
        <w:t>国务院、国家卫健委、国家医保局出台了一系列更新政策，指导各项工作开展和推动行业发展。</w:t>
      </w:r>
    </w:p>
    <w:p>
      <w:pPr>
        <w:pStyle w:val="BodyText"/>
        <w:spacing w:line="300" w:lineRule="auto" w:before="24"/>
        <w:ind w:right="1122" w:firstLine="360"/>
        <w:jc w:val="both"/>
      </w:pPr>
      <w:r>
        <w:rPr>
          <w:spacing w:val="-2"/>
        </w:rPr>
        <w:t>国家卫健委发布关于智慧医院的官方导向：（</w:t>
      </w:r>
      <w:r>
        <w:rPr>
          <w:rFonts w:ascii="Times New Roman" w:hAnsi="Times New Roman" w:cs="Times New Roman" w:eastAsia="Times New Roman" w:hint="default"/>
          <w:spacing w:val="-2"/>
        </w:rPr>
        <w:t>1</w:t>
      </w:r>
      <w:r>
        <w:rPr>
          <w:spacing w:val="-2"/>
        </w:rPr>
        <w:t>）面向医务人员的</w:t>
      </w:r>
      <w:r>
        <w:rPr>
          <w:rFonts w:ascii="Times New Roman" w:hAnsi="Times New Roman" w:cs="Times New Roman" w:eastAsia="Times New Roman" w:hint="default"/>
          <w:spacing w:val="-2"/>
        </w:rPr>
        <w:t>“</w:t>
      </w:r>
      <w:r>
        <w:rPr>
          <w:spacing w:val="-2"/>
        </w:rPr>
        <w:t>智慧医疗</w:t>
      </w:r>
      <w:r>
        <w:rPr>
          <w:rFonts w:ascii="Times New Roman" w:hAnsi="Times New Roman" w:cs="Times New Roman" w:eastAsia="Times New Roman" w:hint="default"/>
          <w:spacing w:val="-2"/>
        </w:rPr>
        <w:t>”</w:t>
      </w:r>
      <w:r>
        <w:rPr>
          <w:spacing w:val="-2"/>
        </w:rPr>
        <w:t>：以电子病历等级评审为核心推动医疗机</w:t>
      </w:r>
      <w:r>
        <w:rPr>
          <w:w w:val="101"/>
        </w:rPr>
        <w:t> </w:t>
      </w:r>
      <w:r>
        <w:rPr>
          <w:spacing w:val="-4"/>
        </w:rPr>
        <w:t>构信息化建设（</w:t>
      </w:r>
      <w:r>
        <w:rPr>
          <w:rFonts w:ascii="Times New Roman" w:hAnsi="Times New Roman" w:cs="Times New Roman" w:eastAsia="Times New Roman" w:hint="default"/>
          <w:spacing w:val="-4"/>
        </w:rPr>
        <w:t>0~8</w:t>
      </w:r>
      <w:r>
        <w:rPr>
          <w:spacing w:val="-4"/>
        </w:rPr>
        <w:t>级），推动医院按照已有的电子病历标准升级和完善系统。（</w:t>
      </w:r>
      <w:r>
        <w:rPr>
          <w:rFonts w:ascii="Times New Roman" w:hAnsi="Times New Roman" w:cs="Times New Roman" w:eastAsia="Times New Roman" w:hint="default"/>
          <w:spacing w:val="-4"/>
        </w:rPr>
        <w:t>2</w:t>
      </w:r>
      <w:r>
        <w:rPr>
          <w:spacing w:val="-4"/>
        </w:rPr>
        <w:t>）面向患者的</w:t>
      </w:r>
      <w:r>
        <w:rPr>
          <w:rFonts w:ascii="Times New Roman" w:hAnsi="Times New Roman" w:cs="Times New Roman" w:eastAsia="Times New Roman" w:hint="default"/>
          <w:spacing w:val="-4"/>
        </w:rPr>
        <w:t>“</w:t>
      </w:r>
      <w:r>
        <w:rPr>
          <w:spacing w:val="-4"/>
        </w:rPr>
        <w:t>智慧服务</w:t>
      </w:r>
      <w:r>
        <w:rPr>
          <w:rFonts w:ascii="Times New Roman" w:hAnsi="Times New Roman" w:cs="Times New Roman" w:eastAsia="Times New Roman" w:hint="default"/>
          <w:spacing w:val="-4"/>
        </w:rPr>
        <w:t>”</w:t>
      </w:r>
      <w:r>
        <w:rPr>
          <w:spacing w:val="-4"/>
        </w:rPr>
        <w:t>：国家卫健委发</w:t>
      </w:r>
      <w:r>
        <w:rPr>
          <w:spacing w:val="66"/>
        </w:rPr>
        <w:t> </w:t>
      </w:r>
      <w:r>
        <w:rPr>
          <w:spacing w:val="66"/>
        </w:rPr>
      </w:r>
      <w:r>
        <w:rPr>
          <w:spacing w:val="-4"/>
        </w:rPr>
        <w:t>布《关于印发医院智慧服务分级评估标准体系（试行）的通知》，要求医院按照</w:t>
      </w:r>
      <w:r>
        <w:rPr>
          <w:rFonts w:ascii="Times New Roman" w:hAnsi="Times New Roman" w:cs="Times New Roman" w:eastAsia="Times New Roman" w:hint="default"/>
          <w:spacing w:val="-4"/>
        </w:rPr>
        <w:t>17</w:t>
      </w:r>
      <w:r>
        <w:rPr>
          <w:spacing w:val="-4"/>
        </w:rPr>
        <w:t>个项目和</w:t>
      </w:r>
      <w:r>
        <w:rPr>
          <w:rFonts w:ascii="Times New Roman" w:hAnsi="Times New Roman" w:cs="Times New Roman" w:eastAsia="Times New Roman" w:hint="default"/>
          <w:spacing w:val="-4"/>
        </w:rPr>
        <w:t>0~5</w:t>
      </w:r>
      <w:r>
        <w:rPr>
          <w:spacing w:val="-4"/>
        </w:rPr>
        <w:t>级进行评审。（</w:t>
      </w:r>
      <w:r>
        <w:rPr>
          <w:rFonts w:ascii="Times New Roman" w:hAnsi="Times New Roman" w:cs="Times New Roman" w:eastAsia="Times New Roman" w:hint="default"/>
          <w:spacing w:val="-4"/>
        </w:rPr>
        <w:t>3</w:t>
      </w:r>
      <w:r>
        <w:rPr>
          <w:spacing w:val="-4"/>
        </w:rPr>
        <w:t>）面向医院</w:t>
      </w:r>
      <w:r>
        <w:rPr>
          <w:spacing w:val="40"/>
        </w:rPr>
        <w:t> </w:t>
      </w:r>
      <w:r>
        <w:rPr>
          <w:spacing w:val="40"/>
        </w:rPr>
      </w:r>
      <w:r>
        <w:rPr>
          <w:spacing w:val="-3"/>
        </w:rPr>
        <w:t>管理的</w:t>
      </w:r>
      <w:r>
        <w:rPr>
          <w:rFonts w:ascii="Times New Roman" w:hAnsi="Times New Roman" w:cs="Times New Roman" w:eastAsia="Times New Roman" w:hint="default"/>
          <w:spacing w:val="-3"/>
        </w:rPr>
        <w:t>“</w:t>
      </w:r>
      <w:r>
        <w:rPr>
          <w:spacing w:val="-3"/>
        </w:rPr>
        <w:t>智慧管理</w:t>
      </w:r>
      <w:r>
        <w:rPr>
          <w:rFonts w:ascii="Times New Roman" w:hAnsi="Times New Roman" w:cs="Times New Roman" w:eastAsia="Times New Roman" w:hint="default"/>
          <w:spacing w:val="-3"/>
        </w:rPr>
        <w:t>”</w:t>
      </w:r>
      <w:r>
        <w:rPr>
          <w:spacing w:val="-3"/>
        </w:rPr>
        <w:t>，应用信息化手段加强医疗管理；并将进一步提高对安全的管控要求。</w:t>
      </w:r>
    </w:p>
    <w:p>
      <w:pPr>
        <w:pStyle w:val="BodyText"/>
        <w:spacing w:line="240" w:lineRule="auto" w:before="13"/>
        <w:ind w:left="513" w:right="0"/>
        <w:jc w:val="left"/>
      </w:pPr>
      <w:r>
        <w:rPr>
          <w:spacing w:val="-3"/>
        </w:rPr>
        <w:t>国家卫健委发布《关于开展城市医疗联合体建设试点工作的通知》，确定了</w:t>
      </w:r>
      <w:r>
        <w:rPr>
          <w:rFonts w:ascii="Times New Roman" w:hAnsi="Times New Roman" w:cs="Times New Roman" w:eastAsia="Times New Roman" w:hint="default"/>
          <w:spacing w:val="-3"/>
        </w:rPr>
        <w:t>118</w:t>
      </w:r>
      <w:r>
        <w:rPr>
          <w:spacing w:val="-3"/>
        </w:rPr>
        <w:t>个城市医联体建设试点城市，推动城市</w:t>
      </w:r>
    </w:p>
    <w:p>
      <w:pPr>
        <w:spacing w:after="0" w:line="24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16" w:lineRule="auto" w:before="46"/>
        <w:ind w:right="1124"/>
        <w:jc w:val="both"/>
      </w:pPr>
      <w:r>
        <w:rPr>
          <w:spacing w:val="-4"/>
        </w:rPr>
        <w:t>网格化的医联体建设，推动更紧密的医联体建设。同期还发布了《关于推进紧密型县域医疗卫生共同体建设的通知》、《关</w:t>
      </w:r>
      <w:r>
        <w:rPr>
          <w:spacing w:val="41"/>
        </w:rPr>
        <w:t> </w:t>
      </w:r>
      <w:r>
        <w:rPr>
          <w:spacing w:val="41"/>
        </w:rPr>
      </w:r>
      <w:r>
        <w:rPr>
          <w:spacing w:val="-4"/>
        </w:rPr>
        <w:t>于开展紧密型县域医疗卫生共同体建设试点的指导方案》，推动县域医共体建设，确定山西省、浙江省为紧密型县域医共体</w:t>
      </w:r>
      <w:r>
        <w:rPr>
          <w:spacing w:val="40"/>
        </w:rPr>
        <w:t> </w:t>
      </w:r>
      <w:r>
        <w:rPr>
          <w:spacing w:val="40"/>
        </w:rPr>
      </w:r>
      <w:r>
        <w:rPr>
          <w:spacing w:val="-3"/>
        </w:rPr>
        <w:t>建设试点省，北京市西城区等</w:t>
      </w:r>
      <w:r>
        <w:rPr>
          <w:rFonts w:ascii="Times New Roman" w:hAnsi="Times New Roman" w:cs="Times New Roman" w:eastAsia="Times New Roman" w:hint="default"/>
          <w:spacing w:val="-3"/>
        </w:rPr>
        <w:t>567</w:t>
      </w:r>
      <w:r>
        <w:rPr>
          <w:spacing w:val="-3"/>
        </w:rPr>
        <w:t>个县为紧密型县域医共体建设试点县。</w:t>
      </w:r>
    </w:p>
    <w:p>
      <w:pPr>
        <w:pStyle w:val="BodyText"/>
        <w:spacing w:line="307" w:lineRule="auto"/>
        <w:ind w:right="1037" w:firstLine="360"/>
        <w:jc w:val="left"/>
      </w:pPr>
      <w:r>
        <w:rPr/>
        <w:t>国家医保局等部委联合发布《关于印发</w:t>
      </w:r>
      <w:r>
        <w:rPr>
          <w:rFonts w:ascii="Times New Roman" w:hAnsi="Times New Roman" w:cs="Times New Roman" w:eastAsia="Times New Roman" w:hint="default"/>
        </w:rPr>
        <w:t>&lt;</w:t>
      </w:r>
      <w:r>
        <w:rPr/>
        <w:t>按疾病诊断相关分组付费国家试点城市名单</w:t>
      </w:r>
      <w:r>
        <w:rPr>
          <w:rFonts w:ascii="Times New Roman" w:hAnsi="Times New Roman" w:cs="Times New Roman" w:eastAsia="Times New Roman" w:hint="default"/>
        </w:rPr>
        <w:t>&gt;</w:t>
      </w:r>
      <w:r>
        <w:rPr/>
        <w:t>的通知》，确定了</w:t>
      </w:r>
      <w:r>
        <w:rPr>
          <w:rFonts w:ascii="Times New Roman" w:hAnsi="Times New Roman" w:cs="Times New Roman" w:eastAsia="Times New Roman" w:hint="default"/>
        </w:rPr>
        <w:t>30</w:t>
      </w:r>
      <w:r>
        <w:rPr/>
        <w:t>个城市作为</w:t>
      </w:r>
      <w:r>
        <w:rPr>
          <w:w w:val="101"/>
        </w:rPr>
        <w:t> </w:t>
      </w:r>
      <w:r>
        <w:rPr>
          <w:spacing w:val="-2"/>
        </w:rPr>
        <w:t>疾病诊断相关分组（</w:t>
      </w:r>
      <w:r>
        <w:rPr>
          <w:rFonts w:ascii="Times New Roman" w:hAnsi="Times New Roman" w:cs="Times New Roman" w:eastAsia="Times New Roman" w:hint="default"/>
          <w:spacing w:val="-2"/>
        </w:rPr>
        <w:t>DRG</w:t>
      </w:r>
      <w:r>
        <w:rPr>
          <w:spacing w:val="-2"/>
        </w:rPr>
        <w:t>）付费国家试点城市；随后正式公布《国家医疗保障</w:t>
      </w:r>
      <w:r>
        <w:rPr>
          <w:rFonts w:ascii="Times New Roman" w:hAnsi="Times New Roman" w:cs="Times New Roman" w:eastAsia="Times New Roman" w:hint="default"/>
          <w:spacing w:val="-2"/>
        </w:rPr>
        <w:t>DRG</w:t>
      </w:r>
      <w:r>
        <w:rPr>
          <w:spacing w:val="-2"/>
        </w:rPr>
        <w:t>分组与付费技术规范》和《国家医疗保</w:t>
      </w:r>
      <w:r>
        <w:rPr>
          <w:spacing w:val="80"/>
        </w:rPr>
        <w:t> </w:t>
      </w:r>
      <w:r>
        <w:rPr>
          <w:spacing w:val="80"/>
        </w:rPr>
      </w:r>
      <w:r>
        <w:rPr>
          <w:spacing w:val="-4"/>
        </w:rPr>
        <w:t>障</w:t>
      </w:r>
      <w:r>
        <w:rPr>
          <w:rFonts w:ascii="Times New Roman" w:hAnsi="Times New Roman" w:cs="Times New Roman" w:eastAsia="Times New Roman" w:hint="default"/>
          <w:spacing w:val="-4"/>
        </w:rPr>
        <w:t>DRG</w:t>
      </w:r>
      <w:r>
        <w:rPr>
          <w:spacing w:val="-4"/>
        </w:rPr>
        <w:t>（</w:t>
      </w:r>
      <w:r>
        <w:rPr>
          <w:rFonts w:ascii="Times New Roman" w:hAnsi="Times New Roman" w:cs="Times New Roman" w:eastAsia="Times New Roman" w:hint="default"/>
          <w:spacing w:val="-4"/>
        </w:rPr>
        <w:t>CHS-DRG</w:t>
      </w:r>
      <w:r>
        <w:rPr>
          <w:spacing w:val="-4"/>
        </w:rPr>
        <w:t>）分组方案》两个技术标准推定</w:t>
      </w:r>
      <w:r>
        <w:rPr>
          <w:rFonts w:ascii="Times New Roman" w:hAnsi="Times New Roman" w:cs="Times New Roman" w:eastAsia="Times New Roman" w:hint="default"/>
          <w:spacing w:val="-4"/>
        </w:rPr>
        <w:t>DRGs</w:t>
      </w:r>
      <w:r>
        <w:rPr>
          <w:spacing w:val="-4"/>
        </w:rPr>
        <w:t>的试点工作。国家医疗保障局发布了《关于印发医疗保障标准化工</w:t>
      </w:r>
      <w:r>
        <w:rPr>
          <w:spacing w:val="53"/>
        </w:rPr>
        <w:t> </w:t>
      </w:r>
      <w:r>
        <w:rPr>
          <w:spacing w:val="53"/>
        </w:rPr>
      </w:r>
      <w:r>
        <w:rPr>
          <w:spacing w:val="-3"/>
        </w:rPr>
        <w:t>作指导意见的通知》，一期推出医保疾病诊断和手术操作、药品、医疗服务项目、医用耗材四项信息业务编码规则和方法，</w:t>
      </w:r>
      <w:r>
        <w:rPr>
          <w:spacing w:val="76"/>
        </w:rPr>
        <w:t> </w:t>
      </w:r>
      <w:r>
        <w:rPr>
          <w:spacing w:val="76"/>
        </w:rPr>
      </w:r>
      <w:r>
        <w:rPr>
          <w:spacing w:val="-5"/>
        </w:rPr>
        <w:t>为全面统一医保信息编码标准打下基础；随后开始推动全国医保电子凭证，在河北、吉林、黑龙江、上海、福建、山东、广</w:t>
      </w:r>
      <w:r>
        <w:rPr>
          <w:spacing w:val="4"/>
        </w:rPr>
        <w:t> </w:t>
      </w:r>
      <w:r>
        <w:rPr>
          <w:spacing w:val="4"/>
        </w:rPr>
      </w:r>
      <w:r>
        <w:rPr>
          <w:spacing w:val="-3"/>
        </w:rPr>
        <w:t>东七个省（市）的部分城市陆续开通使用。国家医保局正式印发《关于完善</w:t>
      </w:r>
      <w:r>
        <w:rPr>
          <w:rFonts w:ascii="Times New Roman" w:hAnsi="Times New Roman" w:cs="Times New Roman" w:eastAsia="Times New Roman" w:hint="default"/>
          <w:spacing w:val="-3"/>
        </w:rPr>
        <w:t>“</w:t>
      </w:r>
      <w:r>
        <w:rPr>
          <w:spacing w:val="-3"/>
        </w:rPr>
        <w:t>互联网</w:t>
      </w:r>
      <w:r>
        <w:rPr>
          <w:rFonts w:ascii="Times New Roman" w:hAnsi="Times New Roman" w:cs="Times New Roman" w:eastAsia="Times New Roman" w:hint="default"/>
          <w:spacing w:val="-3"/>
        </w:rPr>
        <w:t>+”</w:t>
      </w:r>
      <w:r>
        <w:rPr>
          <w:spacing w:val="-3"/>
        </w:rPr>
        <w:t>医疗服务价格和医保支付政策的指导</w:t>
      </w:r>
      <w:r>
        <w:rPr>
          <w:spacing w:val="-2"/>
        </w:rPr>
        <w:t> </w:t>
      </w:r>
      <w:r>
        <w:rPr>
          <w:spacing w:val="-2"/>
        </w:rPr>
      </w:r>
      <w:r>
        <w:rPr>
          <w:spacing w:val="-3"/>
        </w:rPr>
        <w:t>意见》，实现优质医疗资源跨区域流动、促进医疗服务降本增效、公平可及和改善患者就医体验、重构医疗市场竞争关系。</w:t>
      </w:r>
    </w:p>
    <w:p>
      <w:pPr>
        <w:pStyle w:val="BodyText"/>
        <w:spacing w:line="307" w:lineRule="auto" w:before="26"/>
        <w:ind w:right="1037" w:firstLine="408"/>
        <w:jc w:val="left"/>
      </w:pPr>
      <w:r>
        <w:rPr>
          <w:rFonts w:ascii="Times New Roman" w:hAnsi="Times New Roman" w:cs="Times New Roman" w:eastAsia="Times New Roman" w:hint="default"/>
        </w:rPr>
        <w:t>2019-11-15</w:t>
      </w:r>
      <w:r>
        <w:rPr>
          <w:rFonts w:ascii="Times New Roman" w:hAnsi="Times New Roman" w:cs="Times New Roman" w:eastAsia="Times New Roman" w:hint="default"/>
          <w:spacing w:val="23"/>
        </w:rPr>
        <w:t> </w:t>
      </w:r>
      <w:r>
        <w:rPr/>
        <w:t>国务院深化医改领导小组《关于进一步推广福建省和三明市深化医药卫生体制改革经验的通知》，强调创</w:t>
      </w:r>
      <w:r>
        <w:rPr>
          <w:w w:val="101"/>
        </w:rPr>
        <w:t> </w:t>
      </w:r>
      <w:r>
        <w:rPr/>
        <w:t>新体制机制、突破利益藩篱，强化医疗、医保、医药联动改革。</w:t>
      </w:r>
      <w:r>
        <w:rPr>
          <w:rFonts w:ascii="Times New Roman" w:hAnsi="Times New Roman" w:cs="Times New Roman" w:eastAsia="Times New Roman" w:hint="default"/>
        </w:rPr>
        <w:t>2019-07-15 </w:t>
      </w:r>
      <w:r>
        <w:rPr/>
        <w:t>国务院发布《国务院关于实施健康中国行动的</w:t>
      </w:r>
      <w:r>
        <w:rPr>
          <w:spacing w:val="-24"/>
        </w:rPr>
        <w:t> </w:t>
      </w:r>
      <w:r>
        <w:rPr>
          <w:spacing w:val="-24"/>
        </w:rPr>
      </w:r>
      <w:r>
        <w:rPr>
          <w:spacing w:val="-3"/>
        </w:rPr>
        <w:t>意见》和《健康中国行动组织实施和考核方案》，强调卫生健康工作的两个重点和一个转变：两个重点是继续解决看病难、</w:t>
      </w:r>
      <w:r>
        <w:rPr>
          <w:spacing w:val="76"/>
        </w:rPr>
        <w:t> </w:t>
      </w:r>
      <w:r>
        <w:rPr>
          <w:spacing w:val="76"/>
        </w:rPr>
      </w:r>
      <w:r>
        <w:rPr>
          <w:spacing w:val="-4"/>
        </w:rPr>
        <w:t>看病贵，一个重点是实现以治病为中心向人民健康为中心转变，个人、家庭、社会和政府各方共同参与，将健康融入所有政</w:t>
      </w:r>
      <w:r>
        <w:rPr>
          <w:spacing w:val="40"/>
        </w:rPr>
        <w:t> </w:t>
      </w:r>
      <w:r>
        <w:rPr>
          <w:spacing w:val="40"/>
        </w:rPr>
      </w:r>
      <w:r>
        <w:rPr/>
        <w:t>策。</w:t>
      </w:r>
      <w:r>
        <w:rPr>
          <w:rFonts w:ascii="Times New Roman" w:hAnsi="Times New Roman" w:cs="Times New Roman" w:eastAsia="Times New Roman" w:hint="default"/>
        </w:rPr>
        <w:t>2019-12-28 </w:t>
      </w:r>
      <w:r>
        <w:rPr/>
        <w:t>《中华人民共和国基本医疗卫生与健康促进法》由全国人民代表大会常务委员会通过，自</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w:t>
      </w:r>
      <w:r>
        <w:rPr/>
        <w:t>日起</w:t>
      </w:r>
      <w:r>
        <w:rPr>
          <w:spacing w:val="-27"/>
        </w:rPr>
        <w:t> </w:t>
      </w:r>
      <w:r>
        <w:rPr>
          <w:spacing w:val="-3"/>
        </w:rPr>
        <w:t>施行，这是卫生与健康领域第一部基础性、综合性法律，统领现法律，凸显</w:t>
      </w:r>
      <w:r>
        <w:rPr>
          <w:rFonts w:ascii="Times New Roman" w:hAnsi="Times New Roman" w:cs="Times New Roman" w:eastAsia="Times New Roman" w:hint="default"/>
          <w:spacing w:val="-3"/>
        </w:rPr>
        <w:t>“</w:t>
      </w:r>
      <w:r>
        <w:rPr>
          <w:spacing w:val="-3"/>
        </w:rPr>
        <w:t>保基本、强基层、促健康</w:t>
      </w:r>
      <w:r>
        <w:rPr>
          <w:rFonts w:ascii="Times New Roman" w:hAnsi="Times New Roman" w:cs="Times New Roman" w:eastAsia="Times New Roman" w:hint="default"/>
          <w:spacing w:val="-3"/>
        </w:rPr>
        <w:t>”</w:t>
      </w:r>
      <w:r>
        <w:rPr>
          <w:spacing w:val="-3"/>
        </w:rPr>
        <w:t>理念。</w:t>
      </w:r>
    </w:p>
    <w:p>
      <w:pPr>
        <w:pStyle w:val="BodyText"/>
        <w:spacing w:line="319" w:lineRule="auto" w:before="7"/>
        <w:ind w:right="1122" w:firstLine="360"/>
        <w:jc w:val="both"/>
      </w:pPr>
      <w:r>
        <w:rPr>
          <w:spacing w:val="-4"/>
        </w:rPr>
        <w:t>上述政策和文件的发布，不仅进一步明确和细化医疗信息化发展的方向，更是明确提出了医疗信息化发展的新要求，也</w:t>
      </w:r>
      <w:r>
        <w:rPr>
          <w:w w:val="101"/>
        </w:rPr>
        <w:t> </w:t>
      </w:r>
      <w:r>
        <w:rPr>
          <w:spacing w:val="-4"/>
        </w:rPr>
        <w:t>将进一步推升医疗信息化投资需求。即通过智慧医院、医院集团、互联网医院建设，拓展医院的服务空间和内容；通过医联</w:t>
      </w:r>
      <w:r>
        <w:rPr>
          <w:spacing w:val="42"/>
        </w:rPr>
        <w:t> </w:t>
      </w:r>
      <w:r>
        <w:rPr>
          <w:spacing w:val="42"/>
        </w:rPr>
      </w:r>
      <w:r>
        <w:rPr>
          <w:spacing w:val="-4"/>
        </w:rPr>
        <w:t>体、医共体为核心的分级诊疗体系，落实优质医疗资源的多样化下沉；提升医疗卫生治理体系和服务水平现代化，优化资源</w:t>
      </w:r>
      <w:r>
        <w:rPr>
          <w:spacing w:val="40"/>
        </w:rPr>
        <w:t> </w:t>
      </w:r>
      <w:r>
        <w:rPr>
          <w:spacing w:val="40"/>
        </w:rPr>
      </w:r>
      <w:r>
        <w:rPr>
          <w:spacing w:val="-3"/>
        </w:rPr>
        <w:t>配置，提高服务效率，创新服务模式，满足人民群众日益增长的医疗卫生健康需求。</w:t>
      </w:r>
    </w:p>
    <w:p>
      <w:pPr>
        <w:spacing w:line="338" w:lineRule="auto" w:before="60"/>
        <w:ind w:left="513" w:right="0" w:firstLine="4"/>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、客户的以上情况变化对公司当期以及未来发展的影响</w:t>
      </w:r>
      <w:r>
        <w:rPr>
          <w:rFonts w:ascii="宋体" w:hAnsi="宋体" w:cs="宋体" w:eastAsia="宋体" w:hint="default"/>
          <w:b/>
          <w:bCs/>
          <w:w w:val="100"/>
          <w:sz w:val="18"/>
          <w:szCs w:val="18"/>
        </w:rPr>
        <w:t> </w:t>
      </w:r>
      <w:r>
        <w:rPr>
          <w:rFonts w:ascii="宋体" w:hAnsi="宋体" w:cs="宋体" w:eastAsia="宋体" w:hint="default"/>
          <w:spacing w:val="-4"/>
          <w:sz w:val="18"/>
          <w:szCs w:val="18"/>
        </w:rPr>
        <w:t>在深化医药卫生体制改革的背景下，人民群众多层次、多样化的健康需求不断增长，医疗信息化发展方向和行业标准不</w:t>
      </w:r>
    </w:p>
    <w:p>
      <w:pPr>
        <w:pStyle w:val="BodyText"/>
        <w:spacing w:line="316" w:lineRule="auto" w:before="2"/>
        <w:ind w:right="1124"/>
        <w:jc w:val="both"/>
      </w:pPr>
      <w:r>
        <w:rPr>
          <w:spacing w:val="-4"/>
        </w:rPr>
        <w:t>断明晰和规范，市场建设需求将持续稳定增长。基于公司的核心价值和深厚的行业积累，公司在医疗信息化市场及相关领域</w:t>
      </w:r>
      <w:r>
        <w:rPr>
          <w:spacing w:val="43"/>
        </w:rPr>
        <w:t> </w:t>
      </w:r>
      <w:r>
        <w:rPr>
          <w:spacing w:val="43"/>
        </w:rPr>
      </w:r>
      <w:r>
        <w:rPr>
          <w:spacing w:val="-3"/>
        </w:rPr>
        <w:t>的创新业务方面将迎来持续发展空间和机遇。</w:t>
      </w:r>
    </w:p>
    <w:p>
      <w:pPr>
        <w:pStyle w:val="BodyText"/>
        <w:spacing w:line="319" w:lineRule="auto" w:before="62"/>
        <w:ind w:right="1037" w:firstLine="364"/>
        <w:jc w:val="left"/>
      </w:pPr>
      <w:r>
        <w:rPr>
          <w:rFonts w:ascii="Times New Roman" w:hAnsi="Times New Roman" w:cs="Times New Roman" w:eastAsia="Times New Roman" w:hint="default"/>
          <w:b/>
          <w:bCs/>
        </w:rPr>
        <w:t>3</w:t>
      </w:r>
      <w:r>
        <w:rPr>
          <w:rFonts w:ascii="宋体" w:hAnsi="宋体" w:cs="宋体" w:eastAsia="宋体" w:hint="default"/>
          <w:b/>
          <w:bCs/>
        </w:rPr>
        <w:t>、公司针对上述影响所采取的措施</w:t>
      </w:r>
      <w:r>
        <w:rPr>
          <w:rFonts w:ascii="宋体" w:hAnsi="宋体" w:cs="宋体" w:eastAsia="宋体" w:hint="default"/>
          <w:b/>
          <w:bCs/>
          <w:w w:val="100"/>
        </w:rPr>
        <w:t> </w:t>
      </w:r>
      <w:r>
        <w:rPr>
          <w:spacing w:val="-4"/>
        </w:rPr>
        <w:t>针对上述影响，公司将在</w:t>
      </w:r>
      <w:r>
        <w:rPr>
          <w:rFonts w:ascii="Times New Roman" w:hAnsi="Times New Roman" w:cs="Times New Roman" w:eastAsia="Times New Roman" w:hint="default"/>
          <w:spacing w:val="-4"/>
        </w:rPr>
        <w:t>“</w:t>
      </w:r>
      <w:r>
        <w:rPr>
          <w:spacing w:val="-4"/>
        </w:rPr>
        <w:t>智慧医院</w:t>
      </w:r>
      <w:r>
        <w:rPr>
          <w:rFonts w:ascii="Times New Roman" w:hAnsi="Times New Roman" w:cs="Times New Roman" w:eastAsia="Times New Roman" w:hint="default"/>
          <w:spacing w:val="-4"/>
        </w:rPr>
        <w:t>”</w:t>
      </w:r>
      <w:r>
        <w:rPr>
          <w:spacing w:val="-4"/>
        </w:rPr>
        <w:t>领域和</w:t>
      </w:r>
      <w:r>
        <w:rPr>
          <w:rFonts w:ascii="Times New Roman" w:hAnsi="Times New Roman" w:cs="Times New Roman" w:eastAsia="Times New Roman" w:hint="default"/>
          <w:spacing w:val="-4"/>
        </w:rPr>
        <w:t>“</w:t>
      </w:r>
      <w:r>
        <w:rPr>
          <w:spacing w:val="-4"/>
        </w:rPr>
        <w:t>城市级智慧医疗</w:t>
      </w:r>
      <w:r>
        <w:rPr>
          <w:rFonts w:ascii="Times New Roman" w:hAnsi="Times New Roman" w:cs="Times New Roman" w:eastAsia="Times New Roman" w:hint="default"/>
          <w:spacing w:val="-4"/>
        </w:rPr>
        <w:t>”</w:t>
      </w:r>
      <w:r>
        <w:rPr>
          <w:spacing w:val="-4"/>
        </w:rPr>
        <w:t>领域持续发力，推出基于新技术的新产品和新服务为客户创造</w:t>
      </w:r>
      <w:r>
        <w:rPr>
          <w:spacing w:val="3"/>
        </w:rPr>
        <w:t> </w:t>
      </w:r>
      <w:r>
        <w:rPr>
          <w:spacing w:val="3"/>
        </w:rPr>
      </w:r>
      <w:r>
        <w:rPr>
          <w:spacing w:val="-5"/>
        </w:rPr>
        <w:t>更大价值。公司计划积极研发并不断完善符合未来分级诊疗、医联体、医共体、远程医疗、互联网医疗、处方外流、综合控</w:t>
      </w:r>
      <w:r>
        <w:rPr>
          <w:spacing w:val="4"/>
        </w:rPr>
        <w:t> </w:t>
      </w:r>
      <w:r>
        <w:rPr>
          <w:spacing w:val="4"/>
        </w:rPr>
      </w:r>
      <w:r>
        <w:rPr>
          <w:spacing w:val="-4"/>
        </w:rPr>
        <w:t>费等新理念的整体解决方案，搭建相关的业务流程，从产品和服务的综合方案提供方逐步向综合服务整合及运营方进化，提</w:t>
      </w:r>
      <w:r>
        <w:rPr>
          <w:spacing w:val="43"/>
        </w:rPr>
        <w:t> </w:t>
      </w:r>
      <w:r>
        <w:rPr>
          <w:spacing w:val="43"/>
        </w:rPr>
      </w:r>
      <w:r>
        <w:rPr>
          <w:spacing w:val="-4"/>
        </w:rPr>
        <w:t>升医疗健康服务效率，在合规的框架下充分挖掘数据价值，以构造生态的多方共赢方式实现商业模式的创新和盈利能力的提</w:t>
      </w:r>
      <w:r>
        <w:rPr>
          <w:spacing w:val="38"/>
        </w:rPr>
        <w:t> </w:t>
      </w:r>
      <w:r>
        <w:rPr>
          <w:spacing w:val="38"/>
        </w:rPr>
      </w:r>
      <w:r>
        <w:rPr/>
        <w:t>升。</w:t>
      </w:r>
    </w:p>
    <w:p>
      <w:pPr>
        <w:spacing w:line="240" w:lineRule="auto" w:before="11"/>
        <w:rPr>
          <w:rFonts w:ascii="宋体" w:hAnsi="宋体" w:cs="宋体" w:eastAsia="宋体" w:hint="default"/>
          <w:sz w:val="19"/>
          <w:szCs w:val="19"/>
        </w:rPr>
      </w:pPr>
    </w:p>
    <w:p>
      <w:pPr>
        <w:pStyle w:val="Heading2"/>
        <w:spacing w:line="240" w:lineRule="auto"/>
        <w:ind w:right="0"/>
        <w:jc w:val="both"/>
        <w:rPr>
          <w:b w:val="0"/>
          <w:bCs w:val="0"/>
        </w:rPr>
      </w:pPr>
      <w:bookmarkStart w:name="二、主要资产重大变化情况" w:id="17"/>
      <w:bookmarkEnd w:id="17"/>
      <w:r>
        <w:rPr>
          <w:b w:val="0"/>
          <w:bCs w:val="0"/>
        </w:rPr>
      </w:r>
      <w:r>
        <w:rPr/>
        <w:t>二、主要资产重大变化情况</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0"/>
        <w:jc w:val="both"/>
        <w:rPr>
          <w:b w:val="0"/>
          <w:bCs w:val="0"/>
        </w:rPr>
      </w:pPr>
      <w:bookmarkStart w:name="1、主要资产重大变化情况" w:id="18"/>
      <w:bookmarkEnd w:id="18"/>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30"/>
        <w:gridCol w:w="6528"/>
      </w:tblGrid>
      <w:tr>
        <w:trPr>
          <w:trHeight w:val="188" w:hRule="exact"/>
        </w:trPr>
        <w:tc>
          <w:tcPr>
            <w:tcW w:w="30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30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7" w:hRule="exact"/>
        </w:trPr>
        <w:tc>
          <w:tcPr>
            <w:tcW w:w="30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3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403" w:hRule="exact"/>
        </w:trPr>
        <w:tc>
          <w:tcPr>
            <w:tcW w:w="3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404" w:hRule="exact"/>
        </w:trPr>
        <w:tc>
          <w:tcPr>
            <w:tcW w:w="3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403" w:hRule="exact"/>
        </w:trPr>
        <w:tc>
          <w:tcPr>
            <w:tcW w:w="3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b/>
          <w:bCs/>
          <w:sz w:val="25"/>
          <w:szCs w:val="25"/>
        </w:rPr>
      </w:pPr>
    </w:p>
    <w:p>
      <w:pPr>
        <w:pStyle w:val="Heading4"/>
        <w:spacing w:line="240" w:lineRule="auto" w:before="36"/>
        <w:ind w:right="0"/>
        <w:jc w:val="left"/>
        <w:rPr>
          <w:b w:val="0"/>
          <w:bCs w:val="0"/>
        </w:rPr>
      </w:pPr>
      <w:bookmarkStart w:name="2、主要境外资产情况" w:id="19"/>
      <w:bookmarkEnd w:id="19"/>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3"/>
        <w:rPr>
          <w:rFonts w:ascii="宋体" w:hAnsi="宋体" w:cs="宋体" w:eastAsia="宋体" w:hint="default"/>
          <w:sz w:val="22"/>
          <w:szCs w:val="22"/>
        </w:rPr>
      </w:pPr>
    </w:p>
    <w:p>
      <w:pPr>
        <w:pStyle w:val="Heading2"/>
        <w:spacing w:line="240" w:lineRule="auto"/>
        <w:ind w:right="0"/>
        <w:jc w:val="left"/>
        <w:rPr>
          <w:b w:val="0"/>
          <w:bCs w:val="0"/>
        </w:rPr>
      </w:pPr>
      <w:bookmarkStart w:name="三、核心竞争力分析" w:id="20"/>
      <w:bookmarkEnd w:id="20"/>
      <w:r>
        <w:rPr>
          <w:b w:val="0"/>
          <w:bCs w:val="0"/>
        </w:rPr>
      </w:r>
      <w:r>
        <w:rPr/>
        <w:t>三、核心竞争力分析</w:t>
      </w:r>
      <w:r>
        <w:rPr>
          <w:b w:val="0"/>
          <w:bCs w:val="0"/>
        </w:rPr>
      </w:r>
    </w:p>
    <w:p>
      <w:pPr>
        <w:spacing w:line="240" w:lineRule="auto" w:before="7"/>
        <w:rPr>
          <w:rFonts w:ascii="宋体" w:hAnsi="宋体" w:cs="宋体" w:eastAsia="宋体" w:hint="default"/>
          <w:b/>
          <w:bCs/>
          <w:sz w:val="27"/>
          <w:szCs w:val="27"/>
        </w:rPr>
      </w:pPr>
    </w:p>
    <w:p>
      <w:pPr>
        <w:pStyle w:val="BodyText"/>
        <w:spacing w:line="333" w:lineRule="auto"/>
        <w:ind w:left="647" w:right="0"/>
        <w:jc w:val="left"/>
      </w:pPr>
      <w:r>
        <w:rPr>
          <w:rFonts w:ascii="Times New Roman" w:hAnsi="Times New Roman" w:cs="Times New Roman" w:eastAsia="Times New Roman" w:hint="default"/>
          <w:spacing w:val="-3"/>
        </w:rPr>
        <w:t>1</w:t>
      </w:r>
      <w:r>
        <w:rPr>
          <w:spacing w:val="-3"/>
        </w:rPr>
        <w:t>、基于临床核心产品的整体解决方案能力</w:t>
      </w:r>
      <w:r>
        <w:rPr>
          <w:spacing w:val="-29"/>
        </w:rPr>
        <w:t> </w:t>
      </w:r>
      <w:r>
        <w:rPr>
          <w:spacing w:val="-29"/>
        </w:rPr>
      </w:r>
      <w:r>
        <w:rPr>
          <w:spacing w:val="-4"/>
        </w:rPr>
        <w:t>公司基于对医疗机构的业务流程、组织编制、管理模式、技术环境和操作习惯等应用场景和业务的深刻理解，以临床</w:t>
      </w:r>
    </w:p>
    <w:p>
      <w:pPr>
        <w:pStyle w:val="BodyText"/>
        <w:spacing w:line="324" w:lineRule="auto" w:before="6"/>
        <w:ind w:right="1037"/>
        <w:jc w:val="left"/>
      </w:pPr>
      <w:r>
        <w:rPr>
          <w:spacing w:val="-5"/>
        </w:rPr>
        <w:t>数据的互联互通为核心，根据数据采集、融合、应用的思路，为医疗机构提供具有顶层设计的全院级别智慧医院整体解决方</w:t>
      </w:r>
      <w:r>
        <w:rPr>
          <w:spacing w:val="4"/>
        </w:rPr>
        <w:t> </w:t>
      </w:r>
      <w:r>
        <w:rPr>
          <w:spacing w:val="4"/>
        </w:rPr>
      </w:r>
      <w:r>
        <w:rPr/>
        <w:t>案。</w:t>
      </w:r>
    </w:p>
    <w:p>
      <w:pPr>
        <w:pStyle w:val="BodyText"/>
        <w:spacing w:line="319" w:lineRule="auto" w:before="52"/>
        <w:ind w:right="1123" w:firstLine="494"/>
        <w:jc w:val="both"/>
      </w:pPr>
      <w:r>
        <w:rPr>
          <w:spacing w:val="-4"/>
        </w:rPr>
        <w:t>首先，基于公司顾问式的咨询服务能力，整体解决方案的顶层设计思路使得公司与医院之间不仅是简单的产品销售关</w:t>
      </w:r>
      <w:r>
        <w:rPr>
          <w:w w:val="101"/>
        </w:rPr>
        <w:t> </w:t>
      </w:r>
      <w:r>
        <w:rPr>
          <w:spacing w:val="-5"/>
        </w:rPr>
        <w:t>系，而是包括需求分析、流程优化、方案设计、定制化开发、系统实施、总体运维等环节在内的全方位合作。公司整体解决</w:t>
      </w:r>
      <w:r>
        <w:rPr>
          <w:spacing w:val="4"/>
        </w:rPr>
        <w:t> </w:t>
      </w:r>
      <w:r>
        <w:rPr>
          <w:spacing w:val="4"/>
        </w:rPr>
      </w:r>
      <w:r>
        <w:rPr>
          <w:spacing w:val="-4"/>
        </w:rPr>
        <w:t>方案定位于大型医院全院级别信息应用的系统工程，充分考虑了大型医院全科室、大门诊量、应用软件繁杂等业务特征，以</w:t>
      </w:r>
      <w:r>
        <w:rPr>
          <w:spacing w:val="40"/>
        </w:rPr>
        <w:t> </w:t>
      </w:r>
      <w:r>
        <w:rPr>
          <w:spacing w:val="40"/>
        </w:rPr>
      </w:r>
      <w:r>
        <w:rPr>
          <w:spacing w:val="-3"/>
        </w:rPr>
        <w:t>电子病历为核心，结合定制化需求开发，构建临床医疗管理信息平台。</w:t>
      </w:r>
    </w:p>
    <w:p>
      <w:pPr>
        <w:pStyle w:val="BodyText"/>
        <w:spacing w:line="312" w:lineRule="auto" w:before="51"/>
        <w:ind w:right="1123" w:firstLine="571"/>
        <w:jc w:val="both"/>
      </w:pPr>
      <w:r>
        <w:rPr>
          <w:spacing w:val="-1"/>
        </w:rPr>
        <w:t>其次，凭借以自有临床产品为核心的整体解决方案，公司占据了医疗信息化建设的核心位置。临床数据处理是医院</w:t>
      </w:r>
      <w:r>
        <w:rPr>
          <w:w w:val="101"/>
        </w:rPr>
        <w:t> </w:t>
      </w:r>
      <w:r>
        <w:rPr>
          <w:spacing w:val="-4"/>
        </w:rPr>
        <w:t>信息系统的核心，公司的高端结构化电子病历系统是医院医护人员的临床业务操作系统，是医护一体化的业务管理平台，是</w:t>
      </w:r>
      <w:r>
        <w:rPr>
          <w:spacing w:val="43"/>
        </w:rPr>
        <w:t> </w:t>
      </w:r>
      <w:r>
        <w:rPr>
          <w:spacing w:val="43"/>
        </w:rPr>
      </w:r>
      <w:r>
        <w:rPr>
          <w:spacing w:val="-5"/>
        </w:rPr>
        <w:t>完整纪录临床行为、完整采集并融合临床数据的医院核心业务系统。公司通过集成平台与</w:t>
      </w:r>
      <w:r>
        <w:rPr>
          <w:rFonts w:ascii="Times New Roman" w:hAnsi="Times New Roman" w:cs="Times New Roman" w:eastAsia="Times New Roman" w:hint="default"/>
          <w:spacing w:val="-5"/>
        </w:rPr>
        <w:t>HIS</w:t>
      </w:r>
      <w:r>
        <w:rPr>
          <w:spacing w:val="-5"/>
        </w:rPr>
        <w:t>（医院信息系统）、</w:t>
      </w:r>
      <w:r>
        <w:rPr>
          <w:rFonts w:ascii="Times New Roman" w:hAnsi="Times New Roman" w:cs="Times New Roman" w:eastAsia="Times New Roman" w:hint="default"/>
          <w:spacing w:val="-5"/>
        </w:rPr>
        <w:t>PACS</w:t>
      </w:r>
      <w:r>
        <w:rPr>
          <w:spacing w:val="-5"/>
        </w:rPr>
        <w:t>（影</w:t>
      </w:r>
      <w:r>
        <w:rPr/>
        <w:t> </w:t>
      </w:r>
      <w:r>
        <w:rPr>
          <w:spacing w:val="-1"/>
        </w:rPr>
        <w:t>像存档传输系统）、</w:t>
      </w:r>
      <w:r>
        <w:rPr>
          <w:rFonts w:ascii="Times New Roman" w:hAnsi="Times New Roman" w:cs="Times New Roman" w:eastAsia="Times New Roman" w:hint="default"/>
          <w:spacing w:val="-1"/>
        </w:rPr>
        <w:t>RIS</w:t>
      </w:r>
      <w:r>
        <w:rPr>
          <w:spacing w:val="-1"/>
        </w:rPr>
        <w:t>（放射信息系统）、</w:t>
      </w:r>
      <w:r>
        <w:rPr>
          <w:rFonts w:ascii="Times New Roman" w:hAnsi="Times New Roman" w:cs="Times New Roman" w:eastAsia="Times New Roman" w:hint="default"/>
          <w:spacing w:val="-1"/>
        </w:rPr>
        <w:t>LIS</w:t>
      </w:r>
      <w:r>
        <w:rPr>
          <w:spacing w:val="-1"/>
        </w:rPr>
        <w:t>（检验信息系统）等众多医院其他信息系统进行数据的实时、双向的互联</w:t>
      </w:r>
      <w:r>
        <w:rPr>
          <w:spacing w:val="56"/>
        </w:rPr>
        <w:t> </w:t>
      </w:r>
      <w:r>
        <w:rPr>
          <w:spacing w:val="56"/>
        </w:rPr>
      </w:r>
      <w:r>
        <w:rPr>
          <w:spacing w:val="-8"/>
        </w:rPr>
        <w:t>互通；将病人分散在各个系统中的数据按照一元化、标准化、结构化的原则进行数据的采集、融合，形成院级临床数据中心，</w:t>
      </w:r>
      <w:r>
        <w:rPr>
          <w:spacing w:val="5"/>
        </w:rPr>
        <w:t> </w:t>
      </w:r>
      <w:r>
        <w:rPr>
          <w:spacing w:val="5"/>
        </w:rPr>
      </w:r>
      <w:r>
        <w:rPr>
          <w:spacing w:val="-3"/>
        </w:rPr>
        <w:t>并统一从数据中心支撑各项数据应用。</w:t>
      </w:r>
    </w:p>
    <w:p>
      <w:pPr>
        <w:pStyle w:val="BodyText"/>
        <w:spacing w:line="319" w:lineRule="auto" w:before="56"/>
        <w:ind w:right="1123" w:firstLine="494"/>
        <w:jc w:val="both"/>
      </w:pPr>
      <w:r>
        <w:rPr>
          <w:spacing w:val="-4"/>
        </w:rPr>
        <w:t>公司紧跟互联网技术发展与应用，结合医疗机构的业务需求，将医院的院内诊疗服务延伸至线上和院外。公司的云医</w:t>
      </w:r>
      <w:r>
        <w:rPr>
          <w:w w:val="101"/>
        </w:rPr>
        <w:t> </w:t>
      </w:r>
      <w:r>
        <w:rPr>
          <w:spacing w:val="-4"/>
        </w:rPr>
        <w:t>院解决方案将通过互联网工具向患者提供分时段预约挂号、排队叫号、就诊导航、报告查询、历次电子病历查询、在线综合</w:t>
      </w:r>
      <w:r>
        <w:rPr>
          <w:spacing w:val="40"/>
        </w:rPr>
        <w:t> </w:t>
      </w:r>
      <w:r>
        <w:rPr>
          <w:spacing w:val="40"/>
        </w:rPr>
      </w:r>
      <w:r>
        <w:rPr>
          <w:spacing w:val="-3"/>
        </w:rPr>
        <w:t>支付、随访及满意度点评、医患互动等各种惠民就医服务，帮助医院提高患者服务能力和服务水平。</w:t>
      </w:r>
    </w:p>
    <w:p>
      <w:pPr>
        <w:pStyle w:val="BodyText"/>
        <w:spacing w:line="324" w:lineRule="auto" w:before="55"/>
        <w:ind w:right="1129" w:firstLine="494"/>
        <w:jc w:val="both"/>
      </w:pPr>
      <w:r>
        <w:rPr>
          <w:spacing w:val="-4"/>
        </w:rPr>
        <w:t>随着医疗机构的集团化发展的趋势与政府监管的新变化新要求，公司发展了集团化医院、医联体、医共体、城市级智</w:t>
      </w:r>
      <w:r>
        <w:rPr>
          <w:w w:val="101"/>
        </w:rPr>
        <w:t> </w:t>
      </w:r>
      <w:r>
        <w:rPr>
          <w:spacing w:val="-3"/>
        </w:rPr>
        <w:t>慧医疗等多种业务形态的解决方案，将公司在院内的流程、系统、数据的服务能力延伸至院间和区域。</w:t>
      </w:r>
    </w:p>
    <w:p>
      <w:pPr>
        <w:pStyle w:val="BodyText"/>
        <w:spacing w:line="333" w:lineRule="auto" w:before="52"/>
        <w:ind w:left="647" w:right="0"/>
        <w:jc w:val="left"/>
      </w:pPr>
      <w:r>
        <w:rPr>
          <w:rFonts w:ascii="Times New Roman" w:hAnsi="Times New Roman" w:cs="Times New Roman" w:eastAsia="Times New Roman" w:hint="default"/>
          <w:spacing w:val="-3"/>
        </w:rPr>
        <w:t>2</w:t>
      </w:r>
      <w:r>
        <w:rPr>
          <w:spacing w:val="-3"/>
        </w:rPr>
        <w:t>、先进的技术水平与持续的创新能力</w:t>
      </w:r>
      <w:r>
        <w:rPr>
          <w:spacing w:val="-35"/>
        </w:rPr>
        <w:t> </w:t>
      </w:r>
      <w:r>
        <w:rPr>
          <w:spacing w:val="-35"/>
        </w:rPr>
      </w:r>
      <w:r>
        <w:rPr>
          <w:spacing w:val="-4"/>
        </w:rPr>
        <w:t>不同于标准化产品起步的软件产品公司技术路线，公司产品在研发设计之初即以医院客户的临床需求为导向，以一流</w:t>
      </w:r>
    </w:p>
    <w:p>
      <w:pPr>
        <w:pStyle w:val="BodyText"/>
        <w:spacing w:line="319" w:lineRule="auto" w:before="6"/>
        <w:ind w:right="1124"/>
        <w:jc w:val="both"/>
      </w:pPr>
      <w:r>
        <w:rPr>
          <w:spacing w:val="-4"/>
        </w:rPr>
        <w:t>医院客户为产品迭代成熟环境，以医护人员的实际业务操作效果为检验，公司的产品及方案的应用水平和适配性在行业中处</w:t>
      </w:r>
      <w:r>
        <w:rPr>
          <w:spacing w:val="43"/>
        </w:rPr>
        <w:t> </w:t>
      </w:r>
      <w:r>
        <w:rPr>
          <w:spacing w:val="43"/>
        </w:rPr>
      </w:r>
      <w:r>
        <w:rPr>
          <w:spacing w:val="-4"/>
        </w:rPr>
        <w:t>于前列。公司电子病历系统参照原卫生部电子病历评级规范的最高级要求进行设计、开发，拥有独立医疗数据中心和信息集</w:t>
      </w:r>
      <w:r>
        <w:rPr>
          <w:spacing w:val="43"/>
        </w:rPr>
        <w:t> </w:t>
      </w:r>
      <w:r>
        <w:rPr>
          <w:spacing w:val="43"/>
        </w:rPr>
      </w:r>
      <w:r>
        <w:rPr>
          <w:spacing w:val="-4"/>
        </w:rPr>
        <w:t>成平台，符合国际规范的统一数据标准，实现完全结构化的医疗文档管理系统，便于临床信息的浏览和处理，适应标准更新</w:t>
      </w:r>
      <w:r>
        <w:rPr>
          <w:spacing w:val="40"/>
        </w:rPr>
        <w:t> </w:t>
      </w:r>
      <w:r>
        <w:rPr>
          <w:spacing w:val="40"/>
        </w:rPr>
      </w:r>
      <w:r>
        <w:rPr>
          <w:spacing w:val="-3"/>
        </w:rPr>
        <w:t>和流程变化的可扩展性，能够实现多种临床功能和医嘱闭环管理，支持区域医疗信息平台扩展。</w:t>
      </w:r>
    </w:p>
    <w:p>
      <w:pPr>
        <w:pStyle w:val="BodyText"/>
        <w:spacing w:line="309" w:lineRule="auto" w:before="55"/>
        <w:ind w:right="1123" w:firstLine="494"/>
        <w:jc w:val="both"/>
      </w:pPr>
      <w:r>
        <w:rPr>
          <w:spacing w:val="-4"/>
        </w:rPr>
        <w:t>同时，公司在与国内顶尖大型三甲医院的合作过程中，加强了对医院的医疗信息化需求的把握和对临床业务流程的理</w:t>
      </w:r>
      <w:r>
        <w:rPr>
          <w:w w:val="101"/>
        </w:rPr>
        <w:t> </w:t>
      </w:r>
      <w:r>
        <w:rPr>
          <w:spacing w:val="-4"/>
        </w:rPr>
        <w:t>解，能够借助丰富的医疗专家资源与珍贵的临床试验机会有效降低公司的研发风险，大幅提高了公司的研发效率与产品适用</w:t>
      </w:r>
      <w:r>
        <w:rPr>
          <w:spacing w:val="42"/>
        </w:rPr>
        <w:t> </w:t>
      </w:r>
      <w:r>
        <w:rPr>
          <w:spacing w:val="42"/>
        </w:rPr>
      </w:r>
      <w:r>
        <w:rPr>
          <w:spacing w:val="-2"/>
        </w:rPr>
        <w:t>性。公司基于原有电子病历系统开发的</w:t>
      </w:r>
      <w:r>
        <w:rPr>
          <w:rFonts w:ascii="Times New Roman" w:hAnsi="Times New Roman" w:cs="Times New Roman" w:eastAsia="Times New Roman" w:hint="default"/>
          <w:spacing w:val="-2"/>
        </w:rPr>
        <w:t>HIS(</w:t>
      </w:r>
      <w:r>
        <w:rPr>
          <w:spacing w:val="-2"/>
        </w:rPr>
        <w:t>医院信息系统</w:t>
      </w:r>
      <w:r>
        <w:rPr>
          <w:rFonts w:ascii="Times New Roman" w:hAnsi="Times New Roman" w:cs="Times New Roman" w:eastAsia="Times New Roman" w:hint="default"/>
          <w:spacing w:val="-2"/>
        </w:rPr>
        <w:t>)</w:t>
      </w:r>
      <w:r>
        <w:rPr>
          <w:spacing w:val="-2"/>
        </w:rPr>
        <w:t>和电子病历系统一体化的新一代医院信息系统，是国内目前规模</w:t>
      </w:r>
      <w:r>
        <w:rPr>
          <w:spacing w:val="65"/>
        </w:rPr>
        <w:t> </w:t>
      </w:r>
      <w:r>
        <w:rPr>
          <w:spacing w:val="65"/>
        </w:rPr>
      </w:r>
      <w:r>
        <w:rPr>
          <w:spacing w:val="-2"/>
        </w:rPr>
        <w:t>最大的基于</w:t>
      </w:r>
      <w:r>
        <w:rPr>
          <w:rFonts w:ascii="Times New Roman" w:hAnsi="Times New Roman" w:cs="Times New Roman" w:eastAsia="Times New Roman" w:hint="default"/>
          <w:spacing w:val="-2"/>
        </w:rPr>
        <w:t>HTML5</w:t>
      </w:r>
      <w:r>
        <w:rPr>
          <w:spacing w:val="-2"/>
        </w:rPr>
        <w:t>和云计算技术的新一代医院核心业务系统，支持云部署、集团化医院和医联体的应用。同时，该系统将</w:t>
      </w:r>
      <w:r>
        <w:rPr>
          <w:spacing w:val="52"/>
        </w:rPr>
        <w:t> </w:t>
      </w:r>
      <w:r>
        <w:rPr>
          <w:spacing w:val="52"/>
        </w:rPr>
      </w:r>
      <w:r>
        <w:rPr>
          <w:spacing w:val="-4"/>
        </w:rPr>
        <w:t>急诊系统、分诊、移动医疗、临床路径、</w:t>
      </w:r>
      <w:r>
        <w:rPr>
          <w:rFonts w:ascii="Times New Roman" w:hAnsi="Times New Roman" w:cs="Times New Roman" w:eastAsia="Times New Roman" w:hint="default"/>
          <w:spacing w:val="-4"/>
        </w:rPr>
        <w:t>HRP</w:t>
      </w:r>
      <w:r>
        <w:rPr>
          <w:spacing w:val="-4"/>
        </w:rPr>
        <w:t>（医院资源管理系统）、感染监控等业务系统整体纳入一体化系统的业务管理</w:t>
      </w:r>
      <w:r>
        <w:rPr>
          <w:spacing w:val="56"/>
        </w:rPr>
        <w:t> </w:t>
      </w:r>
      <w:r>
        <w:rPr>
          <w:spacing w:val="56"/>
        </w:rPr>
      </w:r>
      <w:r>
        <w:rPr>
          <w:spacing w:val="-3"/>
        </w:rPr>
        <w:t>范围，形成了医院核心业务的一体化管理系统。</w:t>
      </w:r>
    </w:p>
    <w:p>
      <w:pPr>
        <w:pStyle w:val="BodyText"/>
        <w:spacing w:line="333" w:lineRule="auto" w:before="62"/>
        <w:ind w:left="647" w:right="0"/>
        <w:jc w:val="left"/>
      </w:pPr>
      <w:r>
        <w:rPr>
          <w:rFonts w:ascii="Times New Roman" w:hAnsi="Times New Roman" w:cs="Times New Roman" w:eastAsia="Times New Roman" w:hint="default"/>
        </w:rPr>
        <w:t>3</w:t>
      </w:r>
      <w:r>
        <w:rPr/>
        <w:t>、全生命周期的管家式服务水平</w:t>
      </w:r>
      <w:r>
        <w:rPr>
          <w:spacing w:val="-86"/>
        </w:rPr>
        <w:t> </w:t>
      </w:r>
      <w:r>
        <w:rPr>
          <w:spacing w:val="-86"/>
        </w:rPr>
      </w:r>
      <w:r>
        <w:rPr>
          <w:spacing w:val="-7"/>
        </w:rPr>
        <w:t>公司基于对客户需求的实时响应，为客户提供全生命周期的管家式服务，形成咨询、建设、优化、运维、升级的闭环。</w:t>
      </w:r>
    </w:p>
    <w:p>
      <w:pPr>
        <w:pStyle w:val="BodyText"/>
        <w:spacing w:line="319" w:lineRule="auto" w:before="6"/>
        <w:ind w:right="1123"/>
        <w:jc w:val="both"/>
      </w:pPr>
      <w:r>
        <w:rPr>
          <w:spacing w:val="-4"/>
        </w:rPr>
        <w:t>公司建立了成熟规范的市场化运作机制，在合作关系建立、客户需求调查、技术预研、项目实施、现场运维响应和技术服务</w:t>
      </w:r>
      <w:r>
        <w:rPr>
          <w:spacing w:val="40"/>
        </w:rPr>
        <w:t> </w:t>
      </w:r>
      <w:r>
        <w:rPr>
          <w:spacing w:val="40"/>
        </w:rPr>
      </w:r>
      <w:r>
        <w:rPr>
          <w:spacing w:val="-4"/>
        </w:rPr>
        <w:t>等环节均能较高效率的开展相关工作，满足了客户在服务效率等方面的要求。此外，公司依托项目开发和运维服务，全面及</w:t>
      </w:r>
      <w:r>
        <w:rPr>
          <w:spacing w:val="40"/>
        </w:rPr>
        <w:t> </w:t>
      </w:r>
      <w:r>
        <w:rPr>
          <w:spacing w:val="40"/>
        </w:rPr>
      </w:r>
      <w:r>
        <w:rPr>
          <w:spacing w:val="-4"/>
        </w:rPr>
        <w:t>时的收集了客户需求信息，通过深入分析有预见性地实施技术研发、针对性地开展技术攻关，提升了技术服务水平和客户满</w:t>
      </w:r>
      <w:r>
        <w:rPr>
          <w:spacing w:val="43"/>
        </w:rPr>
        <w:t> </w:t>
      </w:r>
      <w:r>
        <w:rPr>
          <w:spacing w:val="43"/>
        </w:rPr>
      </w:r>
      <w:r>
        <w:rPr>
          <w:spacing w:val="-3"/>
        </w:rPr>
        <w:t>意度。公司的服务质量取得了多家客户的好评，具备较为明显的服务优势。</w:t>
      </w:r>
    </w:p>
    <w:p>
      <w:pPr>
        <w:spacing w:after="0" w:line="319" w:lineRule="auto"/>
        <w:jc w:val="both"/>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pStyle w:val="BodyText"/>
        <w:spacing w:line="333" w:lineRule="auto" w:before="46"/>
        <w:ind w:left="647" w:right="0"/>
        <w:jc w:val="left"/>
      </w:pPr>
      <w:r>
        <w:rPr>
          <w:rFonts w:ascii="Times New Roman" w:hAnsi="Times New Roman" w:cs="Times New Roman" w:eastAsia="Times New Roman" w:hint="default"/>
          <w:spacing w:val="-3"/>
        </w:rPr>
        <w:t>4</w:t>
      </w:r>
      <w:r>
        <w:rPr>
          <w:spacing w:val="-3"/>
        </w:rPr>
        <w:t>、具有优质客户资源与良好品牌形象</w:t>
      </w:r>
      <w:r>
        <w:rPr>
          <w:spacing w:val="-35"/>
        </w:rPr>
        <w:t> </w:t>
      </w:r>
      <w:r>
        <w:rPr>
          <w:spacing w:val="-35"/>
        </w:rPr>
      </w:r>
      <w:r>
        <w:rPr>
          <w:spacing w:val="-4"/>
        </w:rPr>
        <w:t>经过多年的市场开拓和业务经营，公司已与军队系统医疗机构、浙江、湖南、天津、湖北、陕西、江西等地方的国内</w:t>
      </w:r>
    </w:p>
    <w:p>
      <w:pPr>
        <w:pStyle w:val="BodyText"/>
        <w:spacing w:line="319" w:lineRule="auto" w:before="6"/>
        <w:ind w:right="1123"/>
        <w:jc w:val="both"/>
      </w:pPr>
      <w:r>
        <w:rPr>
          <w:spacing w:val="-4"/>
        </w:rPr>
        <w:t>一流大型医疗机构建立了长期广泛的业务合作关系。公司在临床信息化领域技术储备丰富，特别是在军队和地方大型医疗机</w:t>
      </w:r>
      <w:r>
        <w:rPr>
          <w:spacing w:val="44"/>
        </w:rPr>
        <w:t> </w:t>
      </w:r>
      <w:r>
        <w:rPr>
          <w:spacing w:val="44"/>
        </w:rPr>
      </w:r>
      <w:r>
        <w:rPr>
          <w:spacing w:val="-4"/>
        </w:rPr>
        <w:t>构中，公司已积累了较多的成功案例，积累了成熟的实施管理经验，树立了良好的品牌形象。公司通过对大型医疗机构的需</w:t>
      </w:r>
      <w:r>
        <w:rPr>
          <w:spacing w:val="40"/>
        </w:rPr>
        <w:t> </w:t>
      </w:r>
      <w:r>
        <w:rPr>
          <w:spacing w:val="40"/>
        </w:rPr>
      </w:r>
      <w:r>
        <w:rPr>
          <w:spacing w:val="-2"/>
        </w:rPr>
        <w:t>求进行持续跟踪、</w:t>
      </w:r>
      <w:r>
        <w:rPr/>
        <w:t> </w:t>
      </w:r>
      <w:r>
        <w:rPr>
          <w:spacing w:val="-2"/>
        </w:rPr>
        <w:t>持续参与客户信息化建设的规划迭代，并针对性地实施产品开发、提供高质量的技术服务，与其保持了</w:t>
      </w:r>
      <w:r>
        <w:rPr>
          <w:spacing w:val="-65"/>
        </w:rPr>
        <w:t> </w:t>
      </w:r>
      <w:r>
        <w:rPr>
          <w:spacing w:val="-65"/>
        </w:rPr>
      </w:r>
      <w:r>
        <w:rPr>
          <w:spacing w:val="-4"/>
        </w:rPr>
        <w:t>稳定的合作关系。通过长期稳定的合作关系，公司也较早的深度挖掘了大型医疗机构的前沿需求，针对共性需求进行新产品</w:t>
      </w:r>
      <w:r>
        <w:rPr>
          <w:spacing w:val="44"/>
        </w:rPr>
        <w:t> </w:t>
      </w:r>
      <w:r>
        <w:rPr>
          <w:spacing w:val="44"/>
        </w:rPr>
      </w:r>
      <w:r>
        <w:rPr>
          <w:spacing w:val="-3"/>
        </w:rPr>
        <w:t>新业务的研发，从而保障了公司业务的持续发展和持续领先性。</w:t>
      </w:r>
    </w:p>
    <w:p>
      <w:pPr>
        <w:pStyle w:val="BodyText"/>
        <w:spacing w:line="321" w:lineRule="auto" w:before="60"/>
        <w:ind w:right="0" w:firstLine="494"/>
        <w:jc w:val="left"/>
      </w:pPr>
      <w:r>
        <w:rPr>
          <w:rFonts w:ascii="Times New Roman" w:hAnsi="Times New Roman" w:cs="Times New Roman" w:eastAsia="Times New Roman" w:hint="default"/>
          <w:spacing w:val="-3"/>
        </w:rPr>
        <w:t>5</w:t>
      </w:r>
      <w:r>
        <w:rPr>
          <w:spacing w:val="-3"/>
        </w:rPr>
        <w:t>、稳定的管理团队与高素质人才优势</w:t>
      </w:r>
      <w:r>
        <w:rPr>
          <w:w w:val="101"/>
        </w:rPr>
        <w:t> </w:t>
      </w:r>
      <w:r>
        <w:rPr>
          <w:spacing w:val="-4"/>
        </w:rPr>
        <w:t>公司管理团队有较高学历背景，行业经验丰富，团队稳定，战略规划清晰，规范意识较强。同时，医疗信息化业务需要兼具</w:t>
      </w:r>
      <w:r>
        <w:rPr>
          <w:spacing w:val="40"/>
        </w:rPr>
        <w:t> </w:t>
      </w:r>
      <w:r>
        <w:rPr>
          <w:spacing w:val="40"/>
        </w:rPr>
      </w:r>
      <w:r>
        <w:rPr>
          <w:spacing w:val="-4"/>
        </w:rPr>
        <w:t>信息技术和医疗业务的复合型人才，项目管理人员需具备丰富的大中型项目管理经验、较高的执行效率，能有效组织、部署</w:t>
      </w:r>
      <w:r>
        <w:rPr>
          <w:spacing w:val="40"/>
        </w:rPr>
        <w:t> </w:t>
      </w:r>
      <w:r>
        <w:rPr>
          <w:spacing w:val="40"/>
        </w:rPr>
      </w:r>
      <w:r>
        <w:rPr>
          <w:spacing w:val="-4"/>
        </w:rPr>
        <w:t>和开展项目工作；技术人员需要熟悉行业内的多种系统协议、标准和规范，熟练应用多种系统开发技术，对医疗机构的信息</w:t>
      </w:r>
      <w:r>
        <w:rPr>
          <w:spacing w:val="40"/>
        </w:rPr>
        <w:t> </w:t>
      </w:r>
      <w:r>
        <w:rPr>
          <w:spacing w:val="40"/>
        </w:rPr>
      </w:r>
      <w:r>
        <w:rPr>
          <w:spacing w:val="-8"/>
          <w:w w:val="101"/>
        </w:rPr>
        <w:t>化现状、业务流程、管理模式和使用习惯有清晰的了解；业务人员需要具备较强的沟通能力、文档交付能力和快速反应能力，</w:t>
      </w:r>
      <w:r>
        <w:rPr>
          <w:spacing w:val="-48"/>
          <w:w w:val="101"/>
        </w:rPr>
        <w:t> </w:t>
      </w:r>
      <w:r>
        <w:rPr>
          <w:spacing w:val="-48"/>
          <w:w w:val="101"/>
        </w:rPr>
      </w:r>
      <w:r>
        <w:rPr>
          <w:spacing w:val="-4"/>
        </w:rPr>
        <w:t>能够准确把握和深入挖掘客户信息化需求。公司经过多年的经验积累，现已构建了具有丰富项目实施经验和复合专业背景的</w:t>
      </w:r>
      <w:r>
        <w:rPr>
          <w:spacing w:val="43"/>
        </w:rPr>
        <w:t> </w:t>
      </w:r>
      <w:r>
        <w:rPr>
          <w:spacing w:val="43"/>
        </w:rPr>
      </w:r>
      <w:r>
        <w:rPr>
          <w:spacing w:val="-3"/>
        </w:rPr>
        <w:t>产品研发团队、解决方案咨询团队和现场实施团队，保证了公司项目销售、实施和产品研发的高效。</w:t>
      </w:r>
    </w:p>
    <w:p>
      <w:pPr>
        <w:spacing w:after="0" w:line="321"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Heading1"/>
        <w:spacing w:line="240" w:lineRule="auto"/>
        <w:ind w:left="3043" w:right="0"/>
        <w:jc w:val="left"/>
        <w:rPr>
          <w:b w:val="0"/>
          <w:bCs w:val="0"/>
        </w:rPr>
      </w:pPr>
      <w:bookmarkStart w:name="第四节经营情况讨论与分析" w:id="21"/>
      <w:bookmarkEnd w:id="21"/>
      <w:r>
        <w:rPr>
          <w:b w:val="0"/>
          <w:bCs w:val="0"/>
        </w:rPr>
      </w:r>
      <w:bookmarkStart w:name="_bookmark2" w:id="22"/>
      <w:bookmarkEnd w:id="22"/>
      <w:r>
        <w:rPr>
          <w:b w:val="0"/>
          <w:bCs w:val="0"/>
        </w:rPr>
      </w:r>
      <w:r>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pStyle w:val="Heading2"/>
        <w:spacing w:line="240" w:lineRule="auto" w:before="26"/>
        <w:ind w:right="0"/>
        <w:jc w:val="left"/>
        <w:rPr>
          <w:b w:val="0"/>
          <w:bCs w:val="0"/>
        </w:rPr>
      </w:pPr>
      <w:bookmarkStart w:name="一、概述" w:id="23"/>
      <w:bookmarkEnd w:id="23"/>
      <w:r>
        <w:rPr>
          <w:b w:val="0"/>
          <w:bCs w:val="0"/>
        </w:rPr>
      </w:r>
      <w:r>
        <w:rPr/>
        <w:t>一、概述</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left="575" w:right="0"/>
        <w:jc w:val="left"/>
      </w:pPr>
      <w:r>
        <w:rPr>
          <w:spacing w:val="-3"/>
        </w:rPr>
        <w:t>（一）总体经营情况</w:t>
      </w:r>
    </w:p>
    <w:p>
      <w:pPr>
        <w:pStyle w:val="BodyText"/>
        <w:spacing w:line="302" w:lineRule="auto" w:before="110"/>
        <w:ind w:right="1122" w:firstLine="360"/>
        <w:jc w:val="both"/>
      </w:pPr>
      <w:r>
        <w:rPr>
          <w:rFonts w:ascii="Times New Roman" w:hAnsi="Times New Roman" w:cs="Times New Roman" w:eastAsia="Times New Roman" w:hint="default"/>
          <w:spacing w:val="-4"/>
        </w:rPr>
        <w:t>2019</w:t>
      </w:r>
      <w:r>
        <w:rPr>
          <w:spacing w:val="-4"/>
        </w:rPr>
        <w:t>年，公司管理层根据发展战略，结合当期市场形势，致力于产品研发和市场拓展，在激烈的市场竞争环境下，报告</w:t>
      </w:r>
      <w:r>
        <w:rPr>
          <w:w w:val="101"/>
        </w:rPr>
        <w:t> </w:t>
      </w:r>
      <w:r>
        <w:rPr>
          <w:spacing w:val="-1"/>
        </w:rPr>
        <w:t>期内，公司实现营业收入</w:t>
      </w:r>
      <w:r>
        <w:rPr>
          <w:rFonts w:ascii="Times New Roman" w:hAnsi="Times New Roman" w:cs="Times New Roman" w:eastAsia="Times New Roman" w:hint="default"/>
          <w:spacing w:val="-1"/>
        </w:rPr>
        <w:t>44,095.98</w:t>
      </w:r>
      <w:r>
        <w:rPr>
          <w:spacing w:val="-1"/>
        </w:rPr>
        <w:t>万元，比上年同期增长</w:t>
      </w:r>
      <w:r>
        <w:rPr>
          <w:rFonts w:ascii="Times New Roman" w:hAnsi="Times New Roman" w:cs="Times New Roman" w:eastAsia="Times New Roman" w:hint="default"/>
          <w:spacing w:val="-1"/>
        </w:rPr>
        <w:t>12.66%</w:t>
      </w:r>
      <w:r>
        <w:rPr>
          <w:spacing w:val="-1"/>
        </w:rPr>
        <w:t>；实现营业利润</w:t>
      </w:r>
      <w:r>
        <w:rPr>
          <w:rFonts w:ascii="Times New Roman" w:hAnsi="Times New Roman" w:cs="Times New Roman" w:eastAsia="Times New Roman" w:hint="default"/>
          <w:spacing w:val="-1"/>
        </w:rPr>
        <w:t>4,527.98</w:t>
      </w:r>
      <w:r>
        <w:rPr>
          <w:spacing w:val="-1"/>
        </w:rPr>
        <w:t>万元，比上年同期增长</w:t>
      </w:r>
      <w:r>
        <w:rPr>
          <w:rFonts w:ascii="Times New Roman" w:hAnsi="Times New Roman" w:cs="Times New Roman" w:eastAsia="Times New Roman" w:hint="default"/>
          <w:spacing w:val="-1"/>
        </w:rPr>
        <w:t>4.21%</w:t>
      </w:r>
      <w:r>
        <w:rPr>
          <w:spacing w:val="-1"/>
        </w:rPr>
        <w:t>；实</w:t>
      </w:r>
      <w:r>
        <w:rPr>
          <w:spacing w:val="35"/>
        </w:rPr>
        <w:t> </w:t>
      </w:r>
      <w:r>
        <w:rPr>
          <w:spacing w:val="-1"/>
        </w:rPr>
        <w:t>现归属于上市公司股东的净利润</w:t>
      </w:r>
      <w:r>
        <w:rPr>
          <w:rFonts w:ascii="Times New Roman" w:hAnsi="Times New Roman" w:cs="Times New Roman" w:eastAsia="Times New Roman" w:hint="default"/>
          <w:spacing w:val="-1"/>
        </w:rPr>
        <w:t>4,123.48</w:t>
      </w:r>
      <w:r>
        <w:rPr>
          <w:spacing w:val="-1"/>
        </w:rPr>
        <w:t>万元，比上年同期增长</w:t>
      </w:r>
      <w:r>
        <w:rPr>
          <w:rFonts w:ascii="Times New Roman" w:hAnsi="Times New Roman" w:cs="Times New Roman" w:eastAsia="Times New Roman" w:hint="default"/>
          <w:spacing w:val="-1"/>
        </w:rPr>
        <w:t>1.96%</w:t>
      </w:r>
      <w:r>
        <w:rPr>
          <w:spacing w:val="-1"/>
        </w:rPr>
        <w:t>。截止</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日，公司资产总额为</w:t>
      </w:r>
      <w:r>
        <w:rPr>
          <w:rFonts w:ascii="Times New Roman" w:hAnsi="Times New Roman" w:cs="Times New Roman" w:eastAsia="Times New Roman" w:hint="default"/>
          <w:spacing w:val="-1"/>
        </w:rPr>
        <w:t>95,307.76</w:t>
      </w:r>
      <w:r>
        <w:rPr>
          <w:spacing w:val="-1"/>
        </w:rPr>
        <w:t>万</w:t>
      </w:r>
      <w:r>
        <w:rPr>
          <w:spacing w:val="61"/>
        </w:rPr>
        <w:t> </w:t>
      </w:r>
      <w:r>
        <w:rPr>
          <w:spacing w:val="-3"/>
        </w:rPr>
        <w:t>元，同比增长</w:t>
      </w:r>
      <w:r>
        <w:rPr>
          <w:rFonts w:ascii="Times New Roman" w:hAnsi="Times New Roman" w:cs="Times New Roman" w:eastAsia="Times New Roman" w:hint="default"/>
          <w:spacing w:val="-3"/>
        </w:rPr>
        <w:t>0.98%</w:t>
      </w:r>
      <w:r>
        <w:rPr>
          <w:spacing w:val="-3"/>
        </w:rPr>
        <w:t>。归属于上市公司股东的净资产</w:t>
      </w:r>
      <w:r>
        <w:rPr>
          <w:rFonts w:ascii="Times New Roman" w:hAnsi="Times New Roman" w:cs="Times New Roman" w:eastAsia="Times New Roman" w:hint="default"/>
          <w:spacing w:val="-3"/>
        </w:rPr>
        <w:t>61,827.76</w:t>
      </w:r>
      <w:r>
        <w:rPr>
          <w:spacing w:val="-3"/>
        </w:rPr>
        <w:t>万元</w:t>
      </w:r>
      <w:r>
        <w:rPr>
          <w:rFonts w:ascii="Times New Roman" w:hAnsi="Times New Roman" w:cs="Times New Roman" w:eastAsia="Times New Roman" w:hint="default"/>
          <w:spacing w:val="-3"/>
        </w:rPr>
        <w:t>,</w:t>
      </w:r>
      <w:r>
        <w:rPr>
          <w:spacing w:val="-3"/>
        </w:rPr>
        <w:t>同比增长</w:t>
      </w:r>
      <w:r>
        <w:rPr>
          <w:rFonts w:ascii="Times New Roman" w:hAnsi="Times New Roman" w:cs="Times New Roman" w:eastAsia="Times New Roman" w:hint="default"/>
          <w:spacing w:val="-3"/>
        </w:rPr>
        <w:t>12.99%</w:t>
      </w:r>
      <w:r>
        <w:rPr>
          <w:spacing w:val="-3"/>
        </w:rPr>
        <w:t>。</w:t>
      </w:r>
    </w:p>
    <w:p>
      <w:pPr>
        <w:pStyle w:val="BodyText"/>
        <w:spacing w:line="240" w:lineRule="auto" w:before="54"/>
        <w:ind w:left="575" w:right="0"/>
        <w:jc w:val="left"/>
      </w:pPr>
      <w:r>
        <w:rPr>
          <w:spacing w:val="-3"/>
        </w:rPr>
        <w:t>（二）重点工作回顾</w:t>
      </w:r>
    </w:p>
    <w:p>
      <w:pPr>
        <w:pStyle w:val="BodyText"/>
        <w:spacing w:line="333" w:lineRule="auto" w:before="115"/>
        <w:ind w:left="513" w:right="0" w:firstLine="62"/>
        <w:jc w:val="left"/>
      </w:pPr>
      <w:r>
        <w:rPr>
          <w:rFonts w:ascii="Times New Roman" w:hAnsi="Times New Roman" w:cs="Times New Roman" w:eastAsia="Times New Roman" w:hint="default"/>
          <w:spacing w:val="-3"/>
        </w:rPr>
        <w:t>1</w:t>
      </w:r>
      <w:r>
        <w:rPr>
          <w:spacing w:val="-3"/>
        </w:rPr>
        <w:t>、新产品与新技术的开发</w:t>
      </w:r>
      <w:r>
        <w:rPr>
          <w:w w:val="101"/>
        </w:rPr>
        <w:t> </w:t>
      </w:r>
      <w:r>
        <w:rPr>
          <w:spacing w:val="-4"/>
        </w:rPr>
        <w:t>报告期内，公司自主研发的新一代医院信息系统，进一步依托</w:t>
      </w:r>
      <w:r>
        <w:rPr>
          <w:rFonts w:ascii="Times New Roman" w:hAnsi="Times New Roman" w:cs="Times New Roman" w:eastAsia="Times New Roman" w:hint="default"/>
          <w:spacing w:val="-4"/>
        </w:rPr>
        <w:t>“</w:t>
      </w:r>
      <w:r>
        <w:rPr>
          <w:spacing w:val="-4"/>
        </w:rPr>
        <w:t>种子客户</w:t>
      </w:r>
      <w:r>
        <w:rPr>
          <w:rFonts w:ascii="Times New Roman" w:hAnsi="Times New Roman" w:cs="Times New Roman" w:eastAsia="Times New Roman" w:hint="default"/>
          <w:spacing w:val="-4"/>
        </w:rPr>
        <w:t>”</w:t>
      </w:r>
      <w:r>
        <w:rPr>
          <w:spacing w:val="-4"/>
        </w:rPr>
        <w:t>，不断持续深化应用、优化流程和探索大数据</w:t>
      </w:r>
    </w:p>
    <w:p>
      <w:pPr>
        <w:pStyle w:val="BodyText"/>
        <w:spacing w:line="234" w:lineRule="exact"/>
        <w:ind w:right="0"/>
        <w:jc w:val="left"/>
      </w:pPr>
      <w:r>
        <w:rPr>
          <w:spacing w:val="-5"/>
        </w:rPr>
        <w:t>的应用。目前，该系统作为以电子病历为核心、覆盖传统</w:t>
      </w:r>
      <w:r>
        <w:rPr>
          <w:rFonts w:ascii="Times New Roman" w:hAnsi="Times New Roman" w:cs="Times New Roman" w:eastAsia="Times New Roman" w:hint="default"/>
          <w:spacing w:val="-5"/>
        </w:rPr>
        <w:t>“HIS+EMRS+</w:t>
      </w:r>
      <w:r>
        <w:rPr>
          <w:spacing w:val="-5"/>
        </w:rPr>
        <w:t>互联网医院</w:t>
      </w:r>
      <w:r>
        <w:rPr>
          <w:rFonts w:ascii="Times New Roman" w:hAnsi="Times New Roman" w:cs="Times New Roman" w:eastAsia="Times New Roman" w:hint="default"/>
          <w:spacing w:val="-5"/>
        </w:rPr>
        <w:t>”</w:t>
      </w:r>
      <w:r>
        <w:rPr>
          <w:spacing w:val="-5"/>
        </w:rPr>
        <w:t>的医院全流程核心业务一体化操作平台，</w:t>
      </w:r>
    </w:p>
    <w:p>
      <w:pPr>
        <w:pStyle w:val="BodyText"/>
        <w:spacing w:line="309" w:lineRule="auto" w:before="63"/>
        <w:ind w:right="0"/>
        <w:jc w:val="left"/>
      </w:pPr>
      <w:r>
        <w:rPr>
          <w:spacing w:val="-3"/>
        </w:rPr>
        <w:t>在应用场景上可满足集团化医院的一体化管理，并能快速搭建和实现包括全流程刷脸就医、基于统一信用平台的信用就医、</w:t>
      </w:r>
      <w:r>
        <w:rPr>
          <w:spacing w:val="76"/>
        </w:rPr>
        <w:t> </w:t>
      </w:r>
      <w:r>
        <w:rPr>
          <w:spacing w:val="76"/>
        </w:rPr>
      </w:r>
      <w:r>
        <w:rPr>
          <w:spacing w:val="-3"/>
        </w:rPr>
        <w:t>两卡融合（电子健康卡、电子社保卡）、无纸化、主动式病历质控、智能医保控费以及跨院区的流程协作，应用效果凸显；</w:t>
      </w:r>
      <w:r>
        <w:rPr>
          <w:spacing w:val="76"/>
        </w:rPr>
        <w:t> </w:t>
      </w:r>
      <w:r>
        <w:rPr>
          <w:spacing w:val="76"/>
        </w:rPr>
      </w:r>
      <w:r>
        <w:rPr>
          <w:spacing w:val="-3"/>
        </w:rPr>
        <w:t>同时新一代医院信息系统率先研发系统性的基于不良事件的医院风险管控模块，打造体系化的医院安全系统。</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7</w:t>
      </w:r>
      <w:r>
        <w:rPr>
          <w:spacing w:val="-3"/>
        </w:rPr>
        <w:t>月浙</w:t>
      </w:r>
      <w:r>
        <w:rPr>
          <w:spacing w:val="77"/>
        </w:rPr>
        <w:t> </w:t>
      </w:r>
      <w:r>
        <w:rPr>
          <w:spacing w:val="-4"/>
        </w:rPr>
        <w:t>江省人民医院</w:t>
      </w:r>
      <w:r>
        <w:rPr>
          <w:rFonts w:ascii="Times New Roman" w:hAnsi="Times New Roman" w:cs="Times New Roman" w:eastAsia="Times New Roman" w:hint="default"/>
          <w:spacing w:val="-4"/>
        </w:rPr>
        <w:t>“</w:t>
      </w:r>
      <w:r>
        <w:rPr>
          <w:spacing w:val="-4"/>
        </w:rPr>
        <w:t>借助信息技术，规范临床诊疗行为，降低医保拒付率</w:t>
      </w:r>
      <w:r>
        <w:rPr>
          <w:rFonts w:ascii="Times New Roman" w:hAnsi="Times New Roman" w:cs="Times New Roman" w:eastAsia="Times New Roman" w:hint="default"/>
          <w:spacing w:val="-4"/>
        </w:rPr>
        <w:t>”</w:t>
      </w:r>
      <w:r>
        <w:rPr>
          <w:spacing w:val="-4"/>
        </w:rPr>
        <w:t>案例，以总分第一的成绩被列为中国现代医院医保精细</w:t>
      </w:r>
      <w:r>
        <w:rPr>
          <w:spacing w:val="59"/>
        </w:rPr>
        <w:t> </w:t>
      </w:r>
      <w:r>
        <w:rPr>
          <w:spacing w:val="59"/>
        </w:rPr>
      </w:r>
      <w:r>
        <w:rPr/>
        <w:t>化管理典型案例。</w:t>
      </w:r>
    </w:p>
    <w:p>
      <w:pPr>
        <w:pStyle w:val="BodyText"/>
        <w:spacing w:line="309" w:lineRule="auto" w:before="62"/>
        <w:ind w:right="1122" w:firstLine="360"/>
        <w:jc w:val="both"/>
      </w:pPr>
      <w:r>
        <w:rPr>
          <w:spacing w:val="-4"/>
        </w:rPr>
        <w:t>此外，新一代医院信息系统实现了研发和交付的相对分离，研发负责完成最小功能单元的开发，交付团队负责根据用户</w:t>
      </w:r>
      <w:r>
        <w:rPr>
          <w:w w:val="101"/>
        </w:rPr>
        <w:t> </w:t>
      </w:r>
      <w:r>
        <w:rPr>
          <w:spacing w:val="-4"/>
        </w:rPr>
        <w:t>个性化需求组合这些最小功能单元，形成面向各类角色、科室的业务工作站，能够极大降低个性化开发成本，避免版本的碎</w:t>
      </w:r>
      <w:r>
        <w:rPr>
          <w:spacing w:val="40"/>
        </w:rPr>
        <w:t> </w:t>
      </w:r>
      <w:r>
        <w:rPr>
          <w:spacing w:val="40"/>
        </w:rPr>
      </w:r>
      <w:r>
        <w:rPr>
          <w:spacing w:val="-3"/>
        </w:rPr>
        <w:t>片化。而在系统部署方面，目前采用高效、经济、安全的混合云部署模式（院内私有云核心系统</w:t>
      </w:r>
      <w:r>
        <w:rPr>
          <w:rFonts w:ascii="Times New Roman" w:hAnsi="Times New Roman" w:cs="Times New Roman" w:eastAsia="Times New Roman" w:hint="default"/>
          <w:spacing w:val="-3"/>
        </w:rPr>
        <w:t>+</w:t>
      </w:r>
      <w:r>
        <w:rPr>
          <w:spacing w:val="-3"/>
        </w:rPr>
        <w:t>公有云灾备系统），充分</w:t>
      </w:r>
      <w:r>
        <w:rPr>
          <w:spacing w:val="68"/>
        </w:rPr>
        <w:t> </w:t>
      </w:r>
      <w:r>
        <w:rPr>
          <w:spacing w:val="68"/>
        </w:rPr>
      </w:r>
      <w:r>
        <w:rPr>
          <w:spacing w:val="-4"/>
        </w:rPr>
        <w:t>利用公有云资源按需使用的特性，减少医院硬件资源的投入，可灵活满足集团化医院和医共体的平稳延伸需求，在当下政策</w:t>
      </w:r>
      <w:r>
        <w:rPr>
          <w:spacing w:val="44"/>
        </w:rPr>
        <w:t> </w:t>
      </w:r>
      <w:r>
        <w:rPr>
          <w:spacing w:val="44"/>
        </w:rPr>
      </w:r>
      <w:r>
        <w:rPr>
          <w:spacing w:val="-4"/>
        </w:rPr>
        <w:t>大力推进医疗资源结构均衡化、医联体、医共体大发展的背景下，具有明显优势和市场竞争力。在此基础上，进一步联合电</w:t>
      </w:r>
      <w:r>
        <w:rPr>
          <w:spacing w:val="40"/>
        </w:rPr>
        <w:t> </w:t>
      </w:r>
      <w:r>
        <w:rPr>
          <w:spacing w:val="40"/>
        </w:rPr>
      </w:r>
      <w:r>
        <w:rPr>
          <w:spacing w:val="-3"/>
        </w:rPr>
        <w:t>信等运营商启动结合</w:t>
      </w:r>
      <w:r>
        <w:rPr>
          <w:rFonts w:ascii="Times New Roman" w:hAnsi="Times New Roman" w:cs="Times New Roman" w:eastAsia="Times New Roman" w:hint="default"/>
          <w:spacing w:val="-3"/>
        </w:rPr>
        <w:t>“5G+</w:t>
      </w:r>
      <w:r>
        <w:rPr>
          <w:spacing w:val="-3"/>
        </w:rPr>
        <w:t>云</w:t>
      </w:r>
      <w:r>
        <w:rPr>
          <w:rFonts w:ascii="Times New Roman" w:hAnsi="Times New Roman" w:cs="Times New Roman" w:eastAsia="Times New Roman" w:hint="default"/>
          <w:spacing w:val="-3"/>
        </w:rPr>
        <w:t>”</w:t>
      </w:r>
      <w:r>
        <w:rPr>
          <w:spacing w:val="-3"/>
        </w:rPr>
        <w:t>的医院整体信息系统整体上云服务，结合新一代医院信息系统的弹性伸缩能力，帮助医院降低</w:t>
      </w:r>
      <w:r>
        <w:rPr>
          <w:spacing w:val="47"/>
        </w:rPr>
        <w:t> </w:t>
      </w:r>
      <w:r>
        <w:rPr>
          <w:spacing w:val="47"/>
        </w:rPr>
      </w:r>
      <w:r>
        <w:rPr>
          <w:spacing w:val="-2"/>
        </w:rPr>
        <w:t>机房和网络的建设成本，利用</w:t>
      </w:r>
      <w:r>
        <w:rPr>
          <w:rFonts w:ascii="Times New Roman" w:hAnsi="Times New Roman" w:cs="Times New Roman" w:eastAsia="Times New Roman" w:hint="default"/>
          <w:spacing w:val="-2"/>
        </w:rPr>
        <w:t>5G</w:t>
      </w:r>
      <w:r>
        <w:rPr>
          <w:spacing w:val="-2"/>
        </w:rPr>
        <w:t>安全机制和云计算优势提高医院网络和硬件资源的安全性。报告期内，公司已将刷脸技术</w:t>
      </w:r>
      <w:r>
        <w:rPr>
          <w:spacing w:val="72"/>
        </w:rPr>
        <w:t> </w:t>
      </w:r>
      <w:r>
        <w:rPr>
          <w:spacing w:val="72"/>
        </w:rPr>
      </w:r>
      <w:r>
        <w:rPr>
          <w:spacing w:val="-4"/>
        </w:rPr>
        <w:t>融入医院的日常就诊和检查环节、将区块链融入医疗知情告知业务场景、将云计算技术应用于医院数据中心云灾备，完成了</w:t>
      </w:r>
      <w:r>
        <w:rPr>
          <w:spacing w:val="43"/>
        </w:rPr>
        <w:t> </w:t>
      </w:r>
      <w:r>
        <w:rPr>
          <w:spacing w:val="43"/>
        </w:rPr>
      </w:r>
      <w:r>
        <w:rPr>
          <w:spacing w:val="-2"/>
        </w:rPr>
        <w:t>若干项目互联网医院解决方案的实施和交付。未来公司将进一步加大和加深互联网医院的应用深度，借助</w:t>
      </w:r>
      <w:r>
        <w:rPr>
          <w:rFonts w:ascii="Times New Roman" w:hAnsi="Times New Roman" w:cs="Times New Roman" w:eastAsia="Times New Roman" w:hint="default"/>
          <w:spacing w:val="-2"/>
        </w:rPr>
        <w:t>5G</w:t>
      </w:r>
      <w:r>
        <w:rPr>
          <w:spacing w:val="-2"/>
        </w:rPr>
        <w:t>、云计算技术</w:t>
      </w:r>
      <w:r>
        <w:rPr>
          <w:spacing w:val="79"/>
        </w:rPr>
        <w:t> </w:t>
      </w:r>
      <w:r>
        <w:rPr>
          <w:spacing w:val="79"/>
        </w:rPr>
      </w:r>
      <w:r>
        <w:rPr>
          <w:spacing w:val="-3"/>
        </w:rPr>
        <w:t>进一步加强物联网解决方案建设。</w:t>
      </w:r>
    </w:p>
    <w:p>
      <w:pPr>
        <w:pStyle w:val="BodyText"/>
        <w:spacing w:line="309" w:lineRule="auto" w:before="58"/>
        <w:ind w:right="1037" w:firstLine="360"/>
        <w:jc w:val="both"/>
      </w:pPr>
      <w:r>
        <w:rPr/>
        <w:t>报告期内，在公司</w:t>
      </w:r>
      <w:r>
        <w:rPr>
          <w:rFonts w:ascii="Times New Roman" w:hAnsi="Times New Roman" w:cs="Times New Roman" w:eastAsia="Times New Roman" w:hint="default"/>
        </w:rPr>
        <w:t>pride</w:t>
      </w:r>
      <w:r>
        <w:rPr/>
        <w:t>电子病历研发基础上持续迭代了传统医院信息系统解决方案，有效地对公司上一代</w:t>
      </w:r>
      <w:r>
        <w:rPr>
          <w:rFonts w:ascii="Times New Roman" w:hAnsi="Times New Roman" w:cs="Times New Roman" w:eastAsia="Times New Roman" w:hint="default"/>
        </w:rPr>
        <w:t>EMR</w:t>
      </w:r>
      <w:r>
        <w:rPr/>
        <w:t>（电子</w:t>
      </w:r>
      <w:r>
        <w:rPr>
          <w:w w:val="101"/>
        </w:rPr>
        <w:t> </w:t>
      </w:r>
      <w:r>
        <w:rPr>
          <w:spacing w:val="-3"/>
        </w:rPr>
        <w:t>病历系统）集成</w:t>
      </w:r>
      <w:r>
        <w:rPr>
          <w:rFonts w:ascii="Times New Roman" w:hAnsi="Times New Roman" w:cs="Times New Roman" w:eastAsia="Times New Roman" w:hint="default"/>
          <w:spacing w:val="-3"/>
        </w:rPr>
        <w:t>HIS</w:t>
      </w:r>
      <w:r>
        <w:rPr>
          <w:spacing w:val="-3"/>
        </w:rPr>
        <w:t>（医院信息系统）方式的解决方案进行升级。目前可按照一体化、三层架构、支持医联体、响应新业务</w:t>
      </w:r>
      <w:r>
        <w:rPr>
          <w:spacing w:val="62"/>
        </w:rPr>
        <w:t> </w:t>
      </w:r>
      <w:r>
        <w:rPr>
          <w:spacing w:val="62"/>
        </w:rPr>
      </w:r>
      <w:r>
        <w:rPr>
          <w:spacing w:val="-8"/>
        </w:rPr>
        <w:t>需求的目标，对前期已服务医院现有产品，进行平滑、快速和整体的升级，并与公司集成平台、临床数据中心产品无缝融合，</w:t>
      </w:r>
      <w:r>
        <w:rPr>
          <w:spacing w:val="5"/>
        </w:rPr>
        <w:t> </w:t>
      </w:r>
      <w:r>
        <w:rPr>
          <w:spacing w:val="5"/>
        </w:rPr>
      </w:r>
      <w:r>
        <w:rPr>
          <w:spacing w:val="-4"/>
        </w:rPr>
        <w:t>最大程度保留和利用原系统历史数据；覆盖门诊、住院、收费、药品系统等医院信息系统核心功能；而且还进一步整合涵盖</w:t>
      </w:r>
      <w:r>
        <w:rPr>
          <w:spacing w:val="40"/>
        </w:rPr>
        <w:t> </w:t>
      </w:r>
      <w:r>
        <w:rPr>
          <w:spacing w:val="40"/>
        </w:rPr>
      </w:r>
      <w:r>
        <w:rPr>
          <w:spacing w:val="-3"/>
        </w:rPr>
        <w:t>移动医疗、一站式支付、日间病房等新兴医疗业务模式，满足老客户整体</w:t>
      </w:r>
      <w:r>
        <w:rPr>
          <w:rFonts w:ascii="Times New Roman" w:hAnsi="Times New Roman" w:cs="Times New Roman" w:eastAsia="Times New Roman" w:hint="default"/>
          <w:spacing w:val="-3"/>
        </w:rPr>
        <w:t>HIS</w:t>
      </w:r>
      <w:r>
        <w:rPr>
          <w:spacing w:val="-3"/>
        </w:rPr>
        <w:t>升级解决需求，并匹配医院对评级评测的持续</w:t>
      </w:r>
      <w:r>
        <w:rPr>
          <w:spacing w:val="57"/>
        </w:rPr>
        <w:t> </w:t>
      </w:r>
      <w:r>
        <w:rPr>
          <w:spacing w:val="57"/>
        </w:rPr>
      </w:r>
      <w:r>
        <w:rPr>
          <w:spacing w:val="-3"/>
        </w:rPr>
        <w:t>更新需要。因此，与新一代医院信息系统形成了互补性技术和产品方案，可满足新老客户不同需求、响应市场差异化选择。</w:t>
      </w:r>
    </w:p>
    <w:p>
      <w:pPr>
        <w:pStyle w:val="BodyText"/>
        <w:spacing w:line="302" w:lineRule="auto" w:before="58"/>
        <w:ind w:right="0" w:firstLine="360"/>
        <w:jc w:val="left"/>
      </w:pPr>
      <w:r>
        <w:rPr>
          <w:spacing w:val="-5"/>
        </w:rPr>
        <w:t>在场景即时应用方面，作为系统</w:t>
      </w:r>
      <w:r>
        <w:rPr>
          <w:rFonts w:ascii="Times New Roman" w:hAnsi="Times New Roman" w:cs="Times New Roman" w:eastAsia="Times New Roman" w:hint="default"/>
          <w:spacing w:val="-5"/>
        </w:rPr>
        <w:t>“</w:t>
      </w:r>
      <w:r>
        <w:rPr>
          <w:spacing w:val="-5"/>
        </w:rPr>
        <w:t>云到端</w:t>
      </w:r>
      <w:r>
        <w:rPr>
          <w:rFonts w:ascii="Times New Roman" w:hAnsi="Times New Roman" w:cs="Times New Roman" w:eastAsia="Times New Roman" w:hint="default"/>
          <w:spacing w:val="-5"/>
        </w:rPr>
        <w:t>”</w:t>
      </w:r>
      <w:r>
        <w:rPr>
          <w:spacing w:val="-5"/>
        </w:rPr>
        <w:t>的最新应用</w:t>
      </w:r>
      <w:r>
        <w:rPr>
          <w:rFonts w:ascii="Times New Roman" w:hAnsi="Times New Roman" w:cs="Times New Roman" w:eastAsia="Times New Roman" w:hint="default"/>
          <w:spacing w:val="-5"/>
        </w:rPr>
        <w:t>--</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8"/>
        </w:rPr>
        <w:t>HI</w:t>
      </w:r>
      <w:r>
        <w:rPr>
          <w:spacing w:val="-8"/>
        </w:rPr>
        <w:t>医生（手机</w:t>
      </w:r>
      <w:r>
        <w:rPr>
          <w:rFonts w:ascii="Times New Roman" w:hAnsi="Times New Roman" w:cs="Times New Roman" w:eastAsia="Times New Roman" w:hint="default"/>
          <w:spacing w:val="-8"/>
        </w:rPr>
        <w:t>APP</w:t>
      </w:r>
      <w:r>
        <w:rPr>
          <w:spacing w:val="-8"/>
        </w:rPr>
        <w:t>），不只是和仁科技新一代信息系统的移动端，</w:t>
      </w:r>
      <w:r>
        <w:rPr>
          <w:w w:val="101"/>
        </w:rPr>
        <w:t> </w:t>
      </w:r>
      <w:r>
        <w:rPr>
          <w:spacing w:val="-2"/>
        </w:rPr>
        <w:t>它是基于</w:t>
      </w:r>
      <w:r>
        <w:rPr>
          <w:rFonts w:ascii="Times New Roman" w:hAnsi="Times New Roman" w:cs="Times New Roman" w:eastAsia="Times New Roman" w:hint="default"/>
          <w:spacing w:val="-2"/>
        </w:rPr>
        <w:t>HIS</w:t>
      </w:r>
      <w:r>
        <w:rPr>
          <w:spacing w:val="-2"/>
        </w:rPr>
        <w:t>系统深度集成，可以跟不同的</w:t>
      </w:r>
      <w:r>
        <w:rPr>
          <w:rFonts w:ascii="Times New Roman" w:hAnsi="Times New Roman" w:cs="Times New Roman" w:eastAsia="Times New Roman" w:hint="default"/>
          <w:spacing w:val="-2"/>
        </w:rPr>
        <w:t>HIS</w:t>
      </w:r>
      <w:r>
        <w:rPr>
          <w:spacing w:val="-2"/>
        </w:rPr>
        <w:t>系统无缝对接，对医疗场景业务的渗透更加细化，为医生提供实时且一致性</w:t>
      </w:r>
      <w:r>
        <w:rPr>
          <w:spacing w:val="75"/>
        </w:rPr>
        <w:t> </w:t>
      </w:r>
      <w:r>
        <w:rPr>
          <w:spacing w:val="75"/>
        </w:rPr>
      </w:r>
      <w:r>
        <w:rPr>
          <w:spacing w:val="-4"/>
        </w:rPr>
        <w:t>的线上线下联动的医疗数据。在此基础上，作为医生现有</w:t>
      </w:r>
      <w:r>
        <w:rPr>
          <w:rFonts w:ascii="Times New Roman" w:hAnsi="Times New Roman" w:cs="Times New Roman" w:eastAsia="Times New Roman" w:hint="default"/>
          <w:spacing w:val="-4"/>
        </w:rPr>
        <w:t>PC</w:t>
      </w:r>
      <w:r>
        <w:rPr>
          <w:spacing w:val="-4"/>
        </w:rPr>
        <w:t>业务的补充和延伸，利用互联网</w:t>
      </w:r>
      <w:r>
        <w:rPr>
          <w:rFonts w:ascii="Times New Roman" w:hAnsi="Times New Roman" w:cs="Times New Roman" w:eastAsia="Times New Roman" w:hint="default"/>
          <w:spacing w:val="-4"/>
        </w:rPr>
        <w:t>+</w:t>
      </w:r>
      <w:r>
        <w:rPr>
          <w:spacing w:val="-4"/>
        </w:rPr>
        <w:t>技术，增加了护士站、医保审</w:t>
      </w:r>
      <w:r>
        <w:rPr>
          <w:spacing w:val="-1"/>
        </w:rPr>
        <w:t> </w:t>
      </w:r>
      <w:r>
        <w:rPr>
          <w:spacing w:val="-1"/>
        </w:rPr>
      </w:r>
      <w:r>
        <w:rPr>
          <w:spacing w:val="-4"/>
        </w:rPr>
        <w:t>核、抗生素审核、多学科会诊等功能，能有效提高临床医护人员的工作效率、提升工作质量。该产品在投入使用后，目前已</w:t>
      </w:r>
      <w:r>
        <w:rPr>
          <w:spacing w:val="40"/>
        </w:rPr>
        <w:t> </w:t>
      </w:r>
      <w:r>
        <w:rPr>
          <w:spacing w:val="40"/>
        </w:rPr>
      </w:r>
      <w:r>
        <w:rPr>
          <w:spacing w:val="-3"/>
        </w:rPr>
        <w:t>成为医护人员开展临床业务深受欢迎的生产工具。以浙江省人民医院为例，目前该医院内此应用端周活跃用户超过</w:t>
      </w:r>
      <w:r>
        <w:rPr>
          <w:rFonts w:ascii="Times New Roman" w:hAnsi="Times New Roman" w:cs="Times New Roman" w:eastAsia="Times New Roman" w:hint="default"/>
          <w:spacing w:val="-3"/>
        </w:rPr>
        <w:t>1100</w:t>
      </w:r>
      <w:r>
        <w:rPr>
          <w:spacing w:val="-3"/>
        </w:rPr>
        <w:t>人，</w:t>
      </w:r>
      <w:r>
        <w:rPr>
          <w:spacing w:val="78"/>
        </w:rPr>
        <w:t> </w:t>
      </w:r>
      <w:r>
        <w:rPr>
          <w:spacing w:val="-4"/>
        </w:rPr>
        <w:t>人均日使用时长超过</w:t>
      </w:r>
      <w:r>
        <w:rPr>
          <w:rFonts w:ascii="Times New Roman" w:hAnsi="Times New Roman" w:cs="Times New Roman" w:eastAsia="Times New Roman" w:hint="default"/>
          <w:spacing w:val="-4"/>
        </w:rPr>
        <w:t>30</w:t>
      </w:r>
      <w:r>
        <w:rPr>
          <w:spacing w:val="-4"/>
        </w:rPr>
        <w:t>分钟。由于贴合一线工作需求、提供良好用户体验，越来越多的医生和护士将其作为日常工作场景的</w:t>
      </w:r>
      <w:r>
        <w:rPr>
          <w:spacing w:val="46"/>
        </w:rPr>
        <w:t> </w:t>
      </w:r>
      <w:r>
        <w:rPr>
          <w:spacing w:val="46"/>
        </w:rPr>
      </w:r>
      <w:r>
        <w:rPr/>
        <w:t>即时生产工具，逐渐基于该平台开展在线复诊、</w:t>
      </w:r>
      <w:r>
        <w:rPr>
          <w:rFonts w:ascii="Times New Roman" w:hAnsi="Times New Roman" w:cs="Times New Roman" w:eastAsia="Times New Roman" w:hint="default"/>
        </w:rPr>
        <w:t>AI</w:t>
      </w:r>
      <w:r>
        <w:rPr/>
        <w:t>医生预问诊等互联网医院业务，作为院内诊疗流程的自然拓展，实现医</w:t>
      </w:r>
    </w:p>
    <w:p>
      <w:pPr>
        <w:spacing w:after="0" w:line="302" w:lineRule="auto"/>
        <w:jc w:val="left"/>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pStyle w:val="BodyText"/>
        <w:spacing w:line="352" w:lineRule="auto" w:before="46"/>
        <w:ind w:left="513" w:right="0" w:hanging="360"/>
        <w:jc w:val="left"/>
      </w:pPr>
      <w:r>
        <w:rPr>
          <w:spacing w:val="-3"/>
        </w:rPr>
        <w:t>患双方线上线下一体化的就医和诊疗体验。</w:t>
      </w:r>
      <w:r>
        <w:rPr>
          <w:spacing w:val="-33"/>
        </w:rPr>
        <w:t> </w:t>
      </w:r>
      <w:r>
        <w:rPr>
          <w:spacing w:val="-33"/>
        </w:rPr>
      </w:r>
      <w:r>
        <w:rPr>
          <w:spacing w:val="-4"/>
        </w:rPr>
        <w:t>公司持续研发智慧云医疗平台，充分利用区域内多家医疗机构异构系统的业务融合和数据集成技术，配合卫健系统，从</w:t>
      </w:r>
    </w:p>
    <w:p>
      <w:pPr>
        <w:pStyle w:val="BodyText"/>
        <w:spacing w:line="302" w:lineRule="auto"/>
        <w:ind w:right="1123"/>
        <w:jc w:val="both"/>
      </w:pPr>
      <w:r>
        <w:rPr>
          <w:spacing w:val="-4"/>
        </w:rPr>
        <w:t>数字化、场景化角度出发不断推进</w:t>
      </w:r>
      <w:r>
        <w:rPr>
          <w:rFonts w:ascii="Times New Roman" w:hAnsi="Times New Roman" w:cs="Times New Roman" w:eastAsia="Times New Roman" w:hint="default"/>
          <w:spacing w:val="-4"/>
        </w:rPr>
        <w:t>“</w:t>
      </w:r>
      <w:r>
        <w:rPr>
          <w:spacing w:val="-4"/>
        </w:rPr>
        <w:t>健康城市</w:t>
      </w:r>
      <w:r>
        <w:rPr>
          <w:rFonts w:ascii="Times New Roman" w:hAnsi="Times New Roman" w:cs="Times New Roman" w:eastAsia="Times New Roman" w:hint="default"/>
          <w:spacing w:val="-4"/>
        </w:rPr>
        <w:t>”</w:t>
      </w:r>
      <w:r>
        <w:rPr>
          <w:spacing w:val="-4"/>
        </w:rPr>
        <w:t>项目的落地应用，进而优化患者就医流程、改善患者就医体验、规范医护人员</w:t>
      </w:r>
      <w:r>
        <w:rPr>
          <w:spacing w:val="64"/>
        </w:rPr>
        <w:t> </w:t>
      </w:r>
      <w:r>
        <w:rPr>
          <w:spacing w:val="64"/>
        </w:rPr>
      </w:r>
      <w:r>
        <w:rPr>
          <w:spacing w:val="-4"/>
        </w:rPr>
        <w:t>临床诊疗行为，并提高管理部门运营监管水平。报告期内，公司积极响应国家</w:t>
      </w:r>
      <w:r>
        <w:rPr>
          <w:rFonts w:ascii="Times New Roman" w:hAnsi="Times New Roman" w:cs="Times New Roman" w:eastAsia="Times New Roman" w:hint="default"/>
          <w:spacing w:val="-4"/>
        </w:rPr>
        <w:t>“</w:t>
      </w:r>
      <w:r>
        <w:rPr>
          <w:spacing w:val="-4"/>
        </w:rPr>
        <w:t>互联网</w:t>
      </w:r>
      <w:r>
        <w:rPr>
          <w:rFonts w:ascii="Times New Roman" w:hAnsi="Times New Roman" w:cs="Times New Roman" w:eastAsia="Times New Roman" w:hint="default"/>
          <w:spacing w:val="-4"/>
        </w:rPr>
        <w:t>+</w:t>
      </w:r>
      <w:r>
        <w:rPr>
          <w:spacing w:val="-4"/>
        </w:rPr>
        <w:t>医疗</w:t>
      </w:r>
      <w:r>
        <w:rPr>
          <w:rFonts w:ascii="Times New Roman" w:hAnsi="Times New Roman" w:cs="Times New Roman" w:eastAsia="Times New Roman" w:hint="default"/>
          <w:spacing w:val="-4"/>
        </w:rPr>
        <w:t>”</w:t>
      </w:r>
      <w:r>
        <w:rPr>
          <w:spacing w:val="-4"/>
        </w:rPr>
        <w:t>行动和浙江省开展的</w:t>
      </w:r>
      <w:r>
        <w:rPr>
          <w:rFonts w:ascii="Times New Roman" w:hAnsi="Times New Roman" w:cs="Times New Roman" w:eastAsia="Times New Roman" w:hint="default"/>
          <w:spacing w:val="-4"/>
        </w:rPr>
        <w:t>“</w:t>
      </w:r>
      <w:r>
        <w:rPr>
          <w:spacing w:val="-4"/>
        </w:rPr>
        <w:t>最多跑一</w:t>
      </w:r>
      <w:r>
        <w:rPr>
          <w:spacing w:val="61"/>
        </w:rPr>
        <w:t> </w:t>
      </w:r>
      <w:r>
        <w:rPr>
          <w:spacing w:val="61"/>
        </w:rPr>
      </w:r>
      <w:r>
        <w:rPr>
          <w:spacing w:val="-3"/>
        </w:rPr>
        <w:t>次</w:t>
      </w:r>
      <w:r>
        <w:rPr>
          <w:rFonts w:ascii="Times New Roman" w:hAnsi="Times New Roman" w:cs="Times New Roman" w:eastAsia="Times New Roman" w:hint="default"/>
          <w:spacing w:val="-3"/>
        </w:rPr>
        <w:t>”</w:t>
      </w:r>
      <w:r>
        <w:rPr>
          <w:spacing w:val="-3"/>
        </w:rPr>
        <w:t>改革，在杭州市卫生健康委牵头实施的</w:t>
      </w:r>
      <w:r>
        <w:rPr>
          <w:rFonts w:ascii="Times New Roman" w:hAnsi="Times New Roman" w:cs="Times New Roman" w:eastAsia="Times New Roman" w:hint="default"/>
          <w:spacing w:val="-3"/>
        </w:rPr>
        <w:t>“</w:t>
      </w:r>
      <w:r>
        <w:rPr>
          <w:spacing w:val="-3"/>
        </w:rPr>
        <w:t>城市大脑</w:t>
      </w:r>
      <w:r>
        <w:rPr>
          <w:rFonts w:ascii="Times New Roman" w:hAnsi="Times New Roman" w:cs="Times New Roman" w:eastAsia="Times New Roman" w:hint="default"/>
          <w:spacing w:val="-3"/>
        </w:rPr>
        <w:t>·</w:t>
      </w:r>
      <w:r>
        <w:rPr>
          <w:spacing w:val="-3"/>
        </w:rPr>
        <w:t>卫健系统</w:t>
      </w:r>
      <w:r>
        <w:rPr>
          <w:rFonts w:ascii="Times New Roman" w:hAnsi="Times New Roman" w:cs="Times New Roman" w:eastAsia="Times New Roman" w:hint="default"/>
          <w:spacing w:val="-3"/>
        </w:rPr>
        <w:t>” ——</w:t>
      </w:r>
      <w:r>
        <w:rPr>
          <w:spacing w:val="-3"/>
        </w:rPr>
        <w:t>舒心就医平台项目上取得最新进展：</w:t>
      </w:r>
      <w:r>
        <w:rPr>
          <w:rFonts w:ascii="Times New Roman" w:hAnsi="Times New Roman" w:cs="Times New Roman" w:eastAsia="Times New Roman" w:hint="default"/>
          <w:spacing w:val="-3"/>
        </w:rPr>
        <w:t>2019</w:t>
      </w:r>
      <w:r>
        <w:rPr>
          <w:spacing w:val="-3"/>
        </w:rPr>
        <w:t>年上半年</w:t>
      </w:r>
      <w:r>
        <w:rPr>
          <w:rFonts w:ascii="Times New Roman" w:hAnsi="Times New Roman" w:cs="Times New Roman" w:eastAsia="Times New Roman" w:hint="default"/>
          <w:spacing w:val="-3"/>
        </w:rPr>
        <w:t>“</w:t>
      </w:r>
      <w:r>
        <w:rPr>
          <w:spacing w:val="-3"/>
        </w:rPr>
        <w:t>舒</w:t>
      </w:r>
      <w:r>
        <w:rPr>
          <w:spacing w:val="-56"/>
        </w:rPr>
        <w:t> </w:t>
      </w:r>
      <w:r>
        <w:rPr>
          <w:spacing w:val="-2"/>
        </w:rPr>
        <w:t>心就医平台</w:t>
      </w:r>
      <w:r>
        <w:rPr>
          <w:rFonts w:ascii="Times New Roman" w:hAnsi="Times New Roman" w:cs="Times New Roman" w:eastAsia="Times New Roman" w:hint="default"/>
          <w:spacing w:val="-2"/>
        </w:rPr>
        <w:t>”</w:t>
      </w:r>
      <w:r>
        <w:rPr>
          <w:spacing w:val="-2"/>
        </w:rPr>
        <w:t>全面接入杭州市</w:t>
      </w:r>
      <w:r>
        <w:rPr>
          <w:rFonts w:ascii="Times New Roman" w:hAnsi="Times New Roman" w:cs="Times New Roman" w:eastAsia="Times New Roman" w:hint="default"/>
          <w:spacing w:val="-2"/>
        </w:rPr>
        <w:t>“</w:t>
      </w:r>
      <w:r>
        <w:rPr>
          <w:spacing w:val="-2"/>
        </w:rPr>
        <w:t>城市大脑</w:t>
      </w:r>
      <w:r>
        <w:rPr>
          <w:rFonts w:ascii="Times New Roman" w:hAnsi="Times New Roman" w:cs="Times New Roman" w:eastAsia="Times New Roman" w:hint="default"/>
          <w:spacing w:val="-2"/>
        </w:rPr>
        <w:t>”</w:t>
      </w:r>
      <w:r>
        <w:rPr>
          <w:spacing w:val="-2"/>
        </w:rPr>
        <w:t>综合平台，进一步扩大信用就医应用范围，从</w:t>
      </w:r>
      <w:r>
        <w:rPr>
          <w:rFonts w:ascii="Times New Roman" w:hAnsi="Times New Roman" w:cs="Times New Roman" w:eastAsia="Times New Roman" w:hint="default"/>
          <w:spacing w:val="-2"/>
        </w:rPr>
        <w:t>“</w:t>
      </w:r>
      <w:r>
        <w:rPr>
          <w:spacing w:val="-2"/>
        </w:rPr>
        <w:t>区域互通</w:t>
      </w:r>
      <w:r>
        <w:rPr>
          <w:rFonts w:ascii="Times New Roman" w:hAnsi="Times New Roman" w:cs="Times New Roman" w:eastAsia="Times New Roman" w:hint="default"/>
          <w:spacing w:val="-2"/>
        </w:rPr>
        <w:t>”</w:t>
      </w:r>
      <w:r>
        <w:rPr>
          <w:spacing w:val="-2"/>
        </w:rPr>
        <w:t>正式跨入</w:t>
      </w:r>
      <w:r>
        <w:rPr>
          <w:rFonts w:ascii="Times New Roman" w:hAnsi="Times New Roman" w:cs="Times New Roman" w:eastAsia="Times New Roman" w:hint="default"/>
          <w:spacing w:val="-2"/>
        </w:rPr>
        <w:t>“</w:t>
      </w:r>
      <w:r>
        <w:rPr>
          <w:spacing w:val="-2"/>
        </w:rPr>
        <w:t>城际互通</w:t>
      </w:r>
      <w:r>
        <w:rPr>
          <w:rFonts w:ascii="Times New Roman" w:hAnsi="Times New Roman" w:cs="Times New Roman" w:eastAsia="Times New Roman" w:hint="default"/>
          <w:spacing w:val="-2"/>
        </w:rPr>
        <w:t>”</w:t>
      </w:r>
      <w:r>
        <w:rPr>
          <w:spacing w:val="-2"/>
        </w:rPr>
        <w:t>。截</w:t>
      </w:r>
      <w:r>
        <w:rPr>
          <w:spacing w:val="5"/>
        </w:rPr>
        <w:t> </w:t>
      </w:r>
      <w:r>
        <w:rPr>
          <w:spacing w:val="-4"/>
        </w:rPr>
        <w:t>止</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w:t>
      </w:r>
      <w:r>
        <w:rPr>
          <w:spacing w:val="-4"/>
        </w:rPr>
        <w:t>舒心就医平台</w:t>
      </w:r>
      <w:r>
        <w:rPr>
          <w:rFonts w:ascii="Times New Roman" w:hAnsi="Times New Roman" w:cs="Times New Roman" w:eastAsia="Times New Roman" w:hint="default"/>
          <w:spacing w:val="-4"/>
        </w:rPr>
        <w:t>”</w:t>
      </w:r>
      <w:r>
        <w:rPr>
          <w:spacing w:val="-4"/>
        </w:rPr>
        <w:t>已接入包含</w:t>
      </w:r>
      <w:r>
        <w:rPr>
          <w:rFonts w:ascii="Times New Roman" w:hAnsi="Times New Roman" w:cs="Times New Roman" w:eastAsia="Times New Roman" w:hint="default"/>
          <w:spacing w:val="-4"/>
        </w:rPr>
        <w:t>3</w:t>
      </w:r>
      <w:r>
        <w:rPr>
          <w:spacing w:val="-4"/>
        </w:rPr>
        <w:t>家省级医院、</w:t>
      </w:r>
      <w:r>
        <w:rPr>
          <w:rFonts w:ascii="Times New Roman" w:hAnsi="Times New Roman" w:cs="Times New Roman" w:eastAsia="Times New Roman" w:hint="default"/>
          <w:spacing w:val="-4"/>
        </w:rPr>
        <w:t>11</w:t>
      </w:r>
      <w:r>
        <w:rPr>
          <w:spacing w:val="-4"/>
        </w:rPr>
        <w:t>家市属医院在内的</w:t>
      </w:r>
      <w:r>
        <w:rPr>
          <w:rFonts w:ascii="Times New Roman" w:hAnsi="Times New Roman" w:cs="Times New Roman" w:eastAsia="Times New Roman" w:hint="default"/>
          <w:spacing w:val="-4"/>
        </w:rPr>
        <w:t>254</w:t>
      </w:r>
      <w:r>
        <w:rPr>
          <w:spacing w:val="-4"/>
        </w:rPr>
        <w:t>家医疗机构，成功将省、市、区（县）各级医</w:t>
      </w:r>
      <w:r>
        <w:rPr>
          <w:spacing w:val="78"/>
        </w:rPr>
        <w:t> </w:t>
      </w:r>
      <w:r>
        <w:rPr>
          <w:spacing w:val="78"/>
        </w:rPr>
      </w:r>
      <w:r>
        <w:rPr>
          <w:spacing w:val="-3"/>
        </w:rPr>
        <w:t>疗机构数据打通融合并实时在线，获得</w:t>
      </w:r>
      <w:r>
        <w:rPr>
          <w:rFonts w:ascii="Times New Roman" w:hAnsi="Times New Roman" w:cs="Times New Roman" w:eastAsia="Times New Roman" w:hint="default"/>
          <w:spacing w:val="-3"/>
        </w:rPr>
        <w:t>2019</w:t>
      </w:r>
      <w:r>
        <w:rPr>
          <w:spacing w:val="-3"/>
        </w:rPr>
        <w:t>年度浙江省数字化赋能智慧城市发展优秀成果奖。</w:t>
      </w:r>
    </w:p>
    <w:p>
      <w:pPr>
        <w:pStyle w:val="BodyText"/>
        <w:spacing w:line="304" w:lineRule="auto" w:before="50"/>
        <w:ind w:right="0" w:firstLine="360"/>
        <w:jc w:val="left"/>
      </w:pPr>
      <w:r>
        <w:rPr>
          <w:spacing w:val="-4"/>
        </w:rPr>
        <w:t>报告期内，公司持续开展新发明、新技术的深入研究，于</w:t>
      </w:r>
      <w:r>
        <w:rPr>
          <w:rFonts w:ascii="Times New Roman" w:hAnsi="Times New Roman" w:cs="Times New Roman" w:eastAsia="Times New Roman" w:hint="default"/>
          <w:spacing w:val="-4"/>
        </w:rPr>
        <w:t>2019</w:t>
      </w:r>
      <w:r>
        <w:rPr>
          <w:spacing w:val="-4"/>
        </w:rPr>
        <w:t>年获得授权发明专利</w:t>
      </w:r>
      <w:r>
        <w:rPr>
          <w:rFonts w:ascii="Times New Roman" w:hAnsi="Times New Roman" w:cs="Times New Roman" w:eastAsia="Times New Roman" w:hint="default"/>
          <w:spacing w:val="-4"/>
        </w:rPr>
        <w:t>1</w:t>
      </w:r>
      <w:r>
        <w:rPr>
          <w:spacing w:val="-4"/>
        </w:rPr>
        <w:t>项（一种医疗信息集成引擎</w:t>
      </w:r>
      <w:r>
        <w:rPr>
          <w:spacing w:val="24"/>
        </w:rPr>
        <w:t> </w:t>
      </w:r>
      <w:r>
        <w:rPr>
          <w:spacing w:val="-9"/>
        </w:rPr>
        <w:t>），新</w:t>
      </w:r>
      <w:r>
        <w:rPr>
          <w:w w:val="101"/>
        </w:rPr>
        <w:t> </w:t>
      </w:r>
      <w:r>
        <w:rPr/>
        <w:t>提交</w:t>
      </w:r>
      <w:r>
        <w:rPr>
          <w:rFonts w:ascii="Times New Roman" w:hAnsi="Times New Roman" w:cs="Times New Roman" w:eastAsia="Times New Roman" w:hint="default"/>
        </w:rPr>
        <w:t>2</w:t>
      </w:r>
      <w:r>
        <w:rPr/>
        <w:t>项发明专利，同时新获得软著</w:t>
      </w:r>
      <w:r>
        <w:rPr>
          <w:rFonts w:ascii="Times New Roman" w:hAnsi="Times New Roman" w:cs="Times New Roman" w:eastAsia="Times New Roman" w:hint="default"/>
        </w:rPr>
        <w:t>71</w:t>
      </w:r>
      <w:r>
        <w:rPr/>
        <w:t>项。</w:t>
      </w:r>
    </w:p>
    <w:p>
      <w:pPr>
        <w:pStyle w:val="BodyText"/>
        <w:spacing w:line="333" w:lineRule="auto" w:before="47"/>
        <w:ind w:left="513" w:right="0" w:firstLine="62"/>
        <w:jc w:val="left"/>
      </w:pPr>
      <w:r>
        <w:rPr>
          <w:rFonts w:ascii="Times New Roman" w:hAnsi="Times New Roman" w:cs="Times New Roman" w:eastAsia="Times New Roman" w:hint="default"/>
          <w:spacing w:val="-3"/>
        </w:rPr>
        <w:t>2</w:t>
      </w:r>
      <w:r>
        <w:rPr>
          <w:spacing w:val="-3"/>
        </w:rPr>
        <w:t>、立足医疗信息化行业，提高市场占有率，开拓区域市场</w:t>
      </w:r>
      <w:r>
        <w:rPr>
          <w:spacing w:val="-73"/>
        </w:rPr>
        <w:t> </w:t>
      </w:r>
      <w:r>
        <w:rPr>
          <w:spacing w:val="-73"/>
        </w:rPr>
      </w:r>
      <w:r>
        <w:rPr>
          <w:spacing w:val="-4"/>
        </w:rPr>
        <w:t>报告期内，公司在巩固现有市场优势的同时，在智慧医院方面继续保持业务拓展节奏，特别是面向地方公立医院的业务</w:t>
      </w:r>
    </w:p>
    <w:p>
      <w:pPr>
        <w:pStyle w:val="BodyText"/>
        <w:spacing w:line="319" w:lineRule="auto" w:before="6"/>
        <w:ind w:right="1035"/>
        <w:jc w:val="both"/>
      </w:pPr>
      <w:r>
        <w:rPr>
          <w:spacing w:val="-4"/>
        </w:rPr>
        <w:t>有较大增长，在新增合同中地方公立医院合同额占比达</w:t>
      </w:r>
      <w:r>
        <w:rPr>
          <w:rFonts w:ascii="宋体" w:hAnsi="宋体" w:cs="宋体" w:eastAsia="宋体" w:hint="default"/>
          <w:spacing w:val="-4"/>
        </w:rPr>
        <w:t>89.15%</w:t>
      </w:r>
      <w:r>
        <w:rPr>
          <w:spacing w:val="-4"/>
        </w:rPr>
        <w:t>；在销售网络建设方面，公司利用在全国各地成立的分子公司</w:t>
      </w:r>
      <w:r>
        <w:rPr>
          <w:spacing w:val="55"/>
        </w:rPr>
        <w:t> </w:t>
      </w:r>
      <w:r>
        <w:rPr>
          <w:spacing w:val="55"/>
        </w:rPr>
      </w:r>
      <w:r>
        <w:rPr>
          <w:spacing w:val="-4"/>
        </w:rPr>
        <w:t>整合各方资源，在全国市场继续扩大营销网络布局；公司继续保持在三级医院高端市场的传统优势，同时发挥智慧医院总体</w:t>
      </w:r>
      <w:r>
        <w:rPr>
          <w:spacing w:val="43"/>
        </w:rPr>
        <w:t> </w:t>
      </w:r>
      <w:r>
        <w:rPr>
          <w:spacing w:val="43"/>
        </w:rPr>
      </w:r>
      <w:r>
        <w:rPr>
          <w:spacing w:val="-5"/>
          <w:w w:val="101"/>
        </w:rPr>
        <w:t>解决方案的业务优势，以</w:t>
      </w:r>
      <w:r>
        <w:rPr>
          <w:rFonts w:ascii="Times New Roman" w:hAnsi="Times New Roman" w:cs="Times New Roman" w:eastAsia="Times New Roman" w:hint="default"/>
          <w:spacing w:val="-5"/>
          <w:w w:val="101"/>
        </w:rPr>
        <w:t>“</w:t>
      </w:r>
      <w:r>
        <w:rPr>
          <w:spacing w:val="-5"/>
          <w:w w:val="101"/>
        </w:rPr>
        <w:t>交钥匙</w:t>
      </w:r>
      <w:r>
        <w:rPr>
          <w:rFonts w:ascii="Times New Roman" w:hAnsi="Times New Roman" w:cs="Times New Roman" w:eastAsia="Times New Roman" w:hint="default"/>
          <w:spacing w:val="-5"/>
          <w:w w:val="101"/>
        </w:rPr>
        <w:t>”</w:t>
      </w:r>
      <w:r>
        <w:rPr>
          <w:spacing w:val="-5"/>
          <w:w w:val="101"/>
        </w:rPr>
        <w:t>工程的服务形式进一步开拓了新建医院市场，在新增合同中三级医院合同额占比达</w:t>
      </w:r>
      <w:r>
        <w:rPr>
          <w:rFonts w:ascii="宋体" w:hAnsi="宋体" w:cs="宋体" w:eastAsia="宋体" w:hint="default"/>
          <w:spacing w:val="-5"/>
          <w:w w:val="101"/>
        </w:rPr>
        <w:t>86.75%</w:t>
      </w:r>
      <w:r>
        <w:rPr>
          <w:spacing w:val="-5"/>
          <w:w w:val="101"/>
        </w:rPr>
        <w:t>。</w:t>
      </w:r>
      <w:r>
        <w:rPr>
          <w:spacing w:val="-5"/>
        </w:rPr>
      </w:r>
    </w:p>
    <w:p>
      <w:pPr>
        <w:pStyle w:val="BodyText"/>
        <w:spacing w:line="312" w:lineRule="auto"/>
        <w:ind w:right="1123" w:firstLine="360"/>
        <w:jc w:val="both"/>
      </w:pPr>
      <w:r>
        <w:rPr>
          <w:spacing w:val="-4"/>
        </w:rPr>
        <w:t>报告期内，公司在全国市场范围内不断拓展挖掘优质客户，江西省妇幼保健院红谷滩医院项目、台州市第一人民医院项</w:t>
      </w:r>
      <w:r>
        <w:rPr>
          <w:w w:val="101"/>
        </w:rPr>
        <w:t> </w:t>
      </w:r>
      <w:r>
        <w:rPr>
          <w:spacing w:val="-4"/>
        </w:rPr>
        <w:t>目、中国人民解放军空军大学第三附属医院项目、浙江大学医学院附属邵逸夫医院项目、江西省儿童医院红谷滩新院项目等</w:t>
      </w:r>
      <w:r>
        <w:rPr>
          <w:spacing w:val="43"/>
        </w:rPr>
        <w:t> </w:t>
      </w:r>
      <w:r>
        <w:rPr>
          <w:spacing w:val="43"/>
        </w:rPr>
      </w:r>
      <w:r>
        <w:rPr>
          <w:spacing w:val="-4"/>
        </w:rPr>
        <w:t>项目中标金额均在</w:t>
      </w:r>
      <w:r>
        <w:rPr>
          <w:rFonts w:ascii="Times New Roman" w:hAnsi="Times New Roman" w:cs="Times New Roman" w:eastAsia="Times New Roman" w:hint="default"/>
          <w:spacing w:val="-4"/>
        </w:rPr>
        <w:t>3000</w:t>
      </w:r>
      <w:r>
        <w:rPr>
          <w:spacing w:val="-4"/>
        </w:rPr>
        <w:t>万元以上，属于各地区综合实力排名靠前的大型现代化标杆医院。以上项目的中标签约意味着公司持</w:t>
      </w:r>
      <w:r>
        <w:rPr>
          <w:spacing w:val="51"/>
        </w:rPr>
        <w:t> </w:t>
      </w:r>
      <w:r>
        <w:rPr>
          <w:spacing w:val="51"/>
        </w:rPr>
      </w:r>
      <w:r>
        <w:rPr>
          <w:spacing w:val="-3"/>
        </w:rPr>
        <w:t>续获取并深耕地区重点标杆客户，有利于巩固深化公司全国化发展布局。</w:t>
      </w:r>
    </w:p>
    <w:p>
      <w:pPr>
        <w:pStyle w:val="BodyText"/>
        <w:spacing w:line="316" w:lineRule="auto" w:before="23"/>
        <w:ind w:right="1037" w:firstLine="360"/>
        <w:jc w:val="left"/>
      </w:pPr>
      <w:r>
        <w:rPr>
          <w:spacing w:val="-3"/>
        </w:rPr>
        <w:t>报告期内，公司继续加大城市级智慧医疗业务拓展，同时不断加强与生态企业合作，强强联合、拓宽公司的发展渠道：</w:t>
      </w:r>
      <w:r>
        <w:rPr>
          <w:w w:val="101"/>
        </w:rPr>
        <w:t> </w:t>
      </w:r>
      <w:r>
        <w:rPr>
          <w:spacing w:val="-4"/>
        </w:rPr>
        <w:t>公司分别与中国联合网络通信有限公司四川省分公司、腾讯云计算（北京）有限责任公司、华数传媒控股股份有限公司达成</w:t>
      </w:r>
      <w:r>
        <w:rPr>
          <w:spacing w:val="40"/>
        </w:rPr>
        <w:t> </w:t>
      </w:r>
      <w:r>
        <w:rPr>
          <w:spacing w:val="40"/>
        </w:rPr>
      </w:r>
      <w:r>
        <w:rPr/>
        <w:t>战略合作。</w:t>
      </w:r>
    </w:p>
    <w:p>
      <w:pPr>
        <w:pStyle w:val="BodyText"/>
        <w:spacing w:line="240" w:lineRule="auto" w:before="19"/>
        <w:ind w:left="513" w:right="0"/>
        <w:jc w:val="left"/>
      </w:pPr>
      <w:r>
        <w:rPr>
          <w:rFonts w:ascii="Times New Roman" w:hAnsi="Times New Roman" w:cs="Times New Roman" w:eastAsia="Times New Roman" w:hint="default"/>
          <w:spacing w:val="-3"/>
        </w:rPr>
        <w:t>2019</w:t>
      </w:r>
      <w:r>
        <w:rPr>
          <w:spacing w:val="-3"/>
        </w:rPr>
        <w:t>年新增合同按客户类型分布如下：</w:t>
      </w:r>
    </w:p>
    <w:p>
      <w:pPr>
        <w:spacing w:line="240" w:lineRule="auto" w:before="13"/>
        <w:rPr>
          <w:rFonts w:ascii="宋体" w:hAnsi="宋体" w:cs="宋体" w:eastAsia="宋体" w:hint="default"/>
          <w:sz w:val="3"/>
          <w:szCs w:val="3"/>
        </w:rPr>
      </w:pPr>
    </w:p>
    <w:tbl>
      <w:tblPr>
        <w:tblW w:w="0" w:type="auto"/>
        <w:jc w:val="left"/>
        <w:tblInd w:w="1579" w:type="dxa"/>
        <w:tblLayout w:type="fixed"/>
        <w:tblCellMar>
          <w:top w:w="0" w:type="dxa"/>
          <w:left w:w="0" w:type="dxa"/>
          <w:bottom w:w="0" w:type="dxa"/>
          <w:right w:w="0" w:type="dxa"/>
        </w:tblCellMar>
        <w:tblLook w:val="01E0"/>
      </w:tblPr>
      <w:tblGrid>
        <w:gridCol w:w="2055"/>
        <w:gridCol w:w="1652"/>
        <w:gridCol w:w="1421"/>
        <w:gridCol w:w="1647"/>
      </w:tblGrid>
      <w:tr>
        <w:trPr>
          <w:trHeight w:val="658"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 w:right="0"/>
              <w:jc w:val="center"/>
              <w:rPr>
                <w:rFonts w:ascii="宋体" w:hAnsi="宋体" w:cs="宋体" w:eastAsia="宋体" w:hint="default"/>
                <w:sz w:val="18"/>
                <w:szCs w:val="18"/>
              </w:rPr>
            </w:pPr>
            <w:r>
              <w:rPr>
                <w:rFonts w:ascii="宋体" w:hAnsi="宋体" w:cs="宋体" w:eastAsia="宋体" w:hint="default"/>
                <w:sz w:val="18"/>
                <w:szCs w:val="18"/>
              </w:rPr>
              <w:t>终端客户类型</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734" w:right="3" w:hanging="72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年新增合同额占</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比</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436" w:right="70" w:hanging="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年新增合同</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额占比</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730" w:right="3" w:hanging="7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年新增合同额占</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比</w:t>
            </w:r>
          </w:p>
        </w:tc>
      </w:tr>
      <w:tr>
        <w:trPr>
          <w:trHeight w:val="341"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 w:right="0"/>
              <w:jc w:val="center"/>
              <w:rPr>
                <w:rFonts w:ascii="宋体" w:hAnsi="宋体" w:cs="宋体" w:eastAsia="宋体" w:hint="default"/>
                <w:sz w:val="18"/>
                <w:szCs w:val="18"/>
              </w:rPr>
            </w:pPr>
            <w:r>
              <w:rPr>
                <w:rFonts w:ascii="宋体" w:hAnsi="宋体" w:cs="宋体" w:eastAsia="宋体" w:hint="default"/>
                <w:sz w:val="18"/>
                <w:szCs w:val="18"/>
              </w:rPr>
              <w:t>地方公立医院</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89.15%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73.33%</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37"/>
              <w:jc w:val="right"/>
              <w:rPr>
                <w:rFonts w:ascii="Times New Roman" w:hAnsi="Times New Roman" w:cs="Times New Roman" w:eastAsia="Times New Roman" w:hint="default"/>
                <w:sz w:val="18"/>
                <w:szCs w:val="18"/>
              </w:rPr>
            </w:pPr>
            <w:r>
              <w:rPr>
                <w:rFonts w:ascii="Times New Roman"/>
                <w:spacing w:val="-1"/>
                <w:sz w:val="18"/>
              </w:rPr>
              <w:t>65.75%</w:t>
            </w:r>
          </w:p>
        </w:tc>
      </w:tr>
      <w:tr>
        <w:trPr>
          <w:trHeight w:val="341"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4" w:right="0"/>
              <w:jc w:val="center"/>
              <w:rPr>
                <w:rFonts w:ascii="宋体" w:hAnsi="宋体" w:cs="宋体" w:eastAsia="宋体" w:hint="default"/>
                <w:sz w:val="18"/>
                <w:szCs w:val="18"/>
              </w:rPr>
            </w:pPr>
            <w:r>
              <w:rPr>
                <w:rFonts w:ascii="宋体" w:hAnsi="宋体" w:cs="宋体" w:eastAsia="宋体" w:hint="default"/>
                <w:sz w:val="18"/>
                <w:szCs w:val="18"/>
              </w:rPr>
              <w:t>部队医院</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8.03%</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17.04%</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37"/>
              <w:jc w:val="right"/>
              <w:rPr>
                <w:rFonts w:ascii="Times New Roman" w:hAnsi="Times New Roman" w:cs="Times New Roman" w:eastAsia="Times New Roman" w:hint="default"/>
                <w:sz w:val="18"/>
                <w:szCs w:val="18"/>
              </w:rPr>
            </w:pPr>
            <w:r>
              <w:rPr>
                <w:rFonts w:ascii="Times New Roman"/>
                <w:spacing w:val="-1"/>
                <w:sz w:val="18"/>
              </w:rPr>
              <w:t>11.85%</w:t>
            </w:r>
          </w:p>
        </w:tc>
      </w:tr>
      <w:tr>
        <w:trPr>
          <w:trHeight w:val="341"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3" w:right="0"/>
              <w:jc w:val="center"/>
              <w:rPr>
                <w:rFonts w:ascii="宋体" w:hAnsi="宋体" w:cs="宋体" w:eastAsia="宋体" w:hint="default"/>
                <w:sz w:val="18"/>
                <w:szCs w:val="18"/>
              </w:rPr>
            </w:pPr>
            <w:r>
              <w:rPr>
                <w:rFonts w:ascii="宋体" w:hAnsi="宋体" w:cs="宋体" w:eastAsia="宋体" w:hint="default"/>
                <w:spacing w:val="-3"/>
                <w:sz w:val="18"/>
                <w:szCs w:val="18"/>
              </w:rPr>
              <w:t>城市级智慧医疗</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2.67%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5.00%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37"/>
              <w:jc w:val="right"/>
              <w:rPr>
                <w:rFonts w:ascii="Times New Roman" w:hAnsi="Times New Roman" w:cs="Times New Roman" w:eastAsia="Times New Roman" w:hint="default"/>
                <w:sz w:val="18"/>
                <w:szCs w:val="18"/>
              </w:rPr>
            </w:pPr>
            <w:r>
              <w:rPr>
                <w:rFonts w:ascii="Times New Roman"/>
                <w:spacing w:val="-1"/>
                <w:sz w:val="18"/>
              </w:rPr>
              <w:t>22.25%</w:t>
            </w:r>
          </w:p>
        </w:tc>
      </w:tr>
      <w:tr>
        <w:trPr>
          <w:trHeight w:val="346"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0.15%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4.64%</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80"/>
              <w:jc w:val="right"/>
              <w:rPr>
                <w:rFonts w:ascii="Times New Roman" w:hAnsi="Times New Roman" w:cs="Times New Roman" w:eastAsia="Times New Roman" w:hint="default"/>
                <w:sz w:val="18"/>
                <w:szCs w:val="18"/>
              </w:rPr>
            </w:pPr>
            <w:r>
              <w:rPr>
                <w:rFonts w:ascii="Times New Roman"/>
                <w:spacing w:val="-1"/>
                <w:sz w:val="18"/>
              </w:rPr>
              <w:t>0.14%</w:t>
            </w:r>
          </w:p>
        </w:tc>
      </w:tr>
    </w:tbl>
    <w:p>
      <w:pPr>
        <w:spacing w:line="240" w:lineRule="auto" w:before="2"/>
        <w:rPr>
          <w:rFonts w:ascii="宋体" w:hAnsi="宋体" w:cs="宋体" w:eastAsia="宋体" w:hint="default"/>
          <w:sz w:val="21"/>
          <w:szCs w:val="21"/>
        </w:rPr>
      </w:pPr>
    </w:p>
    <w:p>
      <w:pPr>
        <w:pStyle w:val="BodyText"/>
        <w:spacing w:line="316" w:lineRule="auto" w:before="46"/>
        <w:ind w:right="0" w:firstLine="360"/>
        <w:jc w:val="left"/>
      </w:pPr>
      <w:r>
        <w:rPr>
          <w:spacing w:val="-5"/>
        </w:rPr>
        <w:t>从区域划分上分析，报告期内，公司在华东地区的业务有大幅提升，该地区内总体上医院信息化起步较早，近年来逐步</w:t>
      </w:r>
      <w:r>
        <w:rPr>
          <w:w w:val="101"/>
        </w:rPr>
        <w:t> </w:t>
      </w:r>
      <w:r>
        <w:rPr>
          <w:spacing w:val="-3"/>
        </w:rPr>
        <w:t>进入升级换代阶段，对高端产品和服务有着旺盛需求，具有大量潜在可挖掘的市场空间。</w:t>
      </w:r>
    </w:p>
    <w:p>
      <w:pPr>
        <w:pStyle w:val="BodyText"/>
        <w:spacing w:line="240" w:lineRule="auto" w:before="19"/>
        <w:ind w:left="513" w:right="0"/>
        <w:jc w:val="left"/>
      </w:pPr>
      <w:r>
        <w:rPr>
          <w:rFonts w:ascii="Times New Roman" w:hAnsi="Times New Roman" w:cs="Times New Roman" w:eastAsia="Times New Roman" w:hint="default"/>
          <w:spacing w:val="-3"/>
        </w:rPr>
        <w:t>2019</w:t>
      </w:r>
      <w:r>
        <w:rPr>
          <w:spacing w:val="-3"/>
        </w:rPr>
        <w:t>年新增合同按区域分布如下：</w:t>
      </w:r>
    </w:p>
    <w:p>
      <w:pPr>
        <w:spacing w:line="240" w:lineRule="auto" w:before="13"/>
        <w:rPr>
          <w:rFonts w:ascii="宋体" w:hAnsi="宋体" w:cs="宋体" w:eastAsia="宋体" w:hint="default"/>
          <w:sz w:val="3"/>
          <w:szCs w:val="3"/>
        </w:rPr>
      </w:pPr>
    </w:p>
    <w:tbl>
      <w:tblPr>
        <w:tblW w:w="0" w:type="auto"/>
        <w:jc w:val="left"/>
        <w:tblInd w:w="1579" w:type="dxa"/>
        <w:tblLayout w:type="fixed"/>
        <w:tblCellMar>
          <w:top w:w="0" w:type="dxa"/>
          <w:left w:w="0" w:type="dxa"/>
          <w:bottom w:w="0" w:type="dxa"/>
          <w:right w:w="0" w:type="dxa"/>
        </w:tblCellMar>
        <w:tblLook w:val="01E0"/>
      </w:tblPr>
      <w:tblGrid>
        <w:gridCol w:w="2055"/>
        <w:gridCol w:w="1652"/>
        <w:gridCol w:w="1421"/>
        <w:gridCol w:w="1647"/>
      </w:tblGrid>
      <w:tr>
        <w:trPr>
          <w:trHeight w:val="653"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区域</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734" w:right="3" w:hanging="72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年新增合同额占</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比</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436" w:right="70" w:hanging="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年新增合同</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额占比</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730" w:right="3" w:hanging="7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年新增合同额占</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比</w:t>
            </w:r>
          </w:p>
        </w:tc>
      </w:tr>
      <w:tr>
        <w:trPr>
          <w:trHeight w:val="341"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华东</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57.69%</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22"/>
              <w:jc w:val="right"/>
              <w:rPr>
                <w:rFonts w:ascii="Times New Roman" w:hAnsi="Times New Roman" w:cs="Times New Roman" w:eastAsia="Times New Roman" w:hint="default"/>
                <w:sz w:val="18"/>
                <w:szCs w:val="18"/>
              </w:rPr>
            </w:pPr>
            <w:r>
              <w:rPr>
                <w:rFonts w:ascii="Times New Roman"/>
                <w:spacing w:val="-1"/>
                <w:sz w:val="18"/>
              </w:rPr>
              <w:t>15.55%</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16.28%</w:t>
            </w:r>
          </w:p>
        </w:tc>
      </w:tr>
      <w:tr>
        <w:trPr>
          <w:trHeight w:val="341"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西北</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24.52%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22"/>
              <w:jc w:val="right"/>
              <w:rPr>
                <w:rFonts w:ascii="Times New Roman" w:hAnsi="Times New Roman" w:cs="Times New Roman" w:eastAsia="Times New Roman" w:hint="default"/>
                <w:sz w:val="18"/>
                <w:szCs w:val="18"/>
              </w:rPr>
            </w:pPr>
            <w:r>
              <w:rPr>
                <w:rFonts w:ascii="Times New Roman"/>
                <w:spacing w:val="-1"/>
                <w:sz w:val="18"/>
              </w:rPr>
              <w:t>37.79%</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32.78%</w:t>
            </w:r>
          </w:p>
        </w:tc>
      </w:tr>
      <w:tr>
        <w:trPr>
          <w:trHeight w:val="346"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 w:right="0"/>
              <w:jc w:val="center"/>
              <w:rPr>
                <w:rFonts w:ascii="宋体" w:hAnsi="宋体" w:cs="宋体" w:eastAsia="宋体" w:hint="default"/>
                <w:sz w:val="18"/>
                <w:szCs w:val="18"/>
              </w:rPr>
            </w:pPr>
            <w:r>
              <w:rPr>
                <w:rFonts w:ascii="宋体" w:hAnsi="宋体" w:cs="宋体" w:eastAsia="宋体" w:hint="default"/>
                <w:sz w:val="18"/>
                <w:szCs w:val="18"/>
              </w:rPr>
              <w:t>华北、东北</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7" w:right="0"/>
              <w:jc w:val="center"/>
              <w:rPr>
                <w:rFonts w:ascii="Times New Roman" w:hAnsi="Times New Roman" w:cs="Times New Roman" w:eastAsia="Times New Roman" w:hint="default"/>
                <w:sz w:val="18"/>
                <w:szCs w:val="18"/>
              </w:rPr>
            </w:pPr>
            <w:r>
              <w:rPr>
                <w:rFonts w:ascii="Times New Roman"/>
                <w:sz w:val="18"/>
              </w:rPr>
              <w:t>8.38%</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422"/>
              <w:jc w:val="right"/>
              <w:rPr>
                <w:rFonts w:ascii="Times New Roman" w:hAnsi="Times New Roman" w:cs="Times New Roman" w:eastAsia="Times New Roman" w:hint="default"/>
                <w:sz w:val="18"/>
                <w:szCs w:val="18"/>
              </w:rPr>
            </w:pPr>
            <w:r>
              <w:rPr>
                <w:rFonts w:ascii="Times New Roman"/>
                <w:spacing w:val="-1"/>
                <w:sz w:val="18"/>
              </w:rPr>
              <w:t>11.35%</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Times New Roman" w:hAnsi="Times New Roman" w:cs="Times New Roman" w:eastAsia="Times New Roman" w:hint="default"/>
                <w:sz w:val="18"/>
                <w:szCs w:val="18"/>
              </w:rPr>
            </w:pPr>
            <w:r>
              <w:rPr>
                <w:rFonts w:ascii="Times New Roman"/>
                <w:sz w:val="18"/>
              </w:rPr>
              <w:t>19.19%</w:t>
            </w:r>
          </w:p>
        </w:tc>
      </w:tr>
      <w:tr>
        <w:trPr>
          <w:trHeight w:val="341"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华中</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7.79%</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22"/>
              <w:jc w:val="right"/>
              <w:rPr>
                <w:rFonts w:ascii="Times New Roman" w:hAnsi="Times New Roman" w:cs="Times New Roman" w:eastAsia="Times New Roman" w:hint="default"/>
                <w:sz w:val="18"/>
                <w:szCs w:val="18"/>
              </w:rPr>
            </w:pPr>
            <w:r>
              <w:rPr>
                <w:rFonts w:ascii="Times New Roman"/>
                <w:spacing w:val="-1"/>
                <w:sz w:val="18"/>
              </w:rPr>
              <w:t>13.25%</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11.75%</w:t>
            </w:r>
          </w:p>
        </w:tc>
      </w:tr>
      <w:tr>
        <w:trPr>
          <w:trHeight w:val="341"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 w:right="0"/>
              <w:jc w:val="center"/>
              <w:rPr>
                <w:rFonts w:ascii="宋体" w:hAnsi="宋体" w:cs="宋体" w:eastAsia="宋体" w:hint="default"/>
                <w:sz w:val="18"/>
                <w:szCs w:val="18"/>
              </w:rPr>
            </w:pPr>
            <w:r>
              <w:rPr>
                <w:rFonts w:ascii="宋体" w:hAnsi="宋体" w:cs="宋体" w:eastAsia="宋体" w:hint="default"/>
                <w:sz w:val="18"/>
                <w:szCs w:val="18"/>
              </w:rPr>
              <w:t>华南、西南</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 w:right="0"/>
              <w:jc w:val="center"/>
              <w:rPr>
                <w:rFonts w:ascii="Times New Roman" w:hAnsi="Times New Roman" w:cs="Times New Roman" w:eastAsia="Times New Roman" w:hint="default"/>
                <w:sz w:val="18"/>
                <w:szCs w:val="18"/>
              </w:rPr>
            </w:pPr>
            <w:r>
              <w:rPr>
                <w:rFonts w:ascii="Times New Roman"/>
                <w:sz w:val="18"/>
              </w:rPr>
              <w:t>1.62%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422"/>
              <w:jc w:val="right"/>
              <w:rPr>
                <w:rFonts w:ascii="Times New Roman" w:hAnsi="Times New Roman" w:cs="Times New Roman" w:eastAsia="Times New Roman" w:hint="default"/>
                <w:sz w:val="18"/>
                <w:szCs w:val="18"/>
              </w:rPr>
            </w:pPr>
            <w:r>
              <w:rPr>
                <w:rFonts w:ascii="Times New Roman"/>
                <w:spacing w:val="-1"/>
                <w:sz w:val="18"/>
              </w:rPr>
              <w:t>22.06%</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20.00%</w:t>
            </w:r>
          </w:p>
        </w:tc>
      </w:tr>
    </w:tbl>
    <w:p>
      <w:pPr>
        <w:spacing w:line="240" w:lineRule="auto" w:before="1"/>
        <w:rPr>
          <w:rFonts w:ascii="宋体" w:hAnsi="宋体" w:cs="宋体" w:eastAsia="宋体" w:hint="default"/>
          <w:sz w:val="21"/>
          <w:szCs w:val="21"/>
        </w:rPr>
      </w:pPr>
    </w:p>
    <w:p>
      <w:pPr>
        <w:pStyle w:val="BodyText"/>
        <w:spacing w:line="316" w:lineRule="auto" w:before="46"/>
        <w:ind w:right="0" w:firstLine="360"/>
        <w:jc w:val="left"/>
      </w:pPr>
      <w:r>
        <w:rPr>
          <w:spacing w:val="-5"/>
        </w:rPr>
        <w:t>公司基于对医院业务系统的详细了解，通过提供咨询规划、设计、建设、系统集成、数据整合应用、维保等全生命周期</w:t>
      </w:r>
      <w:r>
        <w:rPr>
          <w:w w:val="101"/>
        </w:rPr>
        <w:t> </w:t>
      </w:r>
      <w:r>
        <w:rPr>
          <w:spacing w:val="-5"/>
        </w:rPr>
        <w:t>的一体化管家式服务为三级医疗机构等高端客户提供具有顶层设计的全院级别整体解决方案。报告期内，公司巩固了在三级</w:t>
      </w:r>
    </w:p>
    <w:p>
      <w:pPr>
        <w:spacing w:after="0" w:line="316"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240" w:lineRule="auto" w:before="46"/>
        <w:ind w:right="0"/>
        <w:jc w:val="left"/>
      </w:pPr>
      <w:r>
        <w:rPr>
          <w:spacing w:val="-3"/>
        </w:rPr>
        <w:t>医院市场的传统优势，持续为高端客户提供高水平服务。</w:t>
      </w:r>
    </w:p>
    <w:p>
      <w:pPr>
        <w:pStyle w:val="BodyText"/>
        <w:spacing w:line="240" w:lineRule="auto" w:before="76"/>
        <w:ind w:left="513" w:right="0"/>
        <w:jc w:val="left"/>
      </w:pPr>
      <w:r>
        <w:rPr>
          <w:rFonts w:ascii="Times New Roman" w:hAnsi="Times New Roman" w:cs="Times New Roman" w:eastAsia="Times New Roman" w:hint="default"/>
          <w:spacing w:val="-3"/>
        </w:rPr>
        <w:t>2019</w:t>
      </w:r>
      <w:r>
        <w:rPr>
          <w:spacing w:val="-3"/>
        </w:rPr>
        <w:t>年新增合同按医院等级分布如下：</w:t>
      </w:r>
    </w:p>
    <w:p>
      <w:pPr>
        <w:spacing w:line="240" w:lineRule="auto" w:before="13"/>
        <w:rPr>
          <w:rFonts w:ascii="宋体" w:hAnsi="宋体" w:cs="宋体" w:eastAsia="宋体" w:hint="default"/>
          <w:sz w:val="3"/>
          <w:szCs w:val="3"/>
        </w:rPr>
      </w:pPr>
    </w:p>
    <w:tbl>
      <w:tblPr>
        <w:tblW w:w="0" w:type="auto"/>
        <w:jc w:val="left"/>
        <w:tblInd w:w="1579" w:type="dxa"/>
        <w:tblLayout w:type="fixed"/>
        <w:tblCellMar>
          <w:top w:w="0" w:type="dxa"/>
          <w:left w:w="0" w:type="dxa"/>
          <w:bottom w:w="0" w:type="dxa"/>
          <w:right w:w="0" w:type="dxa"/>
        </w:tblCellMar>
        <w:tblLook w:val="01E0"/>
      </w:tblPr>
      <w:tblGrid>
        <w:gridCol w:w="2055"/>
        <w:gridCol w:w="1652"/>
        <w:gridCol w:w="1421"/>
        <w:gridCol w:w="1647"/>
      </w:tblGrid>
      <w:tr>
        <w:trPr>
          <w:trHeight w:val="653"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 w:right="0"/>
              <w:jc w:val="center"/>
              <w:rPr>
                <w:rFonts w:ascii="宋体" w:hAnsi="宋体" w:cs="宋体" w:eastAsia="宋体" w:hint="default"/>
                <w:sz w:val="18"/>
                <w:szCs w:val="18"/>
              </w:rPr>
            </w:pPr>
            <w:r>
              <w:rPr>
                <w:rFonts w:ascii="宋体" w:hAnsi="宋体" w:cs="宋体" w:eastAsia="宋体" w:hint="default"/>
                <w:sz w:val="18"/>
                <w:szCs w:val="18"/>
              </w:rPr>
              <w:t>医院客户等级</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734" w:right="3" w:hanging="72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年新增合同额占</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比</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436" w:right="70" w:hanging="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年新增合同</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额占比</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730" w:right="3" w:hanging="7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年新增合同额占</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比</w:t>
            </w:r>
          </w:p>
        </w:tc>
      </w:tr>
      <w:tr>
        <w:trPr>
          <w:trHeight w:val="341"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4" w:right="0"/>
              <w:jc w:val="center"/>
              <w:rPr>
                <w:rFonts w:ascii="宋体" w:hAnsi="宋体" w:cs="宋体" w:eastAsia="宋体" w:hint="default"/>
                <w:sz w:val="18"/>
                <w:szCs w:val="18"/>
              </w:rPr>
            </w:pPr>
            <w:r>
              <w:rPr>
                <w:rFonts w:ascii="宋体" w:hAnsi="宋体" w:cs="宋体" w:eastAsia="宋体" w:hint="default"/>
                <w:sz w:val="18"/>
                <w:szCs w:val="18"/>
              </w:rPr>
              <w:t>三级医院</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86.75%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69.64%</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37"/>
              <w:jc w:val="right"/>
              <w:rPr>
                <w:rFonts w:ascii="Times New Roman" w:hAnsi="Times New Roman" w:cs="Times New Roman" w:eastAsia="Times New Roman" w:hint="default"/>
                <w:sz w:val="18"/>
                <w:szCs w:val="18"/>
              </w:rPr>
            </w:pPr>
            <w:r>
              <w:rPr>
                <w:rFonts w:ascii="Times New Roman"/>
                <w:spacing w:val="-1"/>
                <w:sz w:val="18"/>
              </w:rPr>
              <w:t>52.75%</w:t>
            </w:r>
          </w:p>
        </w:tc>
      </w:tr>
      <w:tr>
        <w:trPr>
          <w:trHeight w:val="346"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 w:right="0"/>
              <w:jc w:val="center"/>
              <w:rPr>
                <w:rFonts w:ascii="宋体" w:hAnsi="宋体" w:cs="宋体" w:eastAsia="宋体" w:hint="default"/>
                <w:sz w:val="18"/>
                <w:szCs w:val="18"/>
              </w:rPr>
            </w:pPr>
            <w:r>
              <w:rPr>
                <w:rFonts w:ascii="宋体" w:hAnsi="宋体" w:cs="宋体" w:eastAsia="宋体" w:hint="default"/>
                <w:sz w:val="18"/>
                <w:szCs w:val="18"/>
              </w:rPr>
              <w:t>三级以下医院</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7" w:right="0"/>
              <w:jc w:val="center"/>
              <w:rPr>
                <w:rFonts w:ascii="Times New Roman" w:hAnsi="Times New Roman" w:cs="Times New Roman" w:eastAsia="Times New Roman" w:hint="default"/>
                <w:sz w:val="18"/>
                <w:szCs w:val="18"/>
              </w:rPr>
            </w:pPr>
            <w:r>
              <w:rPr>
                <w:rFonts w:ascii="Times New Roman"/>
                <w:sz w:val="18"/>
              </w:rPr>
              <w:t>1.58%</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Times New Roman" w:hAnsi="Times New Roman" w:cs="Times New Roman" w:eastAsia="Times New Roman" w:hint="default"/>
                <w:sz w:val="18"/>
                <w:szCs w:val="18"/>
              </w:rPr>
            </w:pPr>
            <w:r>
              <w:rPr>
                <w:rFonts w:ascii="Times New Roman"/>
                <w:sz w:val="18"/>
              </w:rPr>
              <w:t>0.58%</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580"/>
              <w:jc w:val="right"/>
              <w:rPr>
                <w:rFonts w:ascii="Times New Roman" w:hAnsi="Times New Roman" w:cs="Times New Roman" w:eastAsia="Times New Roman" w:hint="default"/>
                <w:sz w:val="18"/>
                <w:szCs w:val="18"/>
              </w:rPr>
            </w:pPr>
            <w:r>
              <w:rPr>
                <w:rFonts w:ascii="Times New Roman"/>
                <w:spacing w:val="-1"/>
                <w:sz w:val="18"/>
              </w:rPr>
              <w:t>2.12%</w:t>
            </w:r>
          </w:p>
        </w:tc>
      </w:tr>
      <w:tr>
        <w:trPr>
          <w:trHeight w:val="341"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3" w:right="0"/>
              <w:jc w:val="center"/>
              <w:rPr>
                <w:rFonts w:ascii="宋体" w:hAnsi="宋体" w:cs="宋体" w:eastAsia="宋体" w:hint="default"/>
                <w:sz w:val="18"/>
                <w:szCs w:val="18"/>
              </w:rPr>
            </w:pPr>
            <w:r>
              <w:rPr>
                <w:rFonts w:ascii="宋体" w:hAnsi="宋体" w:cs="宋体" w:eastAsia="宋体" w:hint="default"/>
                <w:spacing w:val="-3"/>
                <w:sz w:val="18"/>
                <w:szCs w:val="18"/>
              </w:rPr>
              <w:t>城市级智慧医疗</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2.67%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4.64%</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37"/>
              <w:jc w:val="right"/>
              <w:rPr>
                <w:rFonts w:ascii="Times New Roman" w:hAnsi="Times New Roman" w:cs="Times New Roman" w:eastAsia="Times New Roman" w:hint="default"/>
                <w:sz w:val="18"/>
                <w:szCs w:val="18"/>
              </w:rPr>
            </w:pPr>
            <w:r>
              <w:rPr>
                <w:rFonts w:ascii="Times New Roman"/>
                <w:spacing w:val="-1"/>
                <w:sz w:val="18"/>
              </w:rPr>
              <w:t>18.16%</w:t>
            </w:r>
          </w:p>
        </w:tc>
      </w:tr>
      <w:tr>
        <w:trPr>
          <w:trHeight w:val="341"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4" w:right="0"/>
              <w:jc w:val="center"/>
              <w:rPr>
                <w:rFonts w:ascii="宋体" w:hAnsi="宋体" w:cs="宋体" w:eastAsia="宋体" w:hint="default"/>
                <w:sz w:val="18"/>
                <w:szCs w:val="18"/>
              </w:rPr>
            </w:pPr>
            <w:r>
              <w:rPr>
                <w:rFonts w:ascii="宋体" w:hAnsi="宋体" w:cs="宋体" w:eastAsia="宋体" w:hint="default"/>
                <w:sz w:val="18"/>
                <w:szCs w:val="18"/>
              </w:rPr>
              <w:t>渠道商</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8.95%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13.05%</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37"/>
              <w:jc w:val="right"/>
              <w:rPr>
                <w:rFonts w:ascii="Times New Roman" w:hAnsi="Times New Roman" w:cs="Times New Roman" w:eastAsia="Times New Roman" w:hint="default"/>
                <w:sz w:val="18"/>
                <w:szCs w:val="18"/>
              </w:rPr>
            </w:pPr>
            <w:r>
              <w:rPr>
                <w:rFonts w:ascii="Times New Roman"/>
                <w:spacing w:val="-1"/>
                <w:sz w:val="18"/>
              </w:rPr>
              <w:t>26.93%</w:t>
            </w:r>
          </w:p>
        </w:tc>
      </w:tr>
      <w:tr>
        <w:trPr>
          <w:trHeight w:val="346" w:hRule="exact"/>
        </w:trPr>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0.05%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12.09%</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80"/>
              <w:jc w:val="right"/>
              <w:rPr>
                <w:rFonts w:ascii="Times New Roman" w:hAnsi="Times New Roman" w:cs="Times New Roman" w:eastAsia="Times New Roman" w:hint="default"/>
                <w:sz w:val="18"/>
                <w:szCs w:val="18"/>
              </w:rPr>
            </w:pPr>
            <w:r>
              <w:rPr>
                <w:rFonts w:ascii="Times New Roman"/>
                <w:spacing w:val="-1"/>
                <w:sz w:val="18"/>
              </w:rPr>
              <w:t>0.03%</w:t>
            </w:r>
          </w:p>
        </w:tc>
      </w:tr>
    </w:tbl>
    <w:p>
      <w:pPr>
        <w:spacing w:line="240" w:lineRule="auto" w:before="1"/>
        <w:rPr>
          <w:rFonts w:ascii="宋体" w:hAnsi="宋体" w:cs="宋体" w:eastAsia="宋体" w:hint="default"/>
          <w:sz w:val="21"/>
          <w:szCs w:val="21"/>
        </w:rPr>
      </w:pPr>
    </w:p>
    <w:p>
      <w:pPr>
        <w:pStyle w:val="BodyText"/>
        <w:spacing w:line="304" w:lineRule="auto" w:before="46"/>
        <w:ind w:right="1122" w:firstLine="360"/>
        <w:jc w:val="both"/>
      </w:pPr>
      <w:r>
        <w:rPr>
          <w:spacing w:val="-5"/>
        </w:rPr>
        <w:t>报告期内，公司继续坚持立足智慧医院、智慧医疗行业，持续扩大综合优势提高市场占有率。近年来随着互联网、物联</w:t>
      </w:r>
      <w:r>
        <w:rPr>
          <w:w w:val="101"/>
        </w:rPr>
        <w:t> </w:t>
      </w:r>
      <w:r>
        <w:rPr>
          <w:spacing w:val="-4"/>
        </w:rPr>
        <w:t>网、大数据等信息技术与医疗相融合，国家卫健委等行业监管部门大力发展整体</w:t>
      </w:r>
      <w:r>
        <w:rPr>
          <w:rFonts w:ascii="Times New Roman" w:hAnsi="Times New Roman" w:cs="Times New Roman" w:eastAsia="Times New Roman" w:hint="default"/>
          <w:spacing w:val="-4"/>
        </w:rPr>
        <w:t>“</w:t>
      </w:r>
      <w:r>
        <w:rPr>
          <w:spacing w:val="-4"/>
        </w:rPr>
        <w:t>智慧医院</w:t>
      </w:r>
      <w:r>
        <w:rPr>
          <w:rFonts w:ascii="Times New Roman" w:hAnsi="Times New Roman" w:cs="Times New Roman" w:eastAsia="Times New Roman" w:hint="default"/>
          <w:spacing w:val="-4"/>
        </w:rPr>
        <w:t>”</w:t>
      </w:r>
      <w:r>
        <w:rPr>
          <w:spacing w:val="-4"/>
        </w:rPr>
        <w:t>建设，包括面向医务人员的以围</w:t>
      </w:r>
      <w:r>
        <w:rPr>
          <w:spacing w:val="65"/>
        </w:rPr>
        <w:t> </w:t>
      </w:r>
      <w:r>
        <w:rPr>
          <w:spacing w:val="65"/>
        </w:rPr>
      </w:r>
      <w:r>
        <w:rPr>
          <w:spacing w:val="-2"/>
        </w:rPr>
        <w:t>绕电子病历为核心的信息化建设为抓手的</w:t>
      </w:r>
      <w:r>
        <w:rPr>
          <w:rFonts w:ascii="Times New Roman" w:hAnsi="Times New Roman" w:cs="Times New Roman" w:eastAsia="Times New Roman" w:hint="default"/>
          <w:spacing w:val="-2"/>
        </w:rPr>
        <w:t>“</w:t>
      </w:r>
      <w:r>
        <w:rPr>
          <w:spacing w:val="-2"/>
        </w:rPr>
        <w:t>智慧医疗</w:t>
      </w:r>
      <w:r>
        <w:rPr>
          <w:rFonts w:ascii="Times New Roman" w:hAnsi="Times New Roman" w:cs="Times New Roman" w:eastAsia="Times New Roman" w:hint="default"/>
          <w:spacing w:val="-2"/>
        </w:rPr>
        <w:t>”</w:t>
      </w:r>
      <w:r>
        <w:rPr>
          <w:spacing w:val="-2"/>
        </w:rPr>
        <w:t>，面向患者的以</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医疗健康</w:t>
      </w:r>
      <w:r>
        <w:rPr>
          <w:rFonts w:ascii="Times New Roman" w:hAnsi="Times New Roman" w:cs="Times New Roman" w:eastAsia="Times New Roman" w:hint="default"/>
          <w:spacing w:val="-2"/>
        </w:rPr>
        <w:t>”</w:t>
      </w:r>
      <w:r>
        <w:rPr>
          <w:spacing w:val="-2"/>
        </w:rPr>
        <w:t>政策为助推力的</w:t>
      </w:r>
      <w:r>
        <w:rPr>
          <w:rFonts w:ascii="Times New Roman" w:hAnsi="Times New Roman" w:cs="Times New Roman" w:eastAsia="Times New Roman" w:hint="default"/>
          <w:spacing w:val="-2"/>
        </w:rPr>
        <w:t>“</w:t>
      </w:r>
      <w:r>
        <w:rPr>
          <w:spacing w:val="-2"/>
        </w:rPr>
        <w:t>智慧服务</w:t>
      </w:r>
      <w:r>
        <w:rPr>
          <w:rFonts w:ascii="Times New Roman" w:hAnsi="Times New Roman" w:cs="Times New Roman" w:eastAsia="Times New Roman" w:hint="default"/>
          <w:spacing w:val="-2"/>
        </w:rPr>
        <w:t>”</w:t>
      </w:r>
      <w:r>
        <w:rPr>
          <w:spacing w:val="-2"/>
        </w:rPr>
        <w:t>，以及</w:t>
      </w:r>
      <w:r>
        <w:rPr>
          <w:spacing w:val="77"/>
        </w:rPr>
        <w:t> </w:t>
      </w:r>
      <w:r>
        <w:rPr>
          <w:spacing w:val="-4"/>
        </w:rPr>
        <w:t>面向医院管理的以提高精细化信息化管理水平为目标的</w:t>
      </w:r>
      <w:r>
        <w:rPr>
          <w:rFonts w:ascii="Times New Roman" w:hAnsi="Times New Roman" w:cs="Times New Roman" w:eastAsia="Times New Roman" w:hint="default"/>
          <w:spacing w:val="-4"/>
        </w:rPr>
        <w:t>“</w:t>
      </w:r>
      <w:r>
        <w:rPr>
          <w:spacing w:val="-4"/>
        </w:rPr>
        <w:t>智慧管理</w:t>
      </w:r>
      <w:r>
        <w:rPr>
          <w:rFonts w:ascii="Times New Roman" w:hAnsi="Times New Roman" w:cs="Times New Roman" w:eastAsia="Times New Roman" w:hint="default"/>
          <w:spacing w:val="-4"/>
        </w:rPr>
        <w:t>”</w:t>
      </w:r>
      <w:r>
        <w:rPr>
          <w:spacing w:val="-4"/>
        </w:rPr>
        <w:t>，因此大型医疗机构的信息系统更多采取以总包形式进行</w:t>
      </w:r>
      <w:r>
        <w:rPr>
          <w:spacing w:val="56"/>
        </w:rPr>
        <w:t> </w:t>
      </w:r>
      <w:r>
        <w:rPr>
          <w:spacing w:val="56"/>
        </w:rPr>
      </w:r>
      <w:r>
        <w:rPr>
          <w:spacing w:val="-6"/>
        </w:rPr>
        <w:t>整体设计规划，导致行业大单比重逐渐上升。报告期内，公司先后中标江西省儿童医院（</w:t>
      </w:r>
      <w:r>
        <w:rPr>
          <w:rFonts w:ascii="Times New Roman" w:hAnsi="Times New Roman" w:cs="Times New Roman" w:eastAsia="Times New Roman" w:hint="default"/>
          <w:spacing w:val="-6"/>
        </w:rPr>
        <w:t>1.14</w:t>
      </w:r>
      <w:r>
        <w:rPr>
          <w:spacing w:val="-6"/>
        </w:rPr>
        <w:t>亿）、江西省妇幼保健院（</w:t>
      </w:r>
      <w:r>
        <w:rPr>
          <w:rFonts w:ascii="Times New Roman" w:hAnsi="Times New Roman" w:cs="Times New Roman" w:eastAsia="Times New Roman" w:hint="default"/>
          <w:spacing w:val="-6"/>
        </w:rPr>
        <w:t>8209</w:t>
      </w:r>
      <w:r>
        <w:rPr>
          <w:rFonts w:ascii="Times New Roman" w:hAnsi="Times New Roman" w:cs="Times New Roman" w:eastAsia="Times New Roman" w:hint="default"/>
          <w:spacing w:val="12"/>
        </w:rPr>
        <w:t> </w:t>
      </w:r>
      <w:r>
        <w:rPr>
          <w:spacing w:val="-3"/>
        </w:rPr>
        <w:t>万）等十多个大型智慧医院建设项目。</w:t>
      </w:r>
    </w:p>
    <w:p>
      <w:pPr>
        <w:pStyle w:val="BodyText"/>
        <w:spacing w:line="316" w:lineRule="auto" w:before="28"/>
        <w:ind w:right="1124" w:firstLine="360"/>
        <w:jc w:val="both"/>
      </w:pPr>
      <w:r>
        <w:rPr>
          <w:spacing w:val="-5"/>
        </w:rPr>
        <w:t>公司以自身先进的解决方案为基点，通过建立与政府、城市国有资产平台、智慧城市总包商、集成商、银行等的合作关</w:t>
      </w:r>
      <w:r>
        <w:rPr>
          <w:w w:val="101"/>
        </w:rPr>
        <w:t> </w:t>
      </w:r>
      <w:r>
        <w:rPr>
          <w:spacing w:val="-4"/>
        </w:rPr>
        <w:t>系，拓展了业务渠道。报告期内，城市级智慧医疗业务模式经过四川广元、江苏江阴、江苏金湖、江西萍乡、贵州赤水等地</w:t>
      </w:r>
      <w:r>
        <w:rPr>
          <w:spacing w:val="40"/>
        </w:rPr>
        <w:t> </w:t>
      </w:r>
      <w:r>
        <w:rPr>
          <w:spacing w:val="40"/>
        </w:rPr>
      </w:r>
      <w:r>
        <w:rPr>
          <w:spacing w:val="-3"/>
        </w:rPr>
        <w:t>的智慧医疗项目建设或通过验收，已经具备可规模化复制推广的能力。</w:t>
      </w:r>
    </w:p>
    <w:p>
      <w:pPr>
        <w:pStyle w:val="BodyText"/>
        <w:spacing w:line="333" w:lineRule="auto" w:before="62"/>
        <w:ind w:left="513" w:right="0" w:firstLine="62"/>
        <w:jc w:val="left"/>
      </w:pPr>
      <w:r>
        <w:rPr>
          <w:rFonts w:ascii="Times New Roman" w:hAnsi="Times New Roman" w:cs="Times New Roman" w:eastAsia="Times New Roman" w:hint="default"/>
        </w:rPr>
        <w:t>3</w:t>
      </w:r>
      <w:r>
        <w:rPr/>
        <w:t>、内部管理控制</w:t>
      </w:r>
      <w:r>
        <w:rPr>
          <w:w w:val="101"/>
        </w:rPr>
        <w:t> </w:t>
      </w:r>
      <w:r>
        <w:rPr>
          <w:spacing w:val="-8"/>
          <w:w w:val="101"/>
        </w:rPr>
        <w:t>报告期内，公司从战略高度上重视品牌建设与推广，着力提升公司品牌影响力。先后引进不同层级的专业品牌管理人才，</w:t>
      </w:r>
      <w:r>
        <w:rPr>
          <w:spacing w:val="-8"/>
        </w:rPr>
      </w:r>
    </w:p>
    <w:p>
      <w:pPr>
        <w:pStyle w:val="BodyText"/>
        <w:spacing w:line="304" w:lineRule="auto" w:before="6"/>
        <w:ind w:right="0"/>
        <w:jc w:val="left"/>
      </w:pPr>
      <w:r>
        <w:rPr>
          <w:spacing w:val="-1"/>
        </w:rPr>
        <w:t>不断加强公司原有品牌队伍的建设；同时对公司官网进行升级，打造对外品牌宣传沟通官方通道，并加强</w:t>
      </w:r>
      <w:r>
        <w:rPr>
          <w:rFonts w:ascii="Times New Roman" w:hAnsi="Times New Roman" w:cs="Times New Roman" w:eastAsia="Times New Roman" w:hint="default"/>
          <w:spacing w:val="-1"/>
        </w:rPr>
        <w:t>VI</w:t>
      </w:r>
      <w:r>
        <w:rPr>
          <w:spacing w:val="-1"/>
        </w:rPr>
        <w:t>系统建设，从</w:t>
      </w:r>
      <w:r>
        <w:rPr>
          <w:spacing w:val="52"/>
        </w:rPr>
        <w:t> </w:t>
      </w:r>
      <w:r>
        <w:rPr>
          <w:spacing w:val="-3"/>
        </w:rPr>
        <w:t>品牌方面凸显公司的核心优势及软实力。</w:t>
      </w:r>
    </w:p>
    <w:p>
      <w:pPr>
        <w:pStyle w:val="BodyText"/>
        <w:spacing w:line="321" w:lineRule="auto" w:before="66"/>
        <w:ind w:right="1122" w:firstLine="480"/>
        <w:jc w:val="both"/>
      </w:pPr>
      <w:r>
        <w:rPr/>
        <w:t>报告期内，公司加强管理制度和流程体系建设，持续进行公司制度的修订与汇编，其中重点包括</w:t>
      </w:r>
      <w:r>
        <w:rPr>
          <w:spacing w:val="62"/>
        </w:rPr>
        <w:t> </w:t>
      </w:r>
      <w:r>
        <w:rPr/>
        <w:t>《全面预算管理办</w:t>
      </w:r>
      <w:r>
        <w:rPr>
          <w:w w:val="101"/>
        </w:rPr>
        <w:t> </w:t>
      </w:r>
      <w:r>
        <w:rPr/>
        <w:t>法》</w:t>
      </w:r>
      <w:r>
        <w:rPr>
          <w:spacing w:val="11"/>
        </w:rPr>
        <w:t> </w:t>
      </w:r>
      <w:r>
        <w:rPr>
          <w:spacing w:val="-3"/>
        </w:rPr>
        <w:t>、《绩效激励方案》</w:t>
      </w:r>
      <w:r>
        <w:rPr>
          <w:spacing w:val="11"/>
        </w:rPr>
        <w:t> </w:t>
      </w:r>
      <w:r>
        <w:rPr>
          <w:spacing w:val="-3"/>
        </w:rPr>
        <w:t>、《应收账款管理办法》</w:t>
      </w:r>
      <w:r>
        <w:rPr>
          <w:spacing w:val="11"/>
        </w:rPr>
        <w:t> </w:t>
      </w:r>
      <w:r>
        <w:rPr>
          <w:spacing w:val="-3"/>
        </w:rPr>
        <w:t>、《项目协作管理》</w:t>
      </w:r>
      <w:r>
        <w:rPr>
          <w:spacing w:val="18"/>
        </w:rPr>
        <w:t> </w:t>
      </w:r>
      <w:r>
        <w:rPr>
          <w:spacing w:val="-3"/>
        </w:rPr>
        <w:t>、《总包项目内部分包管理规定》等一系列管理</w:t>
      </w:r>
      <w:r>
        <w:rPr>
          <w:spacing w:val="-79"/>
        </w:rPr>
        <w:t> </w:t>
      </w:r>
      <w:r>
        <w:rPr>
          <w:spacing w:val="-79"/>
        </w:rPr>
      </w:r>
      <w:r>
        <w:rPr>
          <w:spacing w:val="-3"/>
        </w:rPr>
        <w:t>制度，通过加强管理制度和流程体系建设，为公司持续提升业务流程管理标准。</w:t>
      </w:r>
    </w:p>
    <w:p>
      <w:pPr>
        <w:pStyle w:val="BodyText"/>
        <w:spacing w:line="319" w:lineRule="auto" w:before="49"/>
        <w:ind w:right="1122"/>
        <w:jc w:val="both"/>
      </w:pPr>
      <w:r>
        <w:rPr>
          <w:spacing w:val="-4"/>
        </w:rPr>
        <w:t>报告期内，公司还重点加强了对外报价管理体系建设，成立价格管理委员会，制定颁布了《对外报价及授权管理办法》对价</w:t>
      </w:r>
      <w:r>
        <w:rPr>
          <w:spacing w:val="42"/>
        </w:rPr>
        <w:t> </w:t>
      </w:r>
      <w:r>
        <w:rPr>
          <w:spacing w:val="42"/>
        </w:rPr>
      </w:r>
      <w:r>
        <w:rPr>
          <w:spacing w:val="-4"/>
        </w:rPr>
        <w:t>格进行系统性管理，规范产品（项目）对外销售价格的制定、执行、调整、监督，对市场及客户需求做出快速反应，提高产</w:t>
      </w:r>
      <w:r>
        <w:rPr>
          <w:spacing w:val="40"/>
        </w:rPr>
        <w:t> </w:t>
      </w:r>
      <w:r>
        <w:rPr>
          <w:spacing w:val="40"/>
        </w:rPr>
      </w:r>
      <w:r>
        <w:rPr>
          <w:spacing w:val="-3"/>
        </w:rPr>
        <w:t>品的市场竞争力和企业的盈利能力。</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二、主营业务分析" w:id="24"/>
      <w:bookmarkEnd w:id="24"/>
      <w:r>
        <w:rPr>
          <w:b w:val="0"/>
          <w:bCs w:val="0"/>
        </w:rPr>
      </w:r>
      <w:r>
        <w:rPr/>
        <w:t>二、主营业务分析</w:t>
      </w:r>
      <w:r>
        <w:rPr>
          <w:b w:val="0"/>
          <w:bCs w:val="0"/>
        </w:rPr>
      </w:r>
    </w:p>
    <w:p>
      <w:pPr>
        <w:spacing w:line="240" w:lineRule="auto" w:before="3"/>
        <w:rPr>
          <w:rFonts w:ascii="宋体" w:hAnsi="宋体" w:cs="宋体" w:eastAsia="宋体" w:hint="default"/>
          <w:b/>
          <w:bCs/>
          <w:sz w:val="25"/>
          <w:szCs w:val="25"/>
        </w:rPr>
      </w:pPr>
    </w:p>
    <w:p>
      <w:pPr>
        <w:spacing w:line="544" w:lineRule="auto" w:before="0"/>
        <w:ind w:left="153" w:right="6287" w:firstLine="0"/>
        <w:jc w:val="left"/>
        <w:rPr>
          <w:rFonts w:ascii="宋体" w:hAnsi="宋体" w:cs="宋体" w:eastAsia="宋体" w:hint="default"/>
          <w:sz w:val="21"/>
          <w:szCs w:val="21"/>
        </w:rPr>
      </w:pPr>
      <w:bookmarkStart w:name="1、概述" w:id="25"/>
      <w:bookmarkEnd w:id="2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pacing w:val="-3"/>
          <w:sz w:val="18"/>
          <w:szCs w:val="18"/>
        </w:rPr>
        <w:t>参见</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经营情况讨论与分析</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中的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一、概述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相关内容。</w:t>
      </w:r>
      <w:r>
        <w:rPr>
          <w:rFonts w:ascii="宋体" w:hAnsi="宋体" w:cs="宋体" w:eastAsia="宋体" w:hint="default"/>
          <w:spacing w:val="-15"/>
          <w:sz w:val="18"/>
          <w:szCs w:val="18"/>
        </w:rPr>
        <w:t> </w:t>
      </w:r>
      <w:r>
        <w:rPr>
          <w:rFonts w:ascii="宋体" w:hAnsi="宋体" w:cs="宋体" w:eastAsia="宋体" w:hint="default"/>
          <w:spacing w:val="-15"/>
          <w:sz w:val="18"/>
          <w:szCs w:val="18"/>
        </w:rPr>
      </w:r>
      <w:bookmarkStart w:name="2、收入与成本" w:id="26"/>
      <w:bookmarkEnd w:id="26"/>
      <w:r>
        <w:rPr>
          <w:rFonts w:ascii="宋体" w:hAnsi="宋体" w:cs="宋体" w:eastAsia="宋体" w:hint="default"/>
          <w:spacing w:val="-15"/>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4"/>
        <w:spacing w:line="240" w:lineRule="auto" w:before="28"/>
        <w:ind w:right="0"/>
        <w:jc w:val="left"/>
        <w:rPr>
          <w:b w:val="0"/>
          <w:bCs w:val="0"/>
        </w:rPr>
      </w:pPr>
      <w:bookmarkStart w:name="（1）营业收入构成" w:id="27"/>
      <w:bookmarkEnd w:id="27"/>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right="0"/>
        <w:jc w:val="left"/>
      </w:pPr>
      <w:r>
        <w:rPr/>
        <w:t>营业收入整体情况</w:t>
      </w:r>
    </w:p>
    <w:p>
      <w:pPr>
        <w:pStyle w:val="BodyText"/>
        <w:spacing w:line="240" w:lineRule="auto" w:before="115"/>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9"/>
        <w:gridCol w:w="3189"/>
        <w:gridCol w:w="3188"/>
        <w:gridCol w:w="1594"/>
      </w:tblGrid>
      <w:tr>
        <w:trPr>
          <w:trHeight w:val="398"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9"/>
        <w:gridCol w:w="1597"/>
        <w:gridCol w:w="1589"/>
        <w:gridCol w:w="1600"/>
        <w:gridCol w:w="1588"/>
        <w:gridCol w:w="1597"/>
      </w:tblGrid>
      <w:tr>
        <w:trPr>
          <w:trHeight w:val="403"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pacing w:val="-3"/>
                <w:sz w:val="18"/>
                <w:szCs w:val="18"/>
              </w:rPr>
              <w:t>占营业收入比重</w:t>
            </w:r>
          </w:p>
        </w:tc>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0" w:right="0"/>
              <w:jc w:val="left"/>
              <w:rPr>
                <w:rFonts w:ascii="宋体" w:hAnsi="宋体" w:cs="宋体" w:eastAsia="宋体" w:hint="default"/>
                <w:sz w:val="18"/>
                <w:szCs w:val="18"/>
              </w:rPr>
            </w:pPr>
            <w:r>
              <w:rPr>
                <w:rFonts w:ascii="宋体" w:hAnsi="宋体" w:cs="宋体" w:eastAsia="宋体" w:hint="default"/>
                <w:spacing w:val="-3"/>
                <w:sz w:val="18"/>
                <w:szCs w:val="18"/>
              </w:rPr>
              <w:t>占营业收入比重</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8"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6"/>
              <w:ind w:right="8"/>
              <w:jc w:val="right"/>
              <w:rPr>
                <w:rFonts w:ascii="Times New Roman" w:hAnsi="Times New Roman" w:cs="Times New Roman" w:eastAsia="Times New Roman" w:hint="default"/>
                <w:sz w:val="18"/>
                <w:szCs w:val="18"/>
              </w:rPr>
            </w:pPr>
            <w:r>
              <w:rPr>
                <w:rFonts w:ascii="Times New Roman"/>
                <w:spacing w:val="-1"/>
                <w:sz w:val="18"/>
              </w:rPr>
              <w:t>440,959,834.78</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2"/>
                <w:sz w:val="18"/>
              </w:rPr>
              <w:t>100%</w:t>
            </w:r>
          </w:p>
        </w:tc>
        <w:tc>
          <w:tcPr>
            <w:tcW w:w="1600"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391,421,018.50</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2"/>
                <w:sz w:val="18"/>
              </w:rPr>
              <w:t>100%</w:t>
            </w:r>
          </w:p>
        </w:tc>
        <w:tc>
          <w:tcPr>
            <w:tcW w:w="15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12.66%</w:t>
            </w:r>
          </w:p>
        </w:tc>
      </w:tr>
      <w:tr>
        <w:trPr>
          <w:trHeight w:val="394"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医疗信息化行业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428,643,899.03</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97.21%</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373,537,574.29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95.43%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14.75%</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12,315,935.75</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2.79%</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17,883,444.21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4.57%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-31.13%</w:t>
            </w:r>
          </w:p>
        </w:tc>
      </w:tr>
      <w:tr>
        <w:trPr>
          <w:trHeight w:val="398"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场景化应用系统</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192,390,893.01</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
              <w:jc w:val="right"/>
              <w:rPr>
                <w:rFonts w:ascii="Times New Roman" w:hAnsi="Times New Roman" w:cs="Times New Roman" w:eastAsia="Times New Roman" w:hint="default"/>
                <w:sz w:val="18"/>
                <w:szCs w:val="18"/>
              </w:rPr>
            </w:pPr>
            <w:r>
              <w:rPr>
                <w:rFonts w:ascii="Times New Roman"/>
                <w:spacing w:val="-1"/>
                <w:sz w:val="18"/>
              </w:rPr>
              <w:t>43.63%</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165,841,763.31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
              <w:jc w:val="right"/>
              <w:rPr>
                <w:rFonts w:ascii="Times New Roman" w:hAnsi="Times New Roman" w:cs="Times New Roman" w:eastAsia="Times New Roman" w:hint="default"/>
                <w:sz w:val="18"/>
                <w:szCs w:val="18"/>
              </w:rPr>
            </w:pPr>
            <w:r>
              <w:rPr>
                <w:rFonts w:ascii="Times New Roman"/>
                <w:spacing w:val="-1"/>
                <w:sz w:val="18"/>
              </w:rPr>
              <w:t>42.37%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16.01%</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医疗信息系统</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207,398,203.80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47.03%</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2"/>
                <w:sz w:val="18"/>
              </w:rPr>
              <w:t>182,925,511.10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46.73%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13.38%</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41,170,737.97</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9.34%</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42,653,744.09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10.90%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-3.48%</w:t>
            </w:r>
          </w:p>
        </w:tc>
      </w:tr>
      <w:tr>
        <w:trPr>
          <w:trHeight w:val="398"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205,397,441.13</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
              <w:jc w:val="right"/>
              <w:rPr>
                <w:rFonts w:ascii="Times New Roman" w:hAnsi="Times New Roman" w:cs="Times New Roman" w:eastAsia="Times New Roman" w:hint="default"/>
                <w:sz w:val="18"/>
                <w:szCs w:val="18"/>
              </w:rPr>
            </w:pPr>
            <w:r>
              <w:rPr>
                <w:rFonts w:ascii="Times New Roman"/>
                <w:spacing w:val="-1"/>
                <w:sz w:val="18"/>
              </w:rPr>
              <w:t>46.58%</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84,455,826.40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
              <w:jc w:val="right"/>
              <w:rPr>
                <w:rFonts w:ascii="Times New Roman" w:hAnsi="Times New Roman" w:cs="Times New Roman" w:eastAsia="Times New Roman" w:hint="default"/>
                <w:sz w:val="18"/>
                <w:szCs w:val="18"/>
              </w:rPr>
            </w:pPr>
            <w:r>
              <w:rPr>
                <w:rFonts w:ascii="Times New Roman"/>
                <w:spacing w:val="-1"/>
                <w:sz w:val="18"/>
              </w:rPr>
              <w:t>21.58%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143.20%</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103,542,797.40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23.48%</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141,813,373.35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36.23%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-26.99%</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47,173,198.86</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10.70%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58,799,775.12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15.02%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-19.77%</w:t>
            </w:r>
          </w:p>
        </w:tc>
      </w:tr>
      <w:tr>
        <w:trPr>
          <w:trHeight w:val="39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45,141,692.09</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10.24%</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40,019,387.46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10.22%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12.80%</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39,704,705.30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
              <w:jc w:val="right"/>
              <w:rPr>
                <w:rFonts w:ascii="Times New Roman" w:hAnsi="Times New Roman" w:cs="Times New Roman" w:eastAsia="Times New Roman" w:hint="default"/>
                <w:sz w:val="18"/>
                <w:szCs w:val="18"/>
              </w:rPr>
            </w:pPr>
            <w:r>
              <w:rPr>
                <w:rFonts w:ascii="Times New Roman"/>
                <w:spacing w:val="-1"/>
                <w:sz w:val="18"/>
              </w:rPr>
              <w:t>9.00%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66,332,656.17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
              <w:jc w:val="right"/>
              <w:rPr>
                <w:rFonts w:ascii="Times New Roman" w:hAnsi="Times New Roman" w:cs="Times New Roman" w:eastAsia="Times New Roman" w:hint="default"/>
                <w:sz w:val="18"/>
                <w:szCs w:val="18"/>
              </w:rPr>
            </w:pPr>
            <w:r>
              <w:rPr>
                <w:rFonts w:ascii="Times New Roman"/>
                <w:spacing w:val="-1"/>
                <w:sz w:val="18"/>
              </w:rPr>
              <w:t>16.95%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-40.14%</w:t>
            </w:r>
          </w:p>
        </w:tc>
      </w:tr>
    </w:tbl>
    <w:p>
      <w:pPr>
        <w:pStyle w:val="BodyText"/>
        <w:spacing w:line="240" w:lineRule="auto" w:before="54"/>
        <w:ind w:right="0"/>
        <w:jc w:val="left"/>
      </w:pPr>
      <w:r>
        <w:rPr>
          <w:spacing w:val="-3"/>
        </w:rPr>
        <w:t>公司需遵守《深圳证券交易所行业信息披露指引第 </w:t>
      </w:r>
      <w:r>
        <w:rPr>
          <w:rFonts w:ascii="Times New Roman" w:hAnsi="Times New Roman" w:cs="Times New Roman" w:eastAsia="Times New Roman" w:hint="default"/>
        </w:rPr>
        <w:t>12  </w:t>
      </w:r>
      <w:r>
        <w:rPr>
          <w:rFonts w:ascii="Times New Roman" w:hAnsi="Times New Roman" w:cs="Times New Roman" w:eastAsia="Times New Roman" w:hint="default"/>
          <w:spacing w:val="11"/>
        </w:rPr>
        <w:t> </w:t>
      </w:r>
      <w:r>
        <w:rPr>
          <w:spacing w:val="-3"/>
        </w:rPr>
        <w:t>号</w:t>
      </w:r>
      <w:r>
        <w:rPr>
          <w:rFonts w:ascii="Times New Roman" w:hAnsi="Times New Roman" w:cs="Times New Roman" w:eastAsia="Times New Roman" w:hint="default"/>
          <w:spacing w:val="-3"/>
        </w:rPr>
        <w:t>——</w:t>
      </w:r>
      <w:r>
        <w:rPr>
          <w:spacing w:val="-3"/>
        </w:rPr>
        <w:t>上市公司从事软件与信息技术服务业务》的披露要求</w:t>
      </w:r>
    </w:p>
    <w:p>
      <w:pPr>
        <w:pStyle w:val="BodyText"/>
        <w:spacing w:line="240" w:lineRule="auto" w:before="10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05"/>
        <w:gridCol w:w="1008"/>
        <w:gridCol w:w="1013"/>
        <w:gridCol w:w="1008"/>
        <w:gridCol w:w="1013"/>
        <w:gridCol w:w="1004"/>
        <w:gridCol w:w="1004"/>
        <w:gridCol w:w="1004"/>
        <w:gridCol w:w="1003"/>
      </w:tblGrid>
      <w:tr>
        <w:trPr>
          <w:trHeight w:val="206" w:hRule="exact"/>
        </w:trPr>
        <w:tc>
          <w:tcPr>
            <w:tcW w:w="1505" w:type="dxa"/>
            <w:tcBorders>
              <w:top w:val="single" w:sz="4" w:space="0" w:color="000000"/>
              <w:left w:val="single" w:sz="4" w:space="0" w:color="000000"/>
              <w:bottom w:val="nil" w:sz="6" w:space="0" w:color="auto"/>
              <w:right w:val="single" w:sz="4" w:space="0" w:color="000000"/>
            </w:tcBorders>
            <w:shd w:val="clear" w:color="auto" w:fill="D2D2D2"/>
          </w:tcPr>
          <w:p>
            <w:pPr/>
          </w:p>
        </w:tc>
        <w:tc>
          <w:tcPr>
            <w:tcW w:w="4043"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4014"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192" w:hRule="exact"/>
        </w:trPr>
        <w:tc>
          <w:tcPr>
            <w:tcW w:w="1505" w:type="dxa"/>
            <w:vMerge w:val="restart"/>
            <w:tcBorders>
              <w:top w:val="nil" w:sz="6" w:space="0" w:color="auto"/>
              <w:left w:val="single" w:sz="4" w:space="0" w:color="000000"/>
              <w:right w:val="single" w:sz="4" w:space="0" w:color="000000"/>
            </w:tcBorders>
            <w:shd w:val="clear" w:color="auto" w:fill="D2D2D2"/>
          </w:tcPr>
          <w:p>
            <w:pPr/>
          </w:p>
        </w:tc>
        <w:tc>
          <w:tcPr>
            <w:tcW w:w="4043" w:type="dxa"/>
            <w:gridSpan w:val="4"/>
            <w:vMerge/>
            <w:tcBorders>
              <w:left w:val="single" w:sz="4" w:space="0" w:color="000000"/>
              <w:bottom w:val="single" w:sz="4" w:space="0" w:color="000000"/>
              <w:right w:val="single" w:sz="4" w:space="0" w:color="000000"/>
            </w:tcBorders>
            <w:shd w:val="clear" w:color="auto" w:fill="D2D2D2"/>
          </w:tcPr>
          <w:p>
            <w:pPr/>
          </w:p>
        </w:tc>
        <w:tc>
          <w:tcPr>
            <w:tcW w:w="4014" w:type="dxa"/>
            <w:gridSpan w:val="4"/>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505" w:type="dxa"/>
            <w:vMerge/>
            <w:tcBorders>
              <w:left w:val="single" w:sz="4" w:space="0" w:color="000000"/>
              <w:bottom w:val="nil" w:sz="6" w:space="0" w:color="auto"/>
              <w:right w:val="single" w:sz="4" w:space="0" w:color="000000"/>
            </w:tcBorders>
            <w:shd w:val="clear" w:color="auto" w:fill="D2D2D2"/>
          </w:tcPr>
          <w:p>
            <w:pPr/>
          </w:p>
        </w:tc>
        <w:tc>
          <w:tcPr>
            <w:tcW w:w="10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39"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39"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39"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34"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3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34"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34"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206" w:hRule="exact"/>
        </w:trPr>
        <w:tc>
          <w:tcPr>
            <w:tcW w:w="15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vMerge/>
            <w:tcBorders>
              <w:left w:val="single" w:sz="4" w:space="0" w:color="000000"/>
              <w:bottom w:val="single" w:sz="4" w:space="0" w:color="000000"/>
              <w:right w:val="single" w:sz="4" w:space="0" w:color="000000"/>
            </w:tcBorders>
            <w:shd w:val="clear" w:color="auto" w:fill="D2D2D2"/>
          </w:tcPr>
          <w:p>
            <w:pPr/>
          </w:p>
        </w:tc>
        <w:tc>
          <w:tcPr>
            <w:tcW w:w="1013" w:type="dxa"/>
            <w:vMerge/>
            <w:tcBorders>
              <w:left w:val="single" w:sz="4" w:space="0" w:color="000000"/>
              <w:bottom w:val="single" w:sz="4" w:space="0" w:color="000000"/>
              <w:right w:val="single" w:sz="4" w:space="0" w:color="000000"/>
            </w:tcBorders>
            <w:shd w:val="clear" w:color="auto" w:fill="D2D2D2"/>
          </w:tcPr>
          <w:p>
            <w:pPr/>
          </w:p>
        </w:tc>
        <w:tc>
          <w:tcPr>
            <w:tcW w:w="1008" w:type="dxa"/>
            <w:vMerge/>
            <w:tcBorders>
              <w:left w:val="single" w:sz="4" w:space="0" w:color="000000"/>
              <w:bottom w:val="single" w:sz="4" w:space="0" w:color="000000"/>
              <w:right w:val="single" w:sz="4" w:space="0" w:color="000000"/>
            </w:tcBorders>
            <w:shd w:val="clear" w:color="auto" w:fill="D2D2D2"/>
          </w:tcPr>
          <w:p>
            <w:pPr/>
          </w:p>
        </w:tc>
        <w:tc>
          <w:tcPr>
            <w:tcW w:w="1013" w:type="dxa"/>
            <w:vMerge/>
            <w:tcBorders>
              <w:left w:val="single" w:sz="4" w:space="0" w:color="000000"/>
              <w:bottom w:val="single" w:sz="4" w:space="0" w:color="000000"/>
              <w:right w:val="single" w:sz="4" w:space="0" w:color="000000"/>
            </w:tcBorders>
            <w:shd w:val="clear" w:color="auto" w:fill="D2D2D2"/>
          </w:tcPr>
          <w:p>
            <w:pPr/>
          </w:p>
        </w:tc>
        <w:tc>
          <w:tcPr>
            <w:tcW w:w="1004" w:type="dxa"/>
            <w:vMerge/>
            <w:tcBorders>
              <w:left w:val="single" w:sz="4" w:space="0" w:color="000000"/>
              <w:bottom w:val="single" w:sz="4" w:space="0" w:color="000000"/>
              <w:right w:val="single" w:sz="4" w:space="0" w:color="000000"/>
            </w:tcBorders>
            <w:shd w:val="clear" w:color="auto" w:fill="D2D2D2"/>
          </w:tcPr>
          <w:p>
            <w:pPr/>
          </w:p>
        </w:tc>
        <w:tc>
          <w:tcPr>
            <w:tcW w:w="1004" w:type="dxa"/>
            <w:vMerge/>
            <w:tcBorders>
              <w:left w:val="single" w:sz="4" w:space="0" w:color="000000"/>
              <w:bottom w:val="single" w:sz="4" w:space="0" w:color="000000"/>
              <w:right w:val="single" w:sz="4" w:space="0" w:color="000000"/>
            </w:tcBorders>
            <w:shd w:val="clear" w:color="auto" w:fill="D2D2D2"/>
          </w:tcPr>
          <w:p>
            <w:pPr/>
          </w:p>
        </w:tc>
        <w:tc>
          <w:tcPr>
            <w:tcW w:w="1004"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r>
      <w:tr>
        <w:trPr>
          <w:trHeight w:val="158" w:hRule="exact"/>
        </w:trPr>
        <w:tc>
          <w:tcPr>
            <w:tcW w:w="15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8" w:type="dxa"/>
            <w:vMerge w:val="restart"/>
            <w:tcBorders>
              <w:top w:val="single" w:sz="4" w:space="0" w:color="000000"/>
              <w:left w:val="single" w:sz="8" w:space="0" w:color="D2D2D2"/>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64,374,593.4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013" w:type="dxa"/>
            <w:vMerge w:val="restart"/>
            <w:tcBorders>
              <w:top w:val="single" w:sz="4" w:space="0" w:color="000000"/>
              <w:left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121,715,383.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40</w:t>
            </w:r>
          </w:p>
        </w:tc>
        <w:tc>
          <w:tcPr>
            <w:tcW w:w="1008" w:type="dxa"/>
            <w:vMerge w:val="restart"/>
            <w:tcBorders>
              <w:top w:val="single" w:sz="4" w:space="0" w:color="000000"/>
              <w:left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107,222,436.</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58</w:t>
            </w:r>
          </w:p>
        </w:tc>
        <w:tc>
          <w:tcPr>
            <w:tcW w:w="1013" w:type="dxa"/>
            <w:vMerge w:val="restart"/>
            <w:tcBorders>
              <w:top w:val="single" w:sz="4" w:space="0" w:color="000000"/>
              <w:left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147,647,421.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32</w:t>
            </w:r>
          </w:p>
        </w:tc>
        <w:tc>
          <w:tcPr>
            <w:tcW w:w="1004" w:type="dxa"/>
            <w:vMerge w:val="restart"/>
            <w:tcBorders>
              <w:top w:val="single" w:sz="4" w:space="0" w:color="000000"/>
              <w:left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48,587,973.4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004" w:type="dxa"/>
            <w:vMerge w:val="restart"/>
            <w:tcBorders>
              <w:top w:val="single" w:sz="4" w:space="0" w:color="000000"/>
              <w:left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96,373,867.7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004" w:type="dxa"/>
            <w:vMerge w:val="restart"/>
            <w:tcBorders>
              <w:top w:val="single" w:sz="4" w:space="0" w:color="000000"/>
              <w:left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85,661,237.4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160,797,939.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89</w:t>
            </w:r>
          </w:p>
        </w:tc>
      </w:tr>
      <w:tr>
        <w:trPr>
          <w:trHeight w:val="394" w:hRule="exact"/>
        </w:trPr>
        <w:tc>
          <w:tcPr>
            <w:tcW w:w="15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8" w:type="dxa"/>
            <w:vMerge/>
            <w:tcBorders>
              <w:left w:val="single" w:sz="8" w:space="0" w:color="D2D2D2"/>
              <w:right w:val="single" w:sz="4" w:space="0" w:color="000000"/>
            </w:tcBorders>
          </w:tcPr>
          <w:p>
            <w:pPr/>
          </w:p>
        </w:tc>
        <w:tc>
          <w:tcPr>
            <w:tcW w:w="1013"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1013" w:type="dxa"/>
            <w:vMerge/>
            <w:tcBorders>
              <w:left w:val="single" w:sz="4" w:space="0" w:color="000000"/>
              <w:right w:val="single" w:sz="4" w:space="0" w:color="000000"/>
            </w:tcBorders>
          </w:tcPr>
          <w:p>
            <w:pPr/>
          </w:p>
        </w:tc>
        <w:tc>
          <w:tcPr>
            <w:tcW w:w="1004" w:type="dxa"/>
            <w:vMerge/>
            <w:tcBorders>
              <w:left w:val="single" w:sz="4" w:space="0" w:color="000000"/>
              <w:right w:val="single" w:sz="4" w:space="0" w:color="000000"/>
            </w:tcBorders>
          </w:tcPr>
          <w:p>
            <w:pPr/>
          </w:p>
        </w:tc>
        <w:tc>
          <w:tcPr>
            <w:tcW w:w="1004" w:type="dxa"/>
            <w:vMerge/>
            <w:tcBorders>
              <w:left w:val="single" w:sz="4" w:space="0" w:color="000000"/>
              <w:right w:val="single" w:sz="4" w:space="0" w:color="000000"/>
            </w:tcBorders>
          </w:tcPr>
          <w:p>
            <w:pPr/>
          </w:p>
        </w:tc>
        <w:tc>
          <w:tcPr>
            <w:tcW w:w="1004" w:type="dxa"/>
            <w:vMerge/>
            <w:tcBorders>
              <w:left w:val="single" w:sz="4" w:space="0" w:color="000000"/>
              <w:right w:val="single" w:sz="4" w:space="0" w:color="000000"/>
            </w:tcBorders>
          </w:tcPr>
          <w:p>
            <w:pPr/>
          </w:p>
        </w:tc>
        <w:tc>
          <w:tcPr>
            <w:tcW w:w="1003" w:type="dxa"/>
            <w:vMerge/>
            <w:tcBorders>
              <w:left w:val="single" w:sz="4" w:space="0" w:color="000000"/>
              <w:right w:val="single" w:sz="4" w:space="0" w:color="000000"/>
            </w:tcBorders>
          </w:tcPr>
          <w:p>
            <w:pPr/>
          </w:p>
        </w:tc>
      </w:tr>
      <w:tr>
        <w:trPr>
          <w:trHeight w:val="163" w:hRule="exact"/>
        </w:trPr>
        <w:tc>
          <w:tcPr>
            <w:tcW w:w="15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vMerge/>
            <w:tcBorders>
              <w:left w:val="single" w:sz="8" w:space="0" w:color="D2D2D2"/>
              <w:bottom w:val="single" w:sz="4" w:space="0" w:color="000000"/>
              <w:right w:val="single" w:sz="4" w:space="0" w:color="000000"/>
            </w:tcBorders>
          </w:tcPr>
          <w:p>
            <w:pPr/>
          </w:p>
        </w:tc>
        <w:tc>
          <w:tcPr>
            <w:tcW w:w="1013"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3" w:type="dxa"/>
            <w:vMerge/>
            <w:tcBorders>
              <w:left w:val="single" w:sz="4" w:space="0" w:color="000000"/>
              <w:bottom w:val="single" w:sz="4" w:space="0" w:color="000000"/>
              <w:right w:val="single" w:sz="4" w:space="0" w:color="000000"/>
            </w:tcBorders>
          </w:tcPr>
          <w:p>
            <w:pPr/>
          </w:p>
        </w:tc>
        <w:tc>
          <w:tcPr>
            <w:tcW w:w="1004" w:type="dxa"/>
            <w:vMerge/>
            <w:tcBorders>
              <w:left w:val="single" w:sz="4" w:space="0" w:color="000000"/>
              <w:bottom w:val="single" w:sz="4" w:space="0" w:color="000000"/>
              <w:right w:val="single" w:sz="4" w:space="0" w:color="000000"/>
            </w:tcBorders>
          </w:tcPr>
          <w:p>
            <w:pPr/>
          </w:p>
        </w:tc>
        <w:tc>
          <w:tcPr>
            <w:tcW w:w="1004" w:type="dxa"/>
            <w:vMerge/>
            <w:tcBorders>
              <w:left w:val="single" w:sz="4" w:space="0" w:color="000000"/>
              <w:bottom w:val="single" w:sz="4" w:space="0" w:color="000000"/>
              <w:right w:val="single" w:sz="4" w:space="0" w:color="000000"/>
            </w:tcBorders>
          </w:tcPr>
          <w:p>
            <w:pPr/>
          </w:p>
        </w:tc>
        <w:tc>
          <w:tcPr>
            <w:tcW w:w="1004"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r>
      <w:tr>
        <w:trPr>
          <w:trHeight w:val="710" w:hRule="exact"/>
        </w:trPr>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6"/>
              <w:jc w:val="left"/>
              <w:rPr>
                <w:rFonts w:ascii="宋体" w:hAnsi="宋体" w:cs="宋体" w:eastAsia="宋体" w:hint="default"/>
                <w:sz w:val="18"/>
                <w:szCs w:val="18"/>
              </w:rPr>
            </w:pPr>
            <w:r>
              <w:rPr>
                <w:rFonts w:ascii="宋体" w:hAnsi="宋体" w:cs="宋体" w:eastAsia="宋体" w:hint="default"/>
                <w:spacing w:val="-2"/>
                <w:sz w:val="18"/>
                <w:szCs w:val="18"/>
              </w:rPr>
              <w:t>归属于上市公司股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东的净利润</w:t>
            </w:r>
          </w:p>
        </w:tc>
        <w:tc>
          <w:tcPr>
            <w:tcW w:w="100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6,457,702.82</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14,773,742.0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13,441,931.5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6,561,451.18</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3,013,278.96</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11,165,136.3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11,510,231.9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14,755,379.6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r>
        <w:trPr>
          <w:trHeight w:val="716" w:hRule="exact"/>
        </w:trPr>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销售回款</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90,488,925.6</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84,229,493.2</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100,547,250.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40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193,102,638.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68</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30,185,393.2</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47,164,564.2</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83,456,594.9</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154,042,105.</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56</w:t>
            </w:r>
          </w:p>
        </w:tc>
      </w:tr>
    </w:tbl>
    <w:p>
      <w:pPr>
        <w:pStyle w:val="BodyText"/>
        <w:spacing w:line="357" w:lineRule="auto" w:before="53"/>
        <w:ind w:left="513" w:right="0" w:hanging="360"/>
        <w:jc w:val="left"/>
      </w:pPr>
      <w:r>
        <w:rPr>
          <w:spacing w:val="-3"/>
        </w:rPr>
        <w:t>说明经营季节性（或周期性）发生的原因及波动风险</w:t>
      </w:r>
      <w:r>
        <w:rPr>
          <w:spacing w:val="-21"/>
        </w:rPr>
        <w:t> </w:t>
      </w:r>
      <w:r>
        <w:rPr>
          <w:spacing w:val="-21"/>
        </w:rPr>
      </w:r>
      <w:r>
        <w:rPr>
          <w:spacing w:val="-3"/>
        </w:rPr>
        <w:t>从上表可以看出：（</w:t>
      </w:r>
      <w:r>
        <w:rPr>
          <w:rFonts w:ascii="Times New Roman" w:hAnsi="Times New Roman" w:cs="Times New Roman" w:eastAsia="Times New Roman" w:hint="default"/>
          <w:spacing w:val="-3"/>
        </w:rPr>
        <w:t>1</w:t>
      </w:r>
      <w:r>
        <w:rPr>
          <w:spacing w:val="-3"/>
        </w:rPr>
        <w:t>）公司第一季度收入额均小于其他季度，进而导致一季度归属于上市公司股东的净利润小于其他</w:t>
      </w:r>
    </w:p>
    <w:p>
      <w:pPr>
        <w:pStyle w:val="BodyText"/>
        <w:spacing w:line="214" w:lineRule="exact"/>
        <w:ind w:right="0"/>
        <w:jc w:val="left"/>
      </w:pPr>
      <w:r>
        <w:rPr>
          <w:spacing w:val="-3"/>
        </w:rPr>
        <w:t>季度；（</w:t>
      </w:r>
      <w:r>
        <w:rPr>
          <w:rFonts w:ascii="Times New Roman" w:hAnsi="Times New Roman" w:cs="Times New Roman" w:eastAsia="Times New Roman" w:hint="default"/>
          <w:spacing w:val="-3"/>
        </w:rPr>
        <w:t>2</w:t>
      </w:r>
      <w:r>
        <w:rPr>
          <w:spacing w:val="-3"/>
        </w:rPr>
        <w:t>）第四季度回款额均高于其他季度。</w:t>
      </w:r>
    </w:p>
    <w:p>
      <w:pPr>
        <w:pStyle w:val="BodyText"/>
        <w:spacing w:line="319" w:lineRule="auto" w:before="63"/>
        <w:ind w:right="1123" w:firstLine="360"/>
        <w:jc w:val="both"/>
      </w:pPr>
      <w:r>
        <w:rPr>
          <w:spacing w:val="-4"/>
        </w:rPr>
        <w:t>受客户所处行业的影响，公司业务存在着较为明显的季节性波动。主要由于公司客户多为公立性医疗机构，其医疗信息</w:t>
      </w:r>
      <w:r>
        <w:rPr>
          <w:w w:val="101"/>
        </w:rPr>
        <w:t> </w:t>
      </w:r>
      <w:r>
        <w:rPr>
          <w:spacing w:val="-4"/>
        </w:rPr>
        <w:t>化采购计划通常采用预算管理制度，一般上半年主要进行预算审批、采购选型、招投标等工作，当年新增项目执行、验收主</w:t>
      </w:r>
      <w:r>
        <w:rPr>
          <w:spacing w:val="40"/>
        </w:rPr>
        <w:t> </w:t>
      </w:r>
      <w:r>
        <w:rPr>
          <w:spacing w:val="40"/>
        </w:rPr>
      </w:r>
      <w:r>
        <w:rPr>
          <w:spacing w:val="-3"/>
        </w:rPr>
        <w:t>要集中于下半年。一季度或上半年由于新增项目较少，加上春节的影响，所以一季度可能会出现微利甚至亏损的情况。</w:t>
      </w:r>
    </w:p>
    <w:p>
      <w:pPr>
        <w:pStyle w:val="BodyText"/>
        <w:spacing w:line="316" w:lineRule="auto" w:before="17"/>
        <w:ind w:right="1124" w:firstLine="360"/>
        <w:jc w:val="both"/>
      </w:pPr>
      <w:r>
        <w:rPr>
          <w:spacing w:val="-4"/>
        </w:rPr>
        <w:t>第四季度回款额均高于其他季度，主要由于公立医院受预算的影响，款项支付项目款在年末较为集中，因此本行业具有</w:t>
      </w:r>
      <w:r>
        <w:rPr>
          <w:w w:val="101"/>
        </w:rPr>
        <w:t> </w:t>
      </w:r>
      <w:r>
        <w:rPr>
          <w:spacing w:val="-3"/>
        </w:rPr>
        <w:t>一定的季节性特征。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7"/>
        <w:ind w:right="0"/>
        <w:jc w:val="left"/>
        <w:rPr>
          <w:b w:val="0"/>
          <w:bCs w:val="0"/>
        </w:rPr>
      </w:pPr>
      <w:bookmarkStart w:name="（2）占公司营业收入或营业利润10%以上的行业、产品或地区情况" w:id="28"/>
      <w:bookmarkEnd w:id="28"/>
      <w:r>
        <w:rPr>
          <w:b w:val="0"/>
          <w:bCs w:val="0"/>
        </w:rPr>
      </w:r>
      <w:r>
        <w:rPr/>
        <w:t>（</w:t>
      </w:r>
      <w:r>
        <w:rPr>
          <w:rFonts w:ascii="Times New Roman" w:hAnsi="Times New Roman" w:cs="Times New Roman" w:eastAsia="Times New Roman" w:hint="default"/>
        </w:rPr>
        <w:t>2</w:t>
      </w:r>
      <w:r>
        <w:rPr/>
        <w:t>）占公司营业收入或营业利润</w:t>
      </w:r>
      <w:r>
        <w:rPr>
          <w:spacing w:val="-51"/>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pStyle w:val="BodyText"/>
        <w:spacing w:line="240" w:lineRule="auto" w:before="46"/>
        <w:ind w:right="0"/>
        <w:jc w:val="left"/>
      </w:pPr>
      <w:r>
        <w:rPr>
          <w:spacing w:val="-3"/>
        </w:rPr>
        <w:t>公司需遵守《深圳证券交易所行业信息披露指引第 </w:t>
      </w:r>
      <w:r>
        <w:rPr>
          <w:rFonts w:ascii="Times New Roman" w:hAnsi="Times New Roman" w:cs="Times New Roman" w:eastAsia="Times New Roman" w:hint="default"/>
        </w:rPr>
        <w:t>12  </w:t>
      </w:r>
      <w:r>
        <w:rPr>
          <w:rFonts w:ascii="Times New Roman" w:hAnsi="Times New Roman" w:cs="Times New Roman" w:eastAsia="Times New Roman" w:hint="default"/>
          <w:spacing w:val="11"/>
        </w:rPr>
        <w:t> </w:t>
      </w:r>
      <w:r>
        <w:rPr>
          <w:spacing w:val="-3"/>
        </w:rPr>
        <w:t>号</w:t>
      </w:r>
      <w:r>
        <w:rPr>
          <w:rFonts w:ascii="Times New Roman" w:hAnsi="Times New Roman" w:cs="Times New Roman" w:eastAsia="Times New Roman" w:hint="default"/>
          <w:spacing w:val="-3"/>
        </w:rPr>
        <w:t>——</w:t>
      </w:r>
      <w:r>
        <w:rPr>
          <w:spacing w:val="-3"/>
        </w:rPr>
        <w:t>上市公司从事软件与信息技术服务业务》的披露要求</w:t>
      </w:r>
    </w:p>
    <w:p>
      <w:pPr>
        <w:pStyle w:val="BodyText"/>
        <w:spacing w:line="240" w:lineRule="auto" w:before="101"/>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4"/>
        <w:gridCol w:w="1369"/>
        <w:gridCol w:w="1368"/>
        <w:gridCol w:w="1368"/>
        <w:gridCol w:w="1364"/>
        <w:gridCol w:w="1373"/>
      </w:tblGrid>
      <w:tr>
        <w:trPr>
          <w:trHeight w:val="711"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316" w:right="46" w:hanging="269"/>
              <w:jc w:val="left"/>
              <w:rPr>
                <w:rFonts w:ascii="宋体" w:hAnsi="宋体" w:cs="宋体" w:eastAsia="宋体" w:hint="default"/>
                <w:sz w:val="18"/>
                <w:szCs w:val="18"/>
              </w:rPr>
            </w:pPr>
            <w:r>
              <w:rPr>
                <w:rFonts w:ascii="宋体" w:hAnsi="宋体" w:cs="宋体" w:eastAsia="宋体" w:hint="default"/>
                <w:spacing w:val="-3"/>
                <w:sz w:val="18"/>
                <w:szCs w:val="18"/>
              </w:rPr>
              <w:t>营业收入比上年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同期增减</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317" w:right="41" w:hanging="270"/>
              <w:jc w:val="left"/>
              <w:rPr>
                <w:rFonts w:ascii="宋体" w:hAnsi="宋体" w:cs="宋体" w:eastAsia="宋体" w:hint="default"/>
                <w:sz w:val="18"/>
                <w:szCs w:val="18"/>
              </w:rPr>
            </w:pPr>
            <w:r>
              <w:rPr>
                <w:rFonts w:ascii="宋体" w:hAnsi="宋体" w:cs="宋体" w:eastAsia="宋体" w:hint="default"/>
                <w:spacing w:val="-3"/>
                <w:sz w:val="18"/>
                <w:szCs w:val="18"/>
              </w:rPr>
              <w:t>营业成本比上年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同期增减</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413" w:right="46" w:hanging="361"/>
              <w:jc w:val="left"/>
              <w:rPr>
                <w:rFonts w:ascii="宋体" w:hAnsi="宋体" w:cs="宋体" w:eastAsia="宋体" w:hint="default"/>
                <w:sz w:val="18"/>
                <w:szCs w:val="18"/>
              </w:rPr>
            </w:pPr>
            <w:r>
              <w:rPr>
                <w:rFonts w:ascii="宋体" w:hAnsi="宋体" w:cs="宋体" w:eastAsia="宋体" w:hint="default"/>
                <w:spacing w:val="-3"/>
                <w:sz w:val="18"/>
                <w:szCs w:val="18"/>
              </w:rPr>
              <w:t>毛利率比上年同</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期增减</w:t>
            </w:r>
          </w:p>
        </w:tc>
      </w:tr>
      <w:tr>
        <w:trPr>
          <w:trHeight w:val="403"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分客户所处行业</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医疗信息化</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428,643,899.03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233,464,832.50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45.53%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14.75%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18.16%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-1.58%</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12,315,935.75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6,660,294.41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45.92%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-31.13%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-50.08%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20.53%</w:t>
            </w:r>
          </w:p>
        </w:tc>
      </w:tr>
      <w:tr>
        <w:trPr>
          <w:trHeight w:val="399"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场景化应用系统</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192,390,893.01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138,253,478.13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16.01%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19.43%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-2.06%</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医疗信息系统</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207,398,203.80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82,277,641.08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60.33%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13.38%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3"/>
                <w:sz w:val="18"/>
              </w:rPr>
              <w:t>11.75%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0.58%</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41,170,737.97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19,594,007.70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52.41%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-3.48%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-8.99%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2.89%</w:t>
            </w:r>
          </w:p>
        </w:tc>
      </w:tr>
      <w:tr>
        <w:trPr>
          <w:trHeight w:val="399"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205,397,441.13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102,191,254.92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50.25%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143.20%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97.67%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3"/>
                <w:sz w:val="18"/>
              </w:rPr>
              <w:t>11.46%</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103,542,797.40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70,257,532.74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32.15%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-26.99%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-12.12%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-11.48%</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47,173,198.86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20,181,306.78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57.22%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-19.77%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-7.57%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-5.65%</w:t>
            </w:r>
          </w:p>
        </w:tc>
      </w:tr>
      <w:tr>
        <w:trPr>
          <w:trHeight w:val="399"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45,141,692.09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23,556,675.04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47.82%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12.80%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48.80%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-12.62%</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39,704,705.30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23,938,357.43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39.71%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-40.14%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-42.47%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2.44%</w:t>
            </w:r>
          </w:p>
        </w:tc>
      </w:tr>
    </w:tbl>
    <w:p>
      <w:pPr>
        <w:pStyle w:val="BodyText"/>
        <w:spacing w:line="240" w:lineRule="auto" w:before="53"/>
        <w:ind w:right="0"/>
        <w:jc w:val="left"/>
      </w:pPr>
      <w:r>
        <w:rPr>
          <w:spacing w:val="-3"/>
        </w:rPr>
        <w:t>公司主营业务数据统计口径在报告期发生调整的情况下，公司最近 </w:t>
      </w:r>
      <w:r>
        <w:rPr>
          <w:rFonts w:ascii="Times New Roman" w:hAnsi="Times New Roman" w:cs="Times New Roman" w:eastAsia="Times New Roman" w:hint="default"/>
        </w:rPr>
        <w:t>1  </w:t>
      </w:r>
      <w:r>
        <w:rPr>
          <w:rFonts w:ascii="Times New Roman" w:hAnsi="Times New Roman" w:cs="Times New Roman" w:eastAsia="Times New Roman" w:hint="default"/>
          <w:spacing w:val="5"/>
        </w:rPr>
        <w:t> </w:t>
      </w:r>
      <w:r>
        <w:rPr>
          <w:spacing w:val="-3"/>
        </w:rPr>
        <w:t>年按报告期末口径调整后的主营业务数据</w:t>
      </w:r>
    </w:p>
    <w:p>
      <w:pPr>
        <w:pStyle w:val="BodyText"/>
        <w:spacing w:line="240" w:lineRule="auto" w:before="10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bookmarkStart w:name="（3）公司实物销售收入是否大于劳务收入" w:id="29"/>
      <w:bookmarkEnd w:id="29"/>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8"/>
        <w:rPr>
          <w:rFonts w:ascii="宋体" w:hAnsi="宋体" w:cs="宋体" w:eastAsia="宋体" w:hint="default"/>
          <w:sz w:val="25"/>
          <w:szCs w:val="25"/>
        </w:rPr>
      </w:pPr>
    </w:p>
    <w:p>
      <w:pPr>
        <w:pStyle w:val="Heading4"/>
        <w:spacing w:line="240" w:lineRule="auto"/>
        <w:ind w:right="0"/>
        <w:jc w:val="left"/>
        <w:rPr>
          <w:b w:val="0"/>
          <w:bCs w:val="0"/>
        </w:rPr>
      </w:pPr>
      <w:bookmarkStart w:name="（4）公司已签订的重大销售合同截至本报告期的履行情况" w:id="30"/>
      <w:bookmarkEnd w:id="30"/>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338" w:lineRule="auto" w:before="106"/>
        <w:ind w:right="1828"/>
        <w:jc w:val="left"/>
      </w:pPr>
      <w:r>
        <w:rPr>
          <w:spacing w:val="-3"/>
        </w:rPr>
        <w:t>公司需遵守《深圳证券交易所行业信息披露指引第 </w:t>
      </w:r>
      <w:r>
        <w:rPr>
          <w:rFonts w:ascii="Times New Roman" w:hAnsi="Times New Roman" w:cs="Times New Roman" w:eastAsia="Times New Roman" w:hint="default"/>
        </w:rPr>
        <w:t>12 </w:t>
      </w:r>
      <w:r>
        <w:rPr>
          <w:spacing w:val="-3"/>
        </w:rPr>
        <w:t>号</w:t>
      </w:r>
      <w:r>
        <w:rPr>
          <w:rFonts w:ascii="Times New Roman" w:hAnsi="Times New Roman" w:cs="Times New Roman" w:eastAsia="Times New Roman" w:hint="default"/>
          <w:spacing w:val="-3"/>
        </w:rPr>
        <w:t>——</w:t>
      </w:r>
      <w:r>
        <w:rPr>
          <w:spacing w:val="-3"/>
        </w:rPr>
        <w:t>上市公司从事软件与信息技术服务业务》的披露要求</w:t>
      </w:r>
      <w:r>
        <w:rPr>
          <w:spacing w:val="-34"/>
        </w:rPr>
        <w:t> </w:t>
      </w:r>
      <w:r>
        <w:rPr>
          <w:spacing w:val="-34"/>
        </w:rPr>
      </w:r>
      <w:r>
        <w:rPr>
          <w:spacing w:val="-3"/>
        </w:rPr>
        <w:t>单一销售合同金额占公司最近一个会计年度经审计营业收入 </w:t>
      </w:r>
      <w:r>
        <w:rPr>
          <w:rFonts w:ascii="Times New Roman" w:hAnsi="Times New Roman" w:cs="Times New Roman" w:eastAsia="Times New Roman" w:hint="default"/>
        </w:rPr>
        <w:t>30%</w:t>
      </w:r>
      <w:r>
        <w:rPr/>
        <w:t>以上且金额超过 </w:t>
      </w:r>
      <w:r>
        <w:rPr>
          <w:rFonts w:ascii="Times New Roman" w:hAnsi="Times New Roman" w:cs="Times New Roman" w:eastAsia="Times New Roman" w:hint="default"/>
        </w:rPr>
        <w:t>5000</w:t>
      </w:r>
      <w:r>
        <w:rPr>
          <w:rFonts w:ascii="Times New Roman" w:hAnsi="Times New Roman" w:cs="Times New Roman" w:eastAsia="Times New Roman" w:hint="default"/>
          <w:spacing w:val="25"/>
        </w:rPr>
        <w:t> </w:t>
      </w:r>
      <w:r>
        <w:rPr>
          <w:spacing w:val="-3"/>
        </w:rPr>
        <w:t>万元的正在履行的合同情况</w:t>
      </w:r>
    </w:p>
    <w:p>
      <w:pPr>
        <w:pStyle w:val="BodyText"/>
        <w:spacing w:line="240" w:lineRule="auto" w:before="19"/>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6"/>
        <w:gridCol w:w="1061"/>
        <w:gridCol w:w="1066"/>
        <w:gridCol w:w="1066"/>
        <w:gridCol w:w="1056"/>
        <w:gridCol w:w="1071"/>
        <w:gridCol w:w="1061"/>
        <w:gridCol w:w="1066"/>
        <w:gridCol w:w="1061"/>
      </w:tblGrid>
      <w:tr>
        <w:trPr>
          <w:trHeight w:val="1027"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6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63" w:right="0"/>
              <w:jc w:val="left"/>
              <w:rPr>
                <w:rFonts w:ascii="宋体" w:hAnsi="宋体" w:cs="宋体" w:eastAsia="宋体" w:hint="default"/>
                <w:sz w:val="18"/>
                <w:szCs w:val="18"/>
              </w:rPr>
            </w:pPr>
            <w:r>
              <w:rPr>
                <w:rFonts w:ascii="宋体" w:hAnsi="宋体" w:cs="宋体" w:eastAsia="宋体" w:hint="default"/>
                <w:sz w:val="18"/>
                <w:szCs w:val="18"/>
              </w:rPr>
              <w:t>合同金额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61"/>
              <w:jc w:val="right"/>
              <w:rPr>
                <w:rFonts w:ascii="宋体" w:hAnsi="宋体" w:cs="宋体" w:eastAsia="宋体" w:hint="default"/>
                <w:sz w:val="18"/>
                <w:szCs w:val="18"/>
              </w:rPr>
            </w:pPr>
            <w:r>
              <w:rPr>
                <w:rFonts w:ascii="宋体" w:hAnsi="宋体" w:cs="宋体" w:eastAsia="宋体" w:hint="default"/>
                <w:spacing w:val="-2"/>
                <w:sz w:val="18"/>
                <w:szCs w:val="18"/>
              </w:rPr>
              <w:t>业务类型</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437" w:right="75" w:hanging="361"/>
              <w:jc w:val="left"/>
              <w:rPr>
                <w:rFonts w:ascii="宋体" w:hAnsi="宋体" w:cs="宋体" w:eastAsia="宋体" w:hint="default"/>
                <w:sz w:val="18"/>
                <w:szCs w:val="18"/>
              </w:rPr>
            </w:pPr>
            <w:r>
              <w:rPr>
                <w:rFonts w:ascii="宋体" w:hAnsi="宋体" w:cs="宋体" w:eastAsia="宋体" w:hint="default"/>
                <w:spacing w:val="-2"/>
                <w:sz w:val="18"/>
                <w:szCs w:val="18"/>
              </w:rPr>
              <w:t>项目执行进</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度</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437" w:right="65" w:hanging="361"/>
              <w:jc w:val="left"/>
              <w:rPr>
                <w:rFonts w:ascii="宋体" w:hAnsi="宋体" w:cs="宋体" w:eastAsia="宋体" w:hint="default"/>
                <w:sz w:val="18"/>
                <w:szCs w:val="18"/>
              </w:rPr>
            </w:pPr>
            <w:r>
              <w:rPr>
                <w:rFonts w:ascii="宋体" w:hAnsi="宋体" w:cs="宋体" w:eastAsia="宋体" w:hint="default"/>
                <w:spacing w:val="-2"/>
                <w:sz w:val="18"/>
                <w:szCs w:val="18"/>
              </w:rPr>
              <w:t>本期确认收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入</w:t>
            </w:r>
          </w:p>
        </w:tc>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441" w:right="75" w:hanging="360"/>
              <w:jc w:val="left"/>
              <w:rPr>
                <w:rFonts w:ascii="宋体" w:hAnsi="宋体" w:cs="宋体" w:eastAsia="宋体" w:hint="default"/>
                <w:sz w:val="18"/>
                <w:szCs w:val="18"/>
              </w:rPr>
            </w:pPr>
            <w:r>
              <w:rPr>
                <w:rFonts w:ascii="宋体" w:hAnsi="宋体" w:cs="宋体" w:eastAsia="宋体" w:hint="default"/>
                <w:spacing w:val="-2"/>
                <w:sz w:val="18"/>
                <w:szCs w:val="18"/>
              </w:rPr>
              <w:t>累计确认收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67" w:right="0"/>
              <w:jc w:val="left"/>
              <w:rPr>
                <w:rFonts w:ascii="宋体" w:hAnsi="宋体" w:cs="宋体" w:eastAsia="宋体" w:hint="default"/>
                <w:sz w:val="18"/>
                <w:szCs w:val="18"/>
              </w:rPr>
            </w:pPr>
            <w:r>
              <w:rPr>
                <w:rFonts w:ascii="宋体" w:hAnsi="宋体" w:cs="宋体" w:eastAsia="宋体" w:hint="default"/>
                <w:sz w:val="18"/>
                <w:szCs w:val="18"/>
              </w:rPr>
              <w:t>回款情况</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81" w:right="70"/>
              <w:jc w:val="both"/>
              <w:rPr>
                <w:rFonts w:ascii="宋体" w:hAnsi="宋体" w:cs="宋体" w:eastAsia="宋体" w:hint="default"/>
                <w:sz w:val="18"/>
                <w:szCs w:val="18"/>
              </w:rPr>
            </w:pPr>
            <w:r>
              <w:rPr>
                <w:rFonts w:ascii="宋体" w:hAnsi="宋体" w:cs="宋体" w:eastAsia="宋体" w:hint="default"/>
                <w:spacing w:val="-2"/>
                <w:sz w:val="18"/>
                <w:szCs w:val="18"/>
              </w:rPr>
              <w:t>项目进展是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否达到计划</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进度或预期</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6" w:right="69"/>
              <w:jc w:val="center"/>
              <w:rPr>
                <w:rFonts w:ascii="宋体" w:hAnsi="宋体" w:cs="宋体" w:eastAsia="宋体" w:hint="default"/>
                <w:sz w:val="18"/>
                <w:szCs w:val="18"/>
              </w:rPr>
            </w:pPr>
            <w:r>
              <w:rPr>
                <w:rFonts w:ascii="宋体" w:hAnsi="宋体" w:cs="宋体" w:eastAsia="宋体" w:hint="default"/>
                <w:spacing w:val="-2"/>
                <w:sz w:val="18"/>
                <w:szCs w:val="18"/>
              </w:rPr>
              <w:t>未达到计划</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进度或预期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的原因</w:t>
            </w: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28"/>
              <w:jc w:val="both"/>
              <w:rPr>
                <w:rFonts w:ascii="宋体" w:hAnsi="宋体" w:cs="宋体" w:eastAsia="宋体" w:hint="default"/>
                <w:sz w:val="18"/>
                <w:szCs w:val="18"/>
              </w:rPr>
            </w:pPr>
            <w:r>
              <w:rPr>
                <w:rFonts w:ascii="宋体" w:hAnsi="宋体" w:cs="宋体" w:eastAsia="宋体" w:hint="default"/>
                <w:spacing w:val="-2"/>
                <w:sz w:val="18"/>
                <w:szCs w:val="18"/>
              </w:rPr>
              <w:t>解放军总医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院门急诊综</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合楼弱电智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能化工程分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包合同</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141,410,000.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pacing w:val="-2"/>
                <w:sz w:val="18"/>
                <w:szCs w:val="18"/>
              </w:rPr>
              <w:t>场景化应用</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21" w:lineRule="auto"/>
              <w:ind w:left="23" w:right="128"/>
              <w:jc w:val="left"/>
              <w:rPr>
                <w:rFonts w:ascii="宋体" w:hAnsi="宋体" w:cs="宋体" w:eastAsia="宋体" w:hint="default"/>
                <w:sz w:val="18"/>
                <w:szCs w:val="18"/>
              </w:rPr>
            </w:pPr>
            <w:r>
              <w:rPr>
                <w:rFonts w:ascii="宋体" w:hAnsi="宋体" w:cs="宋体" w:eastAsia="宋体" w:hint="default"/>
                <w:spacing w:val="-2"/>
                <w:sz w:val="18"/>
                <w:szCs w:val="18"/>
              </w:rPr>
              <w:t>已验收未决</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算</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137,834,643.</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59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127,262,600.</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3"/>
              <w:ind w:left="23" w:right="17"/>
              <w:jc w:val="left"/>
              <w:rPr>
                <w:rFonts w:ascii="宋体" w:hAnsi="宋体" w:cs="宋体" w:eastAsia="宋体" w:hint="default"/>
                <w:sz w:val="18"/>
                <w:szCs w:val="18"/>
              </w:rPr>
            </w:pPr>
            <w:r>
              <w:rPr>
                <w:rFonts w:ascii="宋体" w:hAnsi="宋体" w:cs="宋体" w:eastAsia="宋体" w:hint="default"/>
                <w:sz w:val="18"/>
                <w:szCs w:val="18"/>
              </w:rPr>
              <w:t>项目目前已</w:t>
            </w:r>
            <w:r>
              <w:rPr>
                <w:rFonts w:ascii="宋体" w:hAnsi="宋体" w:cs="宋体" w:eastAsia="宋体" w:hint="default"/>
                <w:w w:val="101"/>
                <w:sz w:val="18"/>
                <w:szCs w:val="18"/>
              </w:rPr>
              <w:t> </w:t>
            </w:r>
            <w:r>
              <w:rPr>
                <w:rFonts w:ascii="宋体" w:hAnsi="宋体" w:cs="宋体" w:eastAsia="宋体" w:hint="default"/>
                <w:spacing w:val="-15"/>
                <w:w w:val="101"/>
                <w:sz w:val="18"/>
                <w:szCs w:val="18"/>
              </w:rPr>
              <w:t>完工，尚未进</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行最终的决</w:t>
            </w:r>
            <w:r>
              <w:rPr>
                <w:rFonts w:ascii="宋体" w:hAnsi="宋体" w:cs="宋体" w:eastAsia="宋体" w:hint="default"/>
                <w:w w:val="101"/>
                <w:sz w:val="18"/>
                <w:szCs w:val="18"/>
              </w:rPr>
              <w:t> </w:t>
            </w:r>
            <w:r>
              <w:rPr>
                <w:rFonts w:ascii="宋体" w:hAnsi="宋体" w:cs="宋体" w:eastAsia="宋体" w:hint="default"/>
                <w:spacing w:val="-15"/>
                <w:w w:val="101"/>
                <w:sz w:val="18"/>
                <w:szCs w:val="18"/>
              </w:rPr>
              <w:t>算审计，项目</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款项需待决</w:t>
            </w:r>
          </w:p>
        </w:tc>
      </w:tr>
    </w:tbl>
    <w:p>
      <w:pPr>
        <w:spacing w:after="0" w:line="316"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before="46"/>
        <w:ind w:left="0" w:right="1141"/>
        <w:jc w:val="right"/>
      </w:pPr>
      <w:r>
        <w:rPr/>
        <w:pict>
          <v:shape style="position:absolute;margin-left:56.424pt;margin-top:-30.148279pt;width:479.5pt;height:230.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66"/>
                    <w:gridCol w:w="1061"/>
                    <w:gridCol w:w="1066"/>
                    <w:gridCol w:w="1066"/>
                    <w:gridCol w:w="1056"/>
                    <w:gridCol w:w="1071"/>
                    <w:gridCol w:w="1061"/>
                    <w:gridCol w:w="1066"/>
                    <w:gridCol w:w="1061"/>
                  </w:tblGrid>
                  <w:tr>
                    <w:trPr>
                      <w:trHeight w:val="984"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算审计后收</w:t>
                        </w:r>
                        <w:r>
                          <w:rPr>
                            <w:rFonts w:ascii="宋体" w:hAnsi="宋体" w:cs="宋体" w:eastAsia="宋体" w:hint="default"/>
                            <w:w w:val="101"/>
                            <w:sz w:val="18"/>
                            <w:szCs w:val="18"/>
                          </w:rPr>
                          <w:t> </w:t>
                        </w:r>
                        <w:r>
                          <w:rPr>
                            <w:rFonts w:ascii="宋体" w:hAnsi="宋体" w:cs="宋体" w:eastAsia="宋体" w:hint="default"/>
                            <w:spacing w:val="-15"/>
                            <w:w w:val="101"/>
                            <w:sz w:val="18"/>
                            <w:szCs w:val="18"/>
                          </w:rPr>
                          <w:t>回。项目决算</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材料已提交</w:t>
                        </w:r>
                      </w:p>
                    </w:tc>
                  </w:tr>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2"/>
                          <w:jc w:val="left"/>
                          <w:rPr>
                            <w:rFonts w:ascii="宋体" w:hAnsi="宋体" w:cs="宋体" w:eastAsia="宋体" w:hint="default"/>
                            <w:sz w:val="18"/>
                            <w:szCs w:val="18"/>
                          </w:rPr>
                        </w:pPr>
                        <w:r>
                          <w:rPr>
                            <w:rFonts w:ascii="宋体" w:hAnsi="宋体" w:cs="宋体" w:eastAsia="宋体" w:hint="default"/>
                            <w:sz w:val="18"/>
                            <w:szCs w:val="18"/>
                          </w:rPr>
                          <w:t>江西省妇幼</w:t>
                        </w:r>
                        <w:r>
                          <w:rPr>
                            <w:rFonts w:ascii="宋体" w:hAnsi="宋体" w:cs="宋体" w:eastAsia="宋体" w:hint="default"/>
                            <w:w w:val="101"/>
                            <w:sz w:val="18"/>
                            <w:szCs w:val="18"/>
                          </w:rPr>
                          <w:t> </w:t>
                        </w:r>
                        <w:r>
                          <w:rPr>
                            <w:rFonts w:ascii="宋体" w:hAnsi="宋体" w:cs="宋体" w:eastAsia="宋体" w:hint="default"/>
                            <w:sz w:val="18"/>
                            <w:szCs w:val="18"/>
                          </w:rPr>
                          <w:t>保健院红谷</w:t>
                        </w:r>
                        <w:r>
                          <w:rPr>
                            <w:rFonts w:ascii="宋体" w:hAnsi="宋体" w:cs="宋体" w:eastAsia="宋体" w:hint="default"/>
                            <w:w w:val="101"/>
                            <w:sz w:val="18"/>
                            <w:szCs w:val="18"/>
                          </w:rPr>
                          <w:t> </w:t>
                        </w:r>
                        <w:r>
                          <w:rPr>
                            <w:rFonts w:ascii="宋体" w:hAnsi="宋体" w:cs="宋体" w:eastAsia="宋体" w:hint="default"/>
                            <w:sz w:val="18"/>
                            <w:szCs w:val="18"/>
                          </w:rPr>
                          <w:t>滩医院（一</w:t>
                        </w:r>
                        <w:r>
                          <w:rPr>
                            <w:rFonts w:ascii="宋体" w:hAnsi="宋体" w:cs="宋体" w:eastAsia="宋体" w:hint="default"/>
                            <w:w w:val="101"/>
                            <w:sz w:val="18"/>
                            <w:szCs w:val="18"/>
                          </w:rPr>
                          <w:t> </w:t>
                        </w:r>
                        <w:r>
                          <w:rPr>
                            <w:rFonts w:ascii="宋体" w:hAnsi="宋体" w:cs="宋体" w:eastAsia="宋体" w:hint="default"/>
                            <w:spacing w:val="-24"/>
                            <w:sz w:val="18"/>
                            <w:szCs w:val="18"/>
                          </w:rPr>
                          <w:t>期）</w:t>
                        </w:r>
                        <w:r>
                          <w:rPr>
                            <w:rFonts w:ascii="Times New Roman" w:hAnsi="Times New Roman" w:cs="Times New Roman" w:eastAsia="Times New Roman" w:hint="default"/>
                            <w:spacing w:val="-24"/>
                            <w:sz w:val="18"/>
                            <w:szCs w:val="18"/>
                          </w:rPr>
                          <w:t>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标段弱</w:t>
                        </w:r>
                        <w:r>
                          <w:rPr>
                            <w:rFonts w:ascii="宋体" w:hAnsi="宋体" w:cs="宋体" w:eastAsia="宋体" w:hint="default"/>
                            <w:w w:val="101"/>
                            <w:sz w:val="18"/>
                            <w:szCs w:val="18"/>
                          </w:rPr>
                          <w:t> </w:t>
                        </w:r>
                        <w:r>
                          <w:rPr>
                            <w:rFonts w:ascii="宋体" w:hAnsi="宋体" w:cs="宋体" w:eastAsia="宋体" w:hint="default"/>
                            <w:sz w:val="18"/>
                            <w:szCs w:val="18"/>
                          </w:rPr>
                          <w:t>电智能化信</w:t>
                        </w:r>
                        <w:r>
                          <w:rPr>
                            <w:rFonts w:ascii="宋体" w:hAnsi="宋体" w:cs="宋体" w:eastAsia="宋体" w:hint="default"/>
                            <w:w w:val="101"/>
                            <w:sz w:val="18"/>
                            <w:szCs w:val="18"/>
                          </w:rPr>
                          <w:t> </w:t>
                        </w:r>
                        <w:r>
                          <w:rPr>
                            <w:rFonts w:ascii="宋体" w:hAnsi="宋体" w:cs="宋体" w:eastAsia="宋体" w:hint="default"/>
                            <w:sz w:val="18"/>
                            <w:szCs w:val="18"/>
                          </w:rPr>
                          <w:t>息化采购与</w:t>
                        </w:r>
                        <w:r>
                          <w:rPr>
                            <w:rFonts w:ascii="宋体" w:hAnsi="宋体" w:cs="宋体" w:eastAsia="宋体" w:hint="default"/>
                            <w:w w:val="101"/>
                            <w:sz w:val="18"/>
                            <w:szCs w:val="18"/>
                          </w:rPr>
                          <w:t> </w:t>
                        </w:r>
                        <w:r>
                          <w:rPr>
                            <w:rFonts w:ascii="宋体" w:hAnsi="宋体" w:cs="宋体" w:eastAsia="宋体" w:hint="default"/>
                            <w:sz w:val="18"/>
                            <w:szCs w:val="18"/>
                          </w:rPr>
                          <w:t>安装项目</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82,091,258.4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综合类</w:t>
                        </w:r>
                      </w:p>
                    </w:tc>
                    <w:tc>
                      <w:tcPr>
                        <w:tcW w:w="1066"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40" w:lineRule="auto"/>
                          <w:ind w:left="23" w:right="116"/>
                          <w:jc w:val="left"/>
                          <w:rPr>
                            <w:rFonts w:ascii="Times New Roman" w:hAnsi="Times New Roman" w:cs="Times New Roman" w:eastAsia="Times New Roman" w:hint="default"/>
                            <w:sz w:val="18"/>
                            <w:szCs w:val="18"/>
                          </w:rPr>
                        </w:pPr>
                        <w:r>
                          <w:rPr>
                            <w:rFonts w:ascii="宋体" w:hAnsi="宋体" w:cs="宋体" w:eastAsia="宋体" w:hint="default"/>
                            <w:sz w:val="18"/>
                            <w:szCs w:val="18"/>
                          </w:rPr>
                          <w:t>正常进行中</w:t>
                        </w:r>
                        <w:r>
                          <w:rPr>
                            <w:rFonts w:ascii="宋体" w:hAnsi="宋体" w:cs="宋体" w:eastAsia="宋体" w:hint="default"/>
                            <w:w w:val="101"/>
                            <w:sz w:val="18"/>
                            <w:szCs w:val="18"/>
                          </w:rPr>
                          <w:t> </w:t>
                        </w:r>
                        <w:r>
                          <w:rPr>
                            <w:rFonts w:ascii="宋体" w:hAnsi="宋体" w:cs="宋体" w:eastAsia="宋体" w:hint="default"/>
                            <w:sz w:val="18"/>
                            <w:szCs w:val="18"/>
                          </w:rPr>
                          <w:t>总体进度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79.18%</w:t>
                        </w:r>
                      </w:p>
                    </w:tc>
                    <w:tc>
                      <w:tcPr>
                        <w:tcW w:w="105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18" w:lineRule="exact"/>
                          <w:ind w:left="-152"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190" w:lineRule="exact"/>
                          <w:ind w:right="13"/>
                          <w:jc w:val="right"/>
                          <w:rPr>
                            <w:rFonts w:ascii="Times New Roman" w:hAnsi="Times New Roman" w:cs="Times New Roman" w:eastAsia="Times New Roman" w:hint="default"/>
                            <w:sz w:val="18"/>
                            <w:szCs w:val="18"/>
                          </w:rPr>
                        </w:pPr>
                        <w:r>
                          <w:rPr>
                            <w:rFonts w:ascii="Times New Roman"/>
                            <w:spacing w:val="-1"/>
                            <w:sz w:val="18"/>
                          </w:rPr>
                          <w:t>57,346,433.6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57,346,433.6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44,916,895.3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28"/>
                          <w:jc w:val="both"/>
                          <w:rPr>
                            <w:rFonts w:ascii="宋体" w:hAnsi="宋体" w:cs="宋体" w:eastAsia="宋体" w:hint="default"/>
                            <w:sz w:val="18"/>
                            <w:szCs w:val="18"/>
                          </w:rPr>
                        </w:pPr>
                        <w:r>
                          <w:rPr>
                            <w:rFonts w:ascii="宋体" w:hAnsi="宋体" w:cs="宋体" w:eastAsia="宋体" w:hint="default"/>
                            <w:spacing w:val="-2"/>
                            <w:sz w:val="18"/>
                            <w:szCs w:val="18"/>
                          </w:rPr>
                          <w:t>江西省儿童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医院红谷滩</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新院智能信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息化项目</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113,870,000.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综合类</w:t>
                        </w:r>
                      </w:p>
                    </w:tc>
                    <w:tc>
                      <w:tcPr>
                        <w:tcW w:w="1066"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2" w:lineRule="auto"/>
                          <w:ind w:left="23" w:right="116"/>
                          <w:jc w:val="left"/>
                          <w:rPr>
                            <w:rFonts w:ascii="宋体" w:hAnsi="宋体" w:cs="宋体" w:eastAsia="宋体" w:hint="default"/>
                            <w:sz w:val="18"/>
                            <w:szCs w:val="18"/>
                          </w:rPr>
                        </w:pPr>
                        <w:r>
                          <w:rPr>
                            <w:rFonts w:ascii="宋体" w:hAnsi="宋体" w:cs="宋体" w:eastAsia="宋体" w:hint="default"/>
                            <w:sz w:val="18"/>
                            <w:szCs w:val="18"/>
                          </w:rPr>
                          <w:t>正常进行中</w:t>
                        </w:r>
                        <w:r>
                          <w:rPr>
                            <w:rFonts w:ascii="宋体" w:hAnsi="宋体" w:cs="宋体" w:eastAsia="宋体" w:hint="default"/>
                            <w:w w:val="101"/>
                            <w:sz w:val="18"/>
                            <w:szCs w:val="18"/>
                          </w:rPr>
                          <w:t> </w:t>
                        </w:r>
                        <w:r>
                          <w:rPr>
                            <w:rFonts w:ascii="宋体" w:hAnsi="宋体" w:cs="宋体" w:eastAsia="宋体" w:hint="default"/>
                            <w:sz w:val="18"/>
                            <w:szCs w:val="18"/>
                          </w:rPr>
                          <w:t>总体进度</w:t>
                        </w:r>
                      </w:p>
                      <w:p>
                        <w:pPr>
                          <w:pStyle w:val="TableParagraph"/>
                          <w:spacing w:line="240" w:lineRule="auto" w:before="69"/>
                          <w:ind w:left="23" w:right="0"/>
                          <w:jc w:val="left"/>
                          <w:rPr>
                            <w:rFonts w:ascii="Times New Roman" w:hAnsi="Times New Roman" w:cs="Times New Roman" w:eastAsia="Times New Roman" w:hint="default"/>
                            <w:sz w:val="18"/>
                            <w:szCs w:val="18"/>
                          </w:rPr>
                        </w:pPr>
                        <w:r>
                          <w:rPr>
                            <w:rFonts w:ascii="Times New Roman"/>
                            <w:sz w:val="18"/>
                          </w:rPr>
                          <w:t>29.86%</w:t>
                        </w:r>
                      </w:p>
                    </w:tc>
                    <w:tc>
                      <w:tcPr>
                        <w:tcW w:w="105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16" w:lineRule="exact"/>
                          <w:ind w:left="-152"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187" w:lineRule="exact"/>
                          <w:ind w:right="13"/>
                          <w:jc w:val="right"/>
                          <w:rPr>
                            <w:rFonts w:ascii="Times New Roman" w:hAnsi="Times New Roman" w:cs="Times New Roman" w:eastAsia="Times New Roman" w:hint="default"/>
                            <w:sz w:val="18"/>
                            <w:szCs w:val="18"/>
                          </w:rPr>
                        </w:pPr>
                        <w:r>
                          <w:rPr>
                            <w:rFonts w:ascii="Times New Roman"/>
                            <w:spacing w:val="-1"/>
                            <w:sz w:val="18"/>
                          </w:rPr>
                          <w:t>30,089,088.1</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30,089,088.1</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35,923,810.0</w:t>
                        </w: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w w:val="101"/>
        </w:rPr>
        <w:t>。</w:t>
      </w:r>
      <w:r>
        <w:rPr/>
      </w:r>
    </w:p>
    <w:p>
      <w:pPr>
        <w:spacing w:line="240" w:lineRule="auto" w:before="5"/>
        <w:rPr>
          <w:rFonts w:ascii="宋体" w:hAnsi="宋体" w:cs="宋体" w:eastAsia="宋体" w:hint="default"/>
          <w:sz w:val="8"/>
          <w:szCs w:val="8"/>
        </w:rPr>
      </w:pPr>
    </w:p>
    <w:p>
      <w:pPr>
        <w:spacing w:line="1133" w:lineRule="exact"/>
        <w:ind w:left="4417" w:right="0" w:firstLine="0"/>
        <w:rPr>
          <w:rFonts w:ascii="宋体" w:hAnsi="宋体" w:cs="宋体" w:eastAsia="宋体" w:hint="default"/>
          <w:sz w:val="20"/>
          <w:szCs w:val="20"/>
        </w:rPr>
      </w:pPr>
      <w:r>
        <w:rPr>
          <w:rFonts w:ascii="宋体" w:hAnsi="宋体" w:cs="宋体" w:eastAsia="宋体" w:hint="default"/>
          <w:position w:val="-22"/>
          <w:sz w:val="20"/>
          <w:szCs w:val="20"/>
        </w:rPr>
        <w:pict>
          <v:group style="width:52.35pt;height:56.7pt;mso-position-horizontal-relative:char;mso-position-vertical-relative:line" coordorigin="0,0" coordsize="1047,1134">
            <v:group style="position:absolute;left:0;top:0;width:1047;height:783" coordorigin="0,0" coordsize="1047,783">
              <v:shape style="position:absolute;left:0;top:0;width:1047;height:783" coordorigin="0,0" coordsize="1047,783" path="m0,783l1047,783,1047,0,0,0,0,783xe" filled="true" fillcolor="#ffffff" stroked="false">
                <v:path arrowok="t"/>
                <v:fill type="solid"/>
              </v:shape>
            </v:group>
            <v:group style="position:absolute;left:24;top:783;width:1004;height:351" coordorigin="24,783" coordsize="1004,351">
              <v:shape style="position:absolute;left:24;top:783;width:1004;height:351" coordorigin="24,783" coordsize="1004,351" path="m24,1133l1028,1133,1028,783,24,783,24,1133xe" filled="true" fillcolor="#ffffff" stroked="false">
                <v:path arrowok="t"/>
                <v:fill type="solid"/>
              </v:shape>
            </v:group>
          </v:group>
        </w:pict>
      </w:r>
      <w:r>
        <w:rPr>
          <w:rFonts w:ascii="宋体" w:hAnsi="宋体" w:cs="宋体" w:eastAsia="宋体" w:hint="default"/>
          <w:position w:val="-22"/>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spacing w:line="667" w:lineRule="exact"/>
        <w:ind w:left="4417" w:right="0" w:firstLine="0"/>
        <w:rPr>
          <w:rFonts w:ascii="宋体" w:hAnsi="宋体" w:cs="宋体" w:eastAsia="宋体" w:hint="default"/>
          <w:sz w:val="20"/>
          <w:szCs w:val="20"/>
        </w:rPr>
      </w:pPr>
      <w:r>
        <w:rPr>
          <w:rFonts w:ascii="宋体" w:hAnsi="宋体" w:cs="宋体" w:eastAsia="宋体" w:hint="default"/>
          <w:position w:val="-12"/>
          <w:sz w:val="20"/>
          <w:szCs w:val="20"/>
        </w:rPr>
        <w:pict>
          <v:group style="width:52.35pt;height:33.4pt;mso-position-horizontal-relative:char;mso-position-vertical-relative:line" coordorigin="0,0" coordsize="1047,668">
            <v:group style="position:absolute;left:0;top:0;width:1047;height:312" coordorigin="0,0" coordsize="1047,312">
              <v:shape style="position:absolute;left:0;top:0;width:1047;height:312" coordorigin="0,0" coordsize="1047,312" path="m0,312l1047,312,1047,0,0,0,0,312xe" filled="true" fillcolor="#ffffff" stroked="false">
                <v:path arrowok="t"/>
                <v:fill type="solid"/>
              </v:shape>
            </v:group>
            <v:group style="position:absolute;left:24;top:312;width:1004;height:356" coordorigin="24,312" coordsize="1004,356">
              <v:shape style="position:absolute;left:24;top:312;width:1004;height:356" coordorigin="24,312" coordsize="1004,356" path="m24,667l1028,667,1028,312,24,312,24,667xe" filled="true" fillcolor="#ffffff" stroked="false">
                <v:path arrowok="t"/>
                <v:fill type="solid"/>
              </v:shape>
            </v:group>
          </v:group>
        </w:pict>
      </w:r>
      <w:r>
        <w:rPr>
          <w:rFonts w:ascii="宋体" w:hAnsi="宋体" w:cs="宋体" w:eastAsia="宋体" w:hint="default"/>
          <w:position w:val="-12"/>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5"/>
        <w:ind w:right="0"/>
        <w:jc w:val="left"/>
        <w:rPr>
          <w:b w:val="0"/>
          <w:bCs w:val="0"/>
        </w:rPr>
      </w:pPr>
      <w:bookmarkStart w:name="（5）营业成本构成" w:id="31"/>
      <w:bookmarkEnd w:id="31"/>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0"/>
        <w:jc w:val="left"/>
      </w:pPr>
      <w:r>
        <w:rPr/>
        <w:t>产品分类</w:t>
      </w:r>
    </w:p>
    <w:p>
      <w:pPr>
        <w:pStyle w:val="BodyText"/>
        <w:spacing w:line="240" w:lineRule="auto" w:before="119"/>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98"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场景化应用系统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采购成本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122,015,652.10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50.81%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109,599,150.89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51.96%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3"/>
                <w:sz w:val="18"/>
              </w:rPr>
              <w:t>11.33%</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医疗信息系统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实施成本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42,858,596.52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17.85%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25,240,881.33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3"/>
                <w:sz w:val="18"/>
              </w:rPr>
              <w:t>11.97%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69.80%</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实施成本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12,409,484.01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5.17%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12,115,815.65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5.74%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2.42%</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pStyle w:val="BodyText"/>
        <w:spacing w:line="352" w:lineRule="auto" w:before="53"/>
        <w:ind w:right="8536"/>
        <w:jc w:val="left"/>
      </w:pPr>
      <w:r>
        <w:rPr/>
        <w:t>说明</w:t>
      </w:r>
      <w:r>
        <w:rPr>
          <w:spacing w:val="-86"/>
        </w:rPr>
        <w:t> </w:t>
      </w:r>
      <w:r>
        <w:rPr/>
        <w:t>无</w:t>
      </w:r>
    </w:p>
    <w:p>
      <w:pPr>
        <w:pStyle w:val="BodyText"/>
        <w:spacing w:line="343" w:lineRule="auto" w:before="35"/>
        <w:ind w:right="-13"/>
        <w:jc w:val="left"/>
      </w:pPr>
      <w:r>
        <w:rPr>
          <w:spacing w:val="-3"/>
        </w:rPr>
        <w:t>公司需遵守《深圳证券交易所行业信息披露指引第</w:t>
      </w:r>
      <w:r>
        <w:rPr>
          <w:spacing w:val="22"/>
        </w:rPr>
        <w:t> </w:t>
      </w:r>
      <w:r>
        <w:rPr>
          <w:rFonts w:ascii="Times New Roman" w:hAnsi="Times New Roman" w:cs="Times New Roman" w:eastAsia="Times New Roman" w:hint="default"/>
        </w:rPr>
        <w:t>12</w:t>
      </w:r>
      <w:r>
        <w:rPr>
          <w:rFonts w:ascii="Times New Roman" w:hAnsi="Times New Roman" w:cs="Times New Roman" w:eastAsia="Times New Roman" w:hint="default"/>
          <w:spacing w:val="19"/>
        </w:rPr>
        <w:t> </w:t>
      </w:r>
      <w:r>
        <w:rPr>
          <w:spacing w:val="-3"/>
        </w:rPr>
        <w:t>号</w:t>
      </w:r>
      <w:r>
        <w:rPr>
          <w:rFonts w:ascii="Times New Roman" w:hAnsi="Times New Roman" w:cs="Times New Roman" w:eastAsia="Times New Roman" w:hint="default"/>
          <w:spacing w:val="-3"/>
        </w:rPr>
        <w:t>——</w:t>
      </w:r>
      <w:r>
        <w:rPr>
          <w:spacing w:val="-3"/>
        </w:rPr>
        <w:t>上市公司从事软件与信息技术服务业务》的披露要求</w:t>
      </w:r>
      <w:r>
        <w:rPr>
          <w:spacing w:val="-79"/>
        </w:rPr>
        <w:t> </w:t>
      </w:r>
      <w:r>
        <w:rPr>
          <w:spacing w:val="-79"/>
        </w:rPr>
      </w:r>
      <w:r>
        <w:rPr/>
        <w:t>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35" w:right="0"/>
        <w:jc w:val="left"/>
      </w:pPr>
      <w:r>
        <w:rPr/>
        <w:t>单位：元</w:t>
      </w:r>
    </w:p>
    <w:p>
      <w:pPr>
        <w:spacing w:after="0" w:line="240" w:lineRule="auto"/>
        <w:jc w:val="left"/>
        <w:sectPr>
          <w:type w:val="continuous"/>
          <w:pgSz w:w="11910" w:h="16840"/>
          <w:pgMar w:top="1060" w:bottom="1160" w:left="980" w:right="0"/>
          <w:cols w:num="2" w:equalWidth="0">
            <w:col w:w="9070" w:space="40"/>
            <w:col w:w="1820"/>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403" w:hRule="exact"/>
        </w:trPr>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98" w:hRule="exact"/>
        </w:trPr>
        <w:tc>
          <w:tcPr>
            <w:tcW w:w="1599"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商品采购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151,164,713.07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62.95%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144,699,961.00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68.60%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4.47%</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22,055,468.83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22,698,090.27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-2.83%</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实施成本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62,036,646.69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39,724,870.99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56.17%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6）报告期内合并范围是否发生变动" w:id="32"/>
      <w:bookmarkEnd w:id="32"/>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10"/>
        <w:rPr>
          <w:rFonts w:ascii="宋体" w:hAnsi="宋体" w:cs="宋体" w:eastAsia="宋体" w:hint="default"/>
          <w:b/>
          <w:bCs/>
          <w:sz w:val="26"/>
          <w:szCs w:val="26"/>
        </w:rPr>
      </w:pPr>
    </w:p>
    <w:p>
      <w:pPr>
        <w:pStyle w:val="BodyText"/>
        <w:spacing w:line="328" w:lineRule="auto"/>
        <w:ind w:right="1037"/>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否</w:t>
      </w:r>
      <w:r>
        <w:rPr>
          <w:spacing w:val="-83"/>
        </w:rPr>
        <w:t> </w:t>
      </w:r>
      <w:r>
        <w:rPr>
          <w:spacing w:val="-4"/>
        </w:rPr>
        <w:t>报告期内，公司纳入合并范围子公司发生变动，增加北京和仁公司，减少和仁云慧公司和黑龙江和仁公司。合并范围变更主</w:t>
      </w:r>
      <w:r>
        <w:rPr>
          <w:spacing w:val="40"/>
        </w:rPr>
        <w:t> </w:t>
      </w:r>
      <w:r>
        <w:rPr>
          <w:spacing w:val="40"/>
        </w:rPr>
      </w:r>
      <w:r>
        <w:rPr>
          <w:spacing w:val="-3"/>
        </w:rPr>
        <w:t>体的具体信息详见本报告</w:t>
      </w:r>
      <w:r>
        <w:rPr>
          <w:rFonts w:ascii="Times New Roman" w:hAnsi="Times New Roman" w:cs="Times New Roman" w:eastAsia="Times New Roman" w:hint="default"/>
          <w:spacing w:val="-3"/>
        </w:rPr>
        <w:t>“</w:t>
      </w:r>
      <w:r>
        <w:rPr>
          <w:spacing w:val="-3"/>
        </w:rPr>
        <w:t>第十二节 </w:t>
      </w:r>
      <w:r>
        <w:rPr>
          <w:spacing w:val="13"/>
        </w:rPr>
        <w:t> </w:t>
      </w:r>
      <w:r>
        <w:rPr>
          <w:spacing w:val="-3"/>
        </w:rPr>
        <w:t>财务报告</w:t>
      </w:r>
      <w:r>
        <w:rPr>
          <w:rFonts w:ascii="Times New Roman" w:hAnsi="Times New Roman" w:cs="Times New Roman" w:eastAsia="Times New Roman" w:hint="default"/>
          <w:spacing w:val="-3"/>
        </w:rPr>
        <w:t>”</w:t>
      </w:r>
      <w:r>
        <w:rPr>
          <w:spacing w:val="-3"/>
        </w:rPr>
        <w:t>中</w:t>
      </w:r>
      <w:r>
        <w:rPr>
          <w:rFonts w:ascii="Times New Roman" w:hAnsi="Times New Roman" w:cs="Times New Roman" w:eastAsia="Times New Roman" w:hint="default"/>
          <w:spacing w:val="-3"/>
        </w:rPr>
        <w:t>“</w:t>
      </w:r>
      <w:r>
        <w:rPr>
          <w:spacing w:val="-3"/>
        </w:rPr>
        <w:t>八、合并范围的变更</w:t>
      </w:r>
      <w:r>
        <w:rPr>
          <w:rFonts w:ascii="Times New Roman" w:hAnsi="Times New Roman" w:cs="Times New Roman" w:eastAsia="Times New Roman" w:hint="default"/>
          <w:spacing w:val="-3"/>
        </w:rPr>
        <w:t>”</w:t>
      </w:r>
      <w:r>
        <w:rPr>
          <w:spacing w:val="-3"/>
        </w:rPr>
        <w:t>。</w:t>
      </w:r>
    </w:p>
    <w:p>
      <w:pPr>
        <w:spacing w:after="0" w:line="328" w:lineRule="auto"/>
        <w:jc w:val="left"/>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91"/>
        <w:ind w:right="0"/>
        <w:jc w:val="left"/>
        <w:rPr>
          <w:b w:val="0"/>
          <w:bCs w:val="0"/>
        </w:rPr>
      </w:pPr>
      <w:bookmarkStart w:name="（7）公司报告期内业务、产品或服务发生重大变化或调整有关情况" w:id="33"/>
      <w:bookmarkEnd w:id="33"/>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4"/>
        <w:spacing w:line="240" w:lineRule="auto"/>
        <w:ind w:right="0"/>
        <w:jc w:val="left"/>
        <w:rPr>
          <w:b w:val="0"/>
          <w:bCs w:val="0"/>
        </w:rPr>
      </w:pPr>
      <w:bookmarkStart w:name="（8）主要销售客户和主要供应商情况" w:id="34"/>
      <w:bookmarkEnd w:id="34"/>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公司主要销售客户情况</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247"/>
        <w:gridCol w:w="5323"/>
      </w:tblGrid>
      <w:tr>
        <w:trPr>
          <w:trHeight w:val="403" w:hRule="exact"/>
        </w:trPr>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前五名客户合计销售金额（元）</w:t>
            </w:r>
          </w:p>
        </w:tc>
        <w:tc>
          <w:tcPr>
            <w:tcW w:w="5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172,318,585.96</w:t>
            </w:r>
          </w:p>
        </w:tc>
      </w:tr>
      <w:tr>
        <w:trPr>
          <w:trHeight w:val="398" w:hRule="exact"/>
        </w:trPr>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前五名客户合计销售金额占年度销售总额比例</w:t>
            </w:r>
          </w:p>
        </w:tc>
        <w:tc>
          <w:tcPr>
            <w:tcW w:w="5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39.07%</w:t>
            </w:r>
          </w:p>
        </w:tc>
      </w:tr>
      <w:tr>
        <w:trPr>
          <w:trHeight w:val="715" w:hRule="exact"/>
        </w:trPr>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68"/>
              <w:jc w:val="left"/>
              <w:rPr>
                <w:rFonts w:ascii="宋体" w:hAnsi="宋体" w:cs="宋体" w:eastAsia="宋体" w:hint="default"/>
                <w:sz w:val="18"/>
                <w:szCs w:val="18"/>
              </w:rPr>
            </w:pPr>
            <w:r>
              <w:rPr>
                <w:rFonts w:ascii="宋体" w:hAnsi="宋体" w:cs="宋体" w:eastAsia="宋体" w:hint="default"/>
                <w:spacing w:val="-3"/>
                <w:sz w:val="18"/>
                <w:szCs w:val="18"/>
              </w:rPr>
              <w:t>前五名客户销售额中关联方销售额占年度销售总额比</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例</w:t>
            </w:r>
          </w:p>
        </w:tc>
        <w:tc>
          <w:tcPr>
            <w:tcW w:w="5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54"/>
        <w:ind w:right="0"/>
        <w:jc w:val="left"/>
      </w:pPr>
      <w:r>
        <w:rPr/>
        <w:t>公司前</w:t>
      </w:r>
      <w:r>
        <w:rPr>
          <w:spacing w:val="-42"/>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大客户资料</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778"/>
        <w:gridCol w:w="3315"/>
        <w:gridCol w:w="2324"/>
        <w:gridCol w:w="3140"/>
      </w:tblGrid>
      <w:tr>
        <w:trPr>
          <w:trHeight w:val="403"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14"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8" w:right="0"/>
              <w:jc w:val="left"/>
              <w:rPr>
                <w:rFonts w:ascii="宋体" w:hAnsi="宋体" w:cs="宋体" w:eastAsia="宋体" w:hint="default"/>
                <w:sz w:val="18"/>
                <w:szCs w:val="18"/>
              </w:rPr>
            </w:pPr>
            <w:r>
              <w:rPr>
                <w:rFonts w:ascii="宋体" w:hAnsi="宋体" w:cs="宋体" w:eastAsia="宋体" w:hint="default"/>
                <w:spacing w:val="-3"/>
                <w:sz w:val="18"/>
                <w:szCs w:val="18"/>
              </w:rPr>
              <w:t>占年度销售总额比例</w:t>
            </w:r>
          </w:p>
        </w:tc>
      </w:tr>
      <w:tr>
        <w:trPr>
          <w:trHeight w:val="398"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57,346,433.67</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13.00%</w:t>
            </w:r>
          </w:p>
        </w:tc>
      </w:tr>
      <w:tr>
        <w:trPr>
          <w:trHeight w:val="403"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35,403,586.15</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8.03%</w:t>
            </w:r>
          </w:p>
        </w:tc>
      </w:tr>
      <w:tr>
        <w:trPr>
          <w:trHeight w:val="404"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30,089,088.12</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6.82%</w:t>
            </w:r>
          </w:p>
        </w:tc>
      </w:tr>
      <w:tr>
        <w:trPr>
          <w:trHeight w:val="403"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24,919,545.26</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5.65%</w:t>
            </w:r>
          </w:p>
        </w:tc>
      </w:tr>
      <w:tr>
        <w:trPr>
          <w:trHeight w:val="398"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24,559,932.76</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5.57%</w:t>
            </w:r>
          </w:p>
        </w:tc>
      </w:tr>
      <w:tr>
        <w:trPr>
          <w:trHeight w:val="403"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172,318,585.96</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39.07%</w:t>
            </w:r>
          </w:p>
        </w:tc>
      </w:tr>
    </w:tbl>
    <w:p>
      <w:pPr>
        <w:pStyle w:val="BodyText"/>
        <w:spacing w:line="240" w:lineRule="auto" w:before="53"/>
        <w:ind w:right="0"/>
        <w:jc w:val="left"/>
      </w:pPr>
      <w:r>
        <w:rPr/>
        <w:t>主要客户其他情况说明</w:t>
      </w:r>
    </w:p>
    <w:p>
      <w:pPr>
        <w:pStyle w:val="BodyText"/>
        <w:spacing w:line="338" w:lineRule="auto" w:before="120"/>
        <w:ind w:right="795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公司主要供应商情况</w:t>
      </w:r>
    </w:p>
    <w:p>
      <w:pPr>
        <w:spacing w:line="240" w:lineRule="auto" w:before="4"/>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4247"/>
        <w:gridCol w:w="5323"/>
      </w:tblGrid>
      <w:tr>
        <w:trPr>
          <w:trHeight w:val="398" w:hRule="exact"/>
        </w:trPr>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前五名供应商合计采购金额（元）</w:t>
            </w:r>
          </w:p>
        </w:tc>
        <w:tc>
          <w:tcPr>
            <w:tcW w:w="5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33,317,152.57</w:t>
            </w:r>
          </w:p>
        </w:tc>
      </w:tr>
      <w:tr>
        <w:trPr>
          <w:trHeight w:val="403" w:hRule="exact"/>
        </w:trPr>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前五名供应商合计采购金额占年度采购总额比例</w:t>
            </w:r>
          </w:p>
        </w:tc>
        <w:tc>
          <w:tcPr>
            <w:tcW w:w="5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17.12%</w:t>
            </w:r>
          </w:p>
        </w:tc>
      </w:tr>
      <w:tr>
        <w:trPr>
          <w:trHeight w:val="716" w:hRule="exact"/>
        </w:trPr>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68"/>
              <w:jc w:val="left"/>
              <w:rPr>
                <w:rFonts w:ascii="宋体" w:hAnsi="宋体" w:cs="宋体" w:eastAsia="宋体" w:hint="default"/>
                <w:sz w:val="18"/>
                <w:szCs w:val="18"/>
              </w:rPr>
            </w:pPr>
            <w:r>
              <w:rPr>
                <w:rFonts w:ascii="宋体" w:hAnsi="宋体" w:cs="宋体" w:eastAsia="宋体" w:hint="default"/>
                <w:spacing w:val="-3"/>
                <w:sz w:val="18"/>
                <w:szCs w:val="18"/>
              </w:rPr>
              <w:t>前五名供应商采购额中关联方采购额占年度采购总额</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比例</w:t>
            </w:r>
          </w:p>
        </w:tc>
        <w:tc>
          <w:tcPr>
            <w:tcW w:w="5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53"/>
        <w:ind w:right="0"/>
        <w:jc w:val="left"/>
      </w:pPr>
      <w:r>
        <w:rPr/>
        <w:t>公司前</w:t>
      </w:r>
      <w:r>
        <w:rPr>
          <w:spacing w:val="-4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913"/>
        <w:gridCol w:w="3181"/>
        <w:gridCol w:w="2324"/>
        <w:gridCol w:w="3140"/>
      </w:tblGrid>
      <w:tr>
        <w:trPr>
          <w:trHeight w:val="398"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14"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8" w:right="0"/>
              <w:jc w:val="left"/>
              <w:rPr>
                <w:rFonts w:ascii="宋体" w:hAnsi="宋体" w:cs="宋体" w:eastAsia="宋体" w:hint="default"/>
                <w:sz w:val="18"/>
                <w:szCs w:val="18"/>
              </w:rPr>
            </w:pPr>
            <w:r>
              <w:rPr>
                <w:rFonts w:ascii="宋体" w:hAnsi="宋体" w:cs="宋体" w:eastAsia="宋体" w:hint="default"/>
                <w:spacing w:val="-3"/>
                <w:sz w:val="18"/>
                <w:szCs w:val="18"/>
              </w:rPr>
              <w:t>占年度采购总额比例</w:t>
            </w:r>
          </w:p>
        </w:tc>
      </w:tr>
      <w:tr>
        <w:trPr>
          <w:trHeight w:val="404"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13,271,485.51</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6.82%</w:t>
            </w:r>
          </w:p>
        </w:tc>
      </w:tr>
      <w:tr>
        <w:trPr>
          <w:trHeight w:val="403"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5,697,450.00</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2.93%</w:t>
            </w:r>
          </w:p>
        </w:tc>
      </w:tr>
      <w:tr>
        <w:trPr>
          <w:trHeight w:val="403"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5,505,901.20</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2.83%</w:t>
            </w:r>
          </w:p>
        </w:tc>
      </w:tr>
      <w:tr>
        <w:trPr>
          <w:trHeight w:val="398"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4,672,582.67</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2.40%</w:t>
            </w:r>
          </w:p>
        </w:tc>
      </w:tr>
      <w:tr>
        <w:trPr>
          <w:trHeight w:val="404"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4,169,733.19</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2.14%</w:t>
            </w:r>
          </w:p>
        </w:tc>
      </w:tr>
      <w:tr>
        <w:trPr>
          <w:trHeight w:val="403"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33,317,152.57</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17.12%</w:t>
            </w:r>
          </w:p>
        </w:tc>
      </w:tr>
    </w:tbl>
    <w:p>
      <w:pPr>
        <w:pStyle w:val="BodyText"/>
        <w:spacing w:line="240" w:lineRule="auto" w:before="53"/>
        <w:ind w:right="0"/>
        <w:jc w:val="left"/>
      </w:pPr>
      <w:r>
        <w:rPr>
          <w:spacing w:val="-3"/>
        </w:rPr>
        <w:t>主要供应商其他情况说明</w:t>
      </w:r>
    </w:p>
    <w:p>
      <w:pPr>
        <w:spacing w:after="0" w:line="240" w:lineRule="auto"/>
        <w:jc w:val="left"/>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bookmarkStart w:name="3、费用" w:id="35"/>
      <w:bookmarkEnd w:id="35"/>
      <w:r>
        <w:rPr>
          <w:b w:val="0"/>
          <w:bCs w:val="0"/>
        </w:rPr>
      </w:r>
      <w:r>
        <w:rPr>
          <w:rFonts w:ascii="Times New Roman" w:hAnsi="Times New Roman" w:cs="Times New Roman" w:eastAsia="Times New Roman" w:hint="default"/>
        </w:rPr>
        <w:t>3</w:t>
      </w:r>
      <w:r>
        <w:rPr/>
        <w:t>、费用</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4"/>
        <w:gridCol w:w="1638"/>
        <w:gridCol w:w="1637"/>
        <w:gridCol w:w="1460"/>
        <w:gridCol w:w="2919"/>
      </w:tblGrid>
      <w:tr>
        <w:trPr>
          <w:trHeight w:val="398"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2"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554" w:right="0"/>
              <w:jc w:val="left"/>
              <w:rPr>
                <w:rFonts w:ascii="Times New Roman" w:hAnsi="Times New Roman" w:cs="Times New Roman" w:eastAsia="Times New Roman" w:hint="default"/>
                <w:sz w:val="18"/>
                <w:szCs w:val="18"/>
              </w:rPr>
            </w:pPr>
            <w:r>
              <w:rPr>
                <w:rFonts w:ascii="Times New Roman"/>
                <w:sz w:val="18"/>
              </w:rPr>
              <w:t>33,537,624.47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66" w:right="0"/>
              <w:jc w:val="left"/>
              <w:rPr>
                <w:rFonts w:ascii="Times New Roman" w:hAnsi="Times New Roman" w:cs="Times New Roman" w:eastAsia="Times New Roman" w:hint="default"/>
                <w:sz w:val="18"/>
                <w:szCs w:val="18"/>
              </w:rPr>
            </w:pPr>
            <w:r>
              <w:rPr>
                <w:rFonts w:ascii="Times New Roman"/>
                <w:sz w:val="18"/>
              </w:rPr>
              <w:t>30,531,820.28</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9.84%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8" w:type="dxa"/>
            <w:vMerge w:val="restart"/>
            <w:tcBorders>
              <w:top w:val="single" w:sz="4" w:space="0" w:color="000000"/>
              <w:left w:val="single" w:sz="10" w:space="0" w:color="D2D2D2"/>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59" w:right="0"/>
              <w:jc w:val="left"/>
              <w:rPr>
                <w:rFonts w:ascii="Times New Roman" w:hAnsi="Times New Roman" w:cs="Times New Roman" w:eastAsia="Times New Roman" w:hint="default"/>
                <w:sz w:val="18"/>
                <w:szCs w:val="18"/>
              </w:rPr>
            </w:pPr>
            <w:r>
              <w:rPr>
                <w:rFonts w:ascii="Times New Roman"/>
                <w:sz w:val="18"/>
              </w:rPr>
              <w:t>63,424,943.14</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44,545,633.51</w:t>
            </w:r>
          </w:p>
        </w:tc>
        <w:tc>
          <w:tcPr>
            <w:tcW w:w="146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42.38%</w:t>
            </w:r>
          </w:p>
        </w:tc>
        <w:tc>
          <w:tcPr>
            <w:tcW w:w="2919" w:type="dxa"/>
            <w:vMerge w:val="restart"/>
            <w:tcBorders>
              <w:top w:val="single" w:sz="4" w:space="0" w:color="000000"/>
              <w:left w:val="single" w:sz="4" w:space="0" w:color="000000"/>
              <w:right w:val="single" w:sz="4" w:space="0" w:color="000000"/>
            </w:tcBorders>
          </w:tcPr>
          <w:p>
            <w:pPr>
              <w:pStyle w:val="TableParagraph"/>
              <w:spacing w:line="324" w:lineRule="auto" w:before="53"/>
              <w:ind w:left="23" w:right="182"/>
              <w:jc w:val="left"/>
              <w:rPr>
                <w:rFonts w:ascii="宋体" w:hAnsi="宋体" w:cs="宋体" w:eastAsia="宋体" w:hint="default"/>
                <w:sz w:val="18"/>
                <w:szCs w:val="18"/>
              </w:rPr>
            </w:pPr>
            <w:r>
              <w:rPr>
                <w:rFonts w:ascii="宋体" w:hAnsi="宋体" w:cs="宋体" w:eastAsia="宋体" w:hint="default"/>
                <w:spacing w:val="-3"/>
                <w:sz w:val="18"/>
                <w:szCs w:val="18"/>
              </w:rPr>
              <w:t>股权激励费用及管理人员薪资增加</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所致</w:t>
            </w:r>
          </w:p>
        </w:tc>
      </w:tr>
      <w:tr>
        <w:trPr>
          <w:trHeight w:val="389"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8"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0"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3"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8"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0"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58"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8"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50" w:right="0"/>
              <w:jc w:val="left"/>
              <w:rPr>
                <w:rFonts w:ascii="Times New Roman" w:hAnsi="Times New Roman" w:cs="Times New Roman" w:eastAsia="Times New Roman" w:hint="default"/>
                <w:sz w:val="18"/>
                <w:szCs w:val="18"/>
              </w:rPr>
            </w:pPr>
            <w:r>
              <w:rPr>
                <w:rFonts w:ascii="Times New Roman"/>
                <w:sz w:val="18"/>
              </w:rPr>
              <w:t>3,059,443.44</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57" w:right="0"/>
              <w:jc w:val="left"/>
              <w:rPr>
                <w:rFonts w:ascii="Times New Roman" w:hAnsi="Times New Roman" w:cs="Times New Roman" w:eastAsia="Times New Roman" w:hint="default"/>
                <w:sz w:val="18"/>
                <w:szCs w:val="18"/>
              </w:rPr>
            </w:pPr>
            <w:r>
              <w:rPr>
                <w:rFonts w:ascii="Times New Roman"/>
                <w:sz w:val="18"/>
              </w:rPr>
              <w:t>2,014,330.90</w:t>
            </w:r>
          </w:p>
        </w:tc>
        <w:tc>
          <w:tcPr>
            <w:tcW w:w="146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51.88%</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53"/>
              <w:ind w:left="23" w:right="17"/>
              <w:jc w:val="left"/>
              <w:rPr>
                <w:rFonts w:ascii="宋体" w:hAnsi="宋体" w:cs="宋体" w:eastAsia="宋体" w:hint="default"/>
                <w:sz w:val="18"/>
                <w:szCs w:val="18"/>
              </w:rPr>
            </w:pPr>
            <w:r>
              <w:rPr>
                <w:rFonts w:ascii="宋体" w:hAnsi="宋体" w:cs="宋体" w:eastAsia="宋体" w:hint="default"/>
                <w:spacing w:val="-4"/>
                <w:sz w:val="18"/>
                <w:szCs w:val="18"/>
              </w:rPr>
              <w:t>经营发展需要融资额增加，利息支出</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增加</w:t>
            </w:r>
          </w:p>
        </w:tc>
      </w:tr>
      <w:tr>
        <w:trPr>
          <w:trHeight w:val="394"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8"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0"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3"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8"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0"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398"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554" w:right="0"/>
              <w:jc w:val="left"/>
              <w:rPr>
                <w:rFonts w:ascii="Times New Roman" w:hAnsi="Times New Roman" w:cs="Times New Roman" w:eastAsia="Times New Roman" w:hint="default"/>
                <w:sz w:val="18"/>
                <w:szCs w:val="18"/>
              </w:rPr>
            </w:pPr>
            <w:r>
              <w:rPr>
                <w:rFonts w:ascii="Times New Roman"/>
                <w:sz w:val="18"/>
              </w:rPr>
              <w:t>47,355,553.90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66" w:right="0"/>
              <w:jc w:val="left"/>
              <w:rPr>
                <w:rFonts w:ascii="Times New Roman" w:hAnsi="Times New Roman" w:cs="Times New Roman" w:eastAsia="Times New Roman" w:hint="default"/>
                <w:sz w:val="18"/>
                <w:szCs w:val="18"/>
              </w:rPr>
            </w:pPr>
            <w:r>
              <w:rPr>
                <w:rFonts w:ascii="Times New Roman"/>
                <w:sz w:val="18"/>
              </w:rPr>
              <w:t>44,684,798.32</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5.98%</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4、研发投入" w:id="36"/>
      <w:bookmarkEnd w:id="36"/>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1"/>
        <w:rPr>
          <w:rFonts w:ascii="宋体" w:hAnsi="宋体" w:cs="宋体" w:eastAsia="宋体" w:hint="default"/>
          <w:b/>
          <w:bCs/>
          <w:sz w:val="27"/>
          <w:szCs w:val="27"/>
        </w:rPr>
      </w:pPr>
    </w:p>
    <w:p>
      <w:pPr>
        <w:pStyle w:val="BodyText"/>
        <w:spacing w:line="333" w:lineRule="auto"/>
        <w:ind w:left="513" w:right="1037"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4"/>
        </w:rPr>
        <w:t>公司一直高度注重研发投入与技术储备工作，持续加强技术创新和新产品研发投入，进一步完善技术创新体系，增强技</w:t>
      </w:r>
    </w:p>
    <w:p>
      <w:pPr>
        <w:pStyle w:val="BodyText"/>
        <w:spacing w:line="324" w:lineRule="auto" w:before="6"/>
        <w:ind w:right="0"/>
        <w:jc w:val="left"/>
      </w:pPr>
      <w:r>
        <w:rPr>
          <w:spacing w:val="-4"/>
        </w:rPr>
        <w:t>术交流与合作研发机制，加强人才队伍建设，完善绩效激励机制，创造良好的创新氛围，激发公司的创新动力，进一步增强</w:t>
      </w:r>
      <w:r>
        <w:rPr>
          <w:spacing w:val="40"/>
        </w:rPr>
        <w:t> </w:t>
      </w:r>
      <w:r>
        <w:rPr>
          <w:spacing w:val="40"/>
        </w:rPr>
      </w:r>
      <w:r>
        <w:rPr/>
        <w:t>公司产品竞争力。</w:t>
      </w:r>
    </w:p>
    <w:p>
      <w:pPr>
        <w:pStyle w:val="BodyText"/>
        <w:spacing w:line="316" w:lineRule="auto" w:before="47"/>
        <w:ind w:right="1122" w:firstLine="360"/>
        <w:jc w:val="both"/>
      </w:pPr>
      <w:r>
        <w:rPr>
          <w:spacing w:val="-4"/>
        </w:rPr>
        <w:t>公司目标客户以国内大型三甲医院为主，目标客户在临床业务管理、医院综合运营管理、数据综合应用等方面的能力均</w:t>
      </w:r>
      <w:r>
        <w:rPr>
          <w:w w:val="101"/>
        </w:rPr>
        <w:t> </w:t>
      </w:r>
      <w:r>
        <w:rPr>
          <w:spacing w:val="-8"/>
          <w:w w:val="101"/>
        </w:rPr>
        <w:t>处于医疗行业较高水平，是国内医疗行业的优质客户。这些客户在自身发展过程中不断加强临床业务、运营管理的深化发展，</w:t>
      </w:r>
      <w:r>
        <w:rPr>
          <w:spacing w:val="-52"/>
          <w:w w:val="101"/>
        </w:rPr>
        <w:t> </w:t>
      </w:r>
      <w:r>
        <w:rPr>
          <w:spacing w:val="-52"/>
          <w:w w:val="101"/>
        </w:rPr>
      </w:r>
      <w:r>
        <w:rPr>
          <w:spacing w:val="-4"/>
          <w:w w:val="101"/>
        </w:rPr>
        <w:t>同时也对智慧医院建设提出了更具前瞻性的建设需求和建设深度要求。公司作为这类客户的智慧医院建设服务提供者也在积</w:t>
      </w:r>
      <w:r>
        <w:rPr>
          <w:w w:val="101"/>
        </w:rPr>
        <w:t> </w:t>
      </w:r>
      <w:r>
        <w:rPr>
          <w:spacing w:val="-4"/>
          <w:w w:val="101"/>
        </w:rPr>
        <w:t>极响应客户不断发展的建设需求，双方的深度合作共生发展过程中推动了公司产品及解决方案不断升级迭代并保持了产品及</w:t>
      </w:r>
      <w:r>
        <w:rPr>
          <w:w w:val="101"/>
        </w:rPr>
        <w:t> </w:t>
      </w:r>
      <w:r>
        <w:rPr>
          <w:spacing w:val="-4"/>
        </w:rPr>
        <w:t>解决方案的前瞻性和领先性。为此，公司不断完善和提升原有产品的技术，积极主动发掘医院信息化应用需求，推动信息化</w:t>
      </w:r>
      <w:r>
        <w:rPr>
          <w:spacing w:val="40"/>
        </w:rPr>
        <w:t> </w:t>
      </w:r>
      <w:r>
        <w:rPr>
          <w:spacing w:val="40"/>
        </w:rPr>
      </w:r>
      <w:r>
        <w:rPr>
          <w:spacing w:val="-4"/>
        </w:rPr>
        <w:t>在医院业务、管理、控制等各个方面的场景化应用，适应国家医疗体制改革政策、医疗卫生事业发展规划、医疗卫生行业标</w:t>
      </w:r>
      <w:r>
        <w:rPr>
          <w:spacing w:val="40"/>
        </w:rPr>
        <w:t> </w:t>
      </w:r>
      <w:r>
        <w:rPr>
          <w:spacing w:val="40"/>
        </w:rPr>
      </w:r>
      <w:r>
        <w:rPr>
          <w:spacing w:val="-4"/>
        </w:rPr>
        <w:t>准和规范。公司一方面密切关注市场需求，围绕公司战略客户及重要客户，进行产品合作开发，确保公司配套任务的顺利完</w:t>
      </w:r>
      <w:r>
        <w:rPr>
          <w:spacing w:val="41"/>
        </w:rPr>
        <w:t> </w:t>
      </w:r>
      <w:r>
        <w:rPr>
          <w:spacing w:val="41"/>
        </w:rPr>
      </w:r>
      <w:r>
        <w:rPr>
          <w:spacing w:val="-4"/>
        </w:rPr>
        <w:t>成；同时，围绕以临床医疗信息系统为核心，秉承</w:t>
      </w:r>
      <w:r>
        <w:rPr>
          <w:rFonts w:ascii="Times New Roman" w:hAnsi="Times New Roman" w:cs="Times New Roman" w:eastAsia="Times New Roman" w:hint="default"/>
          <w:spacing w:val="-4"/>
        </w:rPr>
        <w:t>“</w:t>
      </w:r>
      <w:r>
        <w:rPr>
          <w:spacing w:val="-4"/>
        </w:rPr>
        <w:t>以患者为中心、以医疗业务为导向、以信息应用为目标</w:t>
      </w:r>
      <w:r>
        <w:rPr>
          <w:rFonts w:ascii="Times New Roman" w:hAnsi="Times New Roman" w:cs="Times New Roman" w:eastAsia="Times New Roman" w:hint="default"/>
          <w:spacing w:val="-4"/>
        </w:rPr>
        <w:t>”</w:t>
      </w:r>
      <w:r>
        <w:rPr>
          <w:spacing w:val="-4"/>
        </w:rPr>
        <w:t>的经营理念，为</w:t>
      </w:r>
      <w:r>
        <w:rPr>
          <w:spacing w:val="66"/>
        </w:rPr>
        <w:t> </w:t>
      </w:r>
      <w:r>
        <w:rPr>
          <w:spacing w:val="66"/>
        </w:rPr>
      </w:r>
      <w:r>
        <w:rPr>
          <w:spacing w:val="-4"/>
        </w:rPr>
        <w:t>客户进行前瞻性技术开发与新产品开发；另一方面做好新技术和新产品的成果转化，突破关键技术和技术难点，取得了良好</w:t>
      </w:r>
      <w:r>
        <w:rPr>
          <w:spacing w:val="43"/>
        </w:rPr>
        <w:t> </w:t>
      </w:r>
      <w:r>
        <w:rPr>
          <w:spacing w:val="43"/>
        </w:rPr>
      </w:r>
      <w:r>
        <w:rPr/>
        <w:t>的成效。</w:t>
      </w:r>
    </w:p>
    <w:p>
      <w:pPr>
        <w:spacing w:line="240" w:lineRule="auto" w:before="8"/>
        <w:rPr>
          <w:rFonts w:ascii="宋体" w:hAnsi="宋体" w:cs="宋体" w:eastAsia="宋体" w:hint="default"/>
          <w:sz w:val="3"/>
          <w:szCs w:val="3"/>
        </w:rPr>
      </w:pPr>
    </w:p>
    <w:tbl>
      <w:tblPr>
        <w:tblW w:w="0" w:type="auto"/>
        <w:jc w:val="left"/>
        <w:tblInd w:w="143" w:type="dxa"/>
        <w:tblLayout w:type="fixed"/>
        <w:tblCellMar>
          <w:top w:w="0" w:type="dxa"/>
          <w:left w:w="0" w:type="dxa"/>
          <w:bottom w:w="0" w:type="dxa"/>
          <w:right w:w="0" w:type="dxa"/>
        </w:tblCellMar>
        <w:tblLook w:val="01E0"/>
      </w:tblPr>
      <w:tblGrid>
        <w:gridCol w:w="514"/>
        <w:gridCol w:w="1181"/>
        <w:gridCol w:w="4394"/>
        <w:gridCol w:w="1681"/>
        <w:gridCol w:w="2142"/>
      </w:tblGrid>
      <w:tr>
        <w:trPr>
          <w:trHeight w:val="427" w:hRule="exact"/>
        </w:trPr>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25"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4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377" w:right="0"/>
              <w:jc w:val="left"/>
              <w:rPr>
                <w:rFonts w:ascii="宋体" w:hAnsi="宋体" w:cs="宋体" w:eastAsia="宋体" w:hint="default"/>
                <w:sz w:val="18"/>
                <w:szCs w:val="18"/>
              </w:rPr>
            </w:pPr>
            <w:r>
              <w:rPr>
                <w:rFonts w:ascii="宋体" w:hAnsi="宋体" w:cs="宋体" w:eastAsia="宋体" w:hint="default"/>
                <w:b/>
                <w:bCs/>
                <w:sz w:val="18"/>
                <w:szCs w:val="18"/>
              </w:rPr>
              <w:t>研发项目目的及目标</w:t>
            </w:r>
            <w:r>
              <w:rPr>
                <w:rFonts w:ascii="宋体" w:hAnsi="宋体" w:cs="宋体" w:eastAsia="宋体" w:hint="default"/>
                <w:sz w:val="18"/>
                <w:szCs w:val="18"/>
              </w:rPr>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75" w:right="0"/>
              <w:jc w:val="left"/>
              <w:rPr>
                <w:rFonts w:ascii="宋体" w:hAnsi="宋体" w:cs="宋体" w:eastAsia="宋体" w:hint="default"/>
                <w:sz w:val="18"/>
                <w:szCs w:val="18"/>
              </w:rPr>
            </w:pPr>
            <w:r>
              <w:rPr>
                <w:rFonts w:ascii="宋体" w:hAnsi="宋体" w:cs="宋体" w:eastAsia="宋体" w:hint="default"/>
                <w:b/>
                <w:bCs/>
                <w:sz w:val="18"/>
                <w:szCs w:val="18"/>
              </w:rPr>
              <w:t>项目进展</w:t>
            </w:r>
            <w:r>
              <w:rPr>
                <w:rFonts w:ascii="宋体" w:hAnsi="宋体" w:cs="宋体" w:eastAsia="宋体" w:hint="default"/>
                <w:sz w:val="18"/>
                <w:szCs w:val="18"/>
              </w:rPr>
            </w:r>
          </w:p>
        </w:tc>
        <w:tc>
          <w:tcPr>
            <w:tcW w:w="2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63" w:right="0"/>
              <w:jc w:val="left"/>
              <w:rPr>
                <w:rFonts w:ascii="宋体" w:hAnsi="宋体" w:cs="宋体" w:eastAsia="宋体" w:hint="default"/>
                <w:sz w:val="18"/>
                <w:szCs w:val="18"/>
              </w:rPr>
            </w:pPr>
            <w:r>
              <w:rPr>
                <w:rFonts w:ascii="宋体" w:hAnsi="宋体" w:cs="宋体" w:eastAsia="宋体" w:hint="default"/>
                <w:b/>
                <w:bCs/>
                <w:sz w:val="18"/>
                <w:szCs w:val="18"/>
              </w:rPr>
              <w:t>对公司生产经营的影响</w:t>
            </w:r>
            <w:r>
              <w:rPr>
                <w:rFonts w:ascii="宋体" w:hAnsi="宋体" w:cs="宋体" w:eastAsia="宋体" w:hint="default"/>
                <w:sz w:val="18"/>
                <w:szCs w:val="18"/>
              </w:rPr>
            </w:r>
          </w:p>
        </w:tc>
      </w:tr>
      <w:tr>
        <w:trPr>
          <w:trHeight w:val="3817" w:hRule="exact"/>
        </w:trPr>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317" w:right="32" w:hanging="270"/>
              <w:jc w:val="left"/>
              <w:rPr>
                <w:rFonts w:ascii="宋体" w:hAnsi="宋体" w:cs="宋体" w:eastAsia="宋体" w:hint="default"/>
                <w:sz w:val="18"/>
                <w:szCs w:val="18"/>
              </w:rPr>
            </w:pPr>
            <w:r>
              <w:rPr>
                <w:rFonts w:ascii="宋体" w:hAnsi="宋体" w:cs="宋体" w:eastAsia="宋体" w:hint="default"/>
                <w:sz w:val="18"/>
                <w:szCs w:val="18"/>
              </w:rPr>
              <w:t>新一代医院信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息系统</w:t>
            </w:r>
          </w:p>
        </w:tc>
        <w:tc>
          <w:tcPr>
            <w:tcW w:w="4394"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63"/>
              <w:ind w:left="4" w:right="-24"/>
              <w:jc w:val="left"/>
              <w:rPr>
                <w:rFonts w:ascii="宋体" w:hAnsi="宋体" w:cs="宋体" w:eastAsia="宋体" w:hint="default"/>
                <w:sz w:val="18"/>
                <w:szCs w:val="18"/>
              </w:rPr>
            </w:pPr>
            <w:r>
              <w:rPr>
                <w:rFonts w:ascii="宋体" w:hAnsi="宋体" w:cs="宋体" w:eastAsia="宋体" w:hint="default"/>
                <w:sz w:val="18"/>
                <w:szCs w:val="18"/>
              </w:rPr>
              <w:t>新一代医院信息系统，是公司重点打造的战略级生态型</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z w:val="18"/>
                <w:szCs w:val="18"/>
              </w:rPr>
              <w:t>基础业务系统，目标市场定位在大型综合医院，目前这</w:t>
            </w:r>
            <w:r>
              <w:rPr>
                <w:rFonts w:ascii="宋体" w:hAnsi="宋体" w:cs="宋体" w:eastAsia="宋体" w:hint="default"/>
                <w:spacing w:val="-33"/>
                <w:sz w:val="18"/>
                <w:szCs w:val="18"/>
              </w:rPr>
              <w:t> </w:t>
            </w:r>
            <w:r>
              <w:rPr>
                <w:rFonts w:ascii="宋体" w:hAnsi="宋体" w:cs="宋体" w:eastAsia="宋体" w:hint="default"/>
                <w:spacing w:val="-5"/>
                <w:sz w:val="18"/>
                <w:szCs w:val="18"/>
              </w:rPr>
              <w:t>批客户普遍在用的</w:t>
            </w:r>
            <w:r>
              <w:rPr>
                <w:rFonts w:ascii="Times New Roman" w:hAnsi="Times New Roman" w:cs="Times New Roman" w:eastAsia="Times New Roman" w:hint="default"/>
                <w:spacing w:val="-5"/>
                <w:sz w:val="18"/>
                <w:szCs w:val="18"/>
              </w:rPr>
              <w:t>HIS</w:t>
            </w:r>
            <w:r>
              <w:rPr>
                <w:rFonts w:ascii="宋体" w:hAnsi="宋体" w:cs="宋体" w:eastAsia="宋体" w:hint="default"/>
                <w:spacing w:val="-5"/>
                <w:sz w:val="18"/>
                <w:szCs w:val="18"/>
              </w:rPr>
              <w:t>和</w:t>
            </w:r>
            <w:r>
              <w:rPr>
                <w:rFonts w:ascii="Times New Roman" w:hAnsi="Times New Roman" w:cs="Times New Roman" w:eastAsia="Times New Roman" w:hint="default"/>
                <w:spacing w:val="-5"/>
                <w:sz w:val="18"/>
                <w:szCs w:val="18"/>
              </w:rPr>
              <w:t>EMR</w:t>
            </w:r>
            <w:r>
              <w:rPr>
                <w:rFonts w:ascii="宋体" w:hAnsi="宋体" w:cs="宋体" w:eastAsia="宋体" w:hint="default"/>
                <w:spacing w:val="-5"/>
                <w:sz w:val="18"/>
                <w:szCs w:val="18"/>
              </w:rPr>
              <w:t>系统都是早年开发的系统，</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z w:val="18"/>
                <w:szCs w:val="18"/>
              </w:rPr>
              <w:t>系统架构、</w:t>
            </w:r>
            <w:r>
              <w:rPr>
                <w:rFonts w:ascii="Times New Roman" w:hAnsi="Times New Roman" w:cs="Times New Roman" w:eastAsia="Times New Roman" w:hint="default"/>
                <w:sz w:val="18"/>
                <w:szCs w:val="18"/>
              </w:rPr>
              <w:t>IT</w:t>
            </w:r>
            <w:r>
              <w:rPr>
                <w:rFonts w:ascii="宋体" w:hAnsi="宋体" w:cs="宋体" w:eastAsia="宋体" w:hint="default"/>
                <w:sz w:val="18"/>
                <w:szCs w:val="18"/>
              </w:rPr>
              <w:t>技术、业务功能和流程等方面都已跟不上</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pacing w:val="-4"/>
                <w:sz w:val="18"/>
                <w:szCs w:val="18"/>
              </w:rPr>
              <w:t>医院当前发展需要，存在两张皮、流程不通、数据不准</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操作繁杂等问题，该系统的优势是采用最新的移动互联</w:t>
            </w:r>
            <w:r>
              <w:rPr>
                <w:rFonts w:ascii="宋体" w:hAnsi="宋体" w:cs="宋体" w:eastAsia="宋体" w:hint="default"/>
                <w:spacing w:val="-33"/>
                <w:sz w:val="18"/>
                <w:szCs w:val="18"/>
              </w:rPr>
              <w:t> </w:t>
            </w:r>
            <w:r>
              <w:rPr>
                <w:rFonts w:ascii="宋体" w:hAnsi="宋体" w:cs="宋体" w:eastAsia="宋体" w:hint="default"/>
                <w:sz w:val="18"/>
                <w:szCs w:val="18"/>
              </w:rPr>
              <w:t>技术、微服务、组件化、跨平台、跨终端、高度灵活可</w:t>
            </w:r>
            <w:r>
              <w:rPr>
                <w:rFonts w:ascii="宋体" w:hAnsi="宋体" w:cs="宋体" w:eastAsia="宋体" w:hint="default"/>
                <w:spacing w:val="-33"/>
                <w:sz w:val="18"/>
                <w:szCs w:val="18"/>
              </w:rPr>
              <w:t> </w:t>
            </w:r>
            <w:r>
              <w:rPr>
                <w:rFonts w:ascii="宋体" w:hAnsi="宋体" w:cs="宋体" w:eastAsia="宋体" w:hint="default"/>
                <w:spacing w:val="-5"/>
                <w:sz w:val="18"/>
                <w:szCs w:val="18"/>
              </w:rPr>
              <w:t>配置，支持集团化云部署，贴合最新互联网</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医疗相关的</w:t>
            </w:r>
            <w:r>
              <w:rPr>
                <w:rFonts w:ascii="宋体" w:hAnsi="宋体" w:cs="宋体" w:eastAsia="宋体" w:hint="default"/>
                <w:spacing w:val="-12"/>
                <w:sz w:val="18"/>
                <w:szCs w:val="18"/>
              </w:rPr>
              <w:t> </w:t>
            </w:r>
            <w:r>
              <w:rPr>
                <w:rFonts w:ascii="宋体" w:hAnsi="宋体" w:cs="宋体" w:eastAsia="宋体" w:hint="default"/>
                <w:spacing w:val="-12"/>
                <w:sz w:val="18"/>
                <w:szCs w:val="18"/>
              </w:rPr>
            </w:r>
            <w:r>
              <w:rPr>
                <w:rFonts w:ascii="宋体" w:hAnsi="宋体" w:cs="宋体" w:eastAsia="宋体" w:hint="default"/>
                <w:spacing w:val="-3"/>
                <w:sz w:val="18"/>
                <w:szCs w:val="18"/>
              </w:rPr>
              <w:t>业务热点，是可以让医院</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集团实现线上线下一体化、院</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内院外一体化，支撑医院高质量发展的一体化</w:t>
            </w:r>
            <w:r>
              <w:rPr>
                <w:rFonts w:ascii="Times New Roman" w:hAnsi="Times New Roman" w:cs="Times New Roman" w:eastAsia="Times New Roman" w:hint="default"/>
                <w:spacing w:val="-3"/>
                <w:sz w:val="18"/>
                <w:szCs w:val="18"/>
              </w:rPr>
              <w:t>HIS+EMR</w:t>
            </w:r>
            <w:r>
              <w:rPr>
                <w:rFonts w:ascii="Times New Roman" w:hAnsi="Times New Roman" w:cs="Times New Roman" w:eastAsia="Times New Roman" w:hint="default"/>
                <w:spacing w:val="28"/>
                <w:sz w:val="18"/>
                <w:szCs w:val="18"/>
              </w:rPr>
              <w:t> </w:t>
            </w:r>
            <w:r>
              <w:rPr>
                <w:rFonts w:ascii="Times New Roman" w:hAnsi="Times New Roman" w:cs="Times New Roman" w:eastAsia="Times New Roman" w:hint="default"/>
                <w:spacing w:val="28"/>
                <w:sz w:val="18"/>
                <w:szCs w:val="18"/>
              </w:rPr>
            </w:r>
            <w:r>
              <w:rPr>
                <w:rFonts w:ascii="宋体" w:hAnsi="宋体" w:cs="宋体" w:eastAsia="宋体" w:hint="default"/>
                <w:spacing w:val="-4"/>
                <w:sz w:val="18"/>
                <w:szCs w:val="18"/>
              </w:rPr>
              <w:t>基础业务系统。实现了线下实体医院业务功能的线上化</w:t>
            </w:r>
            <w:r>
              <w:rPr>
                <w:rFonts w:ascii="宋体" w:hAnsi="宋体" w:cs="宋体" w:eastAsia="宋体" w:hint="default"/>
                <w:spacing w:val="-26"/>
                <w:sz w:val="18"/>
                <w:szCs w:val="18"/>
              </w:rPr>
              <w:t> </w:t>
            </w:r>
            <w:r>
              <w:rPr>
                <w:rFonts w:ascii="宋体" w:hAnsi="宋体" w:cs="宋体" w:eastAsia="宋体" w:hint="default"/>
                <w:spacing w:val="-26"/>
                <w:sz w:val="18"/>
                <w:szCs w:val="18"/>
              </w:rPr>
            </w:r>
            <w:r>
              <w:rPr>
                <w:rFonts w:ascii="宋体" w:hAnsi="宋体" w:cs="宋体" w:eastAsia="宋体" w:hint="default"/>
                <w:sz w:val="18"/>
                <w:szCs w:val="18"/>
              </w:rPr>
              <w:t>开辟新工作流程，加强电子病历利用，围绕提升医疗质</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63"/>
              <w:ind w:left="9" w:right="-10"/>
              <w:jc w:val="both"/>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pacing w:val="-60"/>
                <w:sz w:val="18"/>
                <w:szCs w:val="18"/>
              </w:rPr>
              <w:t> </w:t>
            </w:r>
            <w:r>
              <w:rPr>
                <w:rFonts w:ascii="宋体" w:hAnsi="宋体" w:cs="宋体" w:eastAsia="宋体" w:hint="default"/>
                <w:sz w:val="18"/>
                <w:szCs w:val="18"/>
              </w:rPr>
              <w:t>系</w:t>
            </w:r>
            <w:r>
              <w:rPr>
                <w:rFonts w:ascii="宋体" w:hAnsi="宋体" w:cs="宋体" w:eastAsia="宋体" w:hint="default"/>
                <w:spacing w:val="-60"/>
                <w:sz w:val="18"/>
                <w:szCs w:val="18"/>
              </w:rPr>
              <w:t> </w:t>
            </w:r>
            <w:r>
              <w:rPr>
                <w:rFonts w:ascii="宋体" w:hAnsi="宋体" w:cs="宋体" w:eastAsia="宋体" w:hint="default"/>
                <w:sz w:val="18"/>
                <w:szCs w:val="18"/>
              </w:rPr>
              <w:t>统</w:t>
            </w:r>
            <w:r>
              <w:rPr>
                <w:rFonts w:ascii="宋体" w:hAnsi="宋体" w:cs="宋体" w:eastAsia="宋体" w:hint="default"/>
                <w:spacing w:val="-60"/>
                <w:sz w:val="18"/>
                <w:szCs w:val="18"/>
              </w:rPr>
              <w:t> </w:t>
            </w:r>
            <w:r>
              <w:rPr>
                <w:rFonts w:ascii="宋体" w:hAnsi="宋体" w:cs="宋体" w:eastAsia="宋体" w:hint="default"/>
                <w:sz w:val="18"/>
                <w:szCs w:val="18"/>
              </w:rPr>
              <w:t>已</w:t>
            </w:r>
            <w:r>
              <w:rPr>
                <w:rFonts w:ascii="宋体" w:hAnsi="宋体" w:cs="宋体" w:eastAsia="宋体" w:hint="default"/>
                <w:spacing w:val="-60"/>
                <w:sz w:val="18"/>
                <w:szCs w:val="18"/>
              </w:rPr>
              <w:t> </w:t>
            </w:r>
            <w:r>
              <w:rPr>
                <w:rFonts w:ascii="宋体" w:hAnsi="宋体" w:cs="宋体" w:eastAsia="宋体" w:hint="default"/>
                <w:sz w:val="18"/>
                <w:szCs w:val="18"/>
              </w:rPr>
              <w:t>经</w:t>
            </w:r>
            <w:r>
              <w:rPr>
                <w:rFonts w:ascii="宋体" w:hAnsi="宋体" w:cs="宋体" w:eastAsia="宋体" w:hint="default"/>
                <w:spacing w:val="-60"/>
                <w:sz w:val="18"/>
                <w:szCs w:val="18"/>
              </w:rPr>
              <w:t> </w:t>
            </w:r>
            <w:r>
              <w:rPr>
                <w:rFonts w:ascii="宋体" w:hAnsi="宋体" w:cs="宋体" w:eastAsia="宋体" w:hint="default"/>
                <w:sz w:val="18"/>
                <w:szCs w:val="18"/>
              </w:rPr>
              <w:t>研</w:t>
            </w:r>
            <w:r>
              <w:rPr>
                <w:rFonts w:ascii="宋体" w:hAnsi="宋体" w:cs="宋体" w:eastAsia="宋体" w:hint="default"/>
                <w:spacing w:val="-60"/>
                <w:sz w:val="18"/>
                <w:szCs w:val="18"/>
              </w:rPr>
              <w:t> </w:t>
            </w:r>
            <w:r>
              <w:rPr>
                <w:rFonts w:ascii="宋体" w:hAnsi="宋体" w:cs="宋体" w:eastAsia="宋体" w:hint="default"/>
                <w:sz w:val="18"/>
                <w:szCs w:val="18"/>
              </w:rPr>
              <w:t>发</w:t>
            </w:r>
            <w:r>
              <w:rPr>
                <w:rFonts w:ascii="宋体" w:hAnsi="宋体" w:cs="宋体" w:eastAsia="宋体" w:hint="default"/>
                <w:spacing w:val="-55"/>
                <w:sz w:val="18"/>
                <w:szCs w:val="18"/>
              </w:rPr>
              <w:t> </w:t>
            </w:r>
            <w:r>
              <w:rPr>
                <w:rFonts w:ascii="宋体" w:hAnsi="宋体" w:cs="宋体" w:eastAsia="宋体" w:hint="default"/>
                <w:sz w:val="18"/>
                <w:szCs w:val="18"/>
              </w:rPr>
              <w:t>完</w:t>
            </w:r>
            <w:r>
              <w:rPr>
                <w:rFonts w:ascii="宋体" w:hAnsi="宋体" w:cs="宋体" w:eastAsia="宋体" w:hint="default"/>
                <w:w w:val="101"/>
                <w:sz w:val="18"/>
                <w:szCs w:val="18"/>
              </w:rPr>
              <w:t> </w:t>
            </w:r>
            <w:r>
              <w:rPr>
                <w:rFonts w:ascii="宋体" w:hAnsi="宋体" w:cs="宋体" w:eastAsia="宋体" w:hint="default"/>
                <w:spacing w:val="3"/>
                <w:sz w:val="18"/>
                <w:szCs w:val="18"/>
              </w:rPr>
              <w:t>成，并且在</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种子</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客</w:t>
            </w:r>
            <w:r>
              <w:rPr>
                <w:rFonts w:ascii="宋体" w:hAnsi="宋体" w:cs="宋体" w:eastAsia="宋体" w:hint="default"/>
                <w:spacing w:val="-60"/>
                <w:sz w:val="18"/>
                <w:szCs w:val="18"/>
              </w:rPr>
              <w:t> </w:t>
            </w:r>
            <w:r>
              <w:rPr>
                <w:rFonts w:ascii="宋体" w:hAnsi="宋体" w:cs="宋体" w:eastAsia="宋体" w:hint="default"/>
                <w:spacing w:val="-3"/>
                <w:sz w:val="18"/>
                <w:szCs w:val="18"/>
              </w:rPr>
              <w:t>户医院持续稳定运行</w:t>
            </w: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21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5"/>
              <w:jc w:val="both"/>
              <w:rPr>
                <w:rFonts w:ascii="宋体" w:hAnsi="宋体" w:cs="宋体" w:eastAsia="宋体" w:hint="default"/>
                <w:sz w:val="18"/>
                <w:szCs w:val="18"/>
              </w:rPr>
            </w:pPr>
            <w:r>
              <w:rPr>
                <w:rFonts w:ascii="宋体" w:hAnsi="宋体" w:cs="宋体" w:eastAsia="宋体" w:hint="default"/>
                <w:spacing w:val="9"/>
                <w:sz w:val="18"/>
                <w:szCs w:val="18"/>
              </w:rPr>
              <w:t>该产品是较以往的信息系</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6"/>
                <w:sz w:val="18"/>
                <w:szCs w:val="18"/>
              </w:rPr>
              <w:t>统有所不同的新产品，在理</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6"/>
                <w:sz w:val="18"/>
                <w:szCs w:val="18"/>
              </w:rPr>
              <w:t>念、技术、架构上可大程度</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6"/>
                <w:sz w:val="18"/>
                <w:szCs w:val="18"/>
              </w:rPr>
              <w:t>的贴合市场需求，为医院当</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9"/>
                <w:sz w:val="18"/>
                <w:szCs w:val="18"/>
              </w:rPr>
              <w:t>下及未来若干年不落伍提</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9"/>
                <w:sz w:val="18"/>
                <w:szCs w:val="18"/>
              </w:rPr>
              <w:t>供良好的信息化基础系统</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6"/>
                <w:sz w:val="18"/>
                <w:szCs w:val="18"/>
              </w:rPr>
              <w:t>支撑。作为医院诊疗业务的</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6"/>
                <w:sz w:val="18"/>
                <w:szCs w:val="18"/>
              </w:rPr>
              <w:t>核心操作系统，它将为公司</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未来 </w:t>
            </w:r>
            <w:r>
              <w:rPr>
                <w:rFonts w:ascii="Times New Roman" w:hAnsi="Times New Roman" w:cs="Times New Roman" w:eastAsia="Times New Roman" w:hint="default"/>
                <w:spacing w:val="-3"/>
                <w:sz w:val="18"/>
                <w:szCs w:val="18"/>
              </w:rPr>
              <w:t>5-10 </w:t>
            </w:r>
            <w:r>
              <w:rPr>
                <w:rFonts w:ascii="宋体" w:hAnsi="宋体" w:cs="宋体" w:eastAsia="宋体" w:hint="default"/>
                <w:sz w:val="18"/>
                <w:szCs w:val="18"/>
              </w:rPr>
              <w:t>年提供有力的产</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品竞争力</w:t>
            </w:r>
          </w:p>
        </w:tc>
      </w:tr>
    </w:tbl>
    <w:p>
      <w:pPr>
        <w:spacing w:after="0" w:line="316" w:lineRule="auto"/>
        <w:jc w:val="both"/>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183998pt;margin-top:72.019981pt;width:496.65pt;height:696.45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14"/>
                    <w:gridCol w:w="1181"/>
                    <w:gridCol w:w="4394"/>
                    <w:gridCol w:w="1681"/>
                    <w:gridCol w:w="2142"/>
                  </w:tblGrid>
                  <w:tr>
                    <w:trPr>
                      <w:trHeight w:val="1325" w:hRule="exact"/>
                    </w:trPr>
                    <w:tc>
                      <w:tcPr>
                        <w:tcW w:w="514" w:type="dxa"/>
                        <w:tcBorders>
                          <w:top w:val="single" w:sz="6" w:space="0" w:color="000000"/>
                          <w:left w:val="single" w:sz="6" w:space="0" w:color="000000"/>
                          <w:bottom w:val="single" w:sz="6" w:space="0" w:color="000000"/>
                          <w:right w:val="single" w:sz="6" w:space="0" w:color="000000"/>
                        </w:tcBorders>
                      </w:tcPr>
                      <w:p>
                        <w:pPr/>
                      </w:p>
                    </w:tc>
                    <w:tc>
                      <w:tcPr>
                        <w:tcW w:w="1181" w:type="dxa"/>
                        <w:tcBorders>
                          <w:top w:val="single" w:sz="6" w:space="0" w:color="000000"/>
                          <w:left w:val="single" w:sz="6" w:space="0" w:color="000000"/>
                          <w:bottom w:val="single" w:sz="6" w:space="0" w:color="000000"/>
                          <w:right w:val="single" w:sz="6" w:space="0" w:color="000000"/>
                        </w:tcBorders>
                      </w:tcPr>
                      <w:p>
                        <w:pPr/>
                      </w:p>
                    </w:tc>
                    <w:tc>
                      <w:tcPr>
                        <w:tcW w:w="439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4"/>
                          <w:jc w:val="both"/>
                          <w:rPr>
                            <w:rFonts w:ascii="宋体" w:hAnsi="宋体" w:cs="宋体" w:eastAsia="宋体" w:hint="default"/>
                            <w:sz w:val="18"/>
                            <w:szCs w:val="18"/>
                          </w:rPr>
                        </w:pPr>
                        <w:r>
                          <w:rPr>
                            <w:rFonts w:ascii="宋体" w:hAnsi="宋体" w:cs="宋体" w:eastAsia="宋体" w:hint="default"/>
                            <w:sz w:val="18"/>
                            <w:szCs w:val="18"/>
                          </w:rPr>
                          <w:t>量，改善患者就医体验，加强整体业务功能互联网化的</w:t>
                        </w:r>
                        <w:r>
                          <w:rPr>
                            <w:rFonts w:ascii="宋体" w:hAnsi="宋体" w:cs="宋体" w:eastAsia="宋体" w:hint="default"/>
                            <w:spacing w:val="-33"/>
                            <w:sz w:val="18"/>
                            <w:szCs w:val="18"/>
                          </w:rPr>
                          <w:t> </w:t>
                        </w:r>
                        <w:r>
                          <w:rPr>
                            <w:rFonts w:ascii="宋体" w:hAnsi="宋体" w:cs="宋体" w:eastAsia="宋体" w:hint="default"/>
                            <w:sz w:val="18"/>
                            <w:szCs w:val="18"/>
                          </w:rPr>
                          <w:t>功能研发，进一步加强业务流程网络化移动化、临床支</w:t>
                        </w:r>
                        <w:r>
                          <w:rPr>
                            <w:rFonts w:ascii="宋体" w:hAnsi="宋体" w:cs="宋体" w:eastAsia="宋体" w:hint="default"/>
                            <w:spacing w:val="-33"/>
                            <w:sz w:val="18"/>
                            <w:szCs w:val="18"/>
                          </w:rPr>
                          <w:t> </w:t>
                        </w:r>
                        <w:r>
                          <w:rPr>
                            <w:rFonts w:ascii="宋体" w:hAnsi="宋体" w:cs="宋体" w:eastAsia="宋体" w:hint="default"/>
                            <w:sz w:val="18"/>
                            <w:szCs w:val="18"/>
                          </w:rPr>
                          <w:t>持智能化知识化、医院疗养院管理精确化实时化、患者</w:t>
                        </w:r>
                        <w:r>
                          <w:rPr>
                            <w:rFonts w:ascii="宋体" w:hAnsi="宋体" w:cs="宋体" w:eastAsia="宋体" w:hint="default"/>
                            <w:spacing w:val="-33"/>
                            <w:sz w:val="18"/>
                            <w:szCs w:val="18"/>
                          </w:rPr>
                          <w:t> </w:t>
                        </w:r>
                        <w:r>
                          <w:rPr>
                            <w:rFonts w:ascii="宋体" w:hAnsi="宋体" w:cs="宋体" w:eastAsia="宋体" w:hint="default"/>
                            <w:spacing w:val="-3"/>
                            <w:sz w:val="18"/>
                            <w:szCs w:val="18"/>
                          </w:rPr>
                          <w:t>服务人性化便捷化。</w:t>
                        </w:r>
                      </w:p>
                    </w:tc>
                    <w:tc>
                      <w:tcPr>
                        <w:tcW w:w="1681" w:type="dxa"/>
                        <w:tcBorders>
                          <w:top w:val="single" w:sz="6" w:space="0" w:color="000000"/>
                          <w:left w:val="single" w:sz="6" w:space="0" w:color="000000"/>
                          <w:bottom w:val="single" w:sz="6" w:space="0" w:color="000000"/>
                          <w:right w:val="single" w:sz="6" w:space="0" w:color="000000"/>
                        </w:tcBorders>
                      </w:tcPr>
                      <w:p>
                        <w:pPr/>
                      </w:p>
                    </w:tc>
                    <w:tc>
                      <w:tcPr>
                        <w:tcW w:w="2142" w:type="dxa"/>
                        <w:tcBorders>
                          <w:top w:val="single" w:sz="6" w:space="0" w:color="000000"/>
                          <w:left w:val="single" w:sz="6" w:space="0" w:color="000000"/>
                          <w:bottom w:val="single" w:sz="6" w:space="0" w:color="000000"/>
                          <w:right w:val="single" w:sz="6" w:space="0" w:color="000000"/>
                        </w:tcBorders>
                      </w:tcPr>
                      <w:p>
                        <w:pPr/>
                      </w:p>
                    </w:tc>
                  </w:tr>
                  <w:tr>
                    <w:trPr>
                      <w:trHeight w:val="3860" w:hRule="exact"/>
                    </w:trPr>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SMART</w:t>
                        </w:r>
                        <w:r>
                          <w:rPr>
                            <w:rFonts w:ascii="Times New Roman"/>
                            <w:spacing w:val="5"/>
                            <w:sz w:val="18"/>
                          </w:rPr>
                          <w:t> </w:t>
                        </w:r>
                        <w:r>
                          <w:rPr>
                            <w:rFonts w:ascii="Times New Roman"/>
                            <w:spacing w:val="-4"/>
                            <w:sz w:val="18"/>
                          </w:rPr>
                          <w:t>HIS</w:t>
                        </w:r>
                      </w:p>
                    </w:tc>
                    <w:tc>
                      <w:tcPr>
                        <w:tcW w:w="4394"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63"/>
                          <w:ind w:left="4" w:right="-5"/>
                          <w:jc w:val="both"/>
                          <w:rPr>
                            <w:rFonts w:ascii="宋体" w:hAnsi="宋体" w:cs="宋体" w:eastAsia="宋体" w:hint="default"/>
                            <w:sz w:val="18"/>
                            <w:szCs w:val="18"/>
                          </w:rPr>
                        </w:pPr>
                        <w:r>
                          <w:rPr>
                            <w:rFonts w:ascii="Times New Roman" w:hAnsi="Times New Roman" w:cs="Times New Roman" w:eastAsia="Times New Roman" w:hint="default"/>
                            <w:sz w:val="18"/>
                            <w:szCs w:val="18"/>
                          </w:rPr>
                          <w:t>SMART HIS</w:t>
                        </w:r>
                        <w:r>
                          <w:rPr>
                            <w:rFonts w:ascii="宋体" w:hAnsi="宋体" w:cs="宋体" w:eastAsia="宋体" w:hint="default"/>
                            <w:sz w:val="18"/>
                            <w:szCs w:val="18"/>
                          </w:rPr>
                          <w:t>，是公司针对国内仍在使用原有老版</w:t>
                        </w:r>
                        <w:r>
                          <w:rPr>
                            <w:rFonts w:ascii="Times New Roman" w:hAnsi="Times New Roman" w:cs="Times New Roman" w:eastAsia="Times New Roman" w:hint="default"/>
                            <w:sz w:val="18"/>
                            <w:szCs w:val="18"/>
                          </w:rPr>
                          <w:t>HIS</w:t>
                        </w:r>
                        <w:r>
                          <w:rPr>
                            <w:rFonts w:ascii="宋体" w:hAnsi="宋体" w:cs="宋体" w:eastAsia="宋体" w:hint="default"/>
                            <w:sz w:val="18"/>
                            <w:szCs w:val="18"/>
                          </w:rPr>
                          <w:t>系</w:t>
                        </w:r>
                        <w:r>
                          <w:rPr>
                            <w:rFonts w:ascii="宋体" w:hAnsi="宋体" w:cs="宋体" w:eastAsia="宋体" w:hint="default"/>
                            <w:spacing w:val="-71"/>
                            <w:sz w:val="18"/>
                            <w:szCs w:val="18"/>
                          </w:rPr>
                          <w:t> </w:t>
                        </w:r>
                        <w:r>
                          <w:rPr>
                            <w:rFonts w:ascii="宋体" w:hAnsi="宋体" w:cs="宋体" w:eastAsia="宋体" w:hint="default"/>
                            <w:spacing w:val="-5"/>
                            <w:sz w:val="18"/>
                            <w:szCs w:val="18"/>
                          </w:rPr>
                          <w:t>统但又不愿意替换新</w:t>
                        </w:r>
                        <w:r>
                          <w:rPr>
                            <w:rFonts w:ascii="Times New Roman" w:hAnsi="Times New Roman" w:cs="Times New Roman" w:eastAsia="Times New Roman" w:hint="default"/>
                            <w:spacing w:val="-5"/>
                            <w:sz w:val="18"/>
                            <w:szCs w:val="18"/>
                          </w:rPr>
                          <w:t>HIS</w:t>
                        </w:r>
                        <w:r>
                          <w:rPr>
                            <w:rFonts w:ascii="宋体" w:hAnsi="宋体" w:cs="宋体" w:eastAsia="宋体" w:hint="default"/>
                            <w:spacing w:val="-5"/>
                            <w:sz w:val="18"/>
                            <w:szCs w:val="18"/>
                          </w:rPr>
                          <w:t>，满足其对信息系统的基本功能</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z w:val="18"/>
                            <w:szCs w:val="18"/>
                          </w:rPr>
                          <w:t>需求同时信息化预算投入较为谨慎的客户医院推出的一</w:t>
                        </w:r>
                        <w:r>
                          <w:rPr>
                            <w:rFonts w:ascii="宋体" w:hAnsi="宋体" w:cs="宋体" w:eastAsia="宋体" w:hint="default"/>
                            <w:spacing w:val="-33"/>
                            <w:sz w:val="18"/>
                            <w:szCs w:val="18"/>
                          </w:rPr>
                          <w:t> </w:t>
                        </w:r>
                        <w:r>
                          <w:rPr>
                            <w:rFonts w:ascii="宋体" w:hAnsi="宋体" w:cs="宋体" w:eastAsia="宋体" w:hint="default"/>
                            <w:sz w:val="18"/>
                            <w:szCs w:val="18"/>
                          </w:rPr>
                          <w:t>套以和仁</w:t>
                        </w:r>
                        <w:r>
                          <w:rPr>
                            <w:rFonts w:ascii="Times New Roman" w:hAnsi="Times New Roman" w:cs="Times New Roman" w:eastAsia="Times New Roman" w:hint="default"/>
                            <w:sz w:val="18"/>
                            <w:szCs w:val="18"/>
                          </w:rPr>
                          <w:t>PRIDE</w:t>
                        </w:r>
                        <w:r>
                          <w:rPr>
                            <w:rFonts w:ascii="宋体" w:hAnsi="宋体" w:cs="宋体" w:eastAsia="宋体" w:hint="default"/>
                            <w:sz w:val="18"/>
                            <w:szCs w:val="18"/>
                          </w:rPr>
                          <w:t>一体化医护工作站及电子病历系统为基</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z w:val="18"/>
                            <w:szCs w:val="18"/>
                          </w:rPr>
                          <w:t>础，在原有老系统的数据模型、数据库结构基本保持不</w:t>
                        </w:r>
                        <w:r>
                          <w:rPr>
                            <w:rFonts w:ascii="宋体" w:hAnsi="宋体" w:cs="宋体" w:eastAsia="宋体" w:hint="default"/>
                            <w:spacing w:val="-33"/>
                            <w:sz w:val="18"/>
                            <w:szCs w:val="18"/>
                          </w:rPr>
                          <w:t> </w:t>
                        </w:r>
                        <w:r>
                          <w:rPr>
                            <w:rFonts w:ascii="宋体" w:hAnsi="宋体" w:cs="宋体" w:eastAsia="宋体" w:hint="default"/>
                            <w:sz w:val="18"/>
                            <w:szCs w:val="18"/>
                          </w:rPr>
                          <w:t>变的前提下，完成对一体化</w:t>
                        </w:r>
                        <w:r>
                          <w:rPr>
                            <w:rFonts w:ascii="Times New Roman" w:hAnsi="Times New Roman" w:cs="Times New Roman" w:eastAsia="Times New Roman" w:hint="default"/>
                            <w:sz w:val="18"/>
                            <w:szCs w:val="18"/>
                          </w:rPr>
                          <w:t>HIS/EMR</w:t>
                        </w:r>
                        <w:r>
                          <w:rPr>
                            <w:rFonts w:ascii="宋体" w:hAnsi="宋体" w:cs="宋体" w:eastAsia="宋体" w:hint="default"/>
                            <w:sz w:val="18"/>
                            <w:szCs w:val="18"/>
                          </w:rPr>
                          <w:t>系统的优化重构，</w:t>
                        </w:r>
                        <w:r>
                          <w:rPr>
                            <w:rFonts w:ascii="宋体" w:hAnsi="宋体" w:cs="宋体" w:eastAsia="宋体" w:hint="default"/>
                            <w:spacing w:val="-46"/>
                            <w:sz w:val="18"/>
                            <w:szCs w:val="18"/>
                          </w:rPr>
                          <w:t> </w:t>
                        </w:r>
                        <w:r>
                          <w:rPr>
                            <w:rFonts w:ascii="宋体" w:hAnsi="宋体" w:cs="宋体" w:eastAsia="宋体" w:hint="default"/>
                            <w:sz w:val="18"/>
                            <w:szCs w:val="18"/>
                          </w:rPr>
                          <w:t>并整合公司现有的产品，包括医护文书、移动医疗、临</w:t>
                        </w:r>
                        <w:r>
                          <w:rPr>
                            <w:rFonts w:ascii="宋体" w:hAnsi="宋体" w:cs="宋体" w:eastAsia="宋体" w:hint="default"/>
                            <w:spacing w:val="-33"/>
                            <w:sz w:val="18"/>
                            <w:szCs w:val="18"/>
                          </w:rPr>
                          <w:t> </w:t>
                        </w:r>
                        <w:r>
                          <w:rPr>
                            <w:rFonts w:ascii="宋体" w:hAnsi="宋体" w:cs="宋体" w:eastAsia="宋体" w:hint="default"/>
                            <w:sz w:val="18"/>
                            <w:szCs w:val="18"/>
                          </w:rPr>
                          <w:t>床路径等，以集成平台实现与其他第三方医辅医技系统</w:t>
                        </w:r>
                      </w:p>
                      <w:p>
                        <w:pPr>
                          <w:pStyle w:val="TableParagraph"/>
                          <w:spacing w:line="307" w:lineRule="auto" w:before="26"/>
                          <w:ind w:left="4" w:right="-5"/>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PACS</w:t>
                        </w:r>
                        <w:r>
                          <w:rPr>
                            <w:rFonts w:ascii="宋体" w:hAnsi="宋体" w:cs="宋体" w:eastAsia="宋体" w:hint="default"/>
                            <w:sz w:val="18"/>
                            <w:szCs w:val="18"/>
                          </w:rPr>
                          <w:t>、</w:t>
                        </w:r>
                        <w:r>
                          <w:rPr>
                            <w:rFonts w:ascii="Times New Roman" w:hAnsi="Times New Roman" w:cs="Times New Roman" w:eastAsia="Times New Roman" w:hint="default"/>
                            <w:sz w:val="18"/>
                            <w:szCs w:val="18"/>
                          </w:rPr>
                          <w:t>LIS</w:t>
                        </w:r>
                        <w:r>
                          <w:rPr>
                            <w:rFonts w:ascii="宋体" w:hAnsi="宋体" w:cs="宋体" w:eastAsia="宋体" w:hint="default"/>
                            <w:sz w:val="18"/>
                            <w:szCs w:val="18"/>
                          </w:rPr>
                          <w:t>等）的规范化集成，形成的一套轻量级的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一体化医院信息系统整体交付解决方案。该系统优点是</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5"/>
                            <w:sz w:val="18"/>
                            <w:szCs w:val="18"/>
                          </w:rPr>
                          <w:t>可向下兼容老版</w:t>
                        </w:r>
                        <w:r>
                          <w:rPr>
                            <w:rFonts w:ascii="Times New Roman" w:hAnsi="Times New Roman" w:cs="Times New Roman" w:eastAsia="Times New Roman" w:hint="default"/>
                            <w:spacing w:val="-5"/>
                            <w:sz w:val="18"/>
                            <w:szCs w:val="18"/>
                          </w:rPr>
                          <w:t>HIS</w:t>
                        </w:r>
                        <w:r>
                          <w:rPr>
                            <w:rFonts w:ascii="宋体" w:hAnsi="宋体" w:cs="宋体" w:eastAsia="宋体" w:hint="default"/>
                            <w:spacing w:val="-5"/>
                            <w:sz w:val="18"/>
                            <w:szCs w:val="18"/>
                          </w:rPr>
                          <w:t>系统，在无缝平滑升级的情况下优化</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实现电子病历大量增强功能。</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9" w:right="-8"/>
                          <w:jc w:val="both"/>
                          <w:rPr>
                            <w:rFonts w:ascii="宋体" w:hAnsi="宋体" w:cs="宋体" w:eastAsia="宋体" w:hint="default"/>
                            <w:sz w:val="18"/>
                            <w:szCs w:val="18"/>
                          </w:rPr>
                        </w:pPr>
                        <w:r>
                          <w:rPr>
                            <w:rFonts w:ascii="宋体" w:hAnsi="宋体" w:cs="宋体" w:eastAsia="宋体" w:hint="default"/>
                            <w:sz w:val="18"/>
                            <w:szCs w:val="18"/>
                          </w:rPr>
                          <w:t>已完成所有功能模块</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研发，并在江西省妇</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幼保健院新院成功上</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线。</w:t>
                        </w:r>
                      </w:p>
                    </w:tc>
                    <w:tc>
                      <w:tcPr>
                        <w:tcW w:w="2142" w:type="dxa"/>
                        <w:tcBorders>
                          <w:top w:val="single" w:sz="6" w:space="0" w:color="000000"/>
                          <w:left w:val="single" w:sz="6" w:space="0" w:color="000000"/>
                          <w:bottom w:val="single" w:sz="6" w:space="0" w:color="000000"/>
                          <w:right w:val="single" w:sz="6" w:space="0" w:color="000000"/>
                        </w:tcBorders>
                      </w:tcPr>
                      <w:p>
                        <w:pPr>
                          <w:pStyle w:val="TableParagraph"/>
                          <w:spacing w:line="338" w:lineRule="auto" w:before="63"/>
                          <w:ind w:left="4" w:right="-43"/>
                          <w:jc w:val="left"/>
                          <w:rPr>
                            <w:rFonts w:ascii="宋体" w:hAnsi="宋体" w:cs="宋体" w:eastAsia="宋体" w:hint="default"/>
                            <w:sz w:val="18"/>
                            <w:szCs w:val="18"/>
                          </w:rPr>
                        </w:pPr>
                        <w:r>
                          <w:rPr>
                            <w:rFonts w:ascii="宋体" w:hAnsi="宋体" w:cs="宋体" w:eastAsia="宋体" w:hint="default"/>
                            <w:spacing w:val="-3"/>
                            <w:sz w:val="18"/>
                            <w:szCs w:val="18"/>
                          </w:rPr>
                          <w:t>针对部分特定的细分市场，</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即国内仍在使用原有老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版</w:t>
                        </w:r>
                        <w:r>
                          <w:rPr>
                            <w:rFonts w:ascii="Times New Roman" w:hAnsi="Times New Roman" w:cs="Times New Roman" w:eastAsia="Times New Roman" w:hint="default"/>
                            <w:sz w:val="18"/>
                            <w:szCs w:val="18"/>
                          </w:rPr>
                          <w:t>HIS</w:t>
                        </w:r>
                        <w:r>
                          <w:rPr>
                            <w:rFonts w:ascii="宋体" w:hAnsi="宋体" w:cs="宋体" w:eastAsia="宋体" w:hint="default"/>
                            <w:sz w:val="18"/>
                            <w:szCs w:val="18"/>
                          </w:rPr>
                          <w:t>系统但又不愿意替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换新</w:t>
                        </w:r>
                        <w:r>
                          <w:rPr>
                            <w:rFonts w:ascii="Times New Roman" w:hAnsi="Times New Roman" w:cs="Times New Roman" w:eastAsia="Times New Roman" w:hint="default"/>
                            <w:sz w:val="18"/>
                            <w:szCs w:val="18"/>
                          </w:rPr>
                          <w:t>HIS</w:t>
                        </w:r>
                        <w:r>
                          <w:rPr>
                            <w:rFonts w:ascii="宋体" w:hAnsi="宋体" w:cs="宋体" w:eastAsia="宋体" w:hint="default"/>
                            <w:sz w:val="18"/>
                            <w:szCs w:val="18"/>
                          </w:rPr>
                          <w:t>，满足其对信息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系统的基本功能需求，同</w:t>
                        </w:r>
                      </w:p>
                      <w:p>
                        <w:pPr>
                          <w:pStyle w:val="TableParagraph"/>
                          <w:spacing w:line="360" w:lineRule="auto" w:before="41"/>
                          <w:ind w:left="4" w:right="137"/>
                          <w:jc w:val="left"/>
                          <w:rPr>
                            <w:rFonts w:ascii="宋体" w:hAnsi="宋体" w:cs="宋体" w:eastAsia="宋体" w:hint="default"/>
                            <w:sz w:val="18"/>
                            <w:szCs w:val="18"/>
                          </w:rPr>
                        </w:pPr>
                        <w:r>
                          <w:rPr>
                            <w:rFonts w:ascii="宋体" w:hAnsi="宋体" w:cs="宋体" w:eastAsia="宋体" w:hint="default"/>
                            <w:sz w:val="18"/>
                            <w:szCs w:val="18"/>
                          </w:rPr>
                          <w:t>时信息化预算投入较为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谨慎的客户医院，公司的</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该产品可提供高性价比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的解决方案，填补当下的</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市场空白。</w:t>
                        </w:r>
                      </w:p>
                    </w:tc>
                  </w:tr>
                  <w:tr>
                    <w:trPr>
                      <w:trHeight w:val="3860" w:hRule="exact"/>
                    </w:trPr>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7" w:right="32"/>
                          <w:jc w:val="both"/>
                          <w:rPr>
                            <w:rFonts w:ascii="宋体" w:hAnsi="宋体" w:cs="宋体" w:eastAsia="宋体" w:hint="default"/>
                            <w:sz w:val="18"/>
                            <w:szCs w:val="18"/>
                          </w:rPr>
                        </w:pPr>
                        <w:r>
                          <w:rPr>
                            <w:rFonts w:ascii="宋体" w:hAnsi="宋体" w:cs="宋体" w:eastAsia="宋体" w:hint="default"/>
                            <w:sz w:val="18"/>
                            <w:szCs w:val="18"/>
                          </w:rPr>
                          <w:t>基于人工智能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的高端诊疗辅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助支持系统</w:t>
                        </w:r>
                      </w:p>
                    </w:tc>
                    <w:tc>
                      <w:tcPr>
                        <w:tcW w:w="43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5"/>
                          <w:jc w:val="both"/>
                          <w:rPr>
                            <w:rFonts w:ascii="宋体" w:hAnsi="宋体" w:cs="宋体" w:eastAsia="宋体" w:hint="default"/>
                            <w:sz w:val="18"/>
                            <w:szCs w:val="18"/>
                          </w:rPr>
                        </w:pPr>
                        <w:r>
                          <w:rPr>
                            <w:rFonts w:ascii="宋体" w:hAnsi="宋体" w:cs="宋体" w:eastAsia="宋体" w:hint="default"/>
                            <w:sz w:val="18"/>
                            <w:szCs w:val="18"/>
                          </w:rPr>
                          <w:t>以公司新一代核心医院信息系统为基础，涵盖多种新型</w:t>
                        </w:r>
                        <w:r>
                          <w:rPr>
                            <w:rFonts w:ascii="宋体" w:hAnsi="宋体" w:cs="宋体" w:eastAsia="宋体" w:hint="default"/>
                            <w:spacing w:val="-33"/>
                            <w:sz w:val="18"/>
                            <w:szCs w:val="18"/>
                          </w:rPr>
                          <w:t> </w:t>
                        </w:r>
                        <w:r>
                          <w:rPr>
                            <w:rFonts w:ascii="宋体" w:hAnsi="宋体" w:cs="宋体" w:eastAsia="宋体" w:hint="default"/>
                            <w:sz w:val="18"/>
                            <w:szCs w:val="18"/>
                          </w:rPr>
                          <w:t>算法、操作模型，具有人工智能特性的临床决策支持技</w:t>
                        </w:r>
                        <w:r>
                          <w:rPr>
                            <w:rFonts w:ascii="宋体" w:hAnsi="宋体" w:cs="宋体" w:eastAsia="宋体" w:hint="default"/>
                            <w:spacing w:val="-33"/>
                            <w:sz w:val="18"/>
                            <w:szCs w:val="18"/>
                          </w:rPr>
                          <w:t> </w:t>
                        </w:r>
                        <w:r>
                          <w:rPr>
                            <w:rFonts w:ascii="宋体" w:hAnsi="宋体" w:cs="宋体" w:eastAsia="宋体" w:hint="default"/>
                            <w:sz w:val="18"/>
                            <w:szCs w:val="18"/>
                          </w:rPr>
                          <w:t>术，建立面向临床决策支持的医学人工智能技术体系和</w:t>
                        </w:r>
                        <w:r>
                          <w:rPr>
                            <w:rFonts w:ascii="宋体" w:hAnsi="宋体" w:cs="宋体" w:eastAsia="宋体" w:hint="default"/>
                            <w:spacing w:val="-33"/>
                            <w:sz w:val="18"/>
                            <w:szCs w:val="18"/>
                          </w:rPr>
                          <w:t> </w:t>
                        </w:r>
                        <w:r>
                          <w:rPr>
                            <w:rFonts w:ascii="宋体" w:hAnsi="宋体" w:cs="宋体" w:eastAsia="宋体" w:hint="default"/>
                            <w:sz w:val="18"/>
                            <w:szCs w:val="18"/>
                          </w:rPr>
                          <w:t>开放平台，具备医疗信息融合、知识图谱构建、深度学</w:t>
                        </w:r>
                        <w:r>
                          <w:rPr>
                            <w:rFonts w:ascii="宋体" w:hAnsi="宋体" w:cs="宋体" w:eastAsia="宋体" w:hint="default"/>
                            <w:spacing w:val="-33"/>
                            <w:sz w:val="18"/>
                            <w:szCs w:val="18"/>
                          </w:rPr>
                          <w:t> </w:t>
                        </w:r>
                        <w:r>
                          <w:rPr>
                            <w:rFonts w:ascii="宋体" w:hAnsi="宋体" w:cs="宋体" w:eastAsia="宋体" w:hint="default"/>
                            <w:sz w:val="18"/>
                            <w:szCs w:val="18"/>
                          </w:rPr>
                          <w:t>习模型集成和智能人机交互能力，实现从数据、知识到</w:t>
                        </w:r>
                        <w:r>
                          <w:rPr>
                            <w:rFonts w:ascii="宋体" w:hAnsi="宋体" w:cs="宋体" w:eastAsia="宋体" w:hint="default"/>
                            <w:spacing w:val="-33"/>
                            <w:sz w:val="18"/>
                            <w:szCs w:val="18"/>
                          </w:rPr>
                          <w:t> </w:t>
                        </w:r>
                        <w:r>
                          <w:rPr>
                            <w:rFonts w:ascii="宋体" w:hAnsi="宋体" w:cs="宋体" w:eastAsia="宋体" w:hint="default"/>
                            <w:sz w:val="18"/>
                            <w:szCs w:val="18"/>
                          </w:rPr>
                          <w:t>决策的高效转化。研发集成多源知识、面向多科室诊疗</w:t>
                        </w:r>
                        <w:r>
                          <w:rPr>
                            <w:rFonts w:ascii="宋体" w:hAnsi="宋体" w:cs="宋体" w:eastAsia="宋体" w:hint="default"/>
                            <w:spacing w:val="-33"/>
                            <w:sz w:val="18"/>
                            <w:szCs w:val="18"/>
                          </w:rPr>
                          <w:t> </w:t>
                        </w:r>
                        <w:r>
                          <w:rPr>
                            <w:rFonts w:ascii="宋体" w:hAnsi="宋体" w:cs="宋体" w:eastAsia="宋体" w:hint="default"/>
                            <w:sz w:val="18"/>
                            <w:szCs w:val="18"/>
                          </w:rPr>
                          <w:t>及重大疾病防治的临床决策支持系统，实现为精准决策</w:t>
                        </w:r>
                        <w:r>
                          <w:rPr>
                            <w:rFonts w:ascii="宋体" w:hAnsi="宋体" w:cs="宋体" w:eastAsia="宋体" w:hint="default"/>
                            <w:spacing w:val="-33"/>
                            <w:sz w:val="18"/>
                            <w:szCs w:val="18"/>
                          </w:rPr>
                          <w:t> </w:t>
                        </w:r>
                        <w:r>
                          <w:rPr>
                            <w:rFonts w:ascii="宋体" w:hAnsi="宋体" w:cs="宋体" w:eastAsia="宋体" w:hint="default"/>
                            <w:sz w:val="18"/>
                            <w:szCs w:val="18"/>
                          </w:rPr>
                          <w:t>提供全方位支撑，建立覆盖筛查、问诊、分诊、诊断、</w:t>
                        </w:r>
                        <w:r>
                          <w:rPr>
                            <w:rFonts w:ascii="宋体" w:hAnsi="宋体" w:cs="宋体" w:eastAsia="宋体" w:hint="default"/>
                            <w:spacing w:val="-33"/>
                            <w:sz w:val="18"/>
                            <w:szCs w:val="18"/>
                          </w:rPr>
                          <w:t> </w:t>
                        </w:r>
                        <w:r>
                          <w:rPr>
                            <w:rFonts w:ascii="宋体" w:hAnsi="宋体" w:cs="宋体" w:eastAsia="宋体" w:hint="default"/>
                            <w:sz w:val="18"/>
                            <w:szCs w:val="18"/>
                          </w:rPr>
                          <w:t>治疗和康复等全就医闭环流程的新型人工智能医疗服务</w:t>
                        </w:r>
                        <w:r>
                          <w:rPr>
                            <w:rFonts w:ascii="宋体" w:hAnsi="宋体" w:cs="宋体" w:eastAsia="宋体" w:hint="default"/>
                            <w:spacing w:val="-33"/>
                            <w:sz w:val="18"/>
                            <w:szCs w:val="18"/>
                          </w:rPr>
                          <w:t> </w:t>
                        </w:r>
                        <w:r>
                          <w:rPr>
                            <w:rFonts w:ascii="宋体" w:hAnsi="宋体" w:cs="宋体" w:eastAsia="宋体" w:hint="default"/>
                            <w:sz w:val="18"/>
                            <w:szCs w:val="18"/>
                          </w:rPr>
                          <w:t>模式，打造具有人工智能诊疗辅助支持的核心医院信息</w:t>
                        </w:r>
                        <w:r>
                          <w:rPr>
                            <w:rFonts w:ascii="宋体" w:hAnsi="宋体" w:cs="宋体" w:eastAsia="宋体" w:hint="default"/>
                            <w:spacing w:val="-33"/>
                            <w:sz w:val="18"/>
                            <w:szCs w:val="18"/>
                          </w:rPr>
                          <w:t> </w:t>
                        </w:r>
                        <w:r>
                          <w:rPr>
                            <w:rFonts w:ascii="宋体" w:hAnsi="宋体" w:cs="宋体" w:eastAsia="宋体" w:hint="default"/>
                            <w:sz w:val="18"/>
                            <w:szCs w:val="18"/>
                          </w:rPr>
                          <w:t>系统这样一个标志性产品，以此完成对新一代核心医院</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系统的全面更新与升级。</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9" w:right="-8"/>
                          <w:jc w:val="both"/>
                          <w:rPr>
                            <w:rFonts w:ascii="宋体" w:hAnsi="宋体" w:cs="宋体" w:eastAsia="宋体" w:hint="default"/>
                            <w:sz w:val="18"/>
                            <w:szCs w:val="18"/>
                          </w:rPr>
                        </w:pPr>
                        <w:r>
                          <w:rPr>
                            <w:rFonts w:ascii="宋体" w:hAnsi="宋体" w:cs="宋体" w:eastAsia="宋体" w:hint="default"/>
                            <w:sz w:val="18"/>
                            <w:szCs w:val="18"/>
                          </w:rPr>
                          <w:t>目前完成自然语言处</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理的关键技术研究，</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基础框架预研，后续</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将</w:t>
                        </w:r>
                        <w:r>
                          <w:rPr>
                            <w:rFonts w:ascii="宋体" w:hAnsi="宋体" w:cs="宋体" w:eastAsia="宋体" w:hint="default"/>
                            <w:spacing w:val="-60"/>
                            <w:sz w:val="18"/>
                            <w:szCs w:val="18"/>
                          </w:rPr>
                          <w:t> </w:t>
                        </w:r>
                        <w:r>
                          <w:rPr>
                            <w:rFonts w:ascii="宋体" w:hAnsi="宋体" w:cs="宋体" w:eastAsia="宋体" w:hint="default"/>
                            <w:sz w:val="18"/>
                            <w:szCs w:val="18"/>
                          </w:rPr>
                          <w:t>选</w:t>
                        </w:r>
                        <w:r>
                          <w:rPr>
                            <w:rFonts w:ascii="宋体" w:hAnsi="宋体" w:cs="宋体" w:eastAsia="宋体" w:hint="default"/>
                            <w:spacing w:val="-60"/>
                            <w:sz w:val="18"/>
                            <w:szCs w:val="18"/>
                          </w:rPr>
                          <w:t> </w:t>
                        </w:r>
                        <w:r>
                          <w:rPr>
                            <w:rFonts w:ascii="宋体" w:hAnsi="宋体" w:cs="宋体" w:eastAsia="宋体" w:hint="default"/>
                            <w:sz w:val="18"/>
                            <w:szCs w:val="18"/>
                          </w:rPr>
                          <w:t>择</w:t>
                        </w:r>
                        <w:r>
                          <w:rPr>
                            <w:rFonts w:ascii="宋体" w:hAnsi="宋体" w:cs="宋体" w:eastAsia="宋体" w:hint="default"/>
                            <w:spacing w:val="-60"/>
                            <w:sz w:val="18"/>
                            <w:szCs w:val="18"/>
                          </w:rPr>
                          <w:t> </w:t>
                        </w:r>
                        <w:r>
                          <w:rPr>
                            <w:rFonts w:ascii="宋体" w:hAnsi="宋体" w:cs="宋体" w:eastAsia="宋体" w:hint="default"/>
                            <w:sz w:val="18"/>
                            <w:szCs w:val="18"/>
                          </w:rPr>
                          <w:t>合</w:t>
                        </w:r>
                        <w:r>
                          <w:rPr>
                            <w:rFonts w:ascii="宋体" w:hAnsi="宋体" w:cs="宋体" w:eastAsia="宋体" w:hint="default"/>
                            <w:spacing w:val="-60"/>
                            <w:sz w:val="18"/>
                            <w:szCs w:val="18"/>
                          </w:rPr>
                          <w:t> </w:t>
                        </w:r>
                        <w:r>
                          <w:rPr>
                            <w:rFonts w:ascii="宋体" w:hAnsi="宋体" w:cs="宋体" w:eastAsia="宋体" w:hint="default"/>
                            <w:sz w:val="18"/>
                            <w:szCs w:val="18"/>
                          </w:rPr>
                          <w:t>适</w:t>
                        </w:r>
                        <w:r>
                          <w:rPr>
                            <w:rFonts w:ascii="宋体" w:hAnsi="宋体" w:cs="宋体" w:eastAsia="宋体" w:hint="default"/>
                            <w:spacing w:val="-60"/>
                            <w:sz w:val="18"/>
                            <w:szCs w:val="18"/>
                          </w:rPr>
                          <w:t> </w:t>
                        </w:r>
                        <w:r>
                          <w:rPr>
                            <w:rFonts w:ascii="宋体" w:hAnsi="宋体" w:cs="宋体" w:eastAsia="宋体" w:hint="default"/>
                            <w:sz w:val="18"/>
                            <w:szCs w:val="18"/>
                          </w:rPr>
                          <w:t>的</w:t>
                        </w:r>
                        <w:r>
                          <w:rPr>
                            <w:rFonts w:ascii="宋体" w:hAnsi="宋体" w:cs="宋体" w:eastAsia="宋体" w:hint="default"/>
                            <w:spacing w:val="-60"/>
                            <w:sz w:val="18"/>
                            <w:szCs w:val="18"/>
                          </w:rPr>
                          <w:t> </w:t>
                        </w:r>
                        <w:r>
                          <w:rPr>
                            <w:rFonts w:ascii="宋体" w:hAnsi="宋体" w:cs="宋体" w:eastAsia="宋体" w:hint="default"/>
                            <w:sz w:val="18"/>
                            <w:szCs w:val="18"/>
                          </w:rPr>
                          <w:t>知</w:t>
                        </w:r>
                        <w:r>
                          <w:rPr>
                            <w:rFonts w:ascii="宋体" w:hAnsi="宋体" w:cs="宋体" w:eastAsia="宋体" w:hint="default"/>
                            <w:spacing w:val="-55"/>
                            <w:sz w:val="18"/>
                            <w:szCs w:val="18"/>
                          </w:rPr>
                          <w:t> </w:t>
                        </w:r>
                        <w:r>
                          <w:rPr>
                            <w:rFonts w:ascii="宋体" w:hAnsi="宋体" w:cs="宋体" w:eastAsia="宋体" w:hint="default"/>
                            <w:sz w:val="18"/>
                            <w:szCs w:val="18"/>
                          </w:rPr>
                          <w:t>识</w:t>
                        </w:r>
                        <w:r>
                          <w:rPr>
                            <w:rFonts w:ascii="宋体" w:hAnsi="宋体" w:cs="宋体" w:eastAsia="宋体" w:hint="default"/>
                            <w:w w:val="101"/>
                            <w:sz w:val="18"/>
                            <w:szCs w:val="18"/>
                          </w:rPr>
                          <w:t> </w:t>
                        </w:r>
                        <w:r>
                          <w:rPr>
                            <w:rFonts w:ascii="宋体" w:hAnsi="宋体" w:cs="宋体" w:eastAsia="宋体" w:hint="default"/>
                            <w:sz w:val="18"/>
                            <w:szCs w:val="18"/>
                          </w:rPr>
                          <w:t>库，结合临床实际展</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开研发</w:t>
                        </w:r>
                      </w:p>
                    </w:tc>
                    <w:tc>
                      <w:tcPr>
                        <w:tcW w:w="21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5"/>
                          <w:jc w:val="both"/>
                          <w:rPr>
                            <w:rFonts w:ascii="宋体" w:hAnsi="宋体" w:cs="宋体" w:eastAsia="宋体" w:hint="default"/>
                            <w:sz w:val="18"/>
                            <w:szCs w:val="18"/>
                          </w:rPr>
                        </w:pPr>
                        <w:r>
                          <w:rPr>
                            <w:rFonts w:ascii="宋体" w:hAnsi="宋体" w:cs="宋体" w:eastAsia="宋体" w:hint="default"/>
                            <w:spacing w:val="9"/>
                            <w:sz w:val="18"/>
                            <w:szCs w:val="18"/>
                          </w:rPr>
                          <w:t>随着医院信息化越来越多</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6"/>
                            <w:sz w:val="18"/>
                            <w:szCs w:val="18"/>
                          </w:rPr>
                          <w:t>往高水平发展，临床辅助决</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6"/>
                            <w:sz w:val="18"/>
                            <w:szCs w:val="18"/>
                          </w:rPr>
                          <w:t>策支持的市场需求，特别是</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9"/>
                            <w:sz w:val="18"/>
                            <w:szCs w:val="18"/>
                          </w:rPr>
                          <w:t>可以和医院基础业务系统</w:t>
                        </w:r>
                      </w:p>
                      <w:p>
                        <w:pPr>
                          <w:pStyle w:val="TableParagraph"/>
                          <w:spacing w:line="316" w:lineRule="auto" w:before="19"/>
                          <w:ind w:left="4" w:right="-5"/>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HIS</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EMR</w:t>
                        </w:r>
                        <w:r>
                          <w:rPr>
                            <w:rFonts w:ascii="宋体" w:hAnsi="宋体" w:cs="宋体" w:eastAsia="宋体" w:hint="default"/>
                            <w:spacing w:val="-2"/>
                            <w:sz w:val="18"/>
                            <w:szCs w:val="18"/>
                          </w:rPr>
                          <w:t>）高度集成的</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6"/>
                            <w:sz w:val="18"/>
                            <w:szCs w:val="18"/>
                          </w:rPr>
                          <w:t>需求，是当前及未来医院信</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6"/>
                            <w:sz w:val="18"/>
                            <w:szCs w:val="18"/>
                          </w:rPr>
                          <w:t>息化建设的热点和方向，该</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9"/>
                            <w:sz w:val="18"/>
                            <w:szCs w:val="18"/>
                          </w:rPr>
                          <w:t>研发项目可提升公司在大</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6"/>
                            <w:sz w:val="18"/>
                            <w:szCs w:val="18"/>
                          </w:rPr>
                          <w:t>数据、人工智能等应用领域</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6"/>
                            <w:sz w:val="18"/>
                            <w:szCs w:val="18"/>
                          </w:rPr>
                          <w:t>的竞争力，顺应市场热点和</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需要。</w:t>
                        </w:r>
                      </w:p>
                    </w:tc>
                  </w:tr>
                  <w:tr>
                    <w:trPr>
                      <w:trHeight w:val="2919" w:hRule="exact"/>
                    </w:trPr>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3"/>
                          <w:ind w:left="47" w:right="32"/>
                          <w:jc w:val="center"/>
                          <w:rPr>
                            <w:rFonts w:ascii="宋体" w:hAnsi="宋体" w:cs="宋体" w:eastAsia="宋体" w:hint="default"/>
                            <w:sz w:val="18"/>
                            <w:szCs w:val="18"/>
                          </w:rPr>
                        </w:pPr>
                        <w:r>
                          <w:rPr>
                            <w:rFonts w:ascii="宋体" w:hAnsi="宋体" w:cs="宋体" w:eastAsia="宋体" w:hint="default"/>
                            <w:spacing w:val="-2"/>
                            <w:sz w:val="18"/>
                            <w:szCs w:val="18"/>
                          </w:rPr>
                          <w:t>基于大数据的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医院综合运营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智能管理平台</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的研发与应用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示范</w:t>
                        </w:r>
                      </w:p>
                    </w:tc>
                    <w:tc>
                      <w:tcPr>
                        <w:tcW w:w="439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3"/>
                          <w:ind w:left="4" w:right="-24"/>
                          <w:jc w:val="both"/>
                          <w:rPr>
                            <w:rFonts w:ascii="宋体" w:hAnsi="宋体" w:cs="宋体" w:eastAsia="宋体" w:hint="default"/>
                            <w:sz w:val="18"/>
                            <w:szCs w:val="18"/>
                          </w:rPr>
                        </w:pPr>
                        <w:r>
                          <w:rPr>
                            <w:rFonts w:ascii="宋体" w:hAnsi="宋体" w:cs="宋体" w:eastAsia="宋体" w:hint="default"/>
                            <w:sz w:val="18"/>
                            <w:szCs w:val="18"/>
                          </w:rPr>
                          <w:t>为理顺医院各信息系统建设和使用，为医院管理、决策</w:t>
                        </w:r>
                        <w:r>
                          <w:rPr>
                            <w:rFonts w:ascii="宋体" w:hAnsi="宋体" w:cs="宋体" w:eastAsia="宋体" w:hint="default"/>
                            <w:spacing w:val="-33"/>
                            <w:sz w:val="18"/>
                            <w:szCs w:val="18"/>
                          </w:rPr>
                          <w:t> </w:t>
                        </w:r>
                        <w:r>
                          <w:rPr>
                            <w:rFonts w:ascii="宋体" w:hAnsi="宋体" w:cs="宋体" w:eastAsia="宋体" w:hint="default"/>
                            <w:sz w:val="18"/>
                            <w:szCs w:val="18"/>
                          </w:rPr>
                          <w:t>层提供有效的管理与服务，全面整合医院各类信息管理</w:t>
                        </w:r>
                        <w:r>
                          <w:rPr>
                            <w:rFonts w:ascii="宋体" w:hAnsi="宋体" w:cs="宋体" w:eastAsia="宋体" w:hint="default"/>
                            <w:spacing w:val="-33"/>
                            <w:sz w:val="18"/>
                            <w:szCs w:val="18"/>
                          </w:rPr>
                          <w:t> </w:t>
                        </w:r>
                        <w:r>
                          <w:rPr>
                            <w:rFonts w:ascii="宋体" w:hAnsi="宋体" w:cs="宋体" w:eastAsia="宋体" w:hint="default"/>
                            <w:sz w:val="18"/>
                            <w:szCs w:val="18"/>
                          </w:rPr>
                          <w:t>系统、物联网设备，基于大数据技术，构建了包含物联</w:t>
                        </w:r>
                        <w:r>
                          <w:rPr>
                            <w:rFonts w:ascii="宋体" w:hAnsi="宋体" w:cs="宋体" w:eastAsia="宋体" w:hint="default"/>
                            <w:spacing w:val="-33"/>
                            <w:sz w:val="18"/>
                            <w:szCs w:val="18"/>
                          </w:rPr>
                          <w:t> </w:t>
                        </w:r>
                        <w:r>
                          <w:rPr>
                            <w:rFonts w:ascii="宋体" w:hAnsi="宋体" w:cs="宋体" w:eastAsia="宋体" w:hint="default"/>
                            <w:sz w:val="18"/>
                            <w:szCs w:val="18"/>
                          </w:rPr>
                          <w:t>网设备数据中心的医院综合运营管理数据平台，极大程</w:t>
                        </w:r>
                        <w:r>
                          <w:rPr>
                            <w:rFonts w:ascii="宋体" w:hAnsi="宋体" w:cs="宋体" w:eastAsia="宋体" w:hint="default"/>
                            <w:spacing w:val="-33"/>
                            <w:sz w:val="18"/>
                            <w:szCs w:val="18"/>
                          </w:rPr>
                          <w:t> </w:t>
                        </w:r>
                        <w:r>
                          <w:rPr>
                            <w:rFonts w:ascii="宋体" w:hAnsi="宋体" w:cs="宋体" w:eastAsia="宋体" w:hint="default"/>
                            <w:spacing w:val="-7"/>
                            <w:sz w:val="18"/>
                            <w:szCs w:val="18"/>
                          </w:rPr>
                          <w:t>度实现各信息点的数据实时、准确的采集、存储和管理，</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达到整个信息网络横向到边、纵向到底的数据监控。以</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医院各信息系统、物联网设备为数据源，以信息监控管</w:t>
                        </w:r>
                        <w:r>
                          <w:rPr>
                            <w:rFonts w:ascii="宋体" w:hAnsi="宋体" w:cs="宋体" w:eastAsia="宋体" w:hint="default"/>
                            <w:spacing w:val="-33"/>
                            <w:sz w:val="18"/>
                            <w:szCs w:val="18"/>
                          </w:rPr>
                          <w:t> </w:t>
                        </w:r>
                        <w:r>
                          <w:rPr>
                            <w:rFonts w:ascii="宋体" w:hAnsi="宋体" w:cs="宋体" w:eastAsia="宋体" w:hint="default"/>
                            <w:sz w:val="18"/>
                            <w:szCs w:val="18"/>
                          </w:rPr>
                          <w:t>理中心建设为基点，全面构建医院综合运营监控管理系</w:t>
                        </w:r>
                        <w:r>
                          <w:rPr>
                            <w:rFonts w:ascii="宋体" w:hAnsi="宋体" w:cs="宋体" w:eastAsia="宋体" w:hint="default"/>
                            <w:spacing w:val="-33"/>
                            <w:sz w:val="18"/>
                            <w:szCs w:val="18"/>
                          </w:rPr>
                          <w:t> </w:t>
                        </w:r>
                        <w:r>
                          <w:rPr>
                            <w:rFonts w:ascii="宋体" w:hAnsi="宋体" w:cs="宋体" w:eastAsia="宋体" w:hint="default"/>
                            <w:spacing w:val="-3"/>
                            <w:sz w:val="18"/>
                            <w:szCs w:val="18"/>
                          </w:rPr>
                          <w:t>统，形成可感知、易协同、有智慧的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医院大脑</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3"/>
                          <w:ind w:left="9" w:right="-8"/>
                          <w:jc w:val="both"/>
                          <w:rPr>
                            <w:rFonts w:ascii="宋体" w:hAnsi="宋体" w:cs="宋体" w:eastAsia="宋体" w:hint="default"/>
                            <w:sz w:val="18"/>
                            <w:szCs w:val="18"/>
                          </w:rPr>
                        </w:pPr>
                        <w:r>
                          <w:rPr>
                            <w:rFonts w:ascii="宋体" w:hAnsi="宋体" w:cs="宋体" w:eastAsia="宋体" w:hint="default"/>
                            <w:sz w:val="18"/>
                            <w:szCs w:val="18"/>
                          </w:rPr>
                          <w:t>目前已完成三甲医院</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系</w:t>
                        </w:r>
                        <w:r>
                          <w:rPr>
                            <w:rFonts w:ascii="宋体" w:hAnsi="宋体" w:cs="宋体" w:eastAsia="宋体" w:hint="default"/>
                            <w:spacing w:val="-60"/>
                            <w:sz w:val="18"/>
                            <w:szCs w:val="18"/>
                          </w:rPr>
                          <w:t> </w:t>
                        </w:r>
                        <w:r>
                          <w:rPr>
                            <w:rFonts w:ascii="宋体" w:hAnsi="宋体" w:cs="宋体" w:eastAsia="宋体" w:hint="default"/>
                            <w:sz w:val="18"/>
                            <w:szCs w:val="18"/>
                          </w:rPr>
                          <w:t>统</w:t>
                        </w:r>
                        <w:r>
                          <w:rPr>
                            <w:rFonts w:ascii="宋体" w:hAnsi="宋体" w:cs="宋体" w:eastAsia="宋体" w:hint="default"/>
                            <w:spacing w:val="-60"/>
                            <w:sz w:val="18"/>
                            <w:szCs w:val="18"/>
                          </w:rPr>
                          <w:t> </w:t>
                        </w:r>
                        <w:r>
                          <w:rPr>
                            <w:rFonts w:ascii="宋体" w:hAnsi="宋体" w:cs="宋体" w:eastAsia="宋体" w:hint="default"/>
                            <w:sz w:val="18"/>
                            <w:szCs w:val="18"/>
                          </w:rPr>
                          <w:t>部</w:t>
                        </w:r>
                        <w:r>
                          <w:rPr>
                            <w:rFonts w:ascii="宋体" w:hAnsi="宋体" w:cs="宋体" w:eastAsia="宋体" w:hint="default"/>
                            <w:spacing w:val="-60"/>
                            <w:sz w:val="18"/>
                            <w:szCs w:val="18"/>
                          </w:rPr>
                          <w:t> </w:t>
                        </w:r>
                        <w:r>
                          <w:rPr>
                            <w:rFonts w:ascii="宋体" w:hAnsi="宋体" w:cs="宋体" w:eastAsia="宋体" w:hint="default"/>
                            <w:sz w:val="18"/>
                            <w:szCs w:val="18"/>
                          </w:rPr>
                          <w:t>署</w:t>
                        </w:r>
                        <w:r>
                          <w:rPr>
                            <w:rFonts w:ascii="宋体" w:hAnsi="宋体" w:cs="宋体" w:eastAsia="宋体" w:hint="default"/>
                            <w:spacing w:val="-60"/>
                            <w:sz w:val="18"/>
                            <w:szCs w:val="18"/>
                          </w:rPr>
                          <w:t> </w:t>
                        </w:r>
                        <w:r>
                          <w:rPr>
                            <w:rFonts w:ascii="宋体" w:hAnsi="宋体" w:cs="宋体" w:eastAsia="宋体" w:hint="default"/>
                            <w:sz w:val="18"/>
                            <w:szCs w:val="18"/>
                          </w:rPr>
                          <w:t>及</w:t>
                        </w:r>
                        <w:r>
                          <w:rPr>
                            <w:rFonts w:ascii="宋体" w:hAnsi="宋体" w:cs="宋体" w:eastAsia="宋体" w:hint="default"/>
                            <w:spacing w:val="-60"/>
                            <w:sz w:val="18"/>
                            <w:szCs w:val="18"/>
                          </w:rPr>
                          <w:t> </w:t>
                        </w:r>
                        <w:r>
                          <w:rPr>
                            <w:rFonts w:ascii="宋体" w:hAnsi="宋体" w:cs="宋体" w:eastAsia="宋体" w:hint="default"/>
                            <w:sz w:val="18"/>
                            <w:szCs w:val="18"/>
                          </w:rPr>
                          <w:t>上</w:t>
                        </w:r>
                        <w:r>
                          <w:rPr>
                            <w:rFonts w:ascii="宋体" w:hAnsi="宋体" w:cs="宋体" w:eastAsia="宋体" w:hint="default"/>
                            <w:spacing w:val="-60"/>
                            <w:sz w:val="18"/>
                            <w:szCs w:val="18"/>
                          </w:rPr>
                          <w:t> </w:t>
                        </w:r>
                        <w:r>
                          <w:rPr>
                            <w:rFonts w:ascii="宋体" w:hAnsi="宋体" w:cs="宋体" w:eastAsia="宋体" w:hint="default"/>
                            <w:sz w:val="18"/>
                            <w:szCs w:val="18"/>
                          </w:rPr>
                          <w:t>线</w:t>
                        </w:r>
                        <w:r>
                          <w:rPr>
                            <w:rFonts w:ascii="宋体" w:hAnsi="宋体" w:cs="宋体" w:eastAsia="宋体" w:hint="default"/>
                            <w:spacing w:val="-55"/>
                            <w:sz w:val="18"/>
                            <w:szCs w:val="18"/>
                          </w:rPr>
                          <w:t> </w:t>
                        </w:r>
                        <w:r>
                          <w:rPr>
                            <w:rFonts w:ascii="宋体" w:hAnsi="宋体" w:cs="宋体" w:eastAsia="宋体" w:hint="default"/>
                            <w:sz w:val="18"/>
                            <w:szCs w:val="18"/>
                          </w:rPr>
                          <w:t>应</w:t>
                        </w:r>
                        <w:r>
                          <w:rPr>
                            <w:rFonts w:ascii="宋体" w:hAnsi="宋体" w:cs="宋体" w:eastAsia="宋体" w:hint="default"/>
                            <w:w w:val="101"/>
                            <w:sz w:val="18"/>
                            <w:szCs w:val="18"/>
                          </w:rPr>
                          <w:t> </w:t>
                        </w:r>
                        <w:r>
                          <w:rPr>
                            <w:rFonts w:ascii="宋体" w:hAnsi="宋体" w:cs="宋体" w:eastAsia="宋体" w:hint="default"/>
                            <w:sz w:val="18"/>
                            <w:szCs w:val="18"/>
                          </w:rPr>
                          <w:t>用，业务领域横跨后</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勤信息保卫设备等多</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个部门</w:t>
                        </w:r>
                      </w:p>
                    </w:tc>
                    <w:tc>
                      <w:tcPr>
                        <w:tcW w:w="214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3"/>
                          <w:ind w:left="4" w:right="-43"/>
                          <w:jc w:val="left"/>
                          <w:rPr>
                            <w:rFonts w:ascii="宋体" w:hAnsi="宋体" w:cs="宋体" w:eastAsia="宋体" w:hint="default"/>
                            <w:sz w:val="18"/>
                            <w:szCs w:val="18"/>
                          </w:rPr>
                        </w:pPr>
                        <w:r>
                          <w:rPr>
                            <w:rFonts w:ascii="宋体" w:hAnsi="宋体" w:cs="宋体" w:eastAsia="宋体" w:hint="default"/>
                            <w:spacing w:val="-6"/>
                            <w:sz w:val="18"/>
                            <w:szCs w:val="18"/>
                          </w:rPr>
                          <w:t>基于物联网技术、大数据采</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3"/>
                            <w:sz w:val="18"/>
                            <w:szCs w:val="18"/>
                          </w:rPr>
                          <w:t>集等技术，实现多级管理、</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6"/>
                            <w:sz w:val="18"/>
                            <w:szCs w:val="18"/>
                          </w:rPr>
                          <w:t>集中监控、多平台联动等应</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6"/>
                            <w:sz w:val="18"/>
                            <w:szCs w:val="18"/>
                          </w:rPr>
                          <w:t>用需求，将医院各类业务数</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13"/>
                            <w:sz w:val="18"/>
                            <w:szCs w:val="18"/>
                          </w:rPr>
                          <w:t>据实时、不错、不漏的采集</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6"/>
                            <w:sz w:val="18"/>
                            <w:szCs w:val="18"/>
                          </w:rPr>
                          <w:t>存储和管理，提升公司在大</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6"/>
                            <w:sz w:val="18"/>
                            <w:szCs w:val="18"/>
                          </w:rPr>
                          <w:t>数据、物联网应用方向的研</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6"/>
                            <w:sz w:val="18"/>
                            <w:szCs w:val="18"/>
                          </w:rPr>
                          <w:t>究深度和广度，顺应市场热</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3"/>
                            <w:sz w:val="18"/>
                            <w:szCs w:val="18"/>
                          </w:rPr>
                          <w:t>点和未来发展方向。</w:t>
                        </w:r>
                      </w:p>
                    </w:tc>
                  </w:tr>
                  <w:tr>
                    <w:trPr>
                      <w:trHeight w:val="1949" w:hRule="exact"/>
                    </w:trPr>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8"/>
                          <w:ind w:left="47" w:right="32"/>
                          <w:jc w:val="center"/>
                          <w:rPr>
                            <w:rFonts w:ascii="宋体" w:hAnsi="宋体" w:cs="宋体" w:eastAsia="宋体" w:hint="default"/>
                            <w:sz w:val="18"/>
                            <w:szCs w:val="18"/>
                          </w:rPr>
                        </w:pPr>
                        <w:r>
                          <w:rPr>
                            <w:rFonts w:ascii="宋体" w:hAnsi="宋体" w:cs="宋体" w:eastAsia="宋体" w:hint="default"/>
                            <w:spacing w:val="-2"/>
                            <w:sz w:val="18"/>
                            <w:szCs w:val="18"/>
                          </w:rPr>
                          <w:t>基于大数据的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医院标准化管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理系统</w:t>
                        </w:r>
                      </w:p>
                    </w:tc>
                    <w:tc>
                      <w:tcPr>
                        <w:tcW w:w="4394"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68"/>
                          <w:ind w:left="4" w:right="-5"/>
                          <w:jc w:val="both"/>
                          <w:rPr>
                            <w:rFonts w:ascii="宋体" w:hAnsi="宋体" w:cs="宋体" w:eastAsia="宋体" w:hint="default"/>
                            <w:sz w:val="18"/>
                            <w:szCs w:val="18"/>
                          </w:rPr>
                        </w:pPr>
                        <w:r>
                          <w:rPr>
                            <w:rFonts w:ascii="宋体" w:hAnsi="宋体" w:cs="宋体" w:eastAsia="宋体" w:hint="default"/>
                            <w:spacing w:val="-4"/>
                            <w:sz w:val="18"/>
                            <w:szCs w:val="18"/>
                          </w:rPr>
                          <w:t>为实现医疗数据跨机构共享、可互操作，利用</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分布式云</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2"/>
                            <w:sz w:val="18"/>
                            <w:szCs w:val="18"/>
                          </w:rPr>
                          <w:t>计算技术</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，建立以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健康档案</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电子病历</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为核心的智</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z w:val="18"/>
                            <w:szCs w:val="18"/>
                          </w:rPr>
                          <w:t>慧医疗云平台，把原来分布在各家医疗卫生机构内，不</w:t>
                        </w:r>
                        <w:r>
                          <w:rPr>
                            <w:rFonts w:ascii="宋体" w:hAnsi="宋体" w:cs="宋体" w:eastAsia="宋体" w:hint="default"/>
                            <w:spacing w:val="-33"/>
                            <w:sz w:val="18"/>
                            <w:szCs w:val="18"/>
                          </w:rPr>
                          <w:t> </w:t>
                        </w:r>
                        <w:r>
                          <w:rPr>
                            <w:rFonts w:ascii="宋体" w:hAnsi="宋体" w:cs="宋体" w:eastAsia="宋体" w:hint="default"/>
                            <w:sz w:val="18"/>
                            <w:szCs w:val="18"/>
                          </w:rPr>
                          <w:t>同厂家、不同设计、不同编码的各类信息系统，通过开</w:t>
                        </w:r>
                        <w:r>
                          <w:rPr>
                            <w:rFonts w:ascii="宋体" w:hAnsi="宋体" w:cs="宋体" w:eastAsia="宋体" w:hint="default"/>
                            <w:spacing w:val="-33"/>
                            <w:sz w:val="18"/>
                            <w:szCs w:val="18"/>
                          </w:rPr>
                          <w:t> </w:t>
                        </w:r>
                        <w:r>
                          <w:rPr>
                            <w:rFonts w:ascii="宋体" w:hAnsi="宋体" w:cs="宋体" w:eastAsia="宋体" w:hint="default"/>
                            <w:sz w:val="18"/>
                            <w:szCs w:val="18"/>
                          </w:rPr>
                          <w:t>放性的</w:t>
                        </w:r>
                        <w:r>
                          <w:rPr>
                            <w:rFonts w:ascii="Times New Roman" w:hAnsi="Times New Roman" w:cs="Times New Roman" w:eastAsia="Times New Roman" w:hint="default"/>
                            <w:sz w:val="18"/>
                            <w:szCs w:val="18"/>
                          </w:rPr>
                          <w:t>“</w:t>
                        </w:r>
                        <w:r>
                          <w:rPr>
                            <w:rFonts w:ascii="宋体" w:hAnsi="宋体" w:cs="宋体" w:eastAsia="宋体" w:hint="default"/>
                            <w:sz w:val="18"/>
                            <w:szCs w:val="18"/>
                          </w:rPr>
                          <w:t>云平台</w:t>
                        </w:r>
                        <w:r>
                          <w:rPr>
                            <w:rFonts w:ascii="Times New Roman" w:hAnsi="Times New Roman" w:cs="Times New Roman" w:eastAsia="Times New Roman" w:hint="default"/>
                            <w:sz w:val="18"/>
                            <w:szCs w:val="18"/>
                          </w:rPr>
                          <w:t>”</w:t>
                        </w:r>
                        <w:r>
                          <w:rPr>
                            <w:rFonts w:ascii="宋体" w:hAnsi="宋体" w:cs="宋体" w:eastAsia="宋体" w:hint="default"/>
                            <w:sz w:val="18"/>
                            <w:szCs w:val="18"/>
                          </w:rPr>
                          <w:t>设计，进行了标准化转换实现有效数据</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8"/>
                          <w:ind w:left="9" w:right="-8"/>
                          <w:jc w:val="both"/>
                          <w:rPr>
                            <w:rFonts w:ascii="宋体" w:hAnsi="宋体" w:cs="宋体" w:eastAsia="宋体" w:hint="default"/>
                            <w:sz w:val="18"/>
                            <w:szCs w:val="18"/>
                          </w:rPr>
                        </w:pPr>
                        <w:r>
                          <w:rPr>
                            <w:rFonts w:ascii="宋体" w:hAnsi="宋体" w:cs="宋体" w:eastAsia="宋体" w:hint="default"/>
                            <w:sz w:val="18"/>
                            <w:szCs w:val="18"/>
                          </w:rPr>
                          <w:t>完成统一标准化数据</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集的管理系统，进行</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健康档案和电子病历</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所需的数据集标准化</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建设和数据的整合，</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并通过接口和网页的</w:t>
                        </w:r>
                      </w:p>
                    </w:tc>
                    <w:tc>
                      <w:tcPr>
                        <w:tcW w:w="21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8"/>
                          <w:ind w:left="4" w:right="-5"/>
                          <w:jc w:val="both"/>
                          <w:rPr>
                            <w:rFonts w:ascii="宋体" w:hAnsi="宋体" w:cs="宋体" w:eastAsia="宋体" w:hint="default"/>
                            <w:sz w:val="18"/>
                            <w:szCs w:val="18"/>
                          </w:rPr>
                        </w:pPr>
                        <w:r>
                          <w:rPr>
                            <w:rFonts w:ascii="宋体" w:hAnsi="宋体" w:cs="宋体" w:eastAsia="宋体" w:hint="default"/>
                            <w:spacing w:val="-6"/>
                            <w:sz w:val="18"/>
                            <w:szCs w:val="18"/>
                          </w:rPr>
                          <w:t>在当前智慧健康城市、城市</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9"/>
                            <w:sz w:val="18"/>
                            <w:szCs w:val="18"/>
                          </w:rPr>
                          <w:t>大脑卫建系统等建设热点</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6"/>
                            <w:sz w:val="18"/>
                            <w:szCs w:val="18"/>
                          </w:rPr>
                          <w:t>下，政府、区域和老百姓迫</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6"/>
                            <w:sz w:val="18"/>
                            <w:szCs w:val="18"/>
                          </w:rPr>
                          <w:t>切，现有的各医疗机构信息</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6"/>
                            <w:sz w:val="18"/>
                            <w:szCs w:val="18"/>
                          </w:rPr>
                          <w:t>化建设的可及性、互操作性</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6"/>
                            <w:sz w:val="18"/>
                            <w:szCs w:val="18"/>
                          </w:rPr>
                          <w:t>更强，该研发项目可让公司</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46"/>
        <w:ind w:left="0" w:right="771"/>
        <w:jc w:val="right"/>
      </w:pPr>
      <w:r>
        <w:rPr>
          <w:w w:val="101"/>
        </w:rPr>
        <w:t>、</w:t>
      </w:r>
      <w:r>
        <w:rPr/>
      </w:r>
    </w:p>
    <w:p>
      <w:pPr>
        <w:spacing w:after="0" w:line="240" w:lineRule="auto"/>
        <w:jc w:val="right"/>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514"/>
        <w:gridCol w:w="1181"/>
        <w:gridCol w:w="4394"/>
        <w:gridCol w:w="1681"/>
        <w:gridCol w:w="2142"/>
      </w:tblGrid>
      <w:tr>
        <w:trPr>
          <w:trHeight w:val="1637" w:hRule="exact"/>
        </w:trPr>
        <w:tc>
          <w:tcPr>
            <w:tcW w:w="514" w:type="dxa"/>
            <w:tcBorders>
              <w:top w:val="single" w:sz="6" w:space="0" w:color="000000"/>
              <w:left w:val="single" w:sz="6" w:space="0" w:color="000000"/>
              <w:bottom w:val="single" w:sz="6" w:space="0" w:color="000000"/>
              <w:right w:val="single" w:sz="6" w:space="0" w:color="000000"/>
            </w:tcBorders>
          </w:tcPr>
          <w:p>
            <w:pPr/>
          </w:p>
        </w:tc>
        <w:tc>
          <w:tcPr>
            <w:tcW w:w="1181" w:type="dxa"/>
            <w:tcBorders>
              <w:top w:val="single" w:sz="6" w:space="0" w:color="000000"/>
              <w:left w:val="single" w:sz="6" w:space="0" w:color="000000"/>
              <w:bottom w:val="single" w:sz="6" w:space="0" w:color="000000"/>
              <w:right w:val="single" w:sz="6" w:space="0" w:color="000000"/>
            </w:tcBorders>
          </w:tcPr>
          <w:p>
            <w:pPr/>
          </w:p>
        </w:tc>
        <w:tc>
          <w:tcPr>
            <w:tcW w:w="4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整合，实现了医疗卫生信息和资源的实时共享。</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9" w:right="-8"/>
              <w:jc w:val="both"/>
              <w:rPr>
                <w:rFonts w:ascii="宋体" w:hAnsi="宋体" w:cs="宋体" w:eastAsia="宋体" w:hint="default"/>
                <w:sz w:val="18"/>
                <w:szCs w:val="18"/>
              </w:rPr>
            </w:pPr>
            <w:r>
              <w:rPr>
                <w:rFonts w:ascii="宋体" w:hAnsi="宋体" w:cs="宋体" w:eastAsia="宋体" w:hint="default"/>
                <w:sz w:val="18"/>
                <w:szCs w:val="18"/>
              </w:rPr>
              <w:t>形式将健康档案和电</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子病历数据共享给接</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入机构</w:t>
            </w:r>
          </w:p>
        </w:tc>
        <w:tc>
          <w:tcPr>
            <w:tcW w:w="214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43"/>
              <w:jc w:val="both"/>
              <w:rPr>
                <w:rFonts w:ascii="宋体" w:hAnsi="宋体" w:cs="宋体" w:eastAsia="宋体" w:hint="default"/>
                <w:sz w:val="18"/>
                <w:szCs w:val="18"/>
              </w:rPr>
            </w:pPr>
            <w:r>
              <w:rPr>
                <w:rFonts w:ascii="宋体" w:hAnsi="宋体" w:cs="宋体" w:eastAsia="宋体" w:hint="default"/>
                <w:spacing w:val="9"/>
                <w:sz w:val="18"/>
                <w:szCs w:val="18"/>
              </w:rPr>
              <w:t>成为城市卫建系统的整合</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3"/>
                <w:sz w:val="18"/>
                <w:szCs w:val="18"/>
              </w:rPr>
              <w:t>者、信息标准化的推广者，</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9"/>
                <w:sz w:val="18"/>
                <w:szCs w:val="18"/>
              </w:rPr>
              <w:t>极大程度增加公司在分级</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9"/>
                <w:sz w:val="18"/>
                <w:szCs w:val="18"/>
              </w:rPr>
              <w:t>诊疗的新医改背景下的竞</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争力。</w:t>
            </w:r>
          </w:p>
        </w:tc>
      </w:tr>
      <w:tr>
        <w:trPr>
          <w:trHeight w:val="4484" w:hRule="exact"/>
        </w:trPr>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7" w:right="32"/>
              <w:jc w:val="center"/>
              <w:rPr>
                <w:rFonts w:ascii="宋体" w:hAnsi="宋体" w:cs="宋体" w:eastAsia="宋体" w:hint="default"/>
                <w:sz w:val="18"/>
                <w:szCs w:val="18"/>
              </w:rPr>
            </w:pPr>
            <w:r>
              <w:rPr>
                <w:rFonts w:ascii="宋体" w:hAnsi="宋体" w:cs="宋体" w:eastAsia="宋体" w:hint="default"/>
                <w:spacing w:val="-2"/>
                <w:sz w:val="18"/>
                <w:szCs w:val="18"/>
              </w:rPr>
              <w:t>智慧医疗云操</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作系统研发与</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应用示范</w:t>
            </w:r>
          </w:p>
        </w:tc>
        <w:tc>
          <w:tcPr>
            <w:tcW w:w="4394"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63"/>
              <w:ind w:left="4" w:right="-5"/>
              <w:jc w:val="both"/>
              <w:rPr>
                <w:rFonts w:ascii="宋体" w:hAnsi="宋体" w:cs="宋体" w:eastAsia="宋体" w:hint="default"/>
                <w:sz w:val="18"/>
                <w:szCs w:val="18"/>
              </w:rPr>
            </w:pPr>
            <w:r>
              <w:rPr>
                <w:rFonts w:ascii="宋体" w:hAnsi="宋体" w:cs="宋体" w:eastAsia="宋体" w:hint="default"/>
                <w:sz w:val="18"/>
                <w:szCs w:val="18"/>
              </w:rPr>
              <w:t>为实现医疗数据跨机构共享、可互操作，将各机构业务</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z w:val="18"/>
                <w:szCs w:val="18"/>
              </w:rPr>
              <w:t>功能、数据服务资源化，对外提供统一的服务接口和操</w:t>
            </w:r>
            <w:r>
              <w:rPr>
                <w:rFonts w:ascii="宋体" w:hAnsi="宋体" w:cs="宋体" w:eastAsia="宋体" w:hint="default"/>
                <w:spacing w:val="-33"/>
                <w:sz w:val="18"/>
                <w:szCs w:val="18"/>
              </w:rPr>
              <w:t> </w:t>
            </w:r>
            <w:r>
              <w:rPr>
                <w:rFonts w:ascii="宋体" w:hAnsi="宋体" w:cs="宋体" w:eastAsia="宋体" w:hint="default"/>
                <w:sz w:val="18"/>
                <w:szCs w:val="18"/>
              </w:rPr>
              <w:t>作规范，整合</w:t>
            </w:r>
            <w:r>
              <w:rPr>
                <w:rFonts w:ascii="Times New Roman" w:hAnsi="Times New Roman" w:cs="Times New Roman" w:eastAsia="Times New Roman" w:hint="default"/>
                <w:sz w:val="18"/>
                <w:szCs w:val="18"/>
              </w:rPr>
              <w:t>“</w:t>
            </w:r>
            <w:r>
              <w:rPr>
                <w:rFonts w:ascii="宋体" w:hAnsi="宋体" w:cs="宋体" w:eastAsia="宋体" w:hint="default"/>
                <w:sz w:val="18"/>
                <w:szCs w:val="18"/>
              </w:rPr>
              <w:t>基于大数据的医院标准化管理系统</w:t>
            </w:r>
            <w:r>
              <w:rPr>
                <w:rFonts w:ascii="Times New Roman" w:hAnsi="Times New Roman" w:cs="Times New Roman" w:eastAsia="Times New Roman" w:hint="default"/>
                <w:sz w:val="18"/>
                <w:szCs w:val="18"/>
              </w:rPr>
              <w:t>”</w:t>
            </w:r>
            <w:r>
              <w:rPr>
                <w:rFonts w:ascii="宋体" w:hAnsi="宋体" w:cs="宋体" w:eastAsia="宋体" w:hint="default"/>
                <w:sz w:val="18"/>
                <w:szCs w:val="18"/>
              </w:rPr>
              <w:t>，利</w:t>
            </w:r>
            <w:r>
              <w:rPr>
                <w:rFonts w:ascii="宋体" w:hAnsi="宋体" w:cs="宋体" w:eastAsia="宋体" w:hint="default"/>
                <w:spacing w:val="-15"/>
                <w:sz w:val="18"/>
                <w:szCs w:val="18"/>
              </w:rPr>
              <w:t> </w:t>
            </w:r>
            <w:r>
              <w:rPr>
                <w:rFonts w:ascii="宋体" w:hAnsi="宋体" w:cs="宋体" w:eastAsia="宋体" w:hint="default"/>
                <w:spacing w:val="-5"/>
                <w:sz w:val="18"/>
                <w:szCs w:val="18"/>
              </w:rPr>
              <w:t>用</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分布式云计算技术</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，建立以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健康档案</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和</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电子病历</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为核心的智慧医疗云操作系统，把原来分布在各家医疗</w:t>
            </w:r>
            <w:r>
              <w:rPr>
                <w:rFonts w:ascii="宋体" w:hAnsi="宋体" w:cs="宋体" w:eastAsia="宋体" w:hint="default"/>
                <w:spacing w:val="-33"/>
                <w:sz w:val="18"/>
                <w:szCs w:val="18"/>
              </w:rPr>
              <w:t> </w:t>
            </w:r>
            <w:r>
              <w:rPr>
                <w:rFonts w:ascii="宋体" w:hAnsi="宋体" w:cs="宋体" w:eastAsia="宋体" w:hint="default"/>
                <w:sz w:val="18"/>
                <w:szCs w:val="18"/>
              </w:rPr>
              <w:t>卫生机构内，不同厂家、不同设计、不同编码的各类信</w:t>
            </w:r>
            <w:r>
              <w:rPr>
                <w:rFonts w:ascii="宋体" w:hAnsi="宋体" w:cs="宋体" w:eastAsia="宋体" w:hint="default"/>
                <w:spacing w:val="-33"/>
                <w:sz w:val="18"/>
                <w:szCs w:val="18"/>
              </w:rPr>
              <w:t> </w:t>
            </w:r>
            <w:r>
              <w:rPr>
                <w:rFonts w:ascii="宋体" w:hAnsi="宋体" w:cs="宋体" w:eastAsia="宋体" w:hint="default"/>
                <w:sz w:val="18"/>
                <w:szCs w:val="18"/>
              </w:rPr>
              <w:t>息系统，通过开放性的</w:t>
            </w:r>
            <w:r>
              <w:rPr>
                <w:rFonts w:ascii="Times New Roman" w:hAnsi="Times New Roman" w:cs="Times New Roman" w:eastAsia="Times New Roman" w:hint="default"/>
                <w:sz w:val="18"/>
                <w:szCs w:val="18"/>
              </w:rPr>
              <w:t>“</w:t>
            </w:r>
            <w:r>
              <w:rPr>
                <w:rFonts w:ascii="宋体" w:hAnsi="宋体" w:cs="宋体" w:eastAsia="宋体" w:hint="default"/>
                <w:sz w:val="18"/>
                <w:szCs w:val="18"/>
              </w:rPr>
              <w:t>云平台</w:t>
            </w:r>
            <w:r>
              <w:rPr>
                <w:rFonts w:ascii="Times New Roman" w:hAnsi="Times New Roman" w:cs="Times New Roman" w:eastAsia="Times New Roman" w:hint="default"/>
                <w:sz w:val="18"/>
                <w:szCs w:val="18"/>
              </w:rPr>
              <w:t>”</w:t>
            </w:r>
            <w:r>
              <w:rPr>
                <w:rFonts w:ascii="宋体" w:hAnsi="宋体" w:cs="宋体" w:eastAsia="宋体" w:hint="default"/>
                <w:sz w:val="18"/>
                <w:szCs w:val="18"/>
              </w:rPr>
              <w:t>设计，进行了标准化转</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z w:val="18"/>
                <w:szCs w:val="18"/>
              </w:rPr>
              <w:t>换实现有效数据整合和服务整合，实现了医疗卫生信息</w:t>
            </w:r>
            <w:r>
              <w:rPr>
                <w:rFonts w:ascii="宋体" w:hAnsi="宋体" w:cs="宋体" w:eastAsia="宋体" w:hint="default"/>
                <w:spacing w:val="-33"/>
                <w:sz w:val="18"/>
                <w:szCs w:val="18"/>
              </w:rPr>
              <w:t> </w:t>
            </w:r>
            <w:r>
              <w:rPr>
                <w:rFonts w:ascii="宋体" w:hAnsi="宋体" w:cs="宋体" w:eastAsia="宋体" w:hint="default"/>
                <w:sz w:val="18"/>
                <w:szCs w:val="18"/>
              </w:rPr>
              <w:t>和资源高度可互操作。实时对区域内医疗数据、就诊行</w:t>
            </w:r>
            <w:r>
              <w:rPr>
                <w:rFonts w:ascii="宋体" w:hAnsi="宋体" w:cs="宋体" w:eastAsia="宋体" w:hint="default"/>
                <w:spacing w:val="-33"/>
                <w:sz w:val="18"/>
                <w:szCs w:val="18"/>
              </w:rPr>
              <w:t> </w:t>
            </w:r>
            <w:r>
              <w:rPr>
                <w:rFonts w:ascii="宋体" w:hAnsi="宋体" w:cs="宋体" w:eastAsia="宋体" w:hint="default"/>
                <w:sz w:val="18"/>
                <w:szCs w:val="18"/>
              </w:rPr>
              <w:t>为、诊疗行为、信用支付、满意度等大数据进行处理及</w:t>
            </w:r>
            <w:r>
              <w:rPr>
                <w:rFonts w:ascii="宋体" w:hAnsi="宋体" w:cs="宋体" w:eastAsia="宋体" w:hint="default"/>
                <w:spacing w:val="-33"/>
                <w:sz w:val="18"/>
                <w:szCs w:val="18"/>
              </w:rPr>
              <w:t> </w:t>
            </w:r>
            <w:r>
              <w:rPr>
                <w:rFonts w:ascii="宋体" w:hAnsi="宋体" w:cs="宋体" w:eastAsia="宋体" w:hint="default"/>
                <w:sz w:val="18"/>
                <w:szCs w:val="18"/>
              </w:rPr>
              <w:t>分析，利用移动互联网技术，通过界面统一化、服务标</w:t>
            </w:r>
            <w:r>
              <w:rPr>
                <w:rFonts w:ascii="宋体" w:hAnsi="宋体" w:cs="宋体" w:eastAsia="宋体" w:hint="default"/>
                <w:spacing w:val="-33"/>
                <w:sz w:val="18"/>
                <w:szCs w:val="18"/>
              </w:rPr>
              <w:t> </w:t>
            </w:r>
            <w:r>
              <w:rPr>
                <w:rFonts w:ascii="宋体" w:hAnsi="宋体" w:cs="宋体" w:eastAsia="宋体" w:hint="default"/>
                <w:spacing w:val="-1"/>
                <w:sz w:val="18"/>
                <w:szCs w:val="18"/>
              </w:rPr>
              <w:t>准化的网站</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微网站，以及支付宝、微信、</w:t>
            </w:r>
            <w:r>
              <w:rPr>
                <w:rFonts w:ascii="Times New Roman" w:hAnsi="Times New Roman" w:cs="Times New Roman" w:eastAsia="Times New Roman" w:hint="default"/>
                <w:spacing w:val="-1"/>
                <w:sz w:val="18"/>
                <w:szCs w:val="18"/>
              </w:rPr>
              <w:t>APP</w:t>
            </w:r>
            <w:r>
              <w:rPr>
                <w:rFonts w:ascii="宋体" w:hAnsi="宋体" w:cs="宋体" w:eastAsia="宋体" w:hint="default"/>
                <w:spacing w:val="-1"/>
                <w:sz w:val="18"/>
                <w:szCs w:val="18"/>
              </w:rPr>
              <w:t>、短信、</w:t>
            </w:r>
            <w:r>
              <w:rPr>
                <w:rFonts w:ascii="宋体" w:hAnsi="宋体" w:cs="宋体" w:eastAsia="宋体" w:hint="default"/>
                <w:spacing w:val="-29"/>
                <w:sz w:val="18"/>
                <w:szCs w:val="18"/>
              </w:rPr>
              <w:t> </w:t>
            </w:r>
            <w:r>
              <w:rPr>
                <w:rFonts w:ascii="宋体" w:hAnsi="宋体" w:cs="宋体" w:eastAsia="宋体" w:hint="default"/>
                <w:sz w:val="18"/>
                <w:szCs w:val="18"/>
              </w:rPr>
              <w:t>电话、自助机等服务平台，为广大群众、医护人员、医</w:t>
            </w:r>
            <w:r>
              <w:rPr>
                <w:rFonts w:ascii="宋体" w:hAnsi="宋体" w:cs="宋体" w:eastAsia="宋体" w:hint="default"/>
                <w:spacing w:val="-33"/>
                <w:sz w:val="18"/>
                <w:szCs w:val="18"/>
              </w:rPr>
              <w:t> </w:t>
            </w:r>
            <w:r>
              <w:rPr>
                <w:rFonts w:ascii="宋体" w:hAnsi="宋体" w:cs="宋体" w:eastAsia="宋体" w:hint="default"/>
                <w:spacing w:val="-4"/>
                <w:sz w:val="18"/>
                <w:szCs w:val="18"/>
              </w:rPr>
              <w:t>疗机构、政府部门及第三方机构提供多元化的信息服务</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9" w:right="-8"/>
              <w:jc w:val="both"/>
              <w:rPr>
                <w:rFonts w:ascii="宋体" w:hAnsi="宋体" w:cs="宋体" w:eastAsia="宋体" w:hint="default"/>
                <w:sz w:val="18"/>
                <w:szCs w:val="18"/>
              </w:rPr>
            </w:pPr>
            <w:r>
              <w:rPr>
                <w:rFonts w:ascii="宋体" w:hAnsi="宋体" w:cs="宋体" w:eastAsia="宋体" w:hint="default"/>
                <w:sz w:val="18"/>
                <w:szCs w:val="18"/>
              </w:rPr>
              <w:t>搭建以健康城市、城</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市大脑为核心的智慧</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医疗云操作系统，整</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合来自不同卫生机构</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的医疗服务，实现各</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数据信息及服务的共</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享，</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214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3"/>
              <w:ind w:left="4" w:right="-43"/>
              <w:jc w:val="both"/>
              <w:rPr>
                <w:rFonts w:ascii="宋体" w:hAnsi="宋体" w:cs="宋体" w:eastAsia="宋体" w:hint="default"/>
                <w:sz w:val="18"/>
                <w:szCs w:val="18"/>
              </w:rPr>
            </w:pPr>
            <w:r>
              <w:rPr>
                <w:rFonts w:ascii="宋体" w:hAnsi="宋体" w:cs="宋体" w:eastAsia="宋体" w:hint="default"/>
                <w:spacing w:val="-6"/>
                <w:sz w:val="18"/>
                <w:szCs w:val="18"/>
              </w:rPr>
              <w:t>在当前智慧健康城市、城市</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9"/>
                <w:sz w:val="18"/>
                <w:szCs w:val="18"/>
              </w:rPr>
              <w:t>大脑卫建系统等建设热点</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6"/>
                <w:sz w:val="18"/>
                <w:szCs w:val="18"/>
              </w:rPr>
              <w:t>下，政府、区域和老百姓迫</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6"/>
                <w:sz w:val="18"/>
                <w:szCs w:val="18"/>
              </w:rPr>
              <w:t>切，现有的各医疗机构信息</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6"/>
                <w:sz w:val="18"/>
                <w:szCs w:val="18"/>
              </w:rPr>
              <w:t>化建设的可及性、互操作性</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6"/>
                <w:sz w:val="18"/>
                <w:szCs w:val="18"/>
              </w:rPr>
              <w:t>更强，该研发项目可让公司</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9"/>
                <w:sz w:val="18"/>
                <w:szCs w:val="18"/>
              </w:rPr>
              <w:t>成为城市卫建系统的整合</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3"/>
                <w:sz w:val="18"/>
                <w:szCs w:val="18"/>
              </w:rPr>
              <w:t>者、信息标准化的推广者，</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9"/>
                <w:sz w:val="18"/>
                <w:szCs w:val="18"/>
              </w:rPr>
              <w:t>极大程度增加公司在分级</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9"/>
                <w:sz w:val="18"/>
                <w:szCs w:val="18"/>
              </w:rPr>
              <w:t>诊疗的新医改背景下的竞</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争力。</w:t>
            </w:r>
          </w:p>
        </w:tc>
      </w:tr>
      <w:tr>
        <w:trPr>
          <w:trHeight w:val="2612" w:hRule="exact"/>
        </w:trPr>
        <w:tc>
          <w:tcPr>
            <w:tcW w:w="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7" w:right="32"/>
              <w:jc w:val="center"/>
              <w:rPr>
                <w:rFonts w:ascii="宋体" w:hAnsi="宋体" w:cs="宋体" w:eastAsia="宋体" w:hint="default"/>
                <w:sz w:val="18"/>
                <w:szCs w:val="18"/>
              </w:rPr>
            </w:pPr>
            <w:r>
              <w:rPr>
                <w:rFonts w:ascii="宋体" w:hAnsi="宋体" w:cs="宋体" w:eastAsia="宋体" w:hint="default"/>
                <w:spacing w:val="-2"/>
                <w:sz w:val="18"/>
                <w:szCs w:val="18"/>
              </w:rPr>
              <w:t>基于互联网的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智慧医疗健康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管理平台</w:t>
            </w:r>
          </w:p>
        </w:tc>
        <w:tc>
          <w:tcPr>
            <w:tcW w:w="43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4"/>
              <w:jc w:val="both"/>
              <w:rPr>
                <w:rFonts w:ascii="宋体" w:hAnsi="宋体" w:cs="宋体" w:eastAsia="宋体" w:hint="default"/>
                <w:sz w:val="18"/>
                <w:szCs w:val="18"/>
              </w:rPr>
            </w:pPr>
            <w:r>
              <w:rPr>
                <w:rFonts w:ascii="宋体" w:hAnsi="宋体" w:cs="宋体" w:eastAsia="宋体" w:hint="default"/>
                <w:sz w:val="18"/>
                <w:szCs w:val="18"/>
              </w:rPr>
              <w:t>建设智慧医疗健康管理平台，将区域内医疗卫生服务资</w:t>
            </w:r>
            <w:r>
              <w:rPr>
                <w:rFonts w:ascii="宋体" w:hAnsi="宋体" w:cs="宋体" w:eastAsia="宋体" w:hint="default"/>
                <w:spacing w:val="-33"/>
                <w:sz w:val="18"/>
                <w:szCs w:val="18"/>
              </w:rPr>
              <w:t> </w:t>
            </w:r>
            <w:r>
              <w:rPr>
                <w:rFonts w:ascii="宋体" w:hAnsi="宋体" w:cs="宋体" w:eastAsia="宋体" w:hint="default"/>
                <w:sz w:val="18"/>
                <w:szCs w:val="18"/>
              </w:rPr>
              <w:t>源和居民健康服务资源通过平台实现线上资源和线下资</w:t>
            </w:r>
            <w:r>
              <w:rPr>
                <w:rFonts w:ascii="宋体" w:hAnsi="宋体" w:cs="宋体" w:eastAsia="宋体" w:hint="default"/>
                <w:spacing w:val="-33"/>
                <w:sz w:val="18"/>
                <w:szCs w:val="18"/>
              </w:rPr>
              <w:t> </w:t>
            </w:r>
            <w:r>
              <w:rPr>
                <w:rFonts w:ascii="宋体" w:hAnsi="宋体" w:cs="宋体" w:eastAsia="宋体" w:hint="default"/>
                <w:sz w:val="18"/>
                <w:szCs w:val="18"/>
              </w:rPr>
              <w:t>源的有效对接。完善居民健康档案，为每位市民建立涵</w:t>
            </w:r>
            <w:r>
              <w:rPr>
                <w:rFonts w:ascii="宋体" w:hAnsi="宋体" w:cs="宋体" w:eastAsia="宋体" w:hint="default"/>
                <w:spacing w:val="-33"/>
                <w:sz w:val="18"/>
                <w:szCs w:val="18"/>
              </w:rPr>
              <w:t> </w:t>
            </w:r>
            <w:r>
              <w:rPr>
                <w:rFonts w:ascii="宋体" w:hAnsi="宋体" w:cs="宋体" w:eastAsia="宋体" w:hint="default"/>
                <w:sz w:val="18"/>
                <w:szCs w:val="18"/>
              </w:rPr>
              <w:t>盖个人基本信息和主要医疗卫生服务记录的电子健康档</w:t>
            </w:r>
            <w:r>
              <w:rPr>
                <w:rFonts w:ascii="宋体" w:hAnsi="宋体" w:cs="宋体" w:eastAsia="宋体" w:hint="default"/>
                <w:spacing w:val="-33"/>
                <w:sz w:val="18"/>
                <w:szCs w:val="18"/>
              </w:rPr>
              <w:t> </w:t>
            </w:r>
            <w:r>
              <w:rPr>
                <w:rFonts w:ascii="宋体" w:hAnsi="宋体" w:cs="宋体" w:eastAsia="宋体" w:hint="default"/>
                <w:sz w:val="18"/>
                <w:szCs w:val="18"/>
              </w:rPr>
              <w:t>案，实现电子健康档案共享；构建信息惠民服务体系，</w:t>
            </w:r>
            <w:r>
              <w:rPr>
                <w:rFonts w:ascii="宋体" w:hAnsi="宋体" w:cs="宋体" w:eastAsia="宋体" w:hint="default"/>
                <w:spacing w:val="-33"/>
                <w:sz w:val="18"/>
                <w:szCs w:val="18"/>
              </w:rPr>
              <w:t> </w:t>
            </w:r>
            <w:r>
              <w:rPr>
                <w:rFonts w:ascii="宋体" w:hAnsi="宋体" w:cs="宋体" w:eastAsia="宋体" w:hint="default"/>
                <w:sz w:val="18"/>
                <w:szCs w:val="18"/>
              </w:rPr>
              <w:t>为居民提供多种健康服务；推动分级诊疗协作体系，建</w:t>
            </w:r>
            <w:r>
              <w:rPr>
                <w:rFonts w:ascii="宋体" w:hAnsi="宋体" w:cs="宋体" w:eastAsia="宋体" w:hint="default"/>
                <w:spacing w:val="-33"/>
                <w:sz w:val="18"/>
                <w:szCs w:val="18"/>
              </w:rPr>
              <w:t> </w:t>
            </w:r>
            <w:r>
              <w:rPr>
                <w:rFonts w:ascii="宋体" w:hAnsi="宋体" w:cs="宋体" w:eastAsia="宋体" w:hint="default"/>
                <w:sz w:val="18"/>
                <w:szCs w:val="18"/>
              </w:rPr>
              <w:t>立区域医疗协作机制，实现各级诊疗机构的诊疗信息互</w:t>
            </w:r>
            <w:r>
              <w:rPr>
                <w:rFonts w:ascii="宋体" w:hAnsi="宋体" w:cs="宋体" w:eastAsia="宋体" w:hint="default"/>
                <w:spacing w:val="-33"/>
                <w:sz w:val="18"/>
                <w:szCs w:val="18"/>
              </w:rPr>
              <w:t> </w:t>
            </w:r>
            <w:r>
              <w:rPr>
                <w:rFonts w:ascii="宋体" w:hAnsi="宋体" w:cs="宋体" w:eastAsia="宋体" w:hint="default"/>
                <w:spacing w:val="-3"/>
                <w:sz w:val="18"/>
                <w:szCs w:val="18"/>
              </w:rPr>
              <w:t>通、共享和互认；创新居民医疗服务应用。</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9" w:right="-10"/>
              <w:jc w:val="both"/>
              <w:rPr>
                <w:rFonts w:ascii="宋体" w:hAnsi="宋体" w:cs="宋体" w:eastAsia="宋体" w:hint="default"/>
                <w:sz w:val="18"/>
                <w:szCs w:val="18"/>
              </w:rPr>
            </w:pPr>
            <w:r>
              <w:rPr>
                <w:rFonts w:ascii="宋体" w:hAnsi="宋体" w:cs="宋体" w:eastAsia="宋体" w:hint="default"/>
                <w:sz w:val="18"/>
                <w:szCs w:val="18"/>
              </w:rPr>
              <w:t>完成居民电子健康档</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案功能研发及以互联</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网为依托的居民医疗</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服务体系建设，完成</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建设双向转诊、远程</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会诊等分级诊疗服务</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体系。</w:t>
            </w:r>
          </w:p>
        </w:tc>
        <w:tc>
          <w:tcPr>
            <w:tcW w:w="214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43"/>
              <w:jc w:val="both"/>
              <w:rPr>
                <w:rFonts w:ascii="宋体" w:hAnsi="宋体" w:cs="宋体" w:eastAsia="宋体" w:hint="default"/>
                <w:sz w:val="18"/>
                <w:szCs w:val="18"/>
              </w:rPr>
            </w:pPr>
            <w:r>
              <w:rPr>
                <w:rFonts w:ascii="宋体" w:hAnsi="宋体" w:cs="宋体" w:eastAsia="宋体" w:hint="default"/>
                <w:spacing w:val="9"/>
                <w:sz w:val="18"/>
                <w:szCs w:val="18"/>
              </w:rPr>
              <w:t>在技术发展和经济社会发</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6"/>
                <w:sz w:val="18"/>
                <w:szCs w:val="18"/>
              </w:rPr>
              <w:t>展的共同推动下，全人全程</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6"/>
                <w:sz w:val="18"/>
                <w:szCs w:val="18"/>
              </w:rPr>
              <w:t>的健康管理，未病先治的理</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9"/>
                <w:sz w:val="18"/>
                <w:szCs w:val="18"/>
              </w:rPr>
              <w:t>念必将进一步推动健康管</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6"/>
                <w:sz w:val="18"/>
                <w:szCs w:val="18"/>
              </w:rPr>
              <w:t>理业务的不断壮大，同时大</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9"/>
                <w:sz w:val="18"/>
                <w:szCs w:val="18"/>
              </w:rPr>
              <w:t>规模的推动互联网的智慧</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3"/>
                <w:sz w:val="18"/>
                <w:szCs w:val="18"/>
              </w:rPr>
              <w:t>医疗健康管理平台的建设。</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before="46"/>
        <w:ind w:right="0"/>
        <w:jc w:val="left"/>
      </w:pPr>
      <w:r>
        <w:rPr>
          <w:spacing w:val="-3"/>
        </w:rPr>
        <w:t>近三年公司研发投入金额及占营业收入的比例</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0"/>
        <w:gridCol w:w="2406"/>
        <w:gridCol w:w="2391"/>
        <w:gridCol w:w="2391"/>
      </w:tblGrid>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r>
      <w:tr>
        <w:trPr>
          <w:trHeight w:val="398"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研发人员数量（人）</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235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z w:val="18"/>
              </w:rPr>
              <w:t>196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166</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39.76%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35.70%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34.73%</w:t>
            </w:r>
          </w:p>
        </w:tc>
      </w:tr>
      <w:tr>
        <w:trPr>
          <w:trHeight w:val="404"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研发投入金额（元）</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47,387,109.78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46,634,408.87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40,828,342.34</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研发投入占营业收入比例</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3"/>
                <w:sz w:val="18"/>
              </w:rPr>
              <w:t>11.91%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14.78%</w:t>
            </w:r>
          </w:p>
        </w:tc>
      </w:tr>
      <w:tr>
        <w:trPr>
          <w:trHeight w:val="398"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2"/>
                <w:sz w:val="18"/>
                <w:szCs w:val="18"/>
              </w:rPr>
              <w:t>研发支出资本化的金额（元）</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1,678,389.28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1,949,610.55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1,127,346.55</w:t>
            </w:r>
          </w:p>
        </w:tc>
      </w:tr>
      <w:tr>
        <w:trPr>
          <w:trHeight w:val="716"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181"/>
              <w:jc w:val="left"/>
              <w:rPr>
                <w:rFonts w:ascii="宋体" w:hAnsi="宋体" w:cs="宋体" w:eastAsia="宋体" w:hint="default"/>
                <w:sz w:val="18"/>
                <w:szCs w:val="18"/>
              </w:rPr>
            </w:pPr>
            <w:r>
              <w:rPr>
                <w:rFonts w:ascii="宋体" w:hAnsi="宋体" w:cs="宋体" w:eastAsia="宋体" w:hint="default"/>
                <w:spacing w:val="-3"/>
                <w:sz w:val="18"/>
                <w:szCs w:val="18"/>
              </w:rPr>
              <w:t>资本化研发支出占研发投入</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的比例</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2.76%</w:t>
            </w:r>
          </w:p>
        </w:tc>
      </w:tr>
      <w:tr>
        <w:trPr>
          <w:trHeight w:val="715"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181"/>
              <w:jc w:val="left"/>
              <w:rPr>
                <w:rFonts w:ascii="宋体" w:hAnsi="宋体" w:cs="宋体" w:eastAsia="宋体" w:hint="default"/>
                <w:sz w:val="18"/>
                <w:szCs w:val="18"/>
              </w:rPr>
            </w:pPr>
            <w:r>
              <w:rPr>
                <w:rFonts w:ascii="宋体" w:hAnsi="宋体" w:cs="宋体" w:eastAsia="宋体" w:hint="default"/>
                <w:spacing w:val="-3"/>
                <w:sz w:val="18"/>
                <w:szCs w:val="18"/>
              </w:rPr>
              <w:t>资本化研发支出占当期净利</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润的比重</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3.38%</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741" w:footer="979" w:top="1060" w:bottom="1160" w:left="980" w:right="0"/>
        </w:sectPr>
      </w:pPr>
    </w:p>
    <w:p>
      <w:pPr>
        <w:pStyle w:val="BodyText"/>
        <w:spacing w:line="240" w:lineRule="auto" w:before="46"/>
        <w:ind w:right="-13"/>
        <w:jc w:val="left"/>
      </w:pPr>
      <w:r>
        <w:rPr>
          <w:spacing w:val="-3"/>
        </w:rPr>
        <w:t>研发投入总额占营业收入的比重较上年发生显著变化的原因</w:t>
      </w:r>
    </w:p>
    <w:p>
      <w:pPr>
        <w:pStyle w:val="BodyText"/>
        <w:spacing w:line="343" w:lineRule="auto" w:before="115"/>
        <w:ind w:right="3763"/>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研发投入资本化率大幅变动的原因及其合理性说明</w:t>
      </w:r>
    </w:p>
    <w:p>
      <w:pPr>
        <w:pStyle w:val="BodyText"/>
        <w:spacing w:line="240" w:lineRule="auto" w:before="38"/>
        <w:ind w:right="-13"/>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right="-13"/>
        <w:jc w:val="left"/>
      </w:pPr>
      <w:r>
        <w:rPr>
          <w:spacing w:val="-3"/>
        </w:rPr>
        <w:t>公司需遵守《深圳证券交易所行业信息披露指引第 </w:t>
      </w:r>
      <w:r>
        <w:rPr>
          <w:rFonts w:ascii="Times New Roman" w:hAnsi="Times New Roman" w:cs="Times New Roman" w:eastAsia="Times New Roman" w:hint="default"/>
        </w:rPr>
        <w:t>12  </w:t>
      </w:r>
      <w:r>
        <w:rPr>
          <w:rFonts w:ascii="Times New Roman" w:hAnsi="Times New Roman" w:cs="Times New Roman" w:eastAsia="Times New Roman" w:hint="default"/>
          <w:spacing w:val="11"/>
        </w:rPr>
        <w:t> </w:t>
      </w:r>
      <w:r>
        <w:rPr>
          <w:spacing w:val="-3"/>
        </w:rPr>
        <w:t>号</w:t>
      </w:r>
      <w:r>
        <w:rPr>
          <w:rFonts w:ascii="Times New Roman" w:hAnsi="Times New Roman" w:cs="Times New Roman" w:eastAsia="Times New Roman" w:hint="default"/>
          <w:spacing w:val="-3"/>
        </w:rPr>
        <w:t>——</w:t>
      </w:r>
      <w:r>
        <w:rPr>
          <w:spacing w:val="-3"/>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left="-35" w:right="0"/>
        <w:jc w:val="left"/>
      </w:pPr>
      <w:r>
        <w:rPr/>
        <w:t>单位：元</w:t>
      </w:r>
    </w:p>
    <w:p>
      <w:pPr>
        <w:spacing w:after="0" w:line="240" w:lineRule="auto"/>
        <w:jc w:val="left"/>
        <w:sectPr>
          <w:type w:val="continuous"/>
          <w:pgSz w:w="11910" w:h="16840"/>
          <w:pgMar w:top="1060" w:bottom="1160" w:left="980" w:right="0"/>
          <w:cols w:num="2" w:equalWidth="0">
            <w:col w:w="9070" w:space="40"/>
            <w:col w:w="1820"/>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1" w:right="0"/>
              <w:jc w:val="left"/>
              <w:rPr>
                <w:rFonts w:ascii="宋体" w:hAnsi="宋体" w:cs="宋体" w:eastAsia="宋体" w:hint="default"/>
                <w:sz w:val="18"/>
                <w:szCs w:val="18"/>
              </w:rPr>
            </w:pPr>
            <w:r>
              <w:rPr>
                <w:rFonts w:ascii="宋体" w:hAnsi="宋体" w:cs="宋体" w:eastAsia="宋体" w:hint="default"/>
                <w:spacing w:val="-3"/>
                <w:sz w:val="18"/>
                <w:szCs w:val="18"/>
              </w:rPr>
              <w:t>研发资本化金额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pacing w:val="-3"/>
                <w:sz w:val="18"/>
                <w:szCs w:val="18"/>
              </w:rPr>
              <w:t>相关项目的基本情况</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实施进度</w:t>
            </w:r>
          </w:p>
        </w:tc>
      </w:tr>
      <w:tr>
        <w:trPr>
          <w:trHeight w:val="1340"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pacing w:val="-4"/>
                <w:sz w:val="18"/>
              </w:rPr>
              <w:t>SMART</w:t>
            </w:r>
            <w:r>
              <w:rPr>
                <w:rFonts w:ascii="Times New Roman"/>
                <w:spacing w:val="10"/>
                <w:sz w:val="18"/>
              </w:rPr>
              <w:t> </w:t>
            </w:r>
            <w:r>
              <w:rPr>
                <w:rFonts w:ascii="Times New Roman"/>
                <w:spacing w:val="-4"/>
                <w:sz w:val="18"/>
              </w:rPr>
              <w:t>HIS</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416" w:right="0"/>
              <w:jc w:val="left"/>
              <w:rPr>
                <w:rFonts w:ascii="Times New Roman" w:hAnsi="Times New Roman" w:cs="Times New Roman" w:eastAsia="Times New Roman" w:hint="default"/>
                <w:sz w:val="18"/>
                <w:szCs w:val="18"/>
              </w:rPr>
            </w:pPr>
            <w:r>
              <w:rPr>
                <w:rFonts w:ascii="Times New Roman"/>
                <w:sz w:val="18"/>
              </w:rPr>
              <w:t>1,678,389.28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4"/>
              <w:ind w:left="23" w:right="14"/>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SMART HIS </w:t>
            </w:r>
            <w:r>
              <w:rPr>
                <w:rFonts w:ascii="宋体" w:hAnsi="宋体" w:cs="宋体" w:eastAsia="宋体" w:hint="default"/>
                <w:sz w:val="18"/>
                <w:szCs w:val="18"/>
              </w:rPr>
              <w:t>项目开发系基于</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原</w:t>
            </w:r>
            <w:r>
              <w:rPr>
                <w:rFonts w:ascii="宋体" w:hAnsi="宋体" w:cs="宋体" w:eastAsia="宋体" w:hint="default"/>
                <w:spacing w:val="-38"/>
                <w:sz w:val="18"/>
                <w:szCs w:val="18"/>
              </w:rPr>
              <w:t> </w:t>
            </w:r>
            <w:r>
              <w:rPr>
                <w:rFonts w:ascii="Times New Roman" w:hAnsi="Times New Roman" w:cs="Times New Roman" w:eastAsia="Times New Roman" w:hint="default"/>
                <w:spacing w:val="-2"/>
                <w:sz w:val="18"/>
                <w:szCs w:val="18"/>
              </w:rPr>
              <w:t>HIS</w:t>
            </w:r>
            <w:r>
              <w:rPr>
                <w:rFonts w:ascii="Times New Roman" w:hAnsi="Times New Roman" w:cs="Times New Roman" w:eastAsia="Times New Roman" w:hint="default"/>
                <w:spacing w:val="6"/>
                <w:sz w:val="18"/>
                <w:szCs w:val="18"/>
              </w:rPr>
              <w:t> </w:t>
            </w:r>
            <w:r>
              <w:rPr>
                <w:rFonts w:ascii="宋体" w:hAnsi="宋体" w:cs="宋体" w:eastAsia="宋体" w:hint="default"/>
                <w:spacing w:val="-8"/>
                <w:sz w:val="18"/>
                <w:szCs w:val="18"/>
              </w:rPr>
              <w:t>系统、</w:t>
            </w:r>
            <w:r>
              <w:rPr>
                <w:rFonts w:ascii="Times New Roman" w:hAnsi="Times New Roman" w:cs="Times New Roman" w:eastAsia="Times New Roman" w:hint="default"/>
                <w:spacing w:val="-8"/>
                <w:sz w:val="18"/>
                <w:szCs w:val="18"/>
              </w:rPr>
              <w:t>PRIDE</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系统完成</w:t>
            </w:r>
            <w:r>
              <w:rPr>
                <w:rFonts w:ascii="宋体" w:hAnsi="宋体" w:cs="宋体" w:eastAsia="宋体" w:hint="default"/>
                <w:spacing w:val="-87"/>
                <w:sz w:val="18"/>
                <w:szCs w:val="18"/>
              </w:rPr>
              <w:t> </w:t>
            </w:r>
            <w:r>
              <w:rPr>
                <w:rFonts w:ascii="宋体" w:hAnsi="宋体" w:cs="宋体" w:eastAsia="宋体" w:hint="default"/>
                <w:sz w:val="18"/>
                <w:szCs w:val="18"/>
              </w:rPr>
              <w:t>对一体化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HIS/EMR</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系统的重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新构建</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月已完成</w:t>
            </w:r>
          </w:p>
        </w:tc>
      </w:tr>
    </w:tbl>
    <w:p>
      <w:pPr>
        <w:pStyle w:val="BodyText"/>
        <w:spacing w:line="300" w:lineRule="auto" w:before="10"/>
        <w:ind w:right="0" w:firstLine="427"/>
        <w:jc w:val="left"/>
      </w:pPr>
      <w:r>
        <w:rPr>
          <w:rFonts w:ascii="Times New Roman" w:hAnsi="Times New Roman" w:cs="Times New Roman" w:eastAsia="Times New Roman" w:hint="default"/>
          <w:spacing w:val="-2"/>
        </w:rPr>
        <w:t>SMART</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2"/>
        </w:rPr>
        <w:t>HIS</w:t>
      </w:r>
      <w:r>
        <w:rPr>
          <w:spacing w:val="-2"/>
        </w:rPr>
        <w:t>前期研发已形成产品并出售，目前新立项系基于原</w:t>
      </w:r>
      <w:r>
        <w:rPr>
          <w:rFonts w:ascii="Times New Roman" w:hAnsi="Times New Roman" w:cs="Times New Roman" w:eastAsia="Times New Roman" w:hint="default"/>
          <w:spacing w:val="-2"/>
        </w:rPr>
        <w:t>HIS</w:t>
      </w:r>
      <w:r>
        <w:rPr>
          <w:spacing w:val="-2"/>
        </w:rPr>
        <w:t>系统、</w:t>
      </w:r>
      <w:r>
        <w:rPr>
          <w:rFonts w:ascii="Times New Roman" w:hAnsi="Times New Roman" w:cs="Times New Roman" w:eastAsia="Times New Roman" w:hint="default"/>
          <w:spacing w:val="-2"/>
        </w:rPr>
        <w:t>PRIDE</w:t>
      </w:r>
      <w:r>
        <w:rPr>
          <w:spacing w:val="-2"/>
        </w:rPr>
        <w:t>系统完成对一体化</w:t>
      </w:r>
      <w:r>
        <w:rPr>
          <w:rFonts w:ascii="Times New Roman" w:hAnsi="Times New Roman" w:cs="Times New Roman" w:eastAsia="Times New Roman" w:hint="default"/>
          <w:spacing w:val="-2"/>
        </w:rPr>
        <w:t>HIS/EMR</w:t>
      </w:r>
      <w:r>
        <w:rPr>
          <w:spacing w:val="-2"/>
        </w:rPr>
        <w:t>系统的重</w:t>
      </w:r>
      <w:r>
        <w:rPr>
          <w:w w:val="101"/>
        </w:rPr>
        <w:t> </w:t>
      </w:r>
      <w:r>
        <w:rPr>
          <w:spacing w:val="-3"/>
        </w:rPr>
        <w:t>新构建，故相关支出全部资本化。</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50"/>
        <w:ind w:right="0"/>
        <w:jc w:val="left"/>
        <w:rPr>
          <w:b w:val="0"/>
          <w:bCs w:val="0"/>
        </w:rPr>
      </w:pPr>
      <w:bookmarkStart w:name="5、现金流" w:id="37"/>
      <w:bookmarkEnd w:id="37"/>
      <w:r>
        <w:rPr>
          <w:b w:val="0"/>
          <w:bCs w:val="0"/>
        </w:rPr>
      </w:r>
      <w:r>
        <w:rPr>
          <w:rFonts w:ascii="Times New Roman" w:hAnsi="Times New Roman" w:cs="Times New Roman" w:eastAsia="Times New Roman" w:hint="default"/>
        </w:rPr>
        <w:t>5</w:t>
      </w:r>
      <w:r>
        <w:rPr/>
        <w:t>、现金流</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0"/>
        <w:gridCol w:w="2406"/>
        <w:gridCol w:w="2391"/>
        <w:gridCol w:w="2391"/>
      </w:tblGrid>
      <w:tr>
        <w:trPr>
          <w:trHeight w:val="404"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500,034,024.01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330,257,442.50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51.41%</w:t>
            </w:r>
          </w:p>
        </w:tc>
      </w:tr>
      <w:tr>
        <w:trPr>
          <w:trHeight w:val="398"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458,618,385.68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312,029,009.15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46.98%</w:t>
            </w:r>
          </w:p>
        </w:tc>
      </w:tr>
      <w:tr>
        <w:trPr>
          <w:trHeight w:val="716"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1" w:right="181"/>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41,415,638.33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18,228,433.35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127.20%</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936,501,317.53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880,437,162.37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6.37%</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1,099,232,971.88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774,926,579.79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41.85%</w:t>
            </w:r>
          </w:p>
        </w:tc>
      </w:tr>
      <w:tr>
        <w:trPr>
          <w:trHeight w:val="711"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81"/>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-162,731,654.35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105,510,582.58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-254.23%</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99,553,100.00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159,046,500.00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-37.41%</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116,999,531.43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40,219,010.42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190.91%</w:t>
            </w:r>
          </w:p>
        </w:tc>
      </w:tr>
      <w:tr>
        <w:trPr>
          <w:trHeight w:val="715"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81"/>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-17,446,431.43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118,827,489.58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3"/>
                <w:sz w:val="18"/>
              </w:rPr>
              <w:t>-114.68%</w:t>
            </w:r>
          </w:p>
        </w:tc>
      </w:tr>
      <w:tr>
        <w:trPr>
          <w:trHeight w:val="404"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24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-138,762,447.45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242,566,505.51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-157.21%</w:t>
            </w:r>
          </w:p>
        </w:tc>
      </w:tr>
    </w:tbl>
    <w:p>
      <w:pPr>
        <w:pStyle w:val="BodyText"/>
        <w:spacing w:line="240" w:lineRule="auto" w:before="53"/>
        <w:ind w:right="0"/>
        <w:jc w:val="left"/>
      </w:pPr>
      <w:r>
        <w:rPr>
          <w:spacing w:val="-3"/>
        </w:rPr>
        <w:t>相关数据同比发生重大变动的主要影响因素说明</w:t>
      </w:r>
    </w:p>
    <w:p>
      <w:pPr>
        <w:pStyle w:val="BodyText"/>
        <w:spacing w:line="316" w:lineRule="auto" w:before="115"/>
        <w:ind w:right="103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rFonts w:ascii="Times New Roman" w:hAnsi="Times New Roman" w:cs="Times New Roman" w:eastAsia="Times New Roman" w:hint="default"/>
          <w:spacing w:val="-3"/>
        </w:rPr>
        <w:t>1</w:t>
      </w:r>
      <w:r>
        <w:rPr>
          <w:spacing w:val="-3"/>
        </w:rPr>
        <w:t>）经营活动现金流入较上年同期增长</w:t>
      </w:r>
      <w:r>
        <w:rPr>
          <w:rFonts w:ascii="Times New Roman" w:hAnsi="Times New Roman" w:cs="Times New Roman" w:eastAsia="Times New Roman" w:hint="default"/>
          <w:spacing w:val="-3"/>
        </w:rPr>
        <w:t>51.41%</w:t>
      </w:r>
      <w:r>
        <w:rPr>
          <w:spacing w:val="-3"/>
        </w:rPr>
        <w:t>，主要系销售回款增加影响，经营活动现金流出较上年同期增长</w:t>
      </w:r>
      <w:r>
        <w:rPr>
          <w:rFonts w:ascii="Times New Roman" w:hAnsi="Times New Roman" w:cs="Times New Roman" w:eastAsia="Times New Roman" w:hint="default"/>
          <w:spacing w:val="-3"/>
        </w:rPr>
        <w:t>46.98%</w:t>
      </w:r>
      <w:r>
        <w:rPr>
          <w:spacing w:val="-3"/>
        </w:rPr>
        <w:t>，主要</w:t>
      </w:r>
      <w:r>
        <w:rPr>
          <w:spacing w:val="56"/>
        </w:rPr>
        <w:t> </w:t>
      </w:r>
      <w:r>
        <w:rPr>
          <w:spacing w:val="-3"/>
        </w:rPr>
        <w:t>系业务增长，本期支付的采购款及税费增加所致；</w:t>
      </w:r>
      <w:r>
        <w:rPr>
          <w:spacing w:val="-22"/>
        </w:rPr>
        <w:t> </w:t>
      </w:r>
      <w:r>
        <w:rPr>
          <w:spacing w:val="-22"/>
        </w:rPr>
      </w:r>
      <w:r>
        <w:rPr>
          <w:rFonts w:ascii="Times New Roman" w:hAnsi="Times New Roman" w:cs="Times New Roman" w:eastAsia="Times New Roman" w:hint="default"/>
          <w:spacing w:val="-3"/>
        </w:rPr>
        <w:t>2</w:t>
      </w:r>
      <w:r>
        <w:rPr>
          <w:spacing w:val="-3"/>
        </w:rPr>
        <w:t>）投资活动现金流入、现金流出变动主要受银行理财产品购买及赎回影响；</w:t>
      </w:r>
    </w:p>
    <w:p>
      <w:pPr>
        <w:pStyle w:val="BodyText"/>
        <w:spacing w:line="248" w:lineRule="exact"/>
        <w:ind w:right="0"/>
        <w:jc w:val="left"/>
      </w:pPr>
      <w:r>
        <w:rPr>
          <w:rFonts w:ascii="Times New Roman" w:hAnsi="Times New Roman" w:cs="Times New Roman" w:eastAsia="Times New Roman" w:hint="default"/>
          <w:spacing w:val="-3"/>
        </w:rPr>
        <w:t>3</w:t>
      </w:r>
      <w:r>
        <w:rPr>
          <w:spacing w:val="-3"/>
        </w:rPr>
        <w:t>）筹资活动现金流入、现金流出变动主要受限制性股票计划、经营需要借入短期借款及上年短期借款到期偿还影响；</w:t>
      </w:r>
    </w:p>
    <w:p>
      <w:pPr>
        <w:spacing w:after="0" w:line="248" w:lineRule="exact"/>
        <w:jc w:val="left"/>
        <w:sectPr>
          <w:type w:val="continuous"/>
          <w:pgSz w:w="11910" w:h="16840"/>
          <w:pgMar w:top="1060" w:bottom="1160" w:left="980" w:right="0"/>
        </w:sectPr>
      </w:pPr>
    </w:p>
    <w:p>
      <w:pPr>
        <w:spacing w:line="240" w:lineRule="auto" w:before="6"/>
        <w:rPr>
          <w:rFonts w:ascii="宋体" w:hAnsi="宋体" w:cs="宋体" w:eastAsia="宋体" w:hint="default"/>
          <w:sz w:val="26"/>
          <w:szCs w:val="26"/>
        </w:rPr>
      </w:pPr>
    </w:p>
    <w:p>
      <w:pPr>
        <w:pStyle w:val="BodyText"/>
        <w:spacing w:line="240" w:lineRule="auto" w:before="46"/>
        <w:ind w:right="0"/>
        <w:jc w:val="left"/>
      </w:pPr>
      <w:r>
        <w:rPr>
          <w:spacing w:val="-3"/>
        </w:rPr>
        <w:t>报告期内公司经营活动产生的现金净流量与本年度净利润存在重大差异的原因说明</w:t>
      </w:r>
    </w:p>
    <w:p>
      <w:pPr>
        <w:pStyle w:val="BodyText"/>
        <w:spacing w:line="240" w:lineRule="auto" w:before="115"/>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bookmarkStart w:name="三、非主营业务情况" w:id="38"/>
      <w:bookmarkEnd w:id="38"/>
      <w:r>
        <w:rPr>
          <w:b w:val="0"/>
          <w:bCs w:val="0"/>
        </w:rPr>
      </w:r>
      <w:r>
        <w:rPr/>
        <w:t>三、非主营业务情况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四、资产及负债状况" w:id="39"/>
      <w:bookmarkEnd w:id="39"/>
      <w:r>
        <w:rPr>
          <w:b w:val="0"/>
          <w:bCs w:val="0"/>
        </w:rPr>
      </w:r>
      <w:r>
        <w:rPr/>
        <w:t>四、资产及负债状况</w:t>
      </w:r>
      <w:r>
        <w:rPr>
          <w:b w:val="0"/>
          <w:bCs w:val="0"/>
        </w:rPr>
      </w:r>
    </w:p>
    <w:p>
      <w:pPr>
        <w:spacing w:line="240" w:lineRule="auto" w:before="4"/>
        <w:rPr>
          <w:rFonts w:ascii="宋体" w:hAnsi="宋体" w:cs="宋体" w:eastAsia="宋体" w:hint="default"/>
          <w:b/>
          <w:bCs/>
          <w:sz w:val="25"/>
          <w:szCs w:val="25"/>
        </w:rPr>
      </w:pPr>
    </w:p>
    <w:p>
      <w:pPr>
        <w:pStyle w:val="Heading4"/>
        <w:spacing w:line="240" w:lineRule="auto"/>
        <w:ind w:right="0"/>
        <w:jc w:val="left"/>
        <w:rPr>
          <w:b w:val="0"/>
          <w:bCs w:val="0"/>
        </w:rPr>
      </w:pPr>
      <w:bookmarkStart w:name="1、资产构成重大变动情况" w:id="40"/>
      <w:bookmarkEnd w:id="40"/>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pStyle w:val="BodyText"/>
        <w:spacing w:line="240" w:lineRule="auto" w:before="46"/>
        <w:ind w:right="-14"/>
        <w:jc w:val="left"/>
      </w:pPr>
      <w:r>
        <w:rPr/>
        <w:t>公司 </w:t>
      </w:r>
      <w:r>
        <w:rPr>
          <w:rFonts w:ascii="Times New Roman" w:hAnsi="Times New Roman" w:cs="Times New Roman" w:eastAsia="Times New Roman" w:hint="default"/>
        </w:rPr>
        <w:t>2019 </w:t>
      </w:r>
      <w:r>
        <w:rPr>
          <w:rFonts w:ascii="Times New Roman" w:hAnsi="Times New Roman" w:cs="Times New Roman" w:eastAsia="Times New Roman" w:hint="default"/>
          <w:spacing w:val="37"/>
        </w:rPr>
        <w:t> </w:t>
      </w:r>
      <w:r>
        <w:rPr>
          <w:spacing w:val="-3"/>
        </w:rPr>
        <w:t>年起首次执行新金融工具准则、新收入准则或新租赁准则且调整执行当年年初财务报表相关项目</w:t>
      </w:r>
    </w:p>
    <w:p>
      <w:pPr>
        <w:pStyle w:val="BodyText"/>
        <w:spacing w:line="240" w:lineRule="auto" w:before="101"/>
        <w:ind w:right="-14"/>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8531" w:space="390"/>
            <w:col w:w="2009"/>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167"/>
        <w:gridCol w:w="1061"/>
        <w:gridCol w:w="1196"/>
        <w:gridCol w:w="1061"/>
        <w:gridCol w:w="802"/>
        <w:gridCol w:w="2920"/>
      </w:tblGrid>
      <w:tr>
        <w:trPr>
          <w:trHeight w:val="377" w:hRule="exact"/>
        </w:trPr>
        <w:tc>
          <w:tcPr>
            <w:tcW w:w="1357" w:type="dxa"/>
            <w:tcBorders>
              <w:top w:val="single" w:sz="4" w:space="0" w:color="000000"/>
              <w:left w:val="single" w:sz="4" w:space="0" w:color="000000"/>
              <w:bottom w:val="single" w:sz="13" w:space="0" w:color="FFFFFF"/>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13" w:space="0" w:color="FFFFFF"/>
              <w:right w:val="single" w:sz="4" w:space="0" w:color="000000"/>
            </w:tcBorders>
            <w:shd w:val="clear" w:color="auto" w:fill="D2D2D2"/>
          </w:tcPr>
          <w:p>
            <w:pPr>
              <w:pStyle w:val="TableParagraph"/>
              <w:spacing w:line="240" w:lineRule="auto" w:before="53"/>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2257" w:type="dxa"/>
            <w:gridSpan w:val="2"/>
            <w:tcBorders>
              <w:top w:val="single" w:sz="4" w:space="0" w:color="000000"/>
              <w:left w:val="single" w:sz="4" w:space="0" w:color="000000"/>
              <w:bottom w:val="single" w:sz="13" w:space="0" w:color="FFFFFF"/>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年初</w:t>
            </w:r>
            <w:r>
              <w:rPr>
                <w:rFonts w:ascii="宋体" w:hAnsi="宋体" w:cs="宋体" w:eastAsia="宋体" w:hint="default"/>
                <w:sz w:val="18"/>
                <w:szCs w:val="18"/>
              </w:rPr>
            </w:r>
          </w:p>
        </w:tc>
        <w:tc>
          <w:tcPr>
            <w:tcW w:w="802" w:type="dxa"/>
            <w:tcBorders>
              <w:top w:val="single" w:sz="4" w:space="0" w:color="000000"/>
              <w:left w:val="single" w:sz="4" w:space="0" w:color="000000"/>
              <w:bottom w:val="single" w:sz="13" w:space="0" w:color="FFFFFF"/>
              <w:right w:val="single" w:sz="4" w:space="0" w:color="000000"/>
            </w:tcBorders>
            <w:shd w:val="clear" w:color="auto" w:fill="D2D2D2"/>
          </w:tcPr>
          <w:p>
            <w:pPr/>
          </w:p>
        </w:tc>
        <w:tc>
          <w:tcPr>
            <w:tcW w:w="2920" w:type="dxa"/>
            <w:tcBorders>
              <w:top w:val="single" w:sz="4" w:space="0" w:color="000000"/>
              <w:left w:val="single" w:sz="4" w:space="0" w:color="000000"/>
              <w:bottom w:val="single" w:sz="13" w:space="0" w:color="FFFFFF"/>
              <w:right w:val="single" w:sz="4" w:space="0" w:color="000000"/>
            </w:tcBorders>
            <w:shd w:val="clear" w:color="auto" w:fill="D2D2D2"/>
          </w:tcPr>
          <w:p>
            <w:pPr/>
          </w:p>
        </w:tc>
      </w:tr>
      <w:tr>
        <w:trPr>
          <w:trHeight w:val="185" w:hRule="exact"/>
        </w:trPr>
        <w:tc>
          <w:tcPr>
            <w:tcW w:w="1357" w:type="dxa"/>
            <w:vMerge w:val="restart"/>
            <w:tcBorders>
              <w:top w:val="single" w:sz="13" w:space="0" w:color="FFFFFF"/>
              <w:left w:val="single" w:sz="4" w:space="0" w:color="000000"/>
              <w:right w:val="single" w:sz="4" w:space="0" w:color="000000"/>
            </w:tcBorders>
            <w:shd w:val="clear" w:color="auto" w:fill="D2D2D2"/>
          </w:tcPr>
          <w:p>
            <w:pPr/>
          </w:p>
        </w:tc>
        <w:tc>
          <w:tcPr>
            <w:tcW w:w="1167" w:type="dxa"/>
            <w:tcBorders>
              <w:top w:val="single" w:sz="13" w:space="0" w:color="FFFFFF"/>
              <w:left w:val="single" w:sz="4" w:space="0" w:color="000000"/>
              <w:bottom w:val="nil" w:sz="6" w:space="0" w:color="auto"/>
              <w:right w:val="single" w:sz="4" w:space="0" w:color="000000"/>
            </w:tcBorders>
            <w:shd w:val="clear" w:color="auto" w:fill="D2D2D2"/>
          </w:tcPr>
          <w:p>
            <w:pPr/>
          </w:p>
        </w:tc>
        <w:tc>
          <w:tcPr>
            <w:tcW w:w="1061" w:type="dxa"/>
            <w:vMerge w:val="restart"/>
            <w:tcBorders>
              <w:top w:val="single" w:sz="13" w:space="0" w:color="FFFFFF"/>
              <w:left w:val="single" w:sz="4" w:space="0" w:color="000000"/>
              <w:right w:val="single" w:sz="4" w:space="0" w:color="000000"/>
            </w:tcBorders>
            <w:shd w:val="clear" w:color="auto" w:fill="D2D2D2"/>
          </w:tcPr>
          <w:p>
            <w:pPr>
              <w:pStyle w:val="TableParagraph"/>
              <w:spacing w:line="321" w:lineRule="auto" w:before="6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占总资产比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例</w:t>
            </w:r>
          </w:p>
        </w:tc>
        <w:tc>
          <w:tcPr>
            <w:tcW w:w="1196" w:type="dxa"/>
            <w:tcBorders>
              <w:top w:val="single" w:sz="13" w:space="0" w:color="FFFFFF"/>
              <w:left w:val="single" w:sz="4" w:space="0" w:color="000000"/>
              <w:bottom w:val="nil" w:sz="6" w:space="0" w:color="auto"/>
              <w:right w:val="single" w:sz="4" w:space="0" w:color="000000"/>
            </w:tcBorders>
            <w:shd w:val="clear" w:color="auto" w:fill="D2D2D2"/>
          </w:tcPr>
          <w:p>
            <w:pPr/>
          </w:p>
        </w:tc>
        <w:tc>
          <w:tcPr>
            <w:tcW w:w="1061" w:type="dxa"/>
            <w:vMerge w:val="restart"/>
            <w:tcBorders>
              <w:top w:val="single" w:sz="13" w:space="0" w:color="FFFFFF"/>
              <w:left w:val="single" w:sz="4" w:space="0" w:color="000000"/>
              <w:right w:val="single" w:sz="4" w:space="0" w:color="000000"/>
            </w:tcBorders>
            <w:shd w:val="clear" w:color="auto" w:fill="D2D2D2"/>
          </w:tcPr>
          <w:p>
            <w:pPr>
              <w:pStyle w:val="TableParagraph"/>
              <w:spacing w:line="321" w:lineRule="auto" w:before="6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占总资产比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例</w:t>
            </w:r>
          </w:p>
        </w:tc>
        <w:tc>
          <w:tcPr>
            <w:tcW w:w="802" w:type="dxa"/>
            <w:vMerge w:val="restart"/>
            <w:tcBorders>
              <w:top w:val="single" w:sz="13" w:space="0" w:color="FFFFFF"/>
              <w:left w:val="single" w:sz="4" w:space="0" w:color="000000"/>
              <w:right w:val="single" w:sz="4" w:space="0" w:color="000000"/>
            </w:tcBorders>
            <w:shd w:val="clear" w:color="auto" w:fill="D2D2D2"/>
          </w:tcPr>
          <w:p>
            <w:pPr>
              <w:pStyle w:val="TableParagraph"/>
              <w:spacing w:line="240" w:lineRule="auto" w:before="20"/>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20" w:type="dxa"/>
            <w:vMerge w:val="restart"/>
            <w:tcBorders>
              <w:top w:val="single" w:sz="13" w:space="0" w:color="FFFFFF"/>
              <w:left w:val="single" w:sz="4" w:space="0" w:color="000000"/>
              <w:right w:val="single" w:sz="4" w:space="0" w:color="000000"/>
            </w:tcBorders>
            <w:shd w:val="clear" w:color="auto" w:fill="D2D2D2"/>
          </w:tcPr>
          <w:p>
            <w:pPr>
              <w:pStyle w:val="TableParagraph"/>
              <w:spacing w:line="240" w:lineRule="auto" w:before="20"/>
              <w:ind w:left="912"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1"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1" w:type="dxa"/>
            <w:vMerge/>
            <w:tcBorders>
              <w:left w:val="single" w:sz="4" w:space="0" w:color="000000"/>
              <w:right w:val="single" w:sz="4" w:space="0" w:color="000000"/>
            </w:tcBorders>
            <w:shd w:val="clear" w:color="auto" w:fill="D2D2D2"/>
          </w:tcPr>
          <w:p>
            <w:pPr/>
          </w:p>
        </w:tc>
        <w:tc>
          <w:tcPr>
            <w:tcW w:w="802" w:type="dxa"/>
            <w:vMerge/>
            <w:tcBorders>
              <w:left w:val="single" w:sz="4" w:space="0" w:color="000000"/>
              <w:bottom w:val="nil" w:sz="6" w:space="0" w:color="auto"/>
              <w:right w:val="single" w:sz="4" w:space="0" w:color="000000"/>
            </w:tcBorders>
            <w:shd w:val="clear" w:color="auto" w:fill="D2D2D2"/>
          </w:tcPr>
          <w:p>
            <w:pPr/>
          </w:p>
        </w:tc>
        <w:tc>
          <w:tcPr>
            <w:tcW w:w="2920"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7" w:type="dxa"/>
            <w:vMerge/>
            <w:tcBorders>
              <w:left w:val="single" w:sz="4" w:space="0" w:color="000000"/>
              <w:bottom w:val="nil" w:sz="6" w:space="0" w:color="auto"/>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802" w:type="dxa"/>
            <w:vMerge w:val="restart"/>
            <w:tcBorders>
              <w:top w:val="nil" w:sz="6" w:space="0" w:color="auto"/>
              <w:left w:val="single" w:sz="4" w:space="0" w:color="000000"/>
              <w:right w:val="single" w:sz="4" w:space="0" w:color="000000"/>
            </w:tcBorders>
            <w:shd w:val="clear" w:color="auto" w:fill="D2D2D2"/>
          </w:tcPr>
          <w:p>
            <w:pPr/>
          </w:p>
        </w:tc>
        <w:tc>
          <w:tcPr>
            <w:tcW w:w="2920" w:type="dxa"/>
            <w:vMerge w:val="restart"/>
            <w:tcBorders>
              <w:top w:val="nil" w:sz="6" w:space="0" w:color="auto"/>
              <w:left w:val="single" w:sz="4" w:space="0" w:color="000000"/>
              <w:right w:val="single" w:sz="4" w:space="0" w:color="000000"/>
            </w:tcBorders>
            <w:shd w:val="clear" w:color="auto" w:fill="D2D2D2"/>
          </w:tcPr>
          <w:p>
            <w:pPr/>
          </w:p>
        </w:tc>
      </w:tr>
      <w:tr>
        <w:trPr>
          <w:trHeight w:val="158"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2920" w:type="dxa"/>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7" w:type="dxa"/>
            <w:vMerge w:val="restart"/>
            <w:tcBorders>
              <w:top w:val="single" w:sz="4" w:space="0" w:color="000000"/>
              <w:left w:val="single" w:sz="10" w:space="0" w:color="D2D2D2"/>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299,629,587.6</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31.44%</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365,191,329.76</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38.69%</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-7.25%</w:t>
            </w:r>
          </w:p>
        </w:tc>
        <w:tc>
          <w:tcPr>
            <w:tcW w:w="292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购买理财产品影响</w:t>
            </w:r>
          </w:p>
        </w:tc>
      </w:tr>
      <w:tr>
        <w:trPr>
          <w:trHeight w:val="389"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7" w:type="dxa"/>
            <w:vMerge/>
            <w:tcBorders>
              <w:left w:val="single" w:sz="10" w:space="0" w:color="D2D2D2"/>
              <w:right w:val="single" w:sz="4" w:space="0" w:color="000000"/>
            </w:tcBorders>
          </w:tcPr>
          <w:p>
            <w:pPr/>
          </w:p>
        </w:tc>
        <w:tc>
          <w:tcPr>
            <w:tcW w:w="1061"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2920" w:type="dxa"/>
            <w:vMerge/>
            <w:tcBorders>
              <w:left w:val="single" w:sz="4" w:space="0" w:color="000000"/>
              <w:right w:val="single" w:sz="4" w:space="0" w:color="000000"/>
            </w:tcBorders>
          </w:tcPr>
          <w:p>
            <w:pPr/>
          </w:p>
        </w:tc>
      </w:tr>
      <w:tr>
        <w:trPr>
          <w:trHeight w:val="163"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7" w:type="dxa"/>
            <w:vMerge/>
            <w:tcBorders>
              <w:left w:val="single" w:sz="10" w:space="0" w:color="D2D2D2"/>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2920" w:type="dxa"/>
            <w:vMerge/>
            <w:tcBorders>
              <w:left w:val="single" w:sz="4" w:space="0" w:color="000000"/>
              <w:bottom w:val="single" w:sz="4" w:space="0" w:color="000000"/>
              <w:right w:val="single" w:sz="4" w:space="0" w:color="000000"/>
            </w:tcBorders>
          </w:tcPr>
          <w:p>
            <w:pPr/>
          </w:p>
        </w:tc>
      </w:tr>
      <w:tr>
        <w:trPr>
          <w:trHeight w:val="158"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7" w:type="dxa"/>
            <w:vMerge w:val="restart"/>
            <w:tcBorders>
              <w:top w:val="single" w:sz="4" w:space="0" w:color="000000"/>
              <w:left w:val="single" w:sz="10" w:space="0" w:color="D2D2D2"/>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307,633,563.0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32.28%</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311,603,506.03</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33.02%</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-0.74%</w:t>
            </w:r>
          </w:p>
        </w:tc>
        <w:tc>
          <w:tcPr>
            <w:tcW w:w="2920" w:type="dxa"/>
            <w:vMerge w:val="restart"/>
            <w:tcBorders>
              <w:top w:val="single" w:sz="4" w:space="0" w:color="000000"/>
              <w:left w:val="single" w:sz="4" w:space="0" w:color="000000"/>
              <w:right w:val="single" w:sz="4" w:space="0" w:color="000000"/>
            </w:tcBorders>
          </w:tcPr>
          <w:p>
            <w:pPr/>
          </w:p>
        </w:tc>
      </w:tr>
      <w:tr>
        <w:trPr>
          <w:trHeight w:val="394"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7" w:type="dxa"/>
            <w:vMerge/>
            <w:tcBorders>
              <w:left w:val="single" w:sz="10" w:space="0" w:color="D2D2D2"/>
              <w:right w:val="single" w:sz="4" w:space="0" w:color="000000"/>
            </w:tcBorders>
          </w:tcPr>
          <w:p>
            <w:pPr/>
          </w:p>
        </w:tc>
        <w:tc>
          <w:tcPr>
            <w:tcW w:w="1061"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2920" w:type="dxa"/>
            <w:vMerge/>
            <w:tcBorders>
              <w:left w:val="single" w:sz="4" w:space="0" w:color="000000"/>
              <w:right w:val="single" w:sz="4" w:space="0" w:color="000000"/>
            </w:tcBorders>
          </w:tcPr>
          <w:p>
            <w:pPr/>
          </w:p>
        </w:tc>
      </w:tr>
      <w:tr>
        <w:trPr>
          <w:trHeight w:val="163"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7" w:type="dxa"/>
            <w:vMerge/>
            <w:tcBorders>
              <w:left w:val="single" w:sz="10" w:space="0" w:color="D2D2D2"/>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2920" w:type="dxa"/>
            <w:vMerge/>
            <w:tcBorders>
              <w:left w:val="single" w:sz="4" w:space="0" w:color="000000"/>
              <w:bottom w:val="single" w:sz="4" w:space="0" w:color="000000"/>
              <w:right w:val="single" w:sz="4" w:space="0" w:color="000000"/>
            </w:tcBorders>
          </w:tcPr>
          <w:p>
            <w:pPr/>
          </w:p>
        </w:tc>
      </w:tr>
      <w:tr>
        <w:trPr>
          <w:trHeight w:val="398"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2,812,729.48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0.30%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2,025,660.66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0.21%</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0.09%</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70,560,652.22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7.40%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67,273,434.52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7.13%</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0.27%</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1,798,119.70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0.19%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0.19%</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85,943,289.73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9.02%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97,826,733.17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10.36%</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-1.34%</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7" w:type="dxa"/>
            <w:tcBorders>
              <w:top w:val="single" w:sz="4" w:space="0" w:color="000000"/>
              <w:left w:val="single" w:sz="13" w:space="0" w:color="D2D2D2"/>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80,752,591.67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8.47%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105,145,119.44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3"/>
                <w:sz w:val="18"/>
              </w:rPr>
              <w:t>11.14%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-2.67%</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7" w:type="dxa"/>
            <w:tcBorders>
              <w:top w:val="single" w:sz="4" w:space="0" w:color="000000"/>
              <w:left w:val="single" w:sz="13" w:space="0" w:color="D2D2D2"/>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100,864,952.6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10.58%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1,001,300.30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3"/>
                <w:sz w:val="18"/>
              </w:rPr>
              <w:t>0.11%</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10.47%</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购买理财产品影响</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以公允价值计量的资产和负债" w:id="41"/>
      <w:bookmarkEnd w:id="41"/>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9"/>
        <w:rPr>
          <w:rFonts w:ascii="宋体" w:hAnsi="宋体" w:cs="宋体" w:eastAsia="宋体" w:hint="default"/>
          <w:b/>
          <w:bCs/>
          <w:sz w:val="26"/>
          <w:szCs w:val="26"/>
        </w:rPr>
      </w:pPr>
    </w:p>
    <w:p>
      <w:pPr>
        <w:spacing w:line="542" w:lineRule="auto" w:before="0"/>
        <w:ind w:left="153" w:right="72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bookmarkStart w:name="3、截至报告期末的资产权利受限情况" w:id="42"/>
      <w:bookmarkEnd w:id="42"/>
      <w:r>
        <w:rPr>
          <w:rFonts w:ascii="宋体" w:hAnsi="宋体" w:cs="宋体" w:eastAsia="宋体" w:hint="default"/>
          <w:spacing w:val="-78"/>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、截至报告期末的资产权利受限情况</w:t>
      </w:r>
      <w:r>
        <w:rPr>
          <w:rFonts w:ascii="宋体" w:hAnsi="宋体" w:cs="宋体" w:eastAsia="宋体" w:hint="default"/>
          <w:b/>
          <w:bCs/>
          <w:w w:val="100"/>
          <w:sz w:val="21"/>
          <w:szCs w:val="21"/>
        </w:rPr>
        <w:t> </w:t>
      </w:r>
      <w:r>
        <w:rPr>
          <w:rFonts w:ascii="宋体" w:hAnsi="宋体" w:cs="宋体" w:eastAsia="宋体" w:hint="default"/>
          <w:sz w:val="18"/>
          <w:szCs w:val="18"/>
        </w:rPr>
        <w:t>无</w:t>
      </w:r>
    </w:p>
    <w:p>
      <w:pPr>
        <w:spacing w:after="0" w:line="542"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3"/>
          <w:szCs w:val="23"/>
        </w:rPr>
      </w:pPr>
    </w:p>
    <w:p>
      <w:pPr>
        <w:pStyle w:val="Heading2"/>
        <w:spacing w:line="240" w:lineRule="auto" w:before="26"/>
        <w:ind w:right="0"/>
        <w:jc w:val="left"/>
        <w:rPr>
          <w:b w:val="0"/>
          <w:bCs w:val="0"/>
        </w:rPr>
      </w:pPr>
      <w:bookmarkStart w:name="五、投资状况分析" w:id="43"/>
      <w:bookmarkEnd w:id="43"/>
      <w:r>
        <w:rPr>
          <w:b w:val="0"/>
          <w:bCs w:val="0"/>
        </w:rPr>
      </w:r>
      <w:r>
        <w:rPr/>
        <w:t>五、投资状况分析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总体情况" w:id="44"/>
      <w:bookmarkEnd w:id="44"/>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报告期投资额（元）</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报告期内获取的重大的股权投资情况" w:id="45"/>
      <w:bookmarkEnd w:id="45"/>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bookmarkStart w:name="3、报告期内正在进行的重大的非股权投资情况" w:id="46"/>
      <w:bookmarkEnd w:id="46"/>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bookmarkStart w:name="4、以公允价值计量的金融资产" w:id="47"/>
      <w:bookmarkEnd w:id="47"/>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4"/>
        <w:spacing w:line="240" w:lineRule="auto"/>
        <w:ind w:right="0"/>
        <w:jc w:val="left"/>
        <w:rPr>
          <w:b w:val="0"/>
          <w:bCs w:val="0"/>
        </w:rPr>
      </w:pPr>
      <w:bookmarkStart w:name="5、募集资金使用情况" w:id="48"/>
      <w:bookmarkEnd w:id="48"/>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bookmarkStart w:name="（1）募集资金总体使用情况" w:id="49"/>
      <w:bookmarkEnd w:id="49"/>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left="0" w:right="1122"/>
        <w:jc w:val="right"/>
      </w:pPr>
      <w:r>
        <w:rPr>
          <w:spacing w:val="-2"/>
        </w:rPr>
        <w:t>单位：万元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4"/>
        <w:gridCol w:w="869"/>
        <w:gridCol w:w="869"/>
        <w:gridCol w:w="869"/>
        <w:gridCol w:w="874"/>
        <w:gridCol w:w="869"/>
        <w:gridCol w:w="869"/>
        <w:gridCol w:w="869"/>
        <w:gridCol w:w="869"/>
      </w:tblGrid>
      <w:tr>
        <w:trPr>
          <w:trHeight w:val="1337"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2"/>
              <w:ind w:left="254" w:right="60" w:hanging="178"/>
              <w:jc w:val="left"/>
              <w:rPr>
                <w:rFonts w:ascii="宋体" w:hAnsi="宋体" w:cs="宋体" w:eastAsia="宋体" w:hint="default"/>
                <w:sz w:val="18"/>
                <w:szCs w:val="18"/>
              </w:rPr>
            </w:pPr>
            <w:r>
              <w:rPr>
                <w:rFonts w:ascii="宋体" w:hAnsi="宋体" w:cs="宋体" w:eastAsia="宋体" w:hint="default"/>
                <w:sz w:val="18"/>
                <w:szCs w:val="18"/>
              </w:rPr>
              <w:t>募集资金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9" w:lineRule="auto"/>
              <w:ind w:left="72" w:right="60"/>
              <w:jc w:val="both"/>
              <w:rPr>
                <w:rFonts w:ascii="宋体" w:hAnsi="宋体" w:cs="宋体" w:eastAsia="宋体" w:hint="default"/>
                <w:sz w:val="18"/>
                <w:szCs w:val="18"/>
              </w:rPr>
            </w:pPr>
            <w:r>
              <w:rPr>
                <w:rFonts w:ascii="宋体" w:hAnsi="宋体" w:cs="宋体" w:eastAsia="宋体" w:hint="default"/>
                <w:sz w:val="18"/>
                <w:szCs w:val="18"/>
              </w:rPr>
              <w:t>本期已使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用募集资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9" w:lineRule="auto"/>
              <w:ind w:left="71" w:right="60"/>
              <w:jc w:val="both"/>
              <w:rPr>
                <w:rFonts w:ascii="宋体" w:hAnsi="宋体" w:cs="宋体" w:eastAsia="宋体" w:hint="default"/>
                <w:sz w:val="18"/>
                <w:szCs w:val="18"/>
              </w:rPr>
            </w:pPr>
            <w:r>
              <w:rPr>
                <w:rFonts w:ascii="宋体" w:hAnsi="宋体" w:cs="宋体" w:eastAsia="宋体" w:hint="default"/>
                <w:sz w:val="18"/>
                <w:szCs w:val="18"/>
              </w:rPr>
              <w:t>已累计使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用募集资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67" w:right="65"/>
              <w:jc w:val="both"/>
              <w:rPr>
                <w:rFonts w:ascii="宋体" w:hAnsi="宋体" w:cs="宋体" w:eastAsia="宋体" w:hint="default"/>
                <w:sz w:val="18"/>
                <w:szCs w:val="18"/>
              </w:rPr>
            </w:pPr>
            <w:r>
              <w:rPr>
                <w:rFonts w:ascii="宋体" w:hAnsi="宋体" w:cs="宋体" w:eastAsia="宋体" w:hint="default"/>
                <w:sz w:val="18"/>
                <w:szCs w:val="18"/>
              </w:rPr>
              <w:t>报告期内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变更用途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的募集资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金总额</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71" w:right="65"/>
              <w:jc w:val="center"/>
              <w:rPr>
                <w:rFonts w:ascii="宋体" w:hAnsi="宋体" w:cs="宋体" w:eastAsia="宋体" w:hint="default"/>
                <w:sz w:val="18"/>
                <w:szCs w:val="18"/>
              </w:rPr>
            </w:pPr>
            <w:r>
              <w:rPr>
                <w:rFonts w:ascii="宋体" w:hAnsi="宋体" w:cs="宋体" w:eastAsia="宋体" w:hint="default"/>
                <w:spacing w:val="-2"/>
                <w:sz w:val="18"/>
                <w:szCs w:val="18"/>
              </w:rPr>
              <w:t>累计变更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用途的募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集资金总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72" w:right="60"/>
              <w:jc w:val="both"/>
              <w:rPr>
                <w:rFonts w:ascii="宋体" w:hAnsi="宋体" w:cs="宋体" w:eastAsia="宋体" w:hint="default"/>
                <w:sz w:val="18"/>
                <w:szCs w:val="18"/>
              </w:rPr>
            </w:pPr>
            <w:r>
              <w:rPr>
                <w:rFonts w:ascii="宋体" w:hAnsi="宋体" w:cs="宋体" w:eastAsia="宋体" w:hint="default"/>
                <w:sz w:val="18"/>
                <w:szCs w:val="18"/>
              </w:rPr>
              <w:t>累计变更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用途的募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集资金总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9" w:lineRule="auto"/>
              <w:ind w:left="72" w:right="60"/>
              <w:jc w:val="center"/>
              <w:rPr>
                <w:rFonts w:ascii="宋体" w:hAnsi="宋体" w:cs="宋体" w:eastAsia="宋体" w:hint="default"/>
                <w:sz w:val="18"/>
                <w:szCs w:val="18"/>
              </w:rPr>
            </w:pPr>
            <w:r>
              <w:rPr>
                <w:rFonts w:ascii="宋体" w:hAnsi="宋体" w:cs="宋体" w:eastAsia="宋体" w:hint="default"/>
                <w:spacing w:val="-2"/>
                <w:sz w:val="18"/>
                <w:szCs w:val="18"/>
              </w:rPr>
              <w:t>尚未使用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募集资金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71" w:right="60"/>
              <w:jc w:val="center"/>
              <w:rPr>
                <w:rFonts w:ascii="宋体" w:hAnsi="宋体" w:cs="宋体" w:eastAsia="宋体" w:hint="default"/>
                <w:sz w:val="18"/>
                <w:szCs w:val="18"/>
              </w:rPr>
            </w:pPr>
            <w:r>
              <w:rPr>
                <w:rFonts w:ascii="宋体" w:hAnsi="宋体" w:cs="宋体" w:eastAsia="宋体" w:hint="default"/>
                <w:spacing w:val="-2"/>
                <w:sz w:val="18"/>
                <w:szCs w:val="18"/>
              </w:rPr>
              <w:t>尚未使用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募集资金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用途及去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9" w:lineRule="auto"/>
              <w:ind w:left="67" w:right="65"/>
              <w:jc w:val="both"/>
              <w:rPr>
                <w:rFonts w:ascii="宋体" w:hAnsi="宋体" w:cs="宋体" w:eastAsia="宋体" w:hint="default"/>
                <w:sz w:val="18"/>
                <w:szCs w:val="18"/>
              </w:rPr>
            </w:pPr>
            <w:r>
              <w:rPr>
                <w:rFonts w:ascii="宋体" w:hAnsi="宋体" w:cs="宋体" w:eastAsia="宋体" w:hint="default"/>
                <w:sz w:val="18"/>
                <w:szCs w:val="18"/>
              </w:rPr>
              <w:t>闲置两年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以上募集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资金金额</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2016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4"/>
              <w:jc w:val="center"/>
              <w:rPr>
                <w:rFonts w:ascii="宋体" w:hAnsi="宋体" w:cs="宋体" w:eastAsia="宋体" w:hint="default"/>
                <w:sz w:val="18"/>
                <w:szCs w:val="18"/>
              </w:rPr>
            </w:pPr>
            <w:r>
              <w:rPr>
                <w:rFonts w:ascii="宋体" w:hAnsi="宋体" w:cs="宋体" w:eastAsia="宋体" w:hint="default"/>
                <w:sz w:val="18"/>
                <w:szCs w:val="18"/>
              </w:rPr>
              <w:t>直接定价</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21,159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603.97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17,897.28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790.01</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790.01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3.73%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21,159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603.97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17,897.28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790.01</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790.01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3.73%</w:t>
            </w:r>
          </w:p>
        </w:tc>
        <w:tc>
          <w:tcPr>
            <w:tcW w:w="86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6"/>
              <w:ind w:right="10"/>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9"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pacing w:val="-3"/>
                <w:sz w:val="18"/>
                <w:szCs w:val="18"/>
              </w:rPr>
              <w:t>募集资金总体使用情况说明</w:t>
            </w:r>
          </w:p>
        </w:tc>
      </w:tr>
      <w:tr>
        <w:trPr>
          <w:trHeight w:val="2319"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实际募集资金金额和资金到账时间</w:t>
            </w:r>
          </w:p>
          <w:p>
            <w:pPr>
              <w:pStyle w:val="TableParagraph"/>
              <w:spacing w:line="300" w:lineRule="auto" w:before="96"/>
              <w:ind w:left="24" w:right="13"/>
              <w:jc w:val="left"/>
              <w:rPr>
                <w:rFonts w:ascii="宋体" w:hAnsi="宋体" w:cs="宋体" w:eastAsia="宋体" w:hint="default"/>
                <w:sz w:val="18"/>
                <w:szCs w:val="18"/>
              </w:rPr>
            </w:pPr>
            <w:r>
              <w:rPr>
                <w:rFonts w:ascii="宋体" w:hAnsi="宋体" w:cs="宋体" w:eastAsia="宋体" w:hint="default"/>
                <w:spacing w:val="-4"/>
                <w:sz w:val="18"/>
                <w:szCs w:val="18"/>
              </w:rPr>
              <w:t>经中国证券监督管理委员会证监许可〔</w:t>
            </w:r>
            <w:r>
              <w:rPr>
                <w:rFonts w:ascii="Times New Roman" w:hAnsi="Times New Roman" w:cs="Times New Roman" w:eastAsia="Times New Roman" w:hint="default"/>
                <w:spacing w:val="-4"/>
                <w:sz w:val="18"/>
                <w:szCs w:val="18"/>
              </w:rPr>
              <w:t>2016</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2096 </w:t>
            </w:r>
            <w:r>
              <w:rPr>
                <w:rFonts w:ascii="宋体" w:hAnsi="宋体" w:cs="宋体" w:eastAsia="宋体" w:hint="default"/>
                <w:spacing w:val="-4"/>
                <w:sz w:val="18"/>
                <w:szCs w:val="18"/>
              </w:rPr>
              <w:t>号文核准，并经贵所同意，本公司由主承销商中信证券股份有限公司采</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3"/>
                <w:sz w:val="18"/>
                <w:szCs w:val="18"/>
              </w:rPr>
              <w:t>用直接定价方式，向社会公众公开发行人民币普通股（</w:t>
            </w:r>
            <w:r>
              <w:rPr>
                <w:rFonts w:ascii="Times New Roman" w:hAnsi="Times New Roman" w:cs="Times New Roman" w:eastAsia="Times New Roman" w:hint="default"/>
                <w:spacing w:val="-3"/>
                <w:sz w:val="18"/>
                <w:szCs w:val="18"/>
              </w:rPr>
              <w:t>A </w:t>
            </w:r>
            <w:r>
              <w:rPr>
                <w:rFonts w:ascii="宋体" w:hAnsi="宋体" w:cs="宋体" w:eastAsia="宋体" w:hint="default"/>
                <w:sz w:val="18"/>
                <w:szCs w:val="18"/>
              </w:rPr>
              <w:t>股）股票 </w:t>
            </w:r>
            <w:r>
              <w:rPr>
                <w:rFonts w:ascii="Times New Roman" w:hAnsi="Times New Roman" w:cs="Times New Roman" w:eastAsia="Times New Roman" w:hint="default"/>
                <w:sz w:val="18"/>
                <w:szCs w:val="18"/>
              </w:rPr>
              <w:t>2,000  </w:t>
            </w:r>
            <w:r>
              <w:rPr>
                <w:rFonts w:ascii="宋体" w:hAnsi="宋体" w:cs="宋体" w:eastAsia="宋体" w:hint="default"/>
                <w:spacing w:val="-3"/>
                <w:sz w:val="18"/>
                <w:szCs w:val="18"/>
              </w:rPr>
              <w:t>万股，发行价为每股人民币 </w:t>
            </w:r>
            <w:r>
              <w:rPr>
                <w:rFonts w:ascii="Times New Roman" w:hAnsi="Times New Roman" w:cs="Times New Roman" w:eastAsia="Times New Roman" w:hint="default"/>
                <w:sz w:val="18"/>
                <w:szCs w:val="18"/>
              </w:rPr>
              <w:t>12.53</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元，共计募集</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25,060.00</w:t>
            </w:r>
            <w:r>
              <w:rPr>
                <w:rFonts w:ascii="Times New Roman" w:hAnsi="Times New Roman" w:cs="Times New Roman" w:eastAsia="Times New Roman" w:hint="default"/>
                <w:spacing w:val="13"/>
                <w:sz w:val="18"/>
                <w:szCs w:val="18"/>
              </w:rPr>
              <w:t> </w:t>
            </w:r>
            <w:r>
              <w:rPr>
                <w:rFonts w:ascii="宋体" w:hAnsi="宋体" w:cs="宋体" w:eastAsia="宋体" w:hint="default"/>
                <w:spacing w:val="-4"/>
                <w:sz w:val="18"/>
                <w:szCs w:val="18"/>
              </w:rPr>
              <w:t>万元，坐扣承销和保荐费用</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2,968.00</w:t>
            </w:r>
            <w:r>
              <w:rPr>
                <w:rFonts w:ascii="Times New Roman" w:hAnsi="Times New Roman" w:cs="Times New Roman" w:eastAsia="Times New Roman" w:hint="default"/>
                <w:spacing w:val="19"/>
                <w:sz w:val="18"/>
                <w:szCs w:val="18"/>
              </w:rPr>
              <w:t> </w:t>
            </w:r>
            <w:r>
              <w:rPr>
                <w:rFonts w:ascii="宋体" w:hAnsi="宋体" w:cs="宋体" w:eastAsia="宋体" w:hint="default"/>
                <w:spacing w:val="-3"/>
                <w:sz w:val="18"/>
                <w:szCs w:val="18"/>
              </w:rPr>
              <w:t>万元后的募集资金为</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22,092.00</w:t>
            </w:r>
            <w:r>
              <w:rPr>
                <w:rFonts w:ascii="Times New Roman" w:hAnsi="Times New Roman" w:cs="Times New Roman" w:eastAsia="Times New Roman" w:hint="default"/>
                <w:spacing w:val="19"/>
                <w:sz w:val="18"/>
                <w:szCs w:val="18"/>
              </w:rPr>
              <w:t> </w:t>
            </w:r>
            <w:r>
              <w:rPr>
                <w:rFonts w:ascii="宋体" w:hAnsi="宋体" w:cs="宋体" w:eastAsia="宋体" w:hint="default"/>
                <w:spacing w:val="-4"/>
                <w:sz w:val="18"/>
                <w:szCs w:val="18"/>
              </w:rPr>
              <w:t>万元，已由主承销商中信证券股份有限</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公司于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10 </w:t>
            </w:r>
            <w:r>
              <w:rPr>
                <w:rFonts w:ascii="宋体" w:hAnsi="宋体" w:cs="宋体" w:eastAsia="宋体" w:hint="default"/>
                <w:sz w:val="18"/>
                <w:szCs w:val="18"/>
              </w:rPr>
              <w:t>月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日汇入本公司募集资金监管账户。另减除律师费、审计费、法定信息披露费等与发行权益性证券</w:t>
            </w:r>
          </w:p>
          <w:p>
            <w:pPr>
              <w:pStyle w:val="TableParagraph"/>
              <w:spacing w:line="304" w:lineRule="auto" w:before="63"/>
              <w:ind w:left="24" w:right="26"/>
              <w:jc w:val="left"/>
              <w:rPr>
                <w:rFonts w:ascii="宋体" w:hAnsi="宋体" w:cs="宋体" w:eastAsia="宋体" w:hint="default"/>
                <w:sz w:val="18"/>
                <w:szCs w:val="18"/>
              </w:rPr>
            </w:pPr>
            <w:r>
              <w:rPr>
                <w:rFonts w:ascii="宋体" w:hAnsi="宋体" w:cs="宋体" w:eastAsia="宋体" w:hint="default"/>
                <w:sz w:val="18"/>
                <w:szCs w:val="18"/>
              </w:rPr>
              <w:t>直接相关的新增外部费用 </w:t>
            </w:r>
            <w:r>
              <w:rPr>
                <w:rFonts w:ascii="Times New Roman" w:hAnsi="Times New Roman" w:cs="Times New Roman" w:eastAsia="Times New Roman" w:hint="default"/>
                <w:sz w:val="18"/>
                <w:szCs w:val="18"/>
              </w:rPr>
              <w:t>933.00 </w:t>
            </w:r>
            <w:r>
              <w:rPr>
                <w:rFonts w:ascii="宋体" w:hAnsi="宋体" w:cs="宋体" w:eastAsia="宋体" w:hint="default"/>
                <w:spacing w:val="-3"/>
                <w:sz w:val="18"/>
                <w:szCs w:val="18"/>
              </w:rPr>
              <w:t>万元后，公司本次募集资金净额为 </w:t>
            </w:r>
            <w:r>
              <w:rPr>
                <w:rFonts w:ascii="Times New Roman" w:hAnsi="Times New Roman" w:cs="Times New Roman" w:eastAsia="Times New Roman" w:hint="default"/>
                <w:sz w:val="18"/>
                <w:szCs w:val="18"/>
              </w:rPr>
              <w:t>21,159.00 </w:t>
            </w:r>
            <w:r>
              <w:rPr>
                <w:rFonts w:ascii="宋体" w:hAnsi="宋体" w:cs="宋体" w:eastAsia="宋体" w:hint="default"/>
                <w:spacing w:val="-3"/>
                <w:sz w:val="18"/>
                <w:szCs w:val="18"/>
              </w:rPr>
              <w:t>万元。上述募集资金到位情况业经天健会计</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5"/>
                <w:w w:val="101"/>
                <w:sz w:val="18"/>
                <w:szCs w:val="18"/>
              </w:rPr>
              <w:t>师事务所（特殊普通合伙）验证，并由其出具《验资报告》（天健验〔</w:t>
            </w:r>
            <w:r>
              <w:rPr>
                <w:rFonts w:ascii="Times New Roman" w:hAnsi="Times New Roman" w:cs="Times New Roman" w:eastAsia="Times New Roman" w:hint="default"/>
                <w:spacing w:val="-5"/>
                <w:w w:val="101"/>
                <w:sz w:val="18"/>
                <w:szCs w:val="18"/>
              </w:rPr>
              <w:t>2016</w:t>
            </w:r>
            <w:r>
              <w:rPr>
                <w:rFonts w:ascii="宋体" w:hAnsi="宋体" w:cs="宋体" w:eastAsia="宋体" w:hint="default"/>
                <w:spacing w:val="-5"/>
                <w:w w:val="101"/>
                <w:sz w:val="18"/>
                <w:szCs w:val="18"/>
              </w:rPr>
              <w:t>〕</w:t>
            </w:r>
            <w:r>
              <w:rPr>
                <w:rFonts w:ascii="Times New Roman" w:hAnsi="Times New Roman" w:cs="Times New Roman" w:eastAsia="Times New Roman" w:hint="default"/>
                <w:spacing w:val="-5"/>
                <w:w w:val="101"/>
                <w:sz w:val="18"/>
                <w:szCs w:val="18"/>
              </w:rPr>
              <w:t>409</w:t>
            </w:r>
            <w:r>
              <w:rPr>
                <w:rFonts w:ascii="Times New Roman" w:hAnsi="Times New Roman" w:cs="Times New Roman" w:eastAsia="Times New Roman" w:hint="default"/>
                <w:spacing w:val="20"/>
                <w:w w:val="101"/>
                <w:sz w:val="18"/>
                <w:szCs w:val="18"/>
              </w:rPr>
              <w:t> </w:t>
            </w:r>
            <w:r>
              <w:rPr>
                <w:rFonts w:ascii="宋体" w:hAnsi="宋体" w:cs="宋体" w:eastAsia="宋体" w:hint="default"/>
                <w:spacing w:val="-32"/>
                <w:w w:val="101"/>
                <w:sz w:val="18"/>
                <w:szCs w:val="18"/>
              </w:rPr>
              <w:t>号）。</w:t>
            </w:r>
            <w:r>
              <w:rPr>
                <w:rFonts w:ascii="宋体" w:hAnsi="宋体" w:cs="宋体" w:eastAsia="宋体" w:hint="default"/>
                <w:spacing w:val="-32"/>
                <w:sz w:val="18"/>
                <w:szCs w:val="18"/>
              </w:rPr>
            </w:r>
          </w:p>
        </w:tc>
      </w:tr>
    </w:tbl>
    <w:p>
      <w:pPr>
        <w:spacing w:after="0" w:line="304"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2"/>
        <w:rPr>
          <w:rFonts w:ascii="宋体" w:hAnsi="宋体" w:cs="宋体" w:eastAsia="宋体" w:hint="default"/>
          <w:sz w:val="29"/>
          <w:szCs w:val="29"/>
        </w:rPr>
      </w:pPr>
    </w:p>
    <w:p>
      <w:pPr>
        <w:spacing w:line="2002" w:lineRule="exact"/>
        <w:ind w:left="153" w:right="0" w:firstLine="0"/>
        <w:rPr>
          <w:rFonts w:ascii="宋体" w:hAnsi="宋体" w:cs="宋体" w:eastAsia="宋体" w:hint="default"/>
          <w:sz w:val="20"/>
          <w:szCs w:val="20"/>
        </w:rPr>
      </w:pPr>
      <w:r>
        <w:rPr>
          <w:rFonts w:ascii="宋体" w:hAnsi="宋体" w:cs="宋体" w:eastAsia="宋体" w:hint="default"/>
          <w:position w:val="-39"/>
          <w:sz w:val="20"/>
          <w:szCs w:val="20"/>
        </w:rPr>
        <w:pict>
          <v:shape style="width:478.25pt;height:100.15pt;mso-position-horizontal-relative:char;mso-position-vertical-relative:line" type="#_x0000_t202" filled="false" stroked="true" strokeweight=".47998pt" strokecolor="#000000">
            <w10:anchorlock/>
            <v:textbox inset="0,0,0,0">
              <w:txbxContent>
                <w:p>
                  <w:pPr>
                    <w:pStyle w:val="BodyText"/>
                    <w:spacing w:line="240" w:lineRule="auto" w:before="15"/>
                    <w:ind w:left="24" w:right="0"/>
                    <w:jc w:val="both"/>
                  </w:pPr>
                  <w:r>
                    <w:rPr>
                      <w:rFonts w:ascii="Times New Roman" w:hAnsi="Times New Roman" w:cs="Times New Roman" w:eastAsia="Times New Roman" w:hint="default"/>
                    </w:rPr>
                    <w:t>(</w:t>
                  </w:r>
                  <w:r>
                    <w:rPr/>
                    <w:t>二</w:t>
                  </w:r>
                  <w:r>
                    <w:rPr>
                      <w:rFonts w:ascii="Times New Roman" w:hAnsi="Times New Roman" w:cs="Times New Roman" w:eastAsia="Times New Roman" w:hint="default"/>
                    </w:rPr>
                    <w:t>) </w:t>
                  </w:r>
                  <w:r>
                    <w:rPr>
                      <w:rFonts w:ascii="Times New Roman" w:hAnsi="Times New Roman" w:cs="Times New Roman" w:eastAsia="Times New Roman" w:hint="default"/>
                      <w:spacing w:val="36"/>
                    </w:rPr>
                    <w:t> </w:t>
                  </w:r>
                  <w:r>
                    <w:rPr>
                      <w:spacing w:val="-3"/>
                    </w:rPr>
                    <w:t>募集资金使用和结余情况</w:t>
                  </w:r>
                </w:p>
                <w:p>
                  <w:pPr>
                    <w:pStyle w:val="BodyText"/>
                    <w:spacing w:line="309" w:lineRule="auto" w:before="96"/>
                    <w:ind w:left="24" w:right="13"/>
                    <w:jc w:val="both"/>
                  </w:pPr>
                  <w:r>
                    <w:rPr>
                      <w:spacing w:val="-3"/>
                    </w:rPr>
                    <w:t>本公司以前年度已使用募集资金 </w:t>
                  </w:r>
                  <w:r>
                    <w:rPr>
                      <w:rFonts w:ascii="Times New Roman" w:hAnsi="Times New Roman" w:cs="Times New Roman" w:eastAsia="Times New Roman" w:hint="default"/>
                      <w:spacing w:val="-3"/>
                    </w:rPr>
                  </w:r>
                  <w:r>
                    <w:rPr>
                      <w:spacing w:val="-3"/>
                    </w:rPr>
                    <w:t>万元，以前年度收到的银行存款利息扣除银行手续费等的净额为</w:t>
                  </w:r>
                  <w:r>
                    <w:rPr>
                      <w:spacing w:val="28"/>
                    </w:rPr>
                    <w:t> </w:t>
                  </w:r>
                  <w:r>
                    <w:rPr>
                      <w:rFonts w:ascii="Times New Roman" w:hAnsi="Times New Roman" w:cs="Times New Roman" w:eastAsia="Times New Roman" w:hint="default"/>
                      <w:spacing w:val="28"/>
                    </w:rPr>
                  </w:r>
                  <w:r>
                    <w:rPr/>
                    <w:t>万元，以</w:t>
                  </w:r>
                  <w:r>
                    <w:rPr>
                      <w:spacing w:val="-87"/>
                    </w:rPr>
                    <w:t> </w:t>
                  </w:r>
                  <w:r>
                    <w:rPr>
                      <w:spacing w:val="-87"/>
                    </w:rPr>
                  </w:r>
                  <w:r>
                    <w:rPr>
                      <w:spacing w:val="-3"/>
                    </w:rPr>
                    <w:t>前年度已转出募集资金专户余额 </w:t>
                  </w:r>
                  <w:r>
                    <w:rPr>
                      <w:rFonts w:ascii="Times New Roman" w:hAnsi="Times New Roman" w:cs="Times New Roman" w:eastAsia="Times New Roman" w:hint="default"/>
                    </w:rPr>
                    <w:t>0.57 </w:t>
                  </w:r>
                  <w:r>
                    <w:rPr/>
                    <w:t>万元；</w:t>
                  </w:r>
                  <w:r>
                    <w:rPr>
                      <w:rFonts w:ascii="Times New Roman" w:hAnsi="Times New Roman" w:cs="Times New Roman" w:eastAsia="Times New Roman" w:hint="default"/>
                    </w:rPr>
                    <w:t>2019 </w:t>
                  </w:r>
                  <w:r>
                    <w:rPr/>
                    <w:t>年度实际使用募集资金 </w:t>
                  </w:r>
                  <w:r>
                    <w:rPr>
                      <w:rFonts w:ascii="Times New Roman" w:hAnsi="Times New Roman" w:cs="Times New Roman" w:eastAsia="Times New Roman" w:hint="default"/>
                    </w:rPr>
                  </w:r>
                  <w:r>
                    <w:rPr/>
                    <w:t>万元，</w:t>
                  </w:r>
                  <w:r>
                    <w:rPr>
                      <w:rFonts w:ascii="Times New Roman" w:hAnsi="Times New Roman" w:cs="Times New Roman" w:eastAsia="Times New Roman" w:hint="default"/>
                    </w:rPr>
                    <w:t>2019</w:t>
                  </w:r>
                  <w:r>
                    <w:rPr>
                      <w:rFonts w:ascii="Times New Roman" w:hAnsi="Times New Roman" w:cs="Times New Roman" w:eastAsia="Times New Roman" w:hint="default"/>
                      <w:spacing w:val="29"/>
                    </w:rPr>
                    <w:t> </w:t>
                  </w:r>
                  <w:r>
                    <w:rPr>
                      <w:spacing w:val="-3"/>
                    </w:rPr>
                    <w:t>年度收到的银行存款利息扣除</w:t>
                  </w:r>
                  <w:r>
                    <w:rPr>
                      <w:spacing w:val="-86"/>
                    </w:rPr>
                    <w:t> </w:t>
                  </w:r>
                  <w:r>
                    <w:rPr>
                      <w:spacing w:val="-86"/>
                    </w:rPr>
                  </w:r>
                  <w:r>
                    <w:rPr/>
                    <w:t>银行手续费等的净额为 </w:t>
                  </w:r>
                  <w:r>
                    <w:rPr>
                      <w:rFonts w:ascii="Times New Roman" w:hAnsi="Times New Roman" w:cs="Times New Roman" w:eastAsia="Times New Roman" w:hint="default"/>
                    </w:rPr>
                    <w:t>12.79 </w:t>
                  </w:r>
                  <w:r>
                    <w:rPr>
                      <w:spacing w:val="-6"/>
                    </w:rPr>
                    <w:t>万元；累计已使用募集资金 </w:t>
                  </w:r>
                  <w:r>
                    <w:rPr>
                      <w:rFonts w:ascii="Times New Roman" w:hAnsi="Times New Roman" w:cs="Times New Roman" w:eastAsia="Times New Roman" w:hint="default"/>
                    </w:rPr>
                    <w:t>17,897.28</w:t>
                  </w:r>
                  <w:r>
                    <w:rPr>
                      <w:rFonts w:ascii="Times New Roman" w:hAnsi="Times New Roman" w:cs="Times New Roman" w:eastAsia="Times New Roman" w:hint="default"/>
                      <w:spacing w:val="5"/>
                    </w:rPr>
                    <w:t> </w:t>
                  </w:r>
                  <w:r>
                    <w:rPr>
                      <w:spacing w:val="-4"/>
                    </w:rPr>
                    <w:t>万元，累计收到的银行存款利息扣除银行手续费等的净</w:t>
                  </w:r>
                </w:p>
                <w:p>
                  <w:pPr>
                    <w:pStyle w:val="BodyText"/>
                    <w:spacing w:line="240" w:lineRule="auto" w:before="10"/>
                    <w:ind w:left="24" w:right="0"/>
                    <w:jc w:val="both"/>
                  </w:pPr>
                  <w:r>
                    <w:rPr/>
                    <w:t>额为</w:t>
                  </w:r>
                  <w:r>
                    <w:rPr>
                      <w:spacing w:val="-29"/>
                    </w:rPr>
                    <w:t> </w:t>
                  </w:r>
                  <w:r>
                    <w:rPr>
                      <w:rFonts w:ascii="Times New Roman" w:hAnsi="Times New Roman" w:cs="Times New Roman" w:eastAsia="Times New Roman" w:hint="default"/>
                    </w:rPr>
                    <w:t>109.92</w:t>
                  </w:r>
                  <w:r>
                    <w:rPr>
                      <w:rFonts w:ascii="Times New Roman" w:hAnsi="Times New Roman" w:cs="Times New Roman" w:eastAsia="Times New Roman" w:hint="default"/>
                      <w:spacing w:val="10"/>
                    </w:rPr>
                    <w:t> </w:t>
                  </w:r>
                  <w:r>
                    <w:rPr>
                      <w:spacing w:val="-3"/>
                    </w:rPr>
                    <w:t>万元，累计注销募集资金专户转出余额</w:t>
                  </w:r>
                  <w:r>
                    <w:rPr>
                      <w:spacing w:val="-35"/>
                    </w:rPr>
                    <w:t> </w:t>
                  </w:r>
                  <w:r>
                    <w:rPr>
                      <w:rFonts w:ascii="Times New Roman" w:hAnsi="Times New Roman" w:cs="Times New Roman" w:eastAsia="Times New Roman" w:hint="default"/>
                    </w:rPr>
                    <w:t>0.57</w:t>
                  </w:r>
                  <w:r>
                    <w:rPr>
                      <w:rFonts w:ascii="Times New Roman" w:hAnsi="Times New Roman" w:cs="Times New Roman" w:eastAsia="Times New Roman" w:hint="default"/>
                      <w:spacing w:val="16"/>
                    </w:rPr>
                    <w:t> </w:t>
                  </w:r>
                  <w:r>
                    <w:rPr/>
                    <w:t>万元。</w:t>
                  </w:r>
                </w:p>
                <w:p>
                  <w:pPr>
                    <w:pStyle w:val="BodyText"/>
                    <w:spacing w:line="240" w:lineRule="auto" w:before="106"/>
                    <w:ind w:left="24" w:right="0"/>
                    <w:jc w:val="both"/>
                  </w:pPr>
                  <w:r>
                    <w:rPr>
                      <w:spacing w:val="-3"/>
                    </w:rPr>
                    <w:t>该次募集资金投资项目已结项，结余资金 </w:t>
                  </w:r>
                  <w:r>
                    <w:rPr>
                      <w:rFonts w:ascii="Times New Roman" w:hAnsi="Times New Roman" w:cs="Times New Roman" w:eastAsia="Times New Roman" w:hint="default"/>
                    </w:rPr>
                    <w:t>3,371.07 </w:t>
                  </w:r>
                  <w:r>
                    <w:rPr>
                      <w:rFonts w:ascii="Times New Roman" w:hAnsi="Times New Roman" w:cs="Times New Roman" w:eastAsia="Times New Roman" w:hint="default"/>
                      <w:spacing w:val="27"/>
                    </w:rPr>
                    <w:t> </w:t>
                  </w:r>
                  <w:r>
                    <w:rPr>
                      <w:spacing w:val="-3"/>
                    </w:rPr>
                    <w:t>万元已转入其他银行账户并注销募集资金专户。</w:t>
                  </w:r>
                </w:p>
              </w:txbxContent>
            </v:textbox>
          </v:shape>
        </w:pict>
      </w:r>
      <w:r>
        <w:rPr>
          <w:rFonts w:ascii="宋体" w:hAnsi="宋体" w:cs="宋体" w:eastAsia="宋体" w:hint="default"/>
          <w:position w:val="-39"/>
          <w:sz w:val="20"/>
          <w:szCs w:val="20"/>
        </w:rPr>
      </w:r>
    </w:p>
    <w:p>
      <w:pPr>
        <w:spacing w:line="240" w:lineRule="auto" w:before="8"/>
        <w:rPr>
          <w:rFonts w:ascii="宋体" w:hAnsi="宋体" w:cs="宋体" w:eastAsia="宋体" w:hint="default"/>
          <w:sz w:val="19"/>
          <w:szCs w:val="19"/>
        </w:rPr>
      </w:pPr>
    </w:p>
    <w:p>
      <w:pPr>
        <w:pStyle w:val="Heading4"/>
        <w:spacing w:line="240" w:lineRule="auto" w:before="36"/>
        <w:ind w:right="0"/>
        <w:jc w:val="left"/>
        <w:rPr>
          <w:b w:val="0"/>
          <w:bCs w:val="0"/>
        </w:rPr>
      </w:pPr>
      <w:bookmarkStart w:name="f（2）募集资金承诺项目情况" w:id="50"/>
      <w:bookmarkEnd w:id="50"/>
      <w:r>
        <w:rPr>
          <w:b w:val="0"/>
          <w:bCs w:val="0"/>
        </w:rPr>
      </w:r>
      <w:r>
        <w:rPr>
          <w:rFonts w:ascii="Times New Roman" w:hAnsi="Times New Roman" w:cs="Times New Roman" w:eastAsia="Times New Roman" w:hint="default"/>
        </w:rPr>
        <w:t>f</w:t>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6"/>
        <w:ind w:left="0" w:right="1122"/>
        <w:jc w:val="right"/>
      </w:pPr>
      <w:r>
        <w:rPr>
          <w:spacing w:val="-2"/>
        </w:rPr>
        <w:t>单位：万元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21"/>
        <w:gridCol w:w="729"/>
        <w:gridCol w:w="893"/>
        <w:gridCol w:w="898"/>
        <w:gridCol w:w="725"/>
        <w:gridCol w:w="903"/>
        <w:gridCol w:w="898"/>
        <w:gridCol w:w="725"/>
        <w:gridCol w:w="730"/>
        <w:gridCol w:w="898"/>
        <w:gridCol w:w="725"/>
        <w:gridCol w:w="730"/>
      </w:tblGrid>
      <w:tr>
        <w:trPr>
          <w:trHeight w:val="1652" w:hRule="exact"/>
        </w:trPr>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86" w:right="80"/>
              <w:jc w:val="center"/>
              <w:rPr>
                <w:rFonts w:ascii="宋体" w:hAnsi="宋体" w:cs="宋体" w:eastAsia="宋体" w:hint="default"/>
                <w:sz w:val="18"/>
                <w:szCs w:val="18"/>
              </w:rPr>
            </w:pPr>
            <w:r>
              <w:rPr>
                <w:rFonts w:ascii="宋体" w:hAnsi="宋体" w:cs="宋体" w:eastAsia="宋体" w:hint="default"/>
                <w:spacing w:val="-2"/>
                <w:sz w:val="18"/>
                <w:szCs w:val="18"/>
              </w:rPr>
              <w:t>承诺投</w:t>
            </w:r>
            <w:r>
              <w:rPr>
                <w:rFonts w:ascii="宋体" w:hAnsi="宋体" w:cs="宋体" w:eastAsia="宋体" w:hint="default"/>
                <w:w w:val="101"/>
                <w:sz w:val="18"/>
                <w:szCs w:val="18"/>
              </w:rPr>
              <w:t> </w:t>
            </w:r>
            <w:r>
              <w:rPr>
                <w:rFonts w:ascii="宋体" w:hAnsi="宋体" w:cs="宋体" w:eastAsia="宋体" w:hint="default"/>
                <w:spacing w:val="-2"/>
                <w:sz w:val="18"/>
                <w:szCs w:val="18"/>
              </w:rPr>
              <w:t>资项目</w:t>
            </w:r>
            <w:r>
              <w:rPr>
                <w:rFonts w:ascii="宋体" w:hAnsi="宋体" w:cs="宋体" w:eastAsia="宋体" w:hint="default"/>
                <w:w w:val="101"/>
                <w:sz w:val="18"/>
                <w:szCs w:val="18"/>
              </w:rPr>
              <w:t> </w:t>
            </w:r>
            <w:r>
              <w:rPr>
                <w:rFonts w:ascii="宋体" w:hAnsi="宋体" w:cs="宋体" w:eastAsia="宋体" w:hint="default"/>
                <w:spacing w:val="-2"/>
                <w:sz w:val="18"/>
                <w:szCs w:val="18"/>
              </w:rPr>
              <w:t>和超募</w:t>
            </w:r>
            <w:r>
              <w:rPr>
                <w:rFonts w:ascii="宋体" w:hAnsi="宋体" w:cs="宋体" w:eastAsia="宋体" w:hint="default"/>
                <w:w w:val="101"/>
                <w:sz w:val="18"/>
                <w:szCs w:val="18"/>
              </w:rPr>
              <w:t> </w:t>
            </w:r>
            <w:r>
              <w:rPr>
                <w:rFonts w:ascii="宋体" w:hAnsi="宋体" w:cs="宋体" w:eastAsia="宋体" w:hint="default"/>
                <w:spacing w:val="-2"/>
                <w:sz w:val="18"/>
                <w:szCs w:val="18"/>
              </w:rPr>
              <w:t>资金投</w:t>
            </w:r>
            <w:r>
              <w:rPr>
                <w:rFonts w:ascii="宋体" w:hAnsi="宋体" w:cs="宋体" w:eastAsia="宋体" w:hint="default"/>
                <w:w w:val="101"/>
                <w:sz w:val="18"/>
                <w:szCs w:val="18"/>
              </w:rPr>
              <w:t> </w:t>
            </w:r>
            <w:r>
              <w:rPr>
                <w:rFonts w:ascii="宋体" w:hAnsi="宋体" w:cs="宋体" w:eastAsia="宋体" w:hint="default"/>
                <w:sz w:val="18"/>
                <w:szCs w:val="18"/>
              </w:rPr>
              <w:t>向</w:t>
            </w:r>
          </w:p>
        </w:tc>
        <w:tc>
          <w:tcPr>
            <w:tcW w:w="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2" w:lineRule="auto"/>
              <w:ind w:left="57" w:right="55" w:firstLine="33"/>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w:t>
            </w:r>
            <w:r>
              <w:rPr>
                <w:rFonts w:ascii="宋体" w:hAnsi="宋体" w:cs="宋体" w:eastAsia="宋体" w:hint="default"/>
                <w:w w:val="101"/>
                <w:sz w:val="18"/>
                <w:szCs w:val="18"/>
              </w:rPr>
              <w:t> </w:t>
            </w:r>
            <w:r>
              <w:rPr>
                <w:rFonts w:ascii="宋体" w:hAnsi="宋体" w:cs="宋体" w:eastAsia="宋体" w:hint="default"/>
                <w:sz w:val="18"/>
                <w:szCs w:val="18"/>
              </w:rPr>
              <w:t>变更项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w:t>
            </w:r>
            <w:r>
              <w:rPr>
                <w:rFonts w:ascii="宋体" w:hAnsi="宋体" w:cs="宋体" w:eastAsia="宋体" w:hint="default"/>
                <w:spacing w:val="-86"/>
                <w:sz w:val="18"/>
                <w:szCs w:val="18"/>
              </w:rPr>
              <w:t> </w:t>
            </w:r>
            <w:r>
              <w:rPr>
                <w:rFonts w:ascii="宋体" w:hAnsi="宋体" w:cs="宋体" w:eastAsia="宋体" w:hint="default"/>
                <w:sz w:val="18"/>
                <w:szCs w:val="18"/>
              </w:rPr>
              <w:t>分变更</w:t>
            </w:r>
            <w:r>
              <w:rPr>
                <w:rFonts w:ascii="Times New Roman" w:hAnsi="Times New Roman" w:cs="Times New Roman" w:eastAsia="Times New Roman" w:hint="default"/>
                <w:sz w:val="18"/>
                <w:szCs w:val="18"/>
              </w:rPr>
              <w:t>)</w:t>
            </w:r>
          </w:p>
        </w:tc>
        <w:tc>
          <w:tcPr>
            <w:tcW w:w="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81" w:right="75"/>
              <w:jc w:val="center"/>
              <w:rPr>
                <w:rFonts w:ascii="宋体" w:hAnsi="宋体" w:cs="宋体" w:eastAsia="宋体" w:hint="default"/>
                <w:sz w:val="18"/>
                <w:szCs w:val="18"/>
              </w:rPr>
            </w:pPr>
            <w:r>
              <w:rPr>
                <w:rFonts w:ascii="宋体" w:hAnsi="宋体" w:cs="宋体" w:eastAsia="宋体" w:hint="default"/>
                <w:spacing w:val="-2"/>
                <w:sz w:val="18"/>
                <w:szCs w:val="18"/>
              </w:rPr>
              <w:t>募集资金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承诺投资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9" w:lineRule="auto"/>
              <w:ind w:left="67" w:right="67" w:firstLine="14"/>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w:t>
            </w:r>
            <w:r>
              <w:rPr>
                <w:rFonts w:ascii="宋体" w:hAnsi="宋体" w:cs="宋体" w:eastAsia="宋体" w:hint="default"/>
                <w:w w:val="101"/>
                <w:sz w:val="18"/>
                <w:szCs w:val="18"/>
              </w:rPr>
              <w:t> </w:t>
            </w:r>
            <w:r>
              <w:rPr>
                <w:rFonts w:ascii="宋体" w:hAnsi="宋体" w:cs="宋体" w:eastAsia="宋体" w:hint="default"/>
                <w:spacing w:val="-2"/>
                <w:sz w:val="18"/>
                <w:szCs w:val="18"/>
              </w:rPr>
              <w:t>资总额</w:t>
            </w:r>
            <w:r>
              <w:rPr>
                <w:rFonts w:ascii="Times New Roman" w:hAnsi="Times New Roman" w:cs="Times New Roman" w:eastAsia="Times New Roman" w:hint="default"/>
                <w:spacing w:val="-2"/>
                <w:sz w:val="18"/>
                <w:szCs w:val="18"/>
              </w:rPr>
              <w:t>(1)</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91" w:right="79"/>
              <w:jc w:val="both"/>
              <w:rPr>
                <w:rFonts w:ascii="宋体" w:hAnsi="宋体" w:cs="宋体" w:eastAsia="宋体" w:hint="default"/>
                <w:sz w:val="18"/>
                <w:szCs w:val="18"/>
              </w:rPr>
            </w:pPr>
            <w:r>
              <w:rPr>
                <w:rFonts w:ascii="宋体" w:hAnsi="宋体" w:cs="宋体" w:eastAsia="宋体" w:hint="default"/>
                <w:sz w:val="18"/>
                <w:szCs w:val="18"/>
              </w:rPr>
              <w:t>本报告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期投入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金额</w:t>
            </w:r>
          </w:p>
        </w:tc>
        <w:tc>
          <w:tcPr>
            <w:tcW w:w="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86" w:right="79"/>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累计投入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r>
              <w:rPr>
                <w:rFonts w:ascii="Times New Roman" w:hAnsi="Times New Roman" w:cs="Times New Roman" w:eastAsia="Times New Roman" w:hint="default"/>
                <w:sz w:val="18"/>
                <w:szCs w:val="18"/>
              </w:rPr>
              <w:t>(2)</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26" w:lineRule="auto"/>
              <w:ind w:left="81" w:right="79"/>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截至期末</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投资进度</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(2)/(1)</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91" w:right="79"/>
              <w:jc w:val="center"/>
              <w:rPr>
                <w:rFonts w:ascii="宋体" w:hAnsi="宋体" w:cs="宋体" w:eastAsia="宋体" w:hint="default"/>
                <w:sz w:val="18"/>
                <w:szCs w:val="18"/>
              </w:rPr>
            </w:pPr>
            <w:r>
              <w:rPr>
                <w:rFonts w:ascii="宋体" w:hAnsi="宋体" w:cs="宋体" w:eastAsia="宋体" w:hint="default"/>
                <w:spacing w:val="-2"/>
                <w:sz w:val="18"/>
                <w:szCs w:val="18"/>
              </w:rPr>
              <w:t>项目达</w:t>
            </w:r>
            <w:r>
              <w:rPr>
                <w:rFonts w:ascii="宋体" w:hAnsi="宋体" w:cs="宋体" w:eastAsia="宋体" w:hint="default"/>
                <w:w w:val="101"/>
                <w:sz w:val="18"/>
                <w:szCs w:val="18"/>
              </w:rPr>
              <w:t> </w:t>
            </w:r>
            <w:r>
              <w:rPr>
                <w:rFonts w:ascii="宋体" w:hAnsi="宋体" w:cs="宋体" w:eastAsia="宋体" w:hint="default"/>
                <w:spacing w:val="-2"/>
                <w:sz w:val="18"/>
                <w:szCs w:val="18"/>
              </w:rPr>
              <w:t>到预定</w:t>
            </w:r>
            <w:r>
              <w:rPr>
                <w:rFonts w:ascii="宋体" w:hAnsi="宋体" w:cs="宋体" w:eastAsia="宋体" w:hint="default"/>
                <w:w w:val="101"/>
                <w:sz w:val="18"/>
                <w:szCs w:val="18"/>
              </w:rPr>
              <w:t> </w:t>
            </w:r>
            <w:r>
              <w:rPr>
                <w:rFonts w:ascii="宋体" w:hAnsi="宋体" w:cs="宋体" w:eastAsia="宋体" w:hint="default"/>
                <w:spacing w:val="-2"/>
                <w:sz w:val="18"/>
                <w:szCs w:val="18"/>
              </w:rPr>
              <w:t>可使用</w:t>
            </w:r>
            <w:r>
              <w:rPr>
                <w:rFonts w:ascii="宋体" w:hAnsi="宋体" w:cs="宋体" w:eastAsia="宋体" w:hint="default"/>
                <w:w w:val="101"/>
                <w:sz w:val="18"/>
                <w:szCs w:val="18"/>
              </w:rPr>
              <w:t> </w:t>
            </w:r>
            <w:r>
              <w:rPr>
                <w:rFonts w:ascii="宋体" w:hAnsi="宋体" w:cs="宋体" w:eastAsia="宋体" w:hint="default"/>
                <w:spacing w:val="-2"/>
                <w:sz w:val="18"/>
                <w:szCs w:val="18"/>
              </w:rPr>
              <w:t>状态日</w:t>
            </w:r>
            <w:r>
              <w:rPr>
                <w:rFonts w:ascii="宋体" w:hAnsi="宋体" w:cs="宋体" w:eastAsia="宋体" w:hint="default"/>
                <w:w w:val="101"/>
                <w:sz w:val="18"/>
                <w:szCs w:val="18"/>
              </w:rPr>
              <w:t> </w:t>
            </w:r>
            <w:r>
              <w:rPr>
                <w:rFonts w:ascii="宋体" w:hAnsi="宋体" w:cs="宋体" w:eastAsia="宋体" w:hint="default"/>
                <w:sz w:val="18"/>
                <w:szCs w:val="18"/>
              </w:rPr>
              <w:t>期</w:t>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91" w:right="84"/>
              <w:jc w:val="both"/>
              <w:rPr>
                <w:rFonts w:ascii="宋体" w:hAnsi="宋体" w:cs="宋体" w:eastAsia="宋体" w:hint="default"/>
                <w:sz w:val="18"/>
                <w:szCs w:val="18"/>
              </w:rPr>
            </w:pPr>
            <w:r>
              <w:rPr>
                <w:rFonts w:ascii="宋体" w:hAnsi="宋体" w:cs="宋体" w:eastAsia="宋体" w:hint="default"/>
                <w:sz w:val="18"/>
                <w:szCs w:val="18"/>
              </w:rPr>
              <w:t>本报告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期实现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的效益</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81" w:right="79"/>
              <w:jc w:val="center"/>
              <w:rPr>
                <w:rFonts w:ascii="宋体" w:hAnsi="宋体" w:cs="宋体" w:eastAsia="宋体" w:hint="default"/>
                <w:sz w:val="18"/>
                <w:szCs w:val="18"/>
              </w:rPr>
            </w:pPr>
            <w:r>
              <w:rPr>
                <w:rFonts w:ascii="宋体" w:hAnsi="宋体" w:cs="宋体" w:eastAsia="宋体" w:hint="default"/>
                <w:spacing w:val="-2"/>
                <w:sz w:val="18"/>
                <w:szCs w:val="18"/>
              </w:rPr>
              <w:t>截止报告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期末累计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实现的效</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91" w:right="79"/>
              <w:jc w:val="both"/>
              <w:rPr>
                <w:rFonts w:ascii="宋体" w:hAnsi="宋体" w:cs="宋体" w:eastAsia="宋体" w:hint="default"/>
                <w:sz w:val="18"/>
                <w:szCs w:val="18"/>
              </w:rPr>
            </w:pPr>
            <w:r>
              <w:rPr>
                <w:rFonts w:ascii="宋体" w:hAnsi="宋体" w:cs="宋体" w:eastAsia="宋体" w:hint="default"/>
                <w:sz w:val="18"/>
                <w:szCs w:val="18"/>
              </w:rPr>
              <w:t>是否达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到预计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效益</w:t>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91" w:right="84"/>
              <w:jc w:val="center"/>
              <w:rPr>
                <w:rFonts w:ascii="宋体" w:hAnsi="宋体" w:cs="宋体" w:eastAsia="宋体" w:hint="default"/>
                <w:sz w:val="18"/>
                <w:szCs w:val="18"/>
              </w:rPr>
            </w:pPr>
            <w:r>
              <w:rPr>
                <w:rFonts w:ascii="宋体" w:hAnsi="宋体" w:cs="宋体" w:eastAsia="宋体" w:hint="default"/>
                <w:spacing w:val="-2"/>
                <w:sz w:val="18"/>
                <w:szCs w:val="18"/>
              </w:rPr>
              <w:t>项目可</w:t>
            </w:r>
            <w:r>
              <w:rPr>
                <w:rFonts w:ascii="宋体" w:hAnsi="宋体" w:cs="宋体" w:eastAsia="宋体" w:hint="default"/>
                <w:w w:val="101"/>
                <w:sz w:val="18"/>
                <w:szCs w:val="18"/>
              </w:rPr>
              <w:t> </w:t>
            </w:r>
            <w:r>
              <w:rPr>
                <w:rFonts w:ascii="宋体" w:hAnsi="宋体" w:cs="宋体" w:eastAsia="宋体" w:hint="default"/>
                <w:spacing w:val="-2"/>
                <w:sz w:val="18"/>
                <w:szCs w:val="18"/>
              </w:rPr>
              <w:t>行性是</w:t>
            </w:r>
            <w:r>
              <w:rPr>
                <w:rFonts w:ascii="宋体" w:hAnsi="宋体" w:cs="宋体" w:eastAsia="宋体" w:hint="default"/>
                <w:w w:val="101"/>
                <w:sz w:val="18"/>
                <w:szCs w:val="18"/>
              </w:rPr>
              <w:t> </w:t>
            </w:r>
            <w:r>
              <w:rPr>
                <w:rFonts w:ascii="宋体" w:hAnsi="宋体" w:cs="宋体" w:eastAsia="宋体" w:hint="default"/>
                <w:spacing w:val="-2"/>
                <w:sz w:val="18"/>
                <w:szCs w:val="18"/>
              </w:rPr>
              <w:t>否发生</w:t>
            </w:r>
            <w:r>
              <w:rPr>
                <w:rFonts w:ascii="宋体" w:hAnsi="宋体" w:cs="宋体" w:eastAsia="宋体" w:hint="default"/>
                <w:w w:val="101"/>
                <w:sz w:val="18"/>
                <w:szCs w:val="18"/>
              </w:rPr>
              <w:t> </w:t>
            </w:r>
            <w:r>
              <w:rPr>
                <w:rFonts w:ascii="宋体" w:hAnsi="宋体" w:cs="宋体" w:eastAsia="宋体" w:hint="default"/>
                <w:spacing w:val="-2"/>
                <w:sz w:val="18"/>
                <w:szCs w:val="18"/>
              </w:rPr>
              <w:t>重大变</w:t>
            </w:r>
            <w:r>
              <w:rPr>
                <w:rFonts w:ascii="宋体" w:hAnsi="宋体" w:cs="宋体" w:eastAsia="宋体" w:hint="default"/>
                <w:w w:val="101"/>
                <w:sz w:val="18"/>
                <w:szCs w:val="18"/>
              </w:rPr>
              <w:t> </w:t>
            </w:r>
            <w:r>
              <w:rPr>
                <w:rFonts w:ascii="宋体" w:hAnsi="宋体" w:cs="宋体" w:eastAsia="宋体" w:hint="default"/>
                <w:sz w:val="18"/>
                <w:szCs w:val="18"/>
              </w:rPr>
              <w:t>化</w:t>
            </w:r>
          </w:p>
        </w:tc>
      </w:tr>
      <w:tr>
        <w:trPr>
          <w:trHeight w:val="403"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647" w:hRule="exact"/>
        </w:trPr>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42"/>
              <w:jc w:val="both"/>
              <w:rPr>
                <w:rFonts w:ascii="宋体" w:hAnsi="宋体" w:cs="宋体" w:eastAsia="宋体" w:hint="default"/>
                <w:sz w:val="18"/>
                <w:szCs w:val="18"/>
              </w:rPr>
            </w:pPr>
            <w:r>
              <w:rPr>
                <w:rFonts w:ascii="宋体" w:hAnsi="宋体" w:cs="宋体" w:eastAsia="宋体" w:hint="default"/>
                <w:sz w:val="18"/>
                <w:szCs w:val="18"/>
              </w:rPr>
              <w:t>医疗信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息化产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品生产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基地建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设项目</w:t>
            </w:r>
          </w:p>
        </w:tc>
        <w:tc>
          <w:tcPr>
            <w:tcW w:w="729"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93"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17,659</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17,659</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603.97</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15,239.89</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86.30%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30</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3,568.68</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3,568.68</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8" w:hRule="exact"/>
        </w:trPr>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42"/>
              <w:jc w:val="both"/>
              <w:rPr>
                <w:rFonts w:ascii="宋体" w:hAnsi="宋体" w:cs="宋体" w:eastAsia="宋体" w:hint="default"/>
                <w:sz w:val="18"/>
                <w:szCs w:val="18"/>
              </w:rPr>
            </w:pPr>
            <w:r>
              <w:rPr>
                <w:rFonts w:ascii="宋体" w:hAnsi="宋体" w:cs="宋体" w:eastAsia="宋体" w:hint="default"/>
                <w:sz w:val="18"/>
                <w:szCs w:val="18"/>
              </w:rPr>
              <w:t>企业研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究院建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设项目</w:t>
            </w:r>
          </w:p>
        </w:tc>
        <w:tc>
          <w:tcPr>
            <w:tcW w:w="729"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893"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709.99</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709.99</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1027" w:hRule="exact"/>
        </w:trPr>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142"/>
              <w:jc w:val="left"/>
              <w:rPr>
                <w:rFonts w:ascii="宋体" w:hAnsi="宋体" w:cs="宋体" w:eastAsia="宋体" w:hint="default"/>
                <w:sz w:val="18"/>
                <w:szCs w:val="18"/>
              </w:rPr>
            </w:pPr>
            <w:r>
              <w:rPr>
                <w:rFonts w:ascii="宋体" w:hAnsi="宋体" w:cs="宋体" w:eastAsia="宋体" w:hint="default"/>
                <w:sz w:val="18"/>
                <w:szCs w:val="18"/>
              </w:rPr>
              <w:t>营销网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络项目</w:t>
            </w:r>
          </w:p>
        </w:tc>
        <w:tc>
          <w:tcPr>
            <w:tcW w:w="729"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93"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800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747.4</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93.43%</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30</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652" w:hRule="exact"/>
        </w:trPr>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42"/>
              <w:jc w:val="both"/>
              <w:rPr>
                <w:rFonts w:ascii="宋体" w:hAnsi="宋体" w:cs="宋体" w:eastAsia="宋体" w:hint="default"/>
                <w:sz w:val="18"/>
                <w:szCs w:val="18"/>
              </w:rPr>
            </w:pPr>
            <w:r>
              <w:rPr>
                <w:rFonts w:ascii="宋体" w:hAnsi="宋体" w:cs="宋体" w:eastAsia="宋体" w:hint="default"/>
                <w:sz w:val="18"/>
                <w:szCs w:val="18"/>
              </w:rPr>
              <w:t>补充流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动资金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与偿还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银行贷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款</w:t>
            </w:r>
          </w:p>
        </w:tc>
        <w:tc>
          <w:tcPr>
            <w:tcW w:w="729"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93"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17" w:hRule="exact"/>
        </w:trPr>
        <w:tc>
          <w:tcPr>
            <w:tcW w:w="72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4"/>
              <w:ind w:left="24" w:right="142"/>
              <w:jc w:val="both"/>
              <w:rPr>
                <w:rFonts w:ascii="宋体" w:hAnsi="宋体" w:cs="宋体" w:eastAsia="宋体" w:hint="default"/>
                <w:sz w:val="18"/>
                <w:szCs w:val="18"/>
              </w:rPr>
            </w:pPr>
            <w:r>
              <w:rPr>
                <w:rFonts w:ascii="宋体" w:hAnsi="宋体" w:cs="宋体" w:eastAsia="宋体" w:hint="default"/>
                <w:sz w:val="18"/>
                <w:szCs w:val="18"/>
              </w:rPr>
              <w:t>承诺投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资项目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小计</w:t>
            </w:r>
          </w:p>
        </w:tc>
        <w:tc>
          <w:tcPr>
            <w:tcW w:w="729" w:type="dxa"/>
            <w:tcBorders>
              <w:top w:val="single" w:sz="4" w:space="0" w:color="000000"/>
              <w:left w:val="single" w:sz="4" w:space="0" w:color="000000"/>
              <w:bottom w:val="nil" w:sz="6" w:space="0" w:color="auto"/>
              <w:right w:val="single" w:sz="4" w:space="0" w:color="FFFFFF"/>
            </w:tcBorders>
            <w:shd w:val="clear" w:color="auto" w:fill="D2D2D2"/>
          </w:tcPr>
          <w:p>
            <w:pPr/>
          </w:p>
        </w:tc>
        <w:tc>
          <w:tcPr>
            <w:tcW w:w="893" w:type="dxa"/>
            <w:vMerge w:val="restart"/>
            <w:tcBorders>
              <w:top w:val="single" w:sz="4" w:space="0" w:color="000000"/>
              <w:left w:val="single" w:sz="4"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21,159</w:t>
            </w:r>
          </w:p>
        </w:tc>
        <w:tc>
          <w:tcPr>
            <w:tcW w:w="8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20,368.99</w:t>
            </w: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02" w:right="0"/>
              <w:jc w:val="left"/>
              <w:rPr>
                <w:rFonts w:ascii="Times New Roman" w:hAnsi="Times New Roman" w:cs="Times New Roman" w:eastAsia="Times New Roman" w:hint="default"/>
                <w:sz w:val="18"/>
                <w:szCs w:val="18"/>
              </w:rPr>
            </w:pPr>
            <w:r>
              <w:rPr>
                <w:rFonts w:ascii="Times New Roman"/>
                <w:sz w:val="18"/>
              </w:rPr>
              <w:t>603.97</w:t>
            </w:r>
          </w:p>
        </w:tc>
        <w:tc>
          <w:tcPr>
            <w:tcW w:w="903"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17,897.28</w:t>
            </w:r>
          </w:p>
        </w:tc>
        <w:tc>
          <w:tcPr>
            <w:tcW w:w="8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5" w:type="dxa"/>
            <w:tcBorders>
              <w:top w:val="single" w:sz="4" w:space="0" w:color="000000"/>
              <w:left w:val="single" w:sz="4" w:space="0" w:color="000000"/>
              <w:bottom w:val="nil" w:sz="6" w:space="0" w:color="auto"/>
              <w:right w:val="single" w:sz="4" w:space="0" w:color="000000"/>
            </w:tcBorders>
            <w:shd w:val="clear" w:color="auto" w:fill="D2D2D2"/>
          </w:tcPr>
          <w:p>
            <w:pPr/>
          </w:p>
        </w:tc>
        <w:tc>
          <w:tcPr>
            <w:tcW w:w="730"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3,568.68</w:t>
            </w:r>
          </w:p>
        </w:tc>
        <w:tc>
          <w:tcPr>
            <w:tcW w:w="898"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3,568.68</w:t>
            </w:r>
          </w:p>
        </w:tc>
        <w:tc>
          <w:tcPr>
            <w:tcW w:w="725" w:type="dxa"/>
            <w:tcBorders>
              <w:top w:val="single" w:sz="4" w:space="0" w:color="000000"/>
              <w:left w:val="single" w:sz="4" w:space="0" w:color="000000"/>
              <w:bottom w:val="nil" w:sz="6" w:space="0" w:color="auto"/>
              <w:right w:val="single" w:sz="4" w:space="0" w:color="000000"/>
            </w:tcBorders>
            <w:shd w:val="clear" w:color="auto" w:fill="D2D2D2"/>
          </w:tcPr>
          <w:p>
            <w:pPr/>
          </w:p>
        </w:tc>
        <w:tc>
          <w:tcPr>
            <w:tcW w:w="73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89" w:hRule="exact"/>
        </w:trPr>
        <w:tc>
          <w:tcPr>
            <w:tcW w:w="721" w:type="dxa"/>
            <w:vMerge/>
            <w:tcBorders>
              <w:left w:val="single" w:sz="4" w:space="0" w:color="000000"/>
              <w:right w:val="single" w:sz="4" w:space="0" w:color="000000"/>
            </w:tcBorders>
            <w:shd w:val="clear" w:color="auto" w:fill="D2D2D2"/>
          </w:tcPr>
          <w:p>
            <w:pPr/>
          </w:p>
        </w:tc>
        <w:tc>
          <w:tcPr>
            <w:tcW w:w="729" w:type="dxa"/>
            <w:tcBorders>
              <w:top w:val="nil" w:sz="6" w:space="0" w:color="auto"/>
              <w:left w:val="single" w:sz="4" w:space="0" w:color="000000"/>
              <w:bottom w:val="nil" w:sz="6" w:space="0" w:color="auto"/>
              <w:right w:val="single" w:sz="4" w:space="0" w:color="FFFFFF"/>
            </w:tcBorders>
            <w:shd w:val="clear" w:color="auto" w:fill="D2D2D2"/>
          </w:tcPr>
          <w:p>
            <w:pPr>
              <w:pStyle w:val="TableParagraph"/>
              <w:spacing w:line="240" w:lineRule="auto" w:before="96"/>
              <w:ind w:right="305"/>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93" w:type="dxa"/>
            <w:vMerge/>
            <w:tcBorders>
              <w:left w:val="single" w:sz="4" w:space="0" w:color="FFFFFF"/>
              <w:right w:val="single" w:sz="4" w:space="0" w:color="000000"/>
            </w:tcBorders>
          </w:tcPr>
          <w:p>
            <w:pPr/>
          </w:p>
        </w:tc>
        <w:tc>
          <w:tcPr>
            <w:tcW w:w="89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903" w:type="dxa"/>
            <w:vMerge/>
            <w:tcBorders>
              <w:left w:val="single" w:sz="4" w:space="0" w:color="000000"/>
              <w:right w:val="single" w:sz="10" w:space="0" w:color="D2D2D2"/>
            </w:tcBorders>
          </w:tcPr>
          <w:p>
            <w:pPr/>
          </w:p>
        </w:tc>
        <w:tc>
          <w:tcPr>
            <w:tcW w:w="8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30" w:type="dxa"/>
            <w:vMerge/>
            <w:tcBorders>
              <w:left w:val="single" w:sz="10" w:space="0" w:color="D2D2D2"/>
              <w:right w:val="single" w:sz="4" w:space="0" w:color="000000"/>
            </w:tcBorders>
          </w:tcPr>
          <w:p>
            <w:pPr/>
          </w:p>
        </w:tc>
        <w:tc>
          <w:tcPr>
            <w:tcW w:w="898" w:type="dxa"/>
            <w:vMerge/>
            <w:tcBorders>
              <w:left w:val="single" w:sz="4" w:space="0" w:color="000000"/>
              <w:right w:val="single" w:sz="10" w:space="0" w:color="D2D2D2"/>
            </w:tcBorders>
          </w:tcPr>
          <w:p>
            <w:pPr/>
          </w:p>
        </w:tc>
        <w:tc>
          <w:tcPr>
            <w:tcW w:w="7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305"/>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22" w:hRule="exact"/>
        </w:trPr>
        <w:tc>
          <w:tcPr>
            <w:tcW w:w="721" w:type="dxa"/>
            <w:vMerge/>
            <w:tcBorders>
              <w:left w:val="single" w:sz="4" w:space="0" w:color="000000"/>
              <w:bottom w:val="single" w:sz="4" w:space="0" w:color="000000"/>
              <w:right w:val="single" w:sz="4" w:space="0" w:color="000000"/>
            </w:tcBorders>
            <w:shd w:val="clear" w:color="auto" w:fill="D2D2D2"/>
          </w:tcPr>
          <w:p>
            <w:pPr/>
          </w:p>
        </w:tc>
        <w:tc>
          <w:tcPr>
            <w:tcW w:w="729" w:type="dxa"/>
            <w:tcBorders>
              <w:top w:val="nil" w:sz="6" w:space="0" w:color="auto"/>
              <w:left w:val="single" w:sz="4" w:space="0" w:color="000000"/>
              <w:bottom w:val="single" w:sz="4" w:space="0" w:color="000000"/>
              <w:right w:val="single" w:sz="4" w:space="0" w:color="FFFFFF"/>
            </w:tcBorders>
            <w:shd w:val="clear" w:color="auto" w:fill="D2D2D2"/>
          </w:tcPr>
          <w:p>
            <w:pPr/>
          </w:p>
        </w:tc>
        <w:tc>
          <w:tcPr>
            <w:tcW w:w="893" w:type="dxa"/>
            <w:vMerge/>
            <w:tcBorders>
              <w:left w:val="single" w:sz="4" w:space="0" w:color="FFFFFF"/>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903" w:type="dxa"/>
            <w:vMerge/>
            <w:tcBorders>
              <w:left w:val="single" w:sz="4" w:space="0" w:color="000000"/>
              <w:bottom w:val="single" w:sz="4" w:space="0" w:color="000000"/>
              <w:right w:val="single" w:sz="10" w:space="0" w:color="D2D2D2"/>
            </w:tcBorders>
          </w:tcPr>
          <w:p>
            <w:pPr/>
          </w:p>
        </w:tc>
        <w:tc>
          <w:tcPr>
            <w:tcW w:w="8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5" w:type="dxa"/>
            <w:tcBorders>
              <w:top w:val="nil" w:sz="6" w:space="0" w:color="auto"/>
              <w:left w:val="single" w:sz="4" w:space="0" w:color="000000"/>
              <w:bottom w:val="single" w:sz="4" w:space="0" w:color="000000"/>
              <w:right w:val="single" w:sz="4" w:space="0" w:color="000000"/>
            </w:tcBorders>
            <w:shd w:val="clear" w:color="auto" w:fill="D2D2D2"/>
          </w:tcPr>
          <w:p>
            <w:pPr/>
          </w:p>
        </w:tc>
        <w:tc>
          <w:tcPr>
            <w:tcW w:w="730" w:type="dxa"/>
            <w:vMerge/>
            <w:tcBorders>
              <w:left w:val="single" w:sz="10" w:space="0" w:color="D2D2D2"/>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10" w:space="0" w:color="D2D2D2"/>
            </w:tcBorders>
          </w:tcPr>
          <w:p>
            <w:pPr/>
          </w:p>
        </w:tc>
        <w:tc>
          <w:tcPr>
            <w:tcW w:w="725" w:type="dxa"/>
            <w:tcBorders>
              <w:top w:val="nil" w:sz="6" w:space="0" w:color="auto"/>
              <w:left w:val="single" w:sz="4" w:space="0" w:color="000000"/>
              <w:bottom w:val="single" w:sz="4" w:space="0" w:color="000000"/>
              <w:right w:val="single" w:sz="4" w:space="0" w:color="000000"/>
            </w:tcBorders>
            <w:shd w:val="clear" w:color="auto" w:fill="D2D2D2"/>
          </w:tcPr>
          <w:p>
            <w:pPr/>
          </w:p>
        </w:tc>
        <w:tc>
          <w:tcPr>
            <w:tcW w:w="73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4" w:hRule="exact"/>
        </w:trPr>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72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05"/>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21,159</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20,368.99</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603.97</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17,897.28</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3,568.68</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3,568.68</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05"/>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672" w:hRule="exact"/>
        </w:trPr>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42"/>
              <w:jc w:val="left"/>
              <w:rPr>
                <w:rFonts w:ascii="宋体" w:hAnsi="宋体" w:cs="宋体" w:eastAsia="宋体" w:hint="default"/>
                <w:sz w:val="18"/>
                <w:szCs w:val="18"/>
              </w:rPr>
            </w:pPr>
            <w:r>
              <w:rPr>
                <w:rFonts w:ascii="宋体" w:hAnsi="宋体" w:cs="宋体" w:eastAsia="宋体" w:hint="default"/>
                <w:sz w:val="18"/>
                <w:szCs w:val="18"/>
              </w:rPr>
              <w:t>未达到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计划进</w:t>
            </w:r>
          </w:p>
        </w:tc>
        <w:tc>
          <w:tcPr>
            <w:tcW w:w="8854" w:type="dxa"/>
            <w:gridSpan w:val="11"/>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15" w:right="0"/>
              <w:jc w:val="left"/>
              <w:rPr>
                <w:rFonts w:ascii="宋体" w:hAnsi="宋体" w:cs="宋体" w:eastAsia="宋体" w:hint="default"/>
                <w:sz w:val="18"/>
                <w:szCs w:val="18"/>
              </w:rPr>
            </w:pPr>
            <w:r>
              <w:rPr>
                <w:rFonts w:ascii="宋体" w:hAnsi="宋体" w:cs="宋体" w:eastAsia="宋体" w:hint="default"/>
                <w:sz w:val="18"/>
                <w:szCs w:val="18"/>
              </w:rPr>
              <w:t>医疗信息化产品生产基地建设项目</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5-12</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月实际项目净利润</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3,568.68</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万元，该项目预测的投入运营后第一</w:t>
            </w:r>
          </w:p>
          <w:p>
            <w:pPr>
              <w:pStyle w:val="TableParagraph"/>
              <w:spacing w:line="240" w:lineRule="auto" w:before="58"/>
              <w:ind w:left="15" w:right="0"/>
              <w:jc w:val="left"/>
              <w:rPr>
                <w:rFonts w:ascii="宋体" w:hAnsi="宋体" w:cs="宋体" w:eastAsia="宋体" w:hint="default"/>
                <w:sz w:val="18"/>
                <w:szCs w:val="18"/>
              </w:rPr>
            </w:pPr>
            <w:r>
              <w:rPr>
                <w:rFonts w:ascii="宋体" w:hAnsi="宋体" w:cs="宋体" w:eastAsia="宋体" w:hint="default"/>
                <w:sz w:val="18"/>
                <w:szCs w:val="18"/>
              </w:rPr>
              <w:t>年项目净利润为 </w:t>
            </w:r>
            <w:r>
              <w:rPr>
                <w:rFonts w:ascii="Times New Roman" w:hAnsi="Times New Roman" w:cs="Times New Roman" w:eastAsia="Times New Roman" w:hint="default"/>
                <w:spacing w:val="-3"/>
                <w:sz w:val="18"/>
                <w:szCs w:val="18"/>
              </w:rPr>
              <w:t>6,119.69  </w:t>
            </w:r>
            <w:r>
              <w:rPr>
                <w:rFonts w:ascii="宋体" w:hAnsi="宋体" w:cs="宋体" w:eastAsia="宋体" w:hint="default"/>
                <w:spacing w:val="-6"/>
                <w:sz w:val="18"/>
                <w:szCs w:val="18"/>
              </w:rPr>
              <w:t>万元，实际实现效益占折算成 </w:t>
            </w:r>
            <w:r>
              <w:rPr>
                <w:rFonts w:ascii="Times New Roman" w:hAnsi="Times New Roman" w:cs="Times New Roman" w:eastAsia="Times New Roman" w:hint="default"/>
                <w:sz w:val="18"/>
                <w:szCs w:val="18"/>
              </w:rPr>
              <w:t>8 </w:t>
            </w:r>
            <w:r>
              <w:rPr>
                <w:rFonts w:ascii="宋体" w:hAnsi="宋体" w:cs="宋体" w:eastAsia="宋体" w:hint="default"/>
                <w:spacing w:val="-3"/>
                <w:sz w:val="18"/>
                <w:szCs w:val="18"/>
              </w:rPr>
              <w:t>个月后的预测承诺效益的</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87.47%</w:t>
            </w:r>
            <w:r>
              <w:rPr>
                <w:rFonts w:ascii="宋体" w:hAnsi="宋体" w:cs="宋体" w:eastAsia="宋体" w:hint="default"/>
                <w:spacing w:val="-5"/>
                <w:sz w:val="18"/>
                <w:szCs w:val="18"/>
              </w:rPr>
              <w:t>。由于公司项目实施周</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24pt;margin-top:72.019981pt;width:479.5pt;height:685.4pt;mso-position-horizontal-relative:page;mso-position-vertical-relative:page;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20"/>
                    <w:gridCol w:w="8855"/>
                  </w:tblGrid>
                  <w:tr>
                    <w:trPr>
                      <w:trHeight w:val="1921" w:hRule="exact"/>
                    </w:trPr>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4" w:right="141"/>
                          <w:jc w:val="both"/>
                          <w:rPr>
                            <w:rFonts w:ascii="宋体" w:hAnsi="宋体" w:cs="宋体" w:eastAsia="宋体" w:hint="default"/>
                            <w:sz w:val="18"/>
                            <w:szCs w:val="18"/>
                          </w:rPr>
                        </w:pPr>
                        <w:r>
                          <w:rPr>
                            <w:rFonts w:ascii="宋体" w:hAnsi="宋体" w:cs="宋体" w:eastAsia="宋体" w:hint="default"/>
                            <w:sz w:val="18"/>
                            <w:szCs w:val="18"/>
                          </w:rPr>
                          <w:t>度或预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计收益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的情况</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和原因</w:t>
                        </w:r>
                      </w:p>
                      <w:p>
                        <w:pPr>
                          <w:pStyle w:val="TableParagraph"/>
                          <w:spacing w:line="321" w:lineRule="auto" w:before="17"/>
                          <w:ind w:left="24" w:right="-39"/>
                          <w:jc w:val="left"/>
                          <w:rPr>
                            <w:rFonts w:ascii="宋体" w:hAnsi="宋体" w:cs="宋体" w:eastAsia="宋体" w:hint="default"/>
                            <w:sz w:val="18"/>
                            <w:szCs w:val="18"/>
                          </w:rPr>
                        </w:pPr>
                        <w:r>
                          <w:rPr>
                            <w:rFonts w:ascii="宋体" w:hAnsi="宋体" w:cs="宋体" w:eastAsia="宋体" w:hint="default"/>
                            <w:sz w:val="18"/>
                            <w:szCs w:val="18"/>
                          </w:rPr>
                          <w:t>（分具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体项目）</w:t>
                        </w:r>
                      </w:p>
                    </w:tc>
                    <w:tc>
                      <w:tcPr>
                        <w:tcW w:w="8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pacing w:val="-3"/>
                            <w:sz w:val="18"/>
                            <w:szCs w:val="18"/>
                          </w:rPr>
                          <w:t>期较长，募投项目效益未完全释放，因此尚未完全达到预计效益。</w:t>
                        </w:r>
                      </w:p>
                    </w:tc>
                  </w:tr>
                  <w:tr>
                    <w:trPr>
                      <w:trHeight w:val="1964" w:hRule="exact"/>
                    </w:trPr>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41"/>
                          <w:jc w:val="both"/>
                          <w:rPr>
                            <w:rFonts w:ascii="宋体" w:hAnsi="宋体" w:cs="宋体" w:eastAsia="宋体" w:hint="default"/>
                            <w:sz w:val="18"/>
                            <w:szCs w:val="18"/>
                          </w:rPr>
                        </w:pPr>
                        <w:r>
                          <w:rPr>
                            <w:rFonts w:ascii="宋体" w:hAnsi="宋体" w:cs="宋体" w:eastAsia="宋体" w:hint="default"/>
                            <w:sz w:val="18"/>
                            <w:szCs w:val="18"/>
                          </w:rPr>
                          <w:t>项目可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行性发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生重大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变化的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情况说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明</w:t>
                        </w:r>
                      </w:p>
                    </w:tc>
                    <w:tc>
                      <w:tcPr>
                        <w:tcW w:w="8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公司召开的第二届董事会第十八次会议、第二届监事会第十四次会议以及</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日公司</w:t>
                        </w:r>
                      </w:p>
                      <w:p>
                        <w:pPr>
                          <w:pStyle w:val="TableParagraph"/>
                          <w:spacing w:line="307" w:lineRule="auto" w:before="58"/>
                          <w:ind w:left="23" w:right="22"/>
                          <w:jc w:val="left"/>
                          <w:rPr>
                            <w:rFonts w:ascii="宋体" w:hAnsi="宋体" w:cs="宋体" w:eastAsia="宋体" w:hint="default"/>
                            <w:sz w:val="18"/>
                            <w:szCs w:val="18"/>
                          </w:rPr>
                        </w:pPr>
                        <w:r>
                          <w:rPr>
                            <w:rFonts w:ascii="宋体" w:hAnsi="宋体" w:cs="宋体" w:eastAsia="宋体" w:hint="default"/>
                            <w:sz w:val="18"/>
                            <w:szCs w:val="18"/>
                          </w:rPr>
                          <w:t>召开的 </w:t>
                        </w:r>
                        <w:r>
                          <w:rPr>
                            <w:rFonts w:ascii="Times New Roman" w:hAnsi="Times New Roman" w:cs="Times New Roman" w:eastAsia="Times New Roman" w:hint="default"/>
                            <w:sz w:val="18"/>
                            <w:szCs w:val="18"/>
                          </w:rPr>
                          <w:t>2018 </w:t>
                        </w:r>
                        <w:r>
                          <w:rPr>
                            <w:rFonts w:ascii="宋体" w:hAnsi="宋体" w:cs="宋体" w:eastAsia="宋体" w:hint="default"/>
                            <w:spacing w:val="-3"/>
                            <w:sz w:val="18"/>
                            <w:szCs w:val="18"/>
                          </w:rPr>
                          <w:t>年度股东大会审议通过《关于关于变更募集资金用途的议案》</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同意公司终止企业研究院建设项目，</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5"/>
                            <w:w w:val="101"/>
                            <w:sz w:val="18"/>
                            <w:szCs w:val="18"/>
                          </w:rPr>
                          <w:t>并将剩余募集资金及理财利息收入用于永久性补充流动资金（具体金额以实际结转时该项目专户资金余额为准）</w:t>
                        </w:r>
                        <w:r>
                          <w:rPr>
                            <w:rFonts w:ascii="宋体" w:hAnsi="宋体" w:cs="宋体" w:eastAsia="宋体" w:hint="default"/>
                            <w:spacing w:val="-91"/>
                            <w:w w:val="101"/>
                            <w:sz w:val="18"/>
                            <w:szCs w:val="18"/>
                          </w:rPr>
                          <w:t> </w:t>
                        </w:r>
                        <w:r>
                          <w:rPr>
                            <w:rFonts w:ascii="宋体" w:hAnsi="宋体" w:cs="宋体" w:eastAsia="宋体" w:hint="default"/>
                            <w:spacing w:val="-91"/>
                            <w:w w:val="101"/>
                            <w:sz w:val="18"/>
                            <w:szCs w:val="18"/>
                          </w:rPr>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3"/>
                            <w:sz w:val="18"/>
                            <w:szCs w:val="18"/>
                          </w:rPr>
                          <w:t> </w:t>
                        </w:r>
                        <w:r>
                          <w:rPr>
                            <w:rFonts w:ascii="宋体" w:hAnsi="宋体" w:cs="宋体" w:eastAsia="宋体" w:hint="default"/>
                            <w:spacing w:val="-4"/>
                            <w:sz w:val="18"/>
                            <w:szCs w:val="18"/>
                          </w:rPr>
                          <w:t>日，公司将企业研究院建设项目剩余募集资金及理财利息收入合计</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7,973,712.65</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元转入公司自有资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金账户，用于补充流动资金。</w:t>
                        </w:r>
                      </w:p>
                    </w:tc>
                  </w:tr>
                  <w:tr>
                    <w:trPr>
                      <w:trHeight w:val="403" w:hRule="exact"/>
                    </w:trPr>
                    <w:tc>
                      <w:tcPr>
                        <w:tcW w:w="72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24" w:right="12"/>
                          <w:jc w:val="left"/>
                          <w:rPr>
                            <w:rFonts w:ascii="宋体" w:hAnsi="宋体" w:cs="宋体" w:eastAsia="宋体" w:hint="default"/>
                            <w:sz w:val="18"/>
                            <w:szCs w:val="18"/>
                          </w:rPr>
                        </w:pPr>
                        <w:r>
                          <w:rPr>
                            <w:rFonts w:ascii="宋体" w:hAnsi="宋体" w:cs="宋体" w:eastAsia="宋体" w:hint="default"/>
                            <w:sz w:val="18"/>
                            <w:szCs w:val="18"/>
                          </w:rPr>
                          <w:t>超募资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金的金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5"/>
                            <w:sz w:val="18"/>
                            <w:szCs w:val="18"/>
                          </w:rPr>
                          <w:t>额、用途</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及使用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进展情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况</w:t>
                        </w:r>
                      </w:p>
                    </w:tc>
                    <w:tc>
                      <w:tcPr>
                        <w:tcW w:w="8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61" w:hRule="exact"/>
                    </w:trPr>
                    <w:tc>
                      <w:tcPr>
                        <w:tcW w:w="720" w:type="dxa"/>
                        <w:vMerge/>
                        <w:tcBorders>
                          <w:left w:val="single" w:sz="4" w:space="0" w:color="000000"/>
                          <w:bottom w:val="single" w:sz="4" w:space="0" w:color="000000"/>
                          <w:right w:val="single" w:sz="4" w:space="0" w:color="000000"/>
                        </w:tcBorders>
                        <w:shd w:val="clear" w:color="auto" w:fill="D2D2D2"/>
                      </w:tcPr>
                      <w:p>
                        <w:pPr/>
                      </w:p>
                    </w:tc>
                    <w:tc>
                      <w:tcPr>
                        <w:tcW w:w="885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72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4" w:right="141"/>
                          <w:jc w:val="both"/>
                          <w:rPr>
                            <w:rFonts w:ascii="宋体" w:hAnsi="宋体" w:cs="宋体" w:eastAsia="宋体" w:hint="default"/>
                            <w:sz w:val="18"/>
                            <w:szCs w:val="18"/>
                          </w:rPr>
                        </w:pPr>
                        <w:r>
                          <w:rPr>
                            <w:rFonts w:ascii="宋体" w:hAnsi="宋体" w:cs="宋体" w:eastAsia="宋体" w:hint="default"/>
                            <w:sz w:val="18"/>
                            <w:szCs w:val="18"/>
                          </w:rPr>
                          <w:t>募集资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项目实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施地点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变更情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况</w:t>
                        </w:r>
                      </w:p>
                    </w:tc>
                    <w:tc>
                      <w:tcPr>
                        <w:tcW w:w="8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98" w:hRule="exact"/>
                    </w:trPr>
                    <w:tc>
                      <w:tcPr>
                        <w:tcW w:w="720" w:type="dxa"/>
                        <w:vMerge/>
                        <w:tcBorders>
                          <w:left w:val="single" w:sz="4" w:space="0" w:color="000000"/>
                          <w:right w:val="single" w:sz="4" w:space="0" w:color="000000"/>
                        </w:tcBorders>
                        <w:shd w:val="clear" w:color="auto" w:fill="D2D2D2"/>
                      </w:tcPr>
                      <w:p>
                        <w:pPr/>
                      </w:p>
                    </w:tc>
                    <w:tc>
                      <w:tcPr>
                        <w:tcW w:w="8855" w:type="dxa"/>
                        <w:tcBorders>
                          <w:top w:val="single" w:sz="4" w:space="0" w:color="000000"/>
                          <w:left w:val="single" w:sz="4" w:space="0" w:color="000000"/>
                          <w:bottom w:val="single" w:sz="4" w:space="0" w:color="000000"/>
                          <w:right w:val="single" w:sz="4" w:space="0" w:color="000000"/>
                        </w:tcBorders>
                      </w:tcPr>
                      <w:p>
                        <w:pPr/>
                      </w:p>
                    </w:tc>
                  </w:tr>
                  <w:tr>
                    <w:trPr>
                      <w:trHeight w:val="1162" w:hRule="exact"/>
                    </w:trPr>
                    <w:tc>
                      <w:tcPr>
                        <w:tcW w:w="720" w:type="dxa"/>
                        <w:vMerge/>
                        <w:tcBorders>
                          <w:left w:val="single" w:sz="4" w:space="0" w:color="000000"/>
                          <w:bottom w:val="single" w:sz="4" w:space="0" w:color="000000"/>
                          <w:right w:val="single" w:sz="4" w:space="0" w:color="000000"/>
                        </w:tcBorders>
                        <w:shd w:val="clear" w:color="auto" w:fill="D2D2D2"/>
                      </w:tcPr>
                      <w:p>
                        <w:pPr/>
                      </w:p>
                    </w:tc>
                    <w:tc>
                      <w:tcPr>
                        <w:tcW w:w="8855"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72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24" w:right="141"/>
                          <w:jc w:val="both"/>
                          <w:rPr>
                            <w:rFonts w:ascii="宋体" w:hAnsi="宋体" w:cs="宋体" w:eastAsia="宋体" w:hint="default"/>
                            <w:sz w:val="18"/>
                            <w:szCs w:val="18"/>
                          </w:rPr>
                        </w:pPr>
                        <w:r>
                          <w:rPr>
                            <w:rFonts w:ascii="宋体" w:hAnsi="宋体" w:cs="宋体" w:eastAsia="宋体" w:hint="default"/>
                            <w:sz w:val="18"/>
                            <w:szCs w:val="18"/>
                          </w:rPr>
                          <w:t>募集资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项目实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施方式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调整情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况</w:t>
                        </w:r>
                      </w:p>
                    </w:tc>
                    <w:tc>
                      <w:tcPr>
                        <w:tcW w:w="8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720" w:type="dxa"/>
                        <w:vMerge/>
                        <w:tcBorders>
                          <w:left w:val="single" w:sz="4" w:space="0" w:color="000000"/>
                          <w:right w:val="single" w:sz="4" w:space="0" w:color="000000"/>
                        </w:tcBorders>
                        <w:shd w:val="clear" w:color="auto" w:fill="D2D2D2"/>
                      </w:tcPr>
                      <w:p>
                        <w:pPr/>
                      </w:p>
                    </w:tc>
                    <w:tc>
                      <w:tcPr>
                        <w:tcW w:w="8855" w:type="dxa"/>
                        <w:tcBorders>
                          <w:top w:val="single" w:sz="4" w:space="0" w:color="000000"/>
                          <w:left w:val="single" w:sz="4" w:space="0" w:color="000000"/>
                          <w:bottom w:val="single" w:sz="4" w:space="0" w:color="000000"/>
                          <w:right w:val="single" w:sz="4" w:space="0" w:color="000000"/>
                        </w:tcBorders>
                      </w:tcPr>
                      <w:p>
                        <w:pPr/>
                      </w:p>
                    </w:tc>
                  </w:tr>
                  <w:tr>
                    <w:trPr>
                      <w:trHeight w:val="1157" w:hRule="exact"/>
                    </w:trPr>
                    <w:tc>
                      <w:tcPr>
                        <w:tcW w:w="720" w:type="dxa"/>
                        <w:vMerge/>
                        <w:tcBorders>
                          <w:left w:val="single" w:sz="4" w:space="0" w:color="000000"/>
                          <w:bottom w:val="single" w:sz="4" w:space="0" w:color="000000"/>
                          <w:right w:val="single" w:sz="4" w:space="0" w:color="000000"/>
                        </w:tcBorders>
                        <w:shd w:val="clear" w:color="auto" w:fill="D2D2D2"/>
                      </w:tcPr>
                      <w:p>
                        <w:pPr/>
                      </w:p>
                    </w:tc>
                    <w:tc>
                      <w:tcPr>
                        <w:tcW w:w="88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2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24" w:right="141"/>
                          <w:jc w:val="both"/>
                          <w:rPr>
                            <w:rFonts w:ascii="宋体" w:hAnsi="宋体" w:cs="宋体" w:eastAsia="宋体" w:hint="default"/>
                            <w:sz w:val="18"/>
                            <w:szCs w:val="18"/>
                          </w:rPr>
                        </w:pPr>
                        <w:r>
                          <w:rPr>
                            <w:rFonts w:ascii="宋体" w:hAnsi="宋体" w:cs="宋体" w:eastAsia="宋体" w:hint="default"/>
                            <w:sz w:val="18"/>
                            <w:szCs w:val="18"/>
                          </w:rPr>
                          <w:t>募集资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项目先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期投入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及置换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情况</w:t>
                        </w:r>
                      </w:p>
                    </w:tc>
                    <w:tc>
                      <w:tcPr>
                        <w:tcW w:w="8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60" w:hRule="exact"/>
                    </w:trPr>
                    <w:tc>
                      <w:tcPr>
                        <w:tcW w:w="720" w:type="dxa"/>
                        <w:vMerge/>
                        <w:tcBorders>
                          <w:left w:val="single" w:sz="4" w:space="0" w:color="000000"/>
                          <w:bottom w:val="single" w:sz="4" w:space="0" w:color="000000"/>
                          <w:right w:val="single" w:sz="4" w:space="0" w:color="000000"/>
                        </w:tcBorders>
                        <w:shd w:val="clear" w:color="auto" w:fill="D2D2D2"/>
                      </w:tcPr>
                      <w:p>
                        <w:pPr/>
                      </w:p>
                    </w:tc>
                    <w:tc>
                      <w:tcPr>
                        <w:tcW w:w="88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2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24" w:right="141"/>
                          <w:jc w:val="both"/>
                          <w:rPr>
                            <w:rFonts w:ascii="宋体" w:hAnsi="宋体" w:cs="宋体" w:eastAsia="宋体" w:hint="default"/>
                            <w:sz w:val="18"/>
                            <w:szCs w:val="18"/>
                          </w:rPr>
                        </w:pPr>
                        <w:r>
                          <w:rPr>
                            <w:rFonts w:ascii="宋体" w:hAnsi="宋体" w:cs="宋体" w:eastAsia="宋体" w:hint="default"/>
                            <w:sz w:val="18"/>
                            <w:szCs w:val="18"/>
                          </w:rPr>
                          <w:t>用闲置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募集资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金暂时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补充流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动资金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情况</w:t>
                        </w:r>
                      </w:p>
                    </w:tc>
                    <w:tc>
                      <w:tcPr>
                        <w:tcW w:w="8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61" w:hRule="exact"/>
                    </w:trPr>
                    <w:tc>
                      <w:tcPr>
                        <w:tcW w:w="720" w:type="dxa"/>
                        <w:vMerge/>
                        <w:tcBorders>
                          <w:left w:val="single" w:sz="4" w:space="0" w:color="000000"/>
                          <w:bottom w:val="single" w:sz="4" w:space="0" w:color="000000"/>
                          <w:right w:val="single" w:sz="4" w:space="0" w:color="000000"/>
                        </w:tcBorders>
                        <w:shd w:val="clear" w:color="auto" w:fill="D2D2D2"/>
                      </w:tcPr>
                      <w:p>
                        <w:pPr/>
                      </w:p>
                    </w:tc>
                    <w:tc>
                      <w:tcPr>
                        <w:tcW w:w="8855"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line="1560" w:lineRule="exact"/>
        <w:ind w:left="882" w:right="0" w:firstLine="0"/>
        <w:rPr>
          <w:rFonts w:ascii="宋体" w:hAnsi="宋体" w:cs="宋体" w:eastAsia="宋体" w:hint="default"/>
          <w:sz w:val="20"/>
          <w:szCs w:val="20"/>
        </w:rPr>
      </w:pPr>
      <w:r>
        <w:rPr>
          <w:rFonts w:ascii="宋体" w:hAnsi="宋体" w:cs="宋体" w:eastAsia="宋体" w:hint="default"/>
          <w:position w:val="-30"/>
          <w:sz w:val="20"/>
          <w:szCs w:val="20"/>
        </w:rPr>
        <w:pict>
          <v:group style="width:442.05pt;height:78.05pt;mso-position-horizontal-relative:char;mso-position-vertical-relative:line" coordorigin="0,0" coordsize="8841,1561">
            <v:group style="position:absolute;left:0;top:0;width:8841;height:1561" coordorigin="0,0" coordsize="8841,1561">
              <v:shape style="position:absolute;left:0;top:0;width:8841;height:1561" coordorigin="0,0" coordsize="8841,1561" path="m0,1560l8840,1560,8840,0,0,0,0,1560xe" filled="true" fillcolor="#ffffff" stroked="false">
                <v:path arrowok="t"/>
                <v:fill type="solid"/>
              </v:shape>
            </v:group>
          </v:group>
        </w:pict>
      </w:r>
      <w:r>
        <w:rPr>
          <w:rFonts w:ascii="宋体" w:hAnsi="宋体" w:cs="宋体" w:eastAsia="宋体" w:hint="default"/>
          <w:position w:val="-30"/>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before="46"/>
        <w:ind w:left="0" w:right="1133"/>
        <w:jc w:val="right"/>
      </w:pPr>
      <w:r>
        <w:rPr>
          <w:w w:val="101"/>
        </w:rPr>
        <w:t>。</w:t>
      </w:r>
      <w:r>
        <w:rPr/>
      </w:r>
    </w:p>
    <w:p>
      <w:pPr>
        <w:spacing w:after="0" w:line="240" w:lineRule="auto"/>
        <w:jc w:val="right"/>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20"/>
        <w:gridCol w:w="8855"/>
      </w:tblGrid>
      <w:tr>
        <w:trPr>
          <w:trHeight w:val="403" w:hRule="exact"/>
        </w:trPr>
        <w:tc>
          <w:tcPr>
            <w:tcW w:w="7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319" w:lineRule="auto"/>
              <w:ind w:left="24" w:right="141"/>
              <w:jc w:val="both"/>
              <w:rPr>
                <w:rFonts w:ascii="宋体" w:hAnsi="宋体" w:cs="宋体" w:eastAsia="宋体" w:hint="default"/>
                <w:sz w:val="18"/>
                <w:szCs w:val="18"/>
              </w:rPr>
            </w:pPr>
            <w:r>
              <w:rPr>
                <w:rFonts w:ascii="宋体" w:hAnsi="宋体" w:cs="宋体" w:eastAsia="宋体" w:hint="default"/>
                <w:sz w:val="18"/>
                <w:szCs w:val="18"/>
              </w:rPr>
              <w:t>项目实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施出现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募集资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金结余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的金额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及原因</w:t>
            </w:r>
          </w:p>
        </w:tc>
        <w:tc>
          <w:tcPr>
            <w:tcW w:w="8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583" w:hRule="exact"/>
        </w:trPr>
        <w:tc>
          <w:tcPr>
            <w:tcW w:w="720" w:type="dxa"/>
            <w:vMerge/>
            <w:tcBorders>
              <w:left w:val="single" w:sz="4" w:space="0" w:color="000000"/>
              <w:bottom w:val="single" w:sz="4" w:space="0" w:color="000000"/>
              <w:right w:val="single" w:sz="4" w:space="0" w:color="000000"/>
            </w:tcBorders>
            <w:shd w:val="clear" w:color="auto" w:fill="D2D2D2"/>
          </w:tcPr>
          <w:p>
            <w:pPr/>
          </w:p>
        </w:tc>
        <w:tc>
          <w:tcPr>
            <w:tcW w:w="8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日公司第二届董事会第十八次会议决议，并经</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日公司</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pacing w:val="-3"/>
                <w:sz w:val="18"/>
                <w:szCs w:val="18"/>
              </w:rPr>
              <w:t>年度股东大会审</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宋体" w:hAnsi="宋体" w:cs="宋体" w:eastAsia="宋体" w:hint="default"/>
                <w:w w:val="101"/>
                <w:sz w:val="18"/>
                <w:szCs w:val="18"/>
              </w:rPr>
              <w:t>议</w:t>
            </w:r>
            <w:r>
              <w:rPr>
                <w:rFonts w:ascii="宋体" w:hAnsi="宋体" w:cs="宋体" w:eastAsia="宋体" w:hint="default"/>
                <w:spacing w:val="-5"/>
                <w:w w:val="101"/>
                <w:sz w:val="18"/>
                <w:szCs w:val="18"/>
              </w:rPr>
              <w:t>通</w:t>
            </w:r>
            <w:r>
              <w:rPr>
                <w:rFonts w:ascii="宋体" w:hAnsi="宋体" w:cs="宋体" w:eastAsia="宋体" w:hint="default"/>
                <w:w w:val="101"/>
                <w:sz w:val="18"/>
                <w:szCs w:val="18"/>
              </w:rPr>
              <w:t>过</w:t>
            </w:r>
            <w:r>
              <w:rPr>
                <w:rFonts w:ascii="宋体" w:hAnsi="宋体" w:cs="宋体" w:eastAsia="宋体" w:hint="default"/>
                <w:spacing w:val="-87"/>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对</w:t>
            </w:r>
            <w:r>
              <w:rPr>
                <w:rFonts w:ascii="宋体" w:hAnsi="宋体" w:cs="宋体" w:eastAsia="宋体" w:hint="default"/>
                <w:w w:val="101"/>
                <w:sz w:val="18"/>
                <w:szCs w:val="18"/>
              </w:rPr>
              <w:t>企</w:t>
            </w:r>
            <w:r>
              <w:rPr>
                <w:rFonts w:ascii="宋体" w:hAnsi="宋体" w:cs="宋体" w:eastAsia="宋体" w:hint="default"/>
                <w:spacing w:val="-5"/>
                <w:w w:val="101"/>
                <w:sz w:val="18"/>
                <w:szCs w:val="18"/>
              </w:rPr>
              <w:t>业</w:t>
            </w:r>
            <w:r>
              <w:rPr>
                <w:rFonts w:ascii="宋体" w:hAnsi="宋体" w:cs="宋体" w:eastAsia="宋体" w:hint="default"/>
                <w:w w:val="101"/>
                <w:sz w:val="18"/>
                <w:szCs w:val="18"/>
              </w:rPr>
              <w:t>研</w:t>
            </w:r>
            <w:r>
              <w:rPr>
                <w:rFonts w:ascii="宋体" w:hAnsi="宋体" w:cs="宋体" w:eastAsia="宋体" w:hint="default"/>
                <w:spacing w:val="-5"/>
                <w:w w:val="101"/>
                <w:sz w:val="18"/>
                <w:szCs w:val="18"/>
              </w:rPr>
              <w:t>究</w:t>
            </w:r>
            <w:r>
              <w:rPr>
                <w:rFonts w:ascii="宋体" w:hAnsi="宋体" w:cs="宋体" w:eastAsia="宋体" w:hint="default"/>
                <w:w w:val="101"/>
                <w:sz w:val="18"/>
                <w:szCs w:val="18"/>
              </w:rPr>
              <w:t>院</w:t>
            </w:r>
            <w:r>
              <w:rPr>
                <w:rFonts w:ascii="宋体" w:hAnsi="宋体" w:cs="宋体" w:eastAsia="宋体" w:hint="default"/>
                <w:spacing w:val="-5"/>
                <w:w w:val="101"/>
                <w:sz w:val="18"/>
                <w:szCs w:val="18"/>
              </w:rPr>
              <w:t>建</w:t>
            </w:r>
            <w:r>
              <w:rPr>
                <w:rFonts w:ascii="宋体" w:hAnsi="宋体" w:cs="宋体" w:eastAsia="宋体" w:hint="default"/>
                <w:w w:val="101"/>
                <w:sz w:val="18"/>
                <w:szCs w:val="18"/>
              </w:rPr>
              <w:t>设</w:t>
            </w:r>
            <w:r>
              <w:rPr>
                <w:rFonts w:ascii="宋体" w:hAnsi="宋体" w:cs="宋体" w:eastAsia="宋体" w:hint="default"/>
                <w:spacing w:val="-5"/>
                <w:w w:val="101"/>
                <w:sz w:val="18"/>
                <w:szCs w:val="18"/>
              </w:rPr>
              <w:t>项</w:t>
            </w:r>
            <w:r>
              <w:rPr>
                <w:rFonts w:ascii="宋体" w:hAnsi="宋体" w:cs="宋体" w:eastAsia="宋体" w:hint="default"/>
                <w:w w:val="101"/>
                <w:sz w:val="18"/>
                <w:szCs w:val="18"/>
              </w:rPr>
              <w:t>目</w:t>
            </w:r>
            <w:r>
              <w:rPr>
                <w:rFonts w:ascii="宋体" w:hAnsi="宋体" w:cs="宋体" w:eastAsia="宋体" w:hint="default"/>
                <w:spacing w:val="-5"/>
                <w:w w:val="101"/>
                <w:sz w:val="18"/>
                <w:szCs w:val="18"/>
              </w:rPr>
              <w:t>未</w:t>
            </w:r>
            <w:r>
              <w:rPr>
                <w:rFonts w:ascii="宋体" w:hAnsi="宋体" w:cs="宋体" w:eastAsia="宋体" w:hint="default"/>
                <w:w w:val="101"/>
                <w:sz w:val="18"/>
                <w:szCs w:val="18"/>
              </w:rPr>
              <w:t>使</w:t>
            </w:r>
            <w:r>
              <w:rPr>
                <w:rFonts w:ascii="宋体" w:hAnsi="宋体" w:cs="宋体" w:eastAsia="宋体" w:hint="default"/>
                <w:spacing w:val="-5"/>
                <w:w w:val="101"/>
                <w:sz w:val="18"/>
                <w:szCs w:val="18"/>
              </w:rPr>
              <w:t>用</w:t>
            </w:r>
            <w:r>
              <w:rPr>
                <w:rFonts w:ascii="宋体" w:hAnsi="宋体" w:cs="宋体" w:eastAsia="宋体" w:hint="default"/>
                <w:w w:val="101"/>
                <w:sz w:val="18"/>
                <w:szCs w:val="18"/>
              </w:rPr>
              <w:t>完</w:t>
            </w:r>
            <w:r>
              <w:rPr>
                <w:rFonts w:ascii="宋体" w:hAnsi="宋体" w:cs="宋体" w:eastAsia="宋体" w:hint="default"/>
                <w:spacing w:val="-5"/>
                <w:w w:val="101"/>
                <w:sz w:val="18"/>
                <w:szCs w:val="18"/>
              </w:rPr>
              <w:t>毕</w:t>
            </w:r>
            <w:r>
              <w:rPr>
                <w:rFonts w:ascii="宋体" w:hAnsi="宋体" w:cs="宋体" w:eastAsia="宋体" w:hint="default"/>
                <w:w w:val="101"/>
                <w:sz w:val="18"/>
                <w:szCs w:val="18"/>
              </w:rPr>
              <w:t>的</w:t>
            </w:r>
            <w:r>
              <w:rPr>
                <w:rFonts w:ascii="宋体" w:hAnsi="宋体" w:cs="宋体" w:eastAsia="宋体" w:hint="default"/>
                <w:spacing w:val="-5"/>
                <w:w w:val="101"/>
                <w:sz w:val="18"/>
                <w:szCs w:val="18"/>
              </w:rPr>
              <w:t>募</w:t>
            </w:r>
            <w:r>
              <w:rPr>
                <w:rFonts w:ascii="宋体" w:hAnsi="宋体" w:cs="宋体" w:eastAsia="宋体" w:hint="default"/>
                <w:w w:val="101"/>
                <w:sz w:val="18"/>
                <w:szCs w:val="18"/>
              </w:rPr>
              <w:t>集</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5"/>
                <w:w w:val="101"/>
                <w:sz w:val="18"/>
                <w:szCs w:val="18"/>
              </w:rPr>
              <w:t>进</w:t>
            </w:r>
            <w:r>
              <w:rPr>
                <w:rFonts w:ascii="宋体" w:hAnsi="宋体" w:cs="宋体" w:eastAsia="宋体" w:hint="default"/>
                <w:w w:val="101"/>
                <w:sz w:val="18"/>
                <w:szCs w:val="18"/>
              </w:rPr>
              <w:t>行</w:t>
            </w:r>
            <w:r>
              <w:rPr>
                <w:rFonts w:ascii="宋体" w:hAnsi="宋体" w:cs="宋体" w:eastAsia="宋体" w:hint="default"/>
                <w:spacing w:val="-5"/>
                <w:w w:val="101"/>
                <w:sz w:val="18"/>
                <w:szCs w:val="18"/>
              </w:rPr>
              <w:t>变</w:t>
            </w:r>
            <w:r>
              <w:rPr>
                <w:rFonts w:ascii="宋体" w:hAnsi="宋体" w:cs="宋体" w:eastAsia="宋体" w:hint="default"/>
                <w:w w:val="101"/>
                <w:sz w:val="18"/>
                <w:szCs w:val="18"/>
              </w:rPr>
              <w:t>更</w:t>
            </w:r>
            <w:r>
              <w:rPr>
                <w:rFonts w:ascii="宋体" w:hAnsi="宋体" w:cs="宋体" w:eastAsia="宋体" w:hint="default"/>
                <w:spacing w:val="-87"/>
                <w:w w:val="101"/>
                <w:sz w:val="18"/>
                <w:szCs w:val="18"/>
              </w:rPr>
              <w:t>，</w:t>
            </w:r>
            <w:r>
              <w:rPr>
                <w:rFonts w:ascii="宋体" w:hAnsi="宋体" w:cs="宋体" w:eastAsia="宋体" w:hint="default"/>
                <w:spacing w:val="-5"/>
                <w:w w:val="101"/>
                <w:sz w:val="18"/>
                <w:szCs w:val="18"/>
              </w:rPr>
              <w:t>用</w:t>
            </w:r>
            <w:r>
              <w:rPr>
                <w:rFonts w:ascii="宋体" w:hAnsi="宋体" w:cs="宋体" w:eastAsia="宋体" w:hint="default"/>
                <w:w w:val="101"/>
                <w:sz w:val="18"/>
                <w:szCs w:val="18"/>
              </w:rPr>
              <w:t>于</w:t>
            </w:r>
            <w:r>
              <w:rPr>
                <w:rFonts w:ascii="宋体" w:hAnsi="宋体" w:cs="宋体" w:eastAsia="宋体" w:hint="default"/>
                <w:spacing w:val="-5"/>
                <w:w w:val="101"/>
                <w:sz w:val="18"/>
                <w:szCs w:val="18"/>
              </w:rPr>
              <w:t>永</w:t>
            </w:r>
            <w:r>
              <w:rPr>
                <w:rFonts w:ascii="宋体" w:hAnsi="宋体" w:cs="宋体" w:eastAsia="宋体" w:hint="default"/>
                <w:w w:val="101"/>
                <w:sz w:val="18"/>
                <w:szCs w:val="18"/>
              </w:rPr>
              <w:t>久</w:t>
            </w:r>
            <w:r>
              <w:rPr>
                <w:rFonts w:ascii="宋体" w:hAnsi="宋体" w:cs="宋体" w:eastAsia="宋体" w:hint="default"/>
                <w:spacing w:val="-5"/>
                <w:w w:val="101"/>
                <w:sz w:val="18"/>
                <w:szCs w:val="18"/>
              </w:rPr>
              <w:t>补</w:t>
            </w:r>
            <w:r>
              <w:rPr>
                <w:rFonts w:ascii="宋体" w:hAnsi="宋体" w:cs="宋体" w:eastAsia="宋体" w:hint="default"/>
                <w:w w:val="101"/>
                <w:sz w:val="18"/>
                <w:szCs w:val="18"/>
              </w:rPr>
              <w:t>充</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流</w:t>
            </w:r>
            <w:r>
              <w:rPr>
                <w:rFonts w:ascii="宋体" w:hAnsi="宋体" w:cs="宋体" w:eastAsia="宋体" w:hint="default"/>
                <w:w w:val="101"/>
                <w:sz w:val="18"/>
                <w:szCs w:val="18"/>
              </w:rPr>
              <w:t>动</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87"/>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已</w:t>
            </w:r>
            <w:r>
              <w:rPr>
                <w:rFonts w:ascii="宋体" w:hAnsi="宋体" w:cs="宋体" w:eastAsia="宋体" w:hint="default"/>
                <w:w w:val="101"/>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w w:val="101"/>
                <w:sz w:val="18"/>
                <w:szCs w:val="18"/>
              </w:rPr>
              <w:t>20</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w w:val="101"/>
                <w:sz w:val="18"/>
                <w:szCs w:val="18"/>
              </w:rPr>
              <w:t>9</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z w:val="18"/>
                <w:szCs w:val="18"/>
              </w:rPr>
              <w:t>月 </w:t>
            </w:r>
            <w:r>
              <w:rPr>
                <w:rFonts w:ascii="Times New Roman" w:hAnsi="Times New Roman" w:cs="Times New Roman" w:eastAsia="Times New Roman" w:hint="default"/>
                <w:sz w:val="18"/>
                <w:szCs w:val="18"/>
              </w:rPr>
              <w:t>3 </w:t>
            </w:r>
            <w:r>
              <w:rPr>
                <w:rFonts w:ascii="宋体" w:hAnsi="宋体" w:cs="宋体" w:eastAsia="宋体" w:hint="default"/>
                <w:spacing w:val="-3"/>
                <w:sz w:val="18"/>
                <w:szCs w:val="18"/>
              </w:rPr>
              <w:t>日将该项目的募集资金余额 </w:t>
            </w:r>
            <w:r>
              <w:rPr>
                <w:rFonts w:ascii="Times New Roman" w:hAnsi="Times New Roman" w:cs="Times New Roman" w:eastAsia="Times New Roman" w:hint="default"/>
                <w:sz w:val="18"/>
                <w:szCs w:val="18"/>
              </w:rPr>
              <w:t>797.37</w:t>
            </w:r>
            <w:r>
              <w:rPr>
                <w:rFonts w:ascii="Times New Roman" w:hAnsi="Times New Roman" w:cs="Times New Roman" w:eastAsia="Times New Roman" w:hint="default"/>
                <w:spacing w:val="-25"/>
                <w:sz w:val="18"/>
                <w:szCs w:val="18"/>
              </w:rPr>
              <w:t> </w:t>
            </w:r>
            <w:r>
              <w:rPr>
                <w:rFonts w:ascii="宋体" w:hAnsi="宋体" w:cs="宋体" w:eastAsia="宋体" w:hint="default"/>
                <w:spacing w:val="-5"/>
                <w:sz w:val="18"/>
                <w:szCs w:val="18"/>
              </w:rPr>
              <w:t>万元（含利息）从募集资金专户转入公司其他账户，并注销募集资金</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专户；医疗信息化产品生产基地建设项目和营销网络项目未使用完毕的募集资金已进行结项，公司分别于 </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日将该等项目的募集资金余额合计</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2,573.70</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万元（含利息）从募集资金专户转入公司其他</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pacing w:val="-5"/>
                <w:sz w:val="18"/>
                <w:szCs w:val="18"/>
              </w:rPr>
              <w:t>账户，并注销募集资金专户，其中，医疗信息化产品生产基地建设项目尚未支付的项目供应商尾款 </w:t>
            </w:r>
            <w:r>
              <w:rPr>
                <w:rFonts w:ascii="Times New Roman" w:hAnsi="Times New Roman" w:cs="Times New Roman" w:eastAsia="Times New Roman" w:hint="default"/>
                <w:sz w:val="18"/>
                <w:szCs w:val="18"/>
              </w:rPr>
              <w:t>757.81  </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万元将</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pacing w:val="-3"/>
                <w:sz w:val="18"/>
                <w:szCs w:val="18"/>
              </w:rPr>
              <w:t>由公司其他账户继续支付（截至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日，公司已使用转入其他账户的募集资金支付项目供应商尾款</w:t>
            </w:r>
          </w:p>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t>224</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82</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万</w:t>
            </w:r>
            <w:r>
              <w:rPr>
                <w:rFonts w:ascii="宋体" w:hAnsi="宋体" w:cs="宋体" w:eastAsia="宋体" w:hint="default"/>
                <w:w w:val="101"/>
                <w:sz w:val="18"/>
                <w:szCs w:val="18"/>
              </w:rPr>
              <w:t>元</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宋体" w:hAnsi="宋体" w:cs="宋体" w:eastAsia="宋体" w:hint="default"/>
                <w:sz w:val="18"/>
                <w:szCs w:val="18"/>
              </w:rPr>
            </w:r>
          </w:p>
        </w:tc>
      </w:tr>
      <w:tr>
        <w:trPr>
          <w:trHeight w:val="1652" w:hRule="exact"/>
        </w:trPr>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24" w:right="141"/>
              <w:jc w:val="both"/>
              <w:rPr>
                <w:rFonts w:ascii="宋体" w:hAnsi="宋体" w:cs="宋体" w:eastAsia="宋体" w:hint="default"/>
                <w:sz w:val="18"/>
                <w:szCs w:val="18"/>
              </w:rPr>
            </w:pPr>
            <w:r>
              <w:rPr>
                <w:rFonts w:ascii="宋体" w:hAnsi="宋体" w:cs="宋体" w:eastAsia="宋体" w:hint="default"/>
                <w:sz w:val="18"/>
                <w:szCs w:val="18"/>
              </w:rPr>
              <w:t>尚未使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用的募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集资金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用途及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去向</w:t>
            </w:r>
          </w:p>
        </w:tc>
        <w:tc>
          <w:tcPr>
            <w:tcW w:w="8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276" w:hRule="exact"/>
        </w:trPr>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41"/>
              <w:jc w:val="both"/>
              <w:rPr>
                <w:rFonts w:ascii="宋体" w:hAnsi="宋体" w:cs="宋体" w:eastAsia="宋体" w:hint="default"/>
                <w:sz w:val="18"/>
                <w:szCs w:val="18"/>
              </w:rPr>
            </w:pPr>
            <w:r>
              <w:rPr>
                <w:rFonts w:ascii="宋体" w:hAnsi="宋体" w:cs="宋体" w:eastAsia="宋体" w:hint="default"/>
                <w:sz w:val="18"/>
                <w:szCs w:val="18"/>
              </w:rPr>
              <w:t>募集资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金使用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及披露</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中存在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的问题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或其他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情况</w:t>
            </w:r>
          </w:p>
        </w:tc>
        <w:tc>
          <w:tcPr>
            <w:tcW w:w="8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3）募集资金变更项目情况" w:id="51"/>
      <w:bookmarkEnd w:id="51"/>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6"/>
        <w:ind w:left="0" w:right="1122"/>
        <w:jc w:val="right"/>
      </w:pPr>
      <w:r>
        <w:rPr>
          <w:spacing w:val="-2"/>
        </w:rPr>
        <w:t>单位：万元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56"/>
        <w:gridCol w:w="960"/>
        <w:gridCol w:w="956"/>
        <w:gridCol w:w="961"/>
        <w:gridCol w:w="956"/>
        <w:gridCol w:w="955"/>
        <w:gridCol w:w="960"/>
        <w:gridCol w:w="956"/>
        <w:gridCol w:w="956"/>
        <w:gridCol w:w="960"/>
      </w:tblGrid>
      <w:tr>
        <w:trPr>
          <w:trHeight w:val="1340" w:hRule="exact"/>
        </w:trPr>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384" w:right="17" w:hanging="360"/>
              <w:jc w:val="left"/>
              <w:rPr>
                <w:rFonts w:ascii="宋体" w:hAnsi="宋体" w:cs="宋体" w:eastAsia="宋体" w:hint="default"/>
                <w:sz w:val="18"/>
                <w:szCs w:val="18"/>
              </w:rPr>
            </w:pPr>
            <w:r>
              <w:rPr>
                <w:rFonts w:ascii="宋体" w:hAnsi="宋体" w:cs="宋体" w:eastAsia="宋体" w:hint="default"/>
                <w:spacing w:val="-2"/>
                <w:sz w:val="18"/>
                <w:szCs w:val="18"/>
              </w:rPr>
              <w:t>变更后的项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目</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06" w:right="21" w:hanging="183"/>
              <w:jc w:val="left"/>
              <w:rPr>
                <w:rFonts w:ascii="宋体" w:hAnsi="宋体" w:cs="宋体" w:eastAsia="宋体" w:hint="default"/>
                <w:sz w:val="18"/>
                <w:szCs w:val="18"/>
              </w:rPr>
            </w:pPr>
            <w:r>
              <w:rPr>
                <w:rFonts w:ascii="宋体" w:hAnsi="宋体" w:cs="宋体" w:eastAsia="宋体" w:hint="default"/>
                <w:spacing w:val="-2"/>
                <w:sz w:val="18"/>
                <w:szCs w:val="18"/>
              </w:rPr>
              <w:t>对应的原承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诺项目</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3" w:right="17"/>
              <w:jc w:val="center"/>
              <w:rPr>
                <w:rFonts w:ascii="宋体" w:hAnsi="宋体" w:cs="宋体" w:eastAsia="宋体" w:hint="default"/>
                <w:sz w:val="18"/>
                <w:szCs w:val="18"/>
              </w:rPr>
            </w:pPr>
            <w:r>
              <w:rPr>
                <w:rFonts w:ascii="宋体" w:hAnsi="宋体" w:cs="宋体" w:eastAsia="宋体" w:hint="default"/>
                <w:spacing w:val="-2"/>
                <w:sz w:val="18"/>
                <w:szCs w:val="18"/>
              </w:rPr>
              <w:t>变更后项目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拟投入募集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资金总额</w:t>
            </w:r>
          </w:p>
          <w:p>
            <w:pPr>
              <w:pStyle w:val="TableParagraph"/>
              <w:spacing w:line="240" w:lineRule="auto" w:before="68"/>
              <w:ind w:left="8" w:right="0"/>
              <w:jc w:val="center"/>
              <w:rPr>
                <w:rFonts w:ascii="Times New Roman" w:hAnsi="Times New Roman" w:cs="Times New Roman" w:eastAsia="Times New Roman" w:hint="default"/>
                <w:sz w:val="18"/>
                <w:szCs w:val="18"/>
              </w:rPr>
            </w:pPr>
            <w:r>
              <w:rPr>
                <w:rFonts w:ascii="Times New Roman"/>
                <w:sz w:val="18"/>
              </w:rPr>
              <w:t>(1)</w:t>
            </w:r>
          </w:p>
        </w:tc>
        <w:tc>
          <w:tcPr>
            <w:tcW w:w="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3" w:right="22"/>
              <w:jc w:val="left"/>
              <w:rPr>
                <w:rFonts w:ascii="宋体" w:hAnsi="宋体" w:cs="宋体" w:eastAsia="宋体" w:hint="default"/>
                <w:sz w:val="18"/>
                <w:szCs w:val="18"/>
              </w:rPr>
            </w:pPr>
            <w:r>
              <w:rPr>
                <w:rFonts w:ascii="宋体" w:hAnsi="宋体" w:cs="宋体" w:eastAsia="宋体" w:hint="default"/>
                <w:spacing w:val="-2"/>
                <w:sz w:val="18"/>
                <w:szCs w:val="18"/>
              </w:rPr>
              <w:t>本报告期实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3" w:right="17"/>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截至期末实</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际累计投入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金额</w:t>
            </w:r>
            <w:r>
              <w:rPr>
                <w:rFonts w:ascii="Times New Roman" w:hAnsi="Times New Roman" w:cs="Times New Roman" w:eastAsia="Times New Roman" w:hint="default"/>
                <w:sz w:val="18"/>
                <w:szCs w:val="18"/>
              </w:rPr>
              <w:t>(2)</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2" w:lineRule="auto"/>
              <w:ind w:left="23" w:right="17"/>
              <w:jc w:val="center"/>
              <w:rPr>
                <w:rFonts w:ascii="宋体" w:hAnsi="宋体" w:cs="宋体" w:eastAsia="宋体" w:hint="default"/>
                <w:sz w:val="18"/>
                <w:szCs w:val="18"/>
              </w:rPr>
            </w:pPr>
            <w:r>
              <w:rPr>
                <w:rFonts w:ascii="宋体" w:hAnsi="宋体" w:cs="宋体" w:eastAsia="宋体" w:hint="default"/>
                <w:spacing w:val="-2"/>
                <w:sz w:val="18"/>
                <w:szCs w:val="18"/>
              </w:rPr>
              <w:t>截至期末投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资进度</w:t>
            </w:r>
          </w:p>
          <w:p>
            <w:pPr>
              <w:pStyle w:val="TableParagraph"/>
              <w:spacing w:line="240" w:lineRule="auto" w:before="70"/>
              <w:ind w:left="2" w:right="0"/>
              <w:jc w:val="center"/>
              <w:rPr>
                <w:rFonts w:ascii="Times New Roman" w:hAnsi="Times New Roman" w:cs="Times New Roman" w:eastAsia="Times New Roman" w:hint="default"/>
                <w:sz w:val="18"/>
                <w:szCs w:val="18"/>
              </w:rPr>
            </w:pPr>
            <w:r>
              <w:rPr>
                <w:rFonts w:ascii="Times New Roman"/>
                <w:sz w:val="18"/>
              </w:rPr>
              <w:t>(3)=(2)/(1)</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8" w:right="17"/>
              <w:jc w:val="center"/>
              <w:rPr>
                <w:rFonts w:ascii="宋体" w:hAnsi="宋体" w:cs="宋体" w:eastAsia="宋体" w:hint="default"/>
                <w:sz w:val="18"/>
                <w:szCs w:val="18"/>
              </w:rPr>
            </w:pPr>
            <w:r>
              <w:rPr>
                <w:rFonts w:ascii="宋体" w:hAnsi="宋体" w:cs="宋体" w:eastAsia="宋体" w:hint="default"/>
                <w:spacing w:val="-2"/>
                <w:sz w:val="18"/>
                <w:szCs w:val="18"/>
              </w:rPr>
              <w:t>项目达到预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定可使用状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态日期</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15" w:right="17" w:hanging="92"/>
              <w:jc w:val="left"/>
              <w:rPr>
                <w:rFonts w:ascii="宋体" w:hAnsi="宋体" w:cs="宋体" w:eastAsia="宋体" w:hint="default"/>
                <w:sz w:val="18"/>
                <w:szCs w:val="18"/>
              </w:rPr>
            </w:pPr>
            <w:r>
              <w:rPr>
                <w:rFonts w:ascii="宋体" w:hAnsi="宋体" w:cs="宋体" w:eastAsia="宋体" w:hint="default"/>
                <w:spacing w:val="-2"/>
                <w:sz w:val="18"/>
                <w:szCs w:val="18"/>
              </w:rPr>
              <w:t>本报告期实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现的效益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06" w:right="17" w:hanging="183"/>
              <w:jc w:val="left"/>
              <w:rPr>
                <w:rFonts w:ascii="宋体" w:hAnsi="宋体" w:cs="宋体" w:eastAsia="宋体" w:hint="default"/>
                <w:sz w:val="18"/>
                <w:szCs w:val="18"/>
              </w:rPr>
            </w:pPr>
            <w:r>
              <w:rPr>
                <w:rFonts w:ascii="宋体" w:hAnsi="宋体" w:cs="宋体" w:eastAsia="宋体" w:hint="default"/>
                <w:spacing w:val="-2"/>
                <w:sz w:val="18"/>
                <w:szCs w:val="18"/>
              </w:rPr>
              <w:t>是否达到预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计效益</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3" w:right="21"/>
              <w:jc w:val="center"/>
              <w:rPr>
                <w:rFonts w:ascii="宋体" w:hAnsi="宋体" w:cs="宋体" w:eastAsia="宋体" w:hint="default"/>
                <w:sz w:val="18"/>
                <w:szCs w:val="18"/>
              </w:rPr>
            </w:pPr>
            <w:r>
              <w:rPr>
                <w:rFonts w:ascii="宋体" w:hAnsi="宋体" w:cs="宋体" w:eastAsia="宋体" w:hint="default"/>
                <w:spacing w:val="-2"/>
                <w:sz w:val="18"/>
                <w:szCs w:val="18"/>
              </w:rPr>
              <w:t>变更后的项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目可行性是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否发生重大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变化</w:t>
            </w:r>
          </w:p>
        </w:tc>
      </w:tr>
      <w:tr>
        <w:trPr>
          <w:trHeight w:val="1027"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13"/>
              <w:jc w:val="left"/>
              <w:rPr>
                <w:rFonts w:ascii="宋体" w:hAnsi="宋体" w:cs="宋体" w:eastAsia="宋体" w:hint="default"/>
                <w:sz w:val="18"/>
                <w:szCs w:val="18"/>
              </w:rPr>
            </w:pPr>
            <w:r>
              <w:rPr>
                <w:rFonts w:ascii="宋体" w:hAnsi="宋体" w:cs="宋体" w:eastAsia="宋体" w:hint="default"/>
                <w:sz w:val="18"/>
                <w:szCs w:val="18"/>
              </w:rPr>
              <w:t>补充流动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资金</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17"/>
              <w:jc w:val="both"/>
              <w:rPr>
                <w:rFonts w:ascii="宋体" w:hAnsi="宋体" w:cs="宋体" w:eastAsia="宋体" w:hint="default"/>
                <w:sz w:val="18"/>
                <w:szCs w:val="18"/>
              </w:rPr>
            </w:pPr>
            <w:r>
              <w:rPr>
                <w:rFonts w:ascii="宋体" w:hAnsi="宋体" w:cs="宋体" w:eastAsia="宋体" w:hint="default"/>
                <w:sz w:val="18"/>
                <w:szCs w:val="18"/>
              </w:rPr>
              <w:t>企业研究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院建设项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790.01</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790.01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790.01</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50" w:right="0"/>
              <w:jc w:val="left"/>
              <w:rPr>
                <w:rFonts w:ascii="Times New Roman" w:hAnsi="Times New Roman" w:cs="Times New Roman" w:eastAsia="Times New Roman" w:hint="default"/>
                <w:sz w:val="18"/>
                <w:szCs w:val="18"/>
              </w:rPr>
            </w:pPr>
            <w:r>
              <w:rPr>
                <w:rFonts w:ascii="Times New Roman"/>
                <w:sz w:val="18"/>
              </w:rPr>
              <w:t>100.00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07"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hAnsi="宋体" w:cs="宋体" w:eastAsia="宋体" w:hint="default"/>
                <w:spacing w:val="-2"/>
                <w:sz w:val="18"/>
                <w:szCs w:val="18"/>
              </w:rPr>
              <w:t>不适用</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99"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790.01</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790.01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790.01</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715" w:hRule="exact"/>
        </w:trPr>
        <w:tc>
          <w:tcPr>
            <w:tcW w:w="28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2"/>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变更原因、决策程序及信息披露情况</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3"/>
                <w:sz w:val="18"/>
                <w:szCs w:val="18"/>
              </w:rPr>
              <w:t>说明</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分具体项目</w:t>
            </w:r>
            <w:r>
              <w:rPr>
                <w:rFonts w:ascii="Times New Roman" w:hAnsi="Times New Roman" w:cs="Times New Roman" w:eastAsia="Times New Roman" w:hint="default"/>
                <w:spacing w:val="-3"/>
                <w:sz w:val="18"/>
                <w:szCs w:val="18"/>
              </w:rPr>
              <w:t>)</w:t>
            </w:r>
          </w:p>
        </w:tc>
        <w:tc>
          <w:tcPr>
            <w:tcW w:w="6703" w:type="dxa"/>
            <w:gridSpan w:val="7"/>
            <w:tcBorders>
              <w:top w:val="single" w:sz="4" w:space="0" w:color="000000"/>
              <w:left w:val="single" w:sz="4" w:space="0" w:color="000000"/>
              <w:bottom w:val="nil" w:sz="6" w:space="0" w:color="auto"/>
              <w:right w:val="nil" w:sz="6" w:space="0" w:color="auto"/>
            </w:tcBorders>
          </w:tcPr>
          <w:p>
            <w:pPr/>
          </w:p>
        </w:tc>
      </w:tr>
    </w:tbl>
    <w:p>
      <w:pPr>
        <w:pStyle w:val="BodyText"/>
        <w:spacing w:line="312" w:lineRule="auto" w:before="53"/>
        <w:ind w:right="0"/>
        <w:jc w:val="left"/>
      </w:pPr>
      <w:r>
        <w:rPr>
          <w:rFonts w:ascii="Times New Roman" w:hAnsi="Times New Roman" w:cs="Times New Roman" w:eastAsia="Times New Roman" w:hint="default"/>
          <w:spacing w:val="-3"/>
        </w:rPr>
        <w:t>“</w:t>
      </w:r>
      <w:r>
        <w:rPr>
          <w:spacing w:val="-3"/>
        </w:rPr>
        <w:t>企业研究院建设项目</w:t>
      </w:r>
      <w:r>
        <w:rPr>
          <w:rFonts w:ascii="Times New Roman" w:hAnsi="Times New Roman" w:cs="Times New Roman" w:eastAsia="Times New Roman" w:hint="default"/>
          <w:spacing w:val="-3"/>
        </w:rPr>
        <w:t>”</w:t>
      </w:r>
      <w:r>
        <w:rPr>
          <w:spacing w:val="-3"/>
        </w:rPr>
        <w:t>中的产品研发中心、新军字一号研发中心已建设完成并投入使用，累计使用募集资金 </w:t>
      </w:r>
      <w:r>
        <w:rPr>
          <w:rFonts w:ascii="Times New Roman" w:hAnsi="Times New Roman" w:cs="Times New Roman" w:eastAsia="Times New Roman" w:hint="default"/>
        </w:rPr>
        <w:t>645.33 </w:t>
      </w:r>
      <w:r>
        <w:rPr/>
        <w:t>万元，</w:t>
      </w:r>
      <w:r>
        <w:rPr>
          <w:spacing w:val="-38"/>
        </w:rPr>
        <w:t> </w:t>
      </w:r>
      <w:r>
        <w:rPr>
          <w:spacing w:val="-38"/>
        </w:rPr>
      </w:r>
      <w:r>
        <w:rPr>
          <w:spacing w:val="-4"/>
        </w:rPr>
        <w:t>已满足公司目前研发需求，企业研究院中的智慧医疗场景实验室项目因立项时间较早，该研发项目的技术水平已发生一定变</w:t>
      </w:r>
      <w:r>
        <w:rPr>
          <w:spacing w:val="43"/>
        </w:rPr>
        <w:t> </w:t>
      </w:r>
      <w:r>
        <w:rPr>
          <w:spacing w:val="43"/>
        </w:rPr>
      </w:r>
      <w:r>
        <w:rPr>
          <w:spacing w:val="-4"/>
        </w:rPr>
        <w:t>化，原有项目设计已经不符合公司目前的业务需求，公司基于整体经营的实际需要和战略考虑，决定终止企业研究院中的智</w:t>
      </w:r>
      <w:r>
        <w:rPr>
          <w:spacing w:val="43"/>
        </w:rPr>
        <w:t> </w:t>
      </w:r>
      <w:r>
        <w:rPr>
          <w:spacing w:val="43"/>
        </w:rPr>
      </w:r>
      <w:r>
        <w:rPr>
          <w:spacing w:val="-3"/>
        </w:rPr>
        <w:t>慧医疗场景实验室项目的投入。</w:t>
      </w:r>
    </w:p>
    <w:p>
      <w:pPr>
        <w:spacing w:line="240" w:lineRule="auto" w:before="3"/>
        <w:rPr>
          <w:rFonts w:ascii="宋体" w:hAnsi="宋体" w:cs="宋体" w:eastAsia="宋体" w:hint="default"/>
          <w:sz w:val="4"/>
          <w:szCs w:val="4"/>
        </w:rPr>
      </w:pPr>
    </w:p>
    <w:p>
      <w:pPr>
        <w:spacing w:line="359" w:lineRule="exact"/>
        <w:ind w:left="153" w:right="0" w:firstLine="0"/>
        <w:rPr>
          <w:rFonts w:ascii="宋体" w:hAnsi="宋体" w:cs="宋体" w:eastAsia="宋体" w:hint="default"/>
          <w:sz w:val="20"/>
          <w:szCs w:val="20"/>
        </w:rPr>
      </w:pPr>
      <w:r>
        <w:rPr>
          <w:rFonts w:ascii="宋体" w:hAnsi="宋体" w:cs="宋体" w:eastAsia="宋体" w:hint="default"/>
          <w:position w:val="-6"/>
          <w:sz w:val="20"/>
          <w:szCs w:val="20"/>
        </w:rPr>
        <w:pict>
          <v:shape style="width:334.95pt;height:18pt;mso-position-horizontal-relative:char;mso-position-vertical-relative:line" type="#_x0000_t202" filled="false" stroked="true" strokeweight=".48001pt" strokecolor="#000000">
            <w10:anchorlock/>
            <v:textbox inset="0,0,0,0">
              <w:txbxContent>
                <w:p>
                  <w:pPr>
                    <w:pStyle w:val="BodyText"/>
                    <w:spacing w:line="240" w:lineRule="auto" w:before="53"/>
                    <w:ind w:left="206" w:right="0"/>
                    <w:jc w:val="left"/>
                  </w:pPr>
                  <w:r>
                    <w:rPr>
                      <w:spacing w:val="-3"/>
                    </w:rPr>
                    <w:t>公司第二届董事会第十八次会议、 第二届监事会第十四次会议、 </w:t>
                  </w:r>
                  <w:r>
                    <w:rPr>
                      <w:rFonts w:ascii="Times New Roman" w:hAnsi="Times New Roman" w:cs="Times New Roman" w:eastAsia="Times New Roman" w:hint="default"/>
                    </w:rPr>
                    <w:t>2018</w:t>
                  </w:r>
                  <w:r>
                    <w:rPr>
                      <w:rFonts w:ascii="Times New Roman" w:hAnsi="Times New Roman" w:cs="Times New Roman" w:eastAsia="Times New Roman" w:hint="default"/>
                      <w:spacing w:val="28"/>
                    </w:rPr>
                    <w:t> </w:t>
                  </w:r>
                  <w:r>
                    <w:rPr/>
                    <w:t>年度股东大</w:t>
                  </w:r>
                </w:p>
              </w:txbxContent>
            </v:textbox>
          </v:shape>
        </w:pict>
      </w:r>
      <w:r>
        <w:rPr>
          <w:rFonts w:ascii="宋体" w:hAnsi="宋体" w:cs="宋体" w:eastAsia="宋体" w:hint="default"/>
          <w:position w:val="-6"/>
          <w:sz w:val="20"/>
          <w:szCs w:val="20"/>
        </w:rPr>
      </w:r>
    </w:p>
    <w:p>
      <w:pPr>
        <w:spacing w:after="0" w:line="359" w:lineRule="exact"/>
        <w:rPr>
          <w:rFonts w:ascii="宋体" w:hAnsi="宋体" w:cs="宋体" w:eastAsia="宋体" w:hint="default"/>
          <w:sz w:val="20"/>
          <w:szCs w:val="20"/>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2"/>
        <w:spacing w:line="240" w:lineRule="auto" w:before="26"/>
        <w:ind w:right="0"/>
        <w:jc w:val="left"/>
        <w:rPr>
          <w:b w:val="0"/>
          <w:bCs w:val="0"/>
        </w:rPr>
      </w:pPr>
      <w:r>
        <w:rPr/>
        <w:pict>
          <v:shape style="position:absolute;margin-left:56.424pt;margin-top:-117.194359pt;width:539.3pt;height:105.65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698"/>
                    <w:gridCol w:w="4072"/>
                  </w:tblGrid>
                  <w:tr>
                    <w:trPr>
                      <w:trHeight w:val="1297" w:hRule="exact"/>
                    </w:trPr>
                    <w:tc>
                      <w:tcPr>
                        <w:tcW w:w="669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4" w:right="50"/>
                          <w:jc w:val="both"/>
                          <w:rPr>
                            <w:rFonts w:ascii="宋体" w:hAnsi="宋体" w:cs="宋体" w:eastAsia="宋体" w:hint="default"/>
                            <w:sz w:val="18"/>
                            <w:szCs w:val="18"/>
                          </w:rPr>
                        </w:pPr>
                        <w:r>
                          <w:rPr>
                            <w:rFonts w:ascii="宋体" w:hAnsi="宋体" w:cs="宋体" w:eastAsia="宋体" w:hint="default"/>
                            <w:spacing w:val="-3"/>
                            <w:sz w:val="18"/>
                            <w:szCs w:val="18"/>
                          </w:rPr>
                          <w:t>会审议通过了《关于关于变更募集资金用途的议案》</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同意公司终止</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企业研究院建设</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pacing w:val="-3"/>
                            <w:sz w:val="18"/>
                            <w:szCs w:val="18"/>
                          </w:rPr>
                          <w:t>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，并将剩余募集资金及理财利息收入净额用于永久性补充流动资金。公司已于</w:t>
                        </w:r>
                        <w:r>
                          <w:rPr>
                            <w:rFonts w:ascii="宋体" w:hAnsi="宋体" w:cs="宋体" w:eastAsia="宋体" w:hint="default"/>
                            <w:spacing w:val="18"/>
                            <w:sz w:val="18"/>
                            <w:szCs w:val="18"/>
                          </w:rPr>
                          <w:t> </w:t>
                        </w:r>
                        <w:r>
                          <w:rPr>
                            <w:rFonts w:ascii="宋体" w:hAnsi="宋体" w:cs="宋体" w:eastAsia="宋体" w:hint="default"/>
                            <w:spacing w:val="18"/>
                            <w:sz w:val="18"/>
                            <w:szCs w:val="18"/>
                          </w:rPr>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日将该项目的募集资金余额</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797.37</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万元（含利息）从募集资金专户转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入公司其他账户，并注销募集资金专户；</w:t>
                        </w:r>
                      </w:p>
                    </w:tc>
                    <w:tc>
                      <w:tcPr>
                        <w:tcW w:w="4072" w:type="dxa"/>
                        <w:tcBorders>
                          <w:top w:val="nil" w:sz="6" w:space="0" w:color="auto"/>
                          <w:left w:val="single" w:sz="4" w:space="0" w:color="000000"/>
                          <w:bottom w:val="single" w:sz="4" w:space="0" w:color="000000"/>
                          <w:right w:val="nil" w:sz="6" w:space="0" w:color="auto"/>
                        </w:tcBorders>
                      </w:tcPr>
                      <w:p>
                        <w:pPr/>
                      </w:p>
                    </w:tc>
                  </w:tr>
                  <w:tr>
                    <w:trPr>
                      <w:trHeight w:val="403" w:hRule="exact"/>
                    </w:trPr>
                    <w:tc>
                      <w:tcPr>
                        <w:tcW w:w="6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未达到计划进度或预计收益的情况和原因</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分具体项目</w:t>
                        </w:r>
                        <w:r>
                          <w:rPr>
                            <w:rFonts w:ascii="Times New Roman" w:hAnsi="Times New Roman" w:cs="Times New Roman" w:eastAsia="Times New Roman" w:hint="default"/>
                            <w:spacing w:val="-3"/>
                            <w:sz w:val="18"/>
                            <w:szCs w:val="18"/>
                          </w:rPr>
                          <w:t>)</w:t>
                        </w:r>
                      </w:p>
                    </w:tc>
                    <w:tc>
                      <w:tcPr>
                        <w:tcW w:w="40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6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变更后的项目可行性发生重大变化的情况说明</w:t>
                        </w:r>
                      </w:p>
                    </w:tc>
                    <w:tc>
                      <w:tcPr>
                        <w:tcW w:w="40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bookmarkStart w:name="六、重大资产和股权出售" w:id="52"/>
      <w:bookmarkEnd w:id="52"/>
      <w:r>
        <w:rPr>
          <w:b w:val="0"/>
          <w:bCs w:val="0"/>
        </w:rPr>
      </w: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出售重大资产情况" w:id="53"/>
      <w:bookmarkEnd w:id="53"/>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795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公司报告期未出售重大资产。</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2、出售重大股权情况" w:id="54"/>
      <w:bookmarkEnd w:id="54"/>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七、主要控股参股公司分析" w:id="55"/>
      <w:bookmarkEnd w:id="55"/>
      <w:r>
        <w:rPr>
          <w:b w:val="0"/>
          <w:bCs w:val="0"/>
        </w:rPr>
      </w:r>
      <w:r>
        <w:rPr/>
        <w:t>七、主要控股参股公司分析</w:t>
      </w:r>
      <w:r>
        <w:rPr>
          <w:b w:val="0"/>
          <w:bCs w:val="0"/>
        </w:rPr>
      </w:r>
    </w:p>
    <w:p>
      <w:pPr>
        <w:spacing w:line="240" w:lineRule="auto" w:before="1"/>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1" w:footer="979" w:top="1060" w:bottom="1160" w:left="980" w:right="0"/>
        </w:sectPr>
      </w:pPr>
    </w:p>
    <w:p>
      <w:pPr>
        <w:pStyle w:val="BodyText"/>
        <w:spacing w:line="240" w:lineRule="auto" w:before="46"/>
        <w:ind w:right="-1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right="-16"/>
        <w:jc w:val="left"/>
      </w:pPr>
      <w:r>
        <w:rPr/>
        <w:t>主要子公司及对公司净利润影响达</w:t>
      </w:r>
      <w:r>
        <w:rPr>
          <w:spacing w:val="-8"/>
        </w:rPr>
        <w:t> </w:t>
      </w:r>
      <w:r>
        <w:rPr>
          <w:rFonts w:ascii="Times New Roman" w:hAnsi="Times New Roman" w:cs="Times New Roman" w:eastAsia="Times New Roman" w:hint="default"/>
          <w:spacing w:val="-3"/>
        </w:rPr>
        <w:t>10%</w:t>
      </w:r>
      <w:r>
        <w:rPr>
          <w:spacing w:val="-3"/>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4854" w:space="4068"/>
            <w:col w:w="2008"/>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57"/>
        <w:gridCol w:w="1196"/>
        <w:gridCol w:w="1042"/>
        <w:gridCol w:w="1046"/>
        <w:gridCol w:w="1047"/>
        <w:gridCol w:w="1047"/>
        <w:gridCol w:w="1047"/>
        <w:gridCol w:w="1042"/>
        <w:gridCol w:w="1046"/>
      </w:tblGrid>
      <w:tr>
        <w:trPr>
          <w:trHeight w:val="404" w:hRule="exact"/>
        </w:trPr>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022"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4" w:right="118"/>
              <w:jc w:val="left"/>
              <w:rPr>
                <w:rFonts w:ascii="宋体" w:hAnsi="宋体" w:cs="宋体" w:eastAsia="宋体" w:hint="default"/>
                <w:sz w:val="18"/>
                <w:szCs w:val="18"/>
              </w:rPr>
            </w:pPr>
            <w:r>
              <w:rPr>
                <w:rFonts w:ascii="宋体" w:hAnsi="宋体" w:cs="宋体" w:eastAsia="宋体" w:hint="default"/>
                <w:spacing w:val="-2"/>
                <w:sz w:val="18"/>
                <w:szCs w:val="18"/>
              </w:rPr>
              <w:t>天津和仁公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04"/>
              <w:jc w:val="both"/>
              <w:rPr>
                <w:rFonts w:ascii="宋体" w:hAnsi="宋体" w:cs="宋体" w:eastAsia="宋体" w:hint="default"/>
                <w:sz w:val="18"/>
                <w:szCs w:val="18"/>
              </w:rPr>
            </w:pPr>
            <w:r>
              <w:rPr>
                <w:rFonts w:ascii="宋体" w:hAnsi="宋体" w:cs="宋体" w:eastAsia="宋体" w:hint="default"/>
                <w:spacing w:val="-2"/>
                <w:sz w:val="18"/>
                <w:szCs w:val="18"/>
              </w:rPr>
              <w:t>软件技术开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发、技术服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务等</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10"/>
              <w:ind w:left="28"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36,700,198.5</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30,421,151.0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28,780,823.7</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7,776,458.47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7,220,421.14</w:t>
            </w:r>
          </w:p>
        </w:tc>
      </w:tr>
    </w:tbl>
    <w:p>
      <w:pPr>
        <w:pStyle w:val="BodyText"/>
        <w:spacing w:line="240" w:lineRule="auto" w:before="53"/>
        <w:ind w:right="0"/>
        <w:jc w:val="left"/>
      </w:pPr>
      <w:r>
        <w:rPr>
          <w:spacing w:val="-3"/>
        </w:rPr>
        <w:t>报告期内取得和处置子公司的情况</w:t>
      </w:r>
    </w:p>
    <w:p>
      <w:pPr>
        <w:pStyle w:val="BodyText"/>
        <w:spacing w:line="240" w:lineRule="auto" w:before="120"/>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31" w:right="0"/>
              <w:jc w:val="left"/>
              <w:rPr>
                <w:rFonts w:ascii="宋体" w:hAnsi="宋体" w:cs="宋体" w:eastAsia="宋体" w:hint="default"/>
                <w:sz w:val="18"/>
                <w:szCs w:val="18"/>
              </w:rPr>
            </w:pPr>
            <w:r>
              <w:rPr>
                <w:rFonts w:ascii="宋体" w:hAnsi="宋体" w:cs="宋体" w:eastAsia="宋体" w:hint="default"/>
                <w:spacing w:val="-3"/>
                <w:sz w:val="18"/>
                <w:szCs w:val="18"/>
              </w:rPr>
              <w:t>报告期内取得和处置子公司方式</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22" w:right="0"/>
              <w:jc w:val="left"/>
              <w:rPr>
                <w:rFonts w:ascii="宋体" w:hAnsi="宋体" w:cs="宋体" w:eastAsia="宋体" w:hint="default"/>
                <w:sz w:val="18"/>
                <w:szCs w:val="18"/>
              </w:rPr>
            </w:pPr>
            <w:r>
              <w:rPr>
                <w:rFonts w:ascii="宋体" w:hAnsi="宋体" w:cs="宋体" w:eastAsia="宋体" w:hint="default"/>
                <w:spacing w:val="-3"/>
                <w:sz w:val="18"/>
                <w:szCs w:val="18"/>
              </w:rPr>
              <w:t>对整体生产经营和业绩的影响</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和仁云慧公司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94"/>
              <w:jc w:val="left"/>
              <w:rPr>
                <w:rFonts w:ascii="宋体" w:hAnsi="宋体" w:cs="宋体" w:eastAsia="宋体" w:hint="default"/>
                <w:sz w:val="18"/>
                <w:szCs w:val="18"/>
              </w:rPr>
            </w:pPr>
            <w:r>
              <w:rPr>
                <w:rFonts w:ascii="宋体" w:hAnsi="宋体" w:cs="宋体" w:eastAsia="宋体" w:hint="default"/>
                <w:spacing w:val="-3"/>
                <w:sz w:val="18"/>
                <w:szCs w:val="18"/>
              </w:rPr>
              <w:t>业务战略调整，转让和仁云慧公司，对</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生产经营及业绩无实质影响</w:t>
            </w: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黑龙江和仁公司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清算</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94"/>
              <w:jc w:val="left"/>
              <w:rPr>
                <w:rFonts w:ascii="宋体" w:hAnsi="宋体" w:cs="宋体" w:eastAsia="宋体" w:hint="default"/>
                <w:sz w:val="18"/>
                <w:szCs w:val="18"/>
              </w:rPr>
            </w:pPr>
            <w:r>
              <w:rPr>
                <w:rFonts w:ascii="宋体" w:hAnsi="宋体" w:cs="宋体" w:eastAsia="宋体" w:hint="default"/>
                <w:spacing w:val="-3"/>
                <w:sz w:val="18"/>
                <w:szCs w:val="18"/>
              </w:rPr>
              <w:t>业务战略调整，清算黑龙江子公司，对</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生产经营及业绩无实质影响</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北京和仁公司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94"/>
              <w:jc w:val="left"/>
              <w:rPr>
                <w:rFonts w:ascii="宋体" w:hAnsi="宋体" w:cs="宋体" w:eastAsia="宋体" w:hint="default"/>
                <w:sz w:val="18"/>
                <w:szCs w:val="18"/>
              </w:rPr>
            </w:pPr>
            <w:r>
              <w:rPr>
                <w:rFonts w:ascii="宋体" w:hAnsi="宋体" w:cs="宋体" w:eastAsia="宋体" w:hint="default"/>
                <w:spacing w:val="-3"/>
                <w:sz w:val="18"/>
                <w:szCs w:val="18"/>
              </w:rPr>
              <w:t>进一步强化公司在医疗信息化领域的竞</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争优势</w:t>
            </w:r>
          </w:p>
        </w:tc>
      </w:tr>
    </w:tbl>
    <w:p>
      <w:pPr>
        <w:pStyle w:val="BodyText"/>
        <w:spacing w:line="352" w:lineRule="auto" w:before="53"/>
        <w:ind w:right="8487"/>
        <w:jc w:val="left"/>
      </w:pPr>
      <w:r>
        <w:rPr>
          <w:spacing w:val="-3"/>
        </w:rPr>
        <w:t>主要控股参股公司情况说明</w:t>
      </w:r>
      <w:r>
        <w:rPr>
          <w:spacing w:val="-51"/>
        </w:rPr>
        <w:t> </w:t>
      </w:r>
      <w:r>
        <w:rPr>
          <w:spacing w:val="-51"/>
        </w:rPr>
      </w:r>
      <w:r>
        <w:rPr/>
        <w:t>无</w:t>
      </w:r>
    </w:p>
    <w:p>
      <w:pPr>
        <w:spacing w:after="0" w:line="352" w:lineRule="auto"/>
        <w:jc w:val="left"/>
        <w:sectPr>
          <w:type w:val="continuous"/>
          <w:pgSz w:w="11910" w:h="16840"/>
          <w:pgMar w:top="1060" w:bottom="1160" w:left="980" w:right="0"/>
        </w:sectPr>
      </w:pPr>
    </w:p>
    <w:p>
      <w:pPr>
        <w:spacing w:line="240" w:lineRule="auto" w:before="10"/>
        <w:rPr>
          <w:rFonts w:ascii="宋体" w:hAnsi="宋体" w:cs="宋体" w:eastAsia="宋体" w:hint="default"/>
          <w:sz w:val="23"/>
          <w:szCs w:val="23"/>
        </w:rPr>
      </w:pPr>
    </w:p>
    <w:p>
      <w:pPr>
        <w:pStyle w:val="Heading2"/>
        <w:spacing w:line="240" w:lineRule="auto" w:before="26"/>
        <w:ind w:right="0"/>
        <w:jc w:val="both"/>
        <w:rPr>
          <w:b w:val="0"/>
          <w:bCs w:val="0"/>
        </w:rPr>
      </w:pPr>
      <w:bookmarkStart w:name="八、公司控制的结构化主体情况" w:id="56"/>
      <w:bookmarkEnd w:id="56"/>
      <w:r>
        <w:rPr>
          <w:b w:val="0"/>
          <w:bCs w:val="0"/>
        </w:rPr>
      </w:r>
      <w:r>
        <w:rPr/>
        <w:t>八、公司控制的结构化主体情况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both"/>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3"/>
        <w:rPr>
          <w:rFonts w:ascii="宋体" w:hAnsi="宋体" w:cs="宋体" w:eastAsia="宋体" w:hint="default"/>
          <w:sz w:val="22"/>
          <w:szCs w:val="22"/>
        </w:rPr>
      </w:pPr>
    </w:p>
    <w:p>
      <w:pPr>
        <w:pStyle w:val="Heading2"/>
        <w:spacing w:line="240" w:lineRule="auto"/>
        <w:ind w:right="0"/>
        <w:jc w:val="both"/>
        <w:rPr>
          <w:b w:val="0"/>
          <w:bCs w:val="0"/>
        </w:rPr>
      </w:pPr>
      <w:bookmarkStart w:name="九、公司未来发展的展望" w:id="57"/>
      <w:bookmarkEnd w:id="57"/>
      <w:r>
        <w:rPr>
          <w:b w:val="0"/>
          <w:bCs w:val="0"/>
        </w:rPr>
      </w:r>
      <w:r>
        <w:rPr/>
        <w:t>九、公司未来发展的展望</w:t>
      </w:r>
      <w:r>
        <w:rPr>
          <w:b w:val="0"/>
          <w:bCs w:val="0"/>
        </w:rPr>
      </w:r>
    </w:p>
    <w:p>
      <w:pPr>
        <w:spacing w:line="240" w:lineRule="auto" w:before="0"/>
        <w:rPr>
          <w:rFonts w:ascii="宋体" w:hAnsi="宋体" w:cs="宋体" w:eastAsia="宋体" w:hint="default"/>
          <w:b/>
          <w:bCs/>
          <w:sz w:val="24"/>
          <w:szCs w:val="24"/>
        </w:rPr>
      </w:pPr>
    </w:p>
    <w:p>
      <w:pPr>
        <w:spacing w:line="240" w:lineRule="auto" w:before="13"/>
        <w:rPr>
          <w:rFonts w:ascii="宋体" w:hAnsi="宋体" w:cs="宋体" w:eastAsia="宋体" w:hint="default"/>
          <w:b/>
          <w:bCs/>
          <w:sz w:val="29"/>
          <w:szCs w:val="29"/>
        </w:rPr>
      </w:pPr>
    </w:p>
    <w:p>
      <w:pPr>
        <w:pStyle w:val="BodyText"/>
        <w:spacing w:line="240" w:lineRule="auto"/>
        <w:ind w:left="513" w:right="0"/>
        <w:jc w:val="left"/>
      </w:pPr>
      <w:r>
        <w:rPr>
          <w:spacing w:val="-3"/>
        </w:rPr>
        <w:t>（一）公司所处行业格局和趋势</w:t>
      </w:r>
    </w:p>
    <w:p>
      <w:pPr>
        <w:pStyle w:val="BodyText"/>
        <w:spacing w:line="300" w:lineRule="auto" w:before="76"/>
        <w:ind w:left="513" w:right="1117"/>
        <w:jc w:val="left"/>
      </w:pPr>
      <w:r>
        <w:rPr>
          <w:rFonts w:ascii="Times New Roman" w:hAnsi="Times New Roman" w:cs="Times New Roman" w:eastAsia="Times New Roman" w:hint="default"/>
        </w:rPr>
        <w:t>1</w:t>
      </w:r>
      <w:r>
        <w:rPr/>
        <w:t>、 </w:t>
      </w:r>
      <w:r>
        <w:rPr>
          <w:spacing w:val="-3"/>
        </w:rPr>
        <w:t>电子病历等级评价、互联网</w:t>
      </w:r>
      <w:r>
        <w:rPr>
          <w:rFonts w:ascii="Times New Roman" w:hAnsi="Times New Roman" w:cs="Times New Roman" w:eastAsia="Times New Roman" w:hint="default"/>
          <w:spacing w:val="-3"/>
        </w:rPr>
        <w:t>+</w:t>
      </w:r>
      <w:r>
        <w:rPr>
          <w:spacing w:val="-3"/>
        </w:rPr>
        <w:t>医疗健康、</w:t>
      </w:r>
      <w:r>
        <w:rPr>
          <w:rFonts w:ascii="Times New Roman" w:hAnsi="Times New Roman" w:cs="Times New Roman" w:eastAsia="Times New Roman" w:hint="default"/>
          <w:spacing w:val="-3"/>
        </w:rPr>
        <w:t>DRGs</w:t>
      </w:r>
      <w:r>
        <w:rPr>
          <w:spacing w:val="-3"/>
        </w:rPr>
        <w:t>试点、医联体建设等政策推动智慧医院建设</w:t>
      </w:r>
      <w:r>
        <w:rPr>
          <w:spacing w:val="14"/>
        </w:rPr>
        <w:t> </w:t>
      </w:r>
      <w:r>
        <w:rPr>
          <w:spacing w:val="14"/>
        </w:rPr>
      </w:r>
      <w:r>
        <w:rPr>
          <w:spacing w:val="-3"/>
        </w:rPr>
        <w:t>党和国家高度重视医疗卫生健康事业，已经陆续出台了《</w:t>
      </w:r>
      <w:r>
        <w:rPr>
          <w:rFonts w:ascii="Times New Roman" w:hAnsi="Times New Roman" w:cs="Times New Roman" w:eastAsia="Times New Roman" w:hint="default"/>
          <w:spacing w:val="-3"/>
        </w:rPr>
        <w:t>“</w:t>
      </w:r>
      <w:r>
        <w:rPr>
          <w:spacing w:val="-3"/>
        </w:rPr>
        <w:t>健康中国    </w:t>
      </w:r>
      <w:r>
        <w:rPr>
          <w:spacing w:val="54"/>
        </w:rPr>
        <w:t> </w:t>
      </w:r>
      <w:r>
        <w:rPr>
          <w:rFonts w:ascii="Times New Roman" w:hAnsi="Times New Roman" w:cs="Times New Roman" w:eastAsia="Times New Roman" w:hint="default"/>
          <w:spacing w:val="54"/>
        </w:rPr>
      </w:r>
      <w:r>
        <w:rPr>
          <w:rFonts w:ascii="Times New Roman" w:hAnsi="Times New Roman" w:cs="Times New Roman" w:eastAsia="Times New Roman" w:hint="default"/>
          <w:spacing w:val="-4"/>
        </w:rPr>
        <w:t>”</w:t>
      </w:r>
      <w:r>
        <w:rPr>
          <w:spacing w:val="-4"/>
        </w:rPr>
        <w:t>规划纲要》、《</w:t>
      </w:r>
      <w:r>
        <w:rPr>
          <w:rFonts w:ascii="Times New Roman" w:hAnsi="Times New Roman" w:cs="Times New Roman" w:eastAsia="Times New Roman" w:hint="default"/>
          <w:spacing w:val="-4"/>
        </w:rPr>
        <w:t>“</w:t>
      </w:r>
      <w:r>
        <w:rPr>
          <w:spacing w:val="-4"/>
        </w:rPr>
        <w:t>十三五</w:t>
      </w:r>
      <w:r>
        <w:rPr>
          <w:rFonts w:ascii="Times New Roman" w:hAnsi="Times New Roman" w:cs="Times New Roman" w:eastAsia="Times New Roman" w:hint="default"/>
          <w:spacing w:val="-4"/>
        </w:rPr>
        <w:t>”</w:t>
      </w:r>
      <w:r>
        <w:rPr>
          <w:spacing w:val="-4"/>
        </w:rPr>
        <w:t>深化医药卫生体制改</w:t>
      </w:r>
    </w:p>
    <w:p>
      <w:pPr>
        <w:pStyle w:val="BodyText"/>
        <w:spacing w:line="300" w:lineRule="auto" w:before="13"/>
        <w:ind w:right="1122"/>
        <w:jc w:val="both"/>
      </w:pPr>
      <w:r>
        <w:rPr>
          <w:spacing w:val="-2"/>
        </w:rPr>
        <w:t>革规划》、《</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卫生与健康规划》、《关于推进医疗联合体建设和发展的指导意见》、《关于印发</w:t>
      </w:r>
      <w:r>
        <w:rPr>
          <w:rFonts w:ascii="Times New Roman" w:hAnsi="Times New Roman" w:cs="Times New Roman" w:eastAsia="Times New Roman" w:hint="default"/>
          <w:spacing w:val="-2"/>
        </w:rPr>
        <w:t>&lt;</w:t>
      </w:r>
      <w:r>
        <w:rPr>
          <w:spacing w:val="-2"/>
        </w:rPr>
        <w:t>按疾病诊断相关</w:t>
      </w:r>
      <w:r>
        <w:rPr>
          <w:spacing w:val="37"/>
        </w:rPr>
        <w:t> </w:t>
      </w:r>
      <w:r>
        <w:rPr>
          <w:spacing w:val="37"/>
        </w:rPr>
      </w:r>
      <w:r>
        <w:rPr>
          <w:spacing w:val="-3"/>
        </w:rPr>
        <w:t>分组付费国家试点城市名单</w:t>
      </w:r>
      <w:r>
        <w:rPr>
          <w:rFonts w:ascii="Times New Roman" w:hAnsi="Times New Roman" w:cs="Times New Roman" w:eastAsia="Times New Roman" w:hint="default"/>
          <w:spacing w:val="-3"/>
        </w:rPr>
        <w:t>&gt;</w:t>
      </w:r>
      <w:r>
        <w:rPr>
          <w:spacing w:val="-3"/>
        </w:rPr>
        <w:t>的通知》等政策和文件。自</w:t>
      </w:r>
      <w:r>
        <w:rPr>
          <w:rFonts w:ascii="Times New Roman" w:hAnsi="Times New Roman" w:cs="Times New Roman" w:eastAsia="Times New Roman" w:hint="default"/>
          <w:spacing w:val="-3"/>
        </w:rPr>
        <w:t>2010</w:t>
      </w:r>
      <w:r>
        <w:rPr>
          <w:spacing w:val="-3"/>
        </w:rPr>
        <w:t>以来，国家卫健委等监管机构在持续不断的推进面向医务人员</w:t>
      </w:r>
      <w:r>
        <w:rPr>
          <w:spacing w:val="73"/>
        </w:rPr>
        <w:t> </w:t>
      </w:r>
      <w:r>
        <w:rPr>
          <w:spacing w:val="73"/>
        </w:rPr>
      </w:r>
      <w:r>
        <w:rPr>
          <w:spacing w:val="-4"/>
        </w:rPr>
        <w:t>的</w:t>
      </w:r>
      <w:r>
        <w:rPr>
          <w:rFonts w:ascii="Times New Roman" w:hAnsi="Times New Roman" w:cs="Times New Roman" w:eastAsia="Times New Roman" w:hint="default"/>
          <w:spacing w:val="-4"/>
        </w:rPr>
        <w:t>“</w:t>
      </w:r>
      <w:r>
        <w:rPr>
          <w:spacing w:val="-4"/>
        </w:rPr>
        <w:t>智慧医疗</w:t>
      </w:r>
      <w:r>
        <w:rPr>
          <w:rFonts w:ascii="Times New Roman" w:hAnsi="Times New Roman" w:cs="Times New Roman" w:eastAsia="Times New Roman" w:hint="default"/>
          <w:spacing w:val="-4"/>
        </w:rPr>
        <w:t>”</w:t>
      </w:r>
      <w:r>
        <w:rPr>
          <w:spacing w:val="-4"/>
        </w:rPr>
        <w:t>，即为医务人员开展临床业务服务的、以电子病历为核心的医疗机构信息系统建设。为了全面评估医疗机构电</w:t>
      </w:r>
      <w:r>
        <w:rPr>
          <w:spacing w:val="64"/>
        </w:rPr>
        <w:t> </w:t>
      </w:r>
      <w:r>
        <w:rPr>
          <w:spacing w:val="64"/>
        </w:rPr>
      </w:r>
      <w:r>
        <w:rPr>
          <w:spacing w:val="-3"/>
        </w:rPr>
        <w:t>子病历系统应用水平，指导医疗机构科学、合理、有序的发展电子病历系统，</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7</w:t>
      </w:r>
      <w:r>
        <w:rPr>
          <w:spacing w:val="-3"/>
        </w:rPr>
        <w:t>日国家卫健委办公厅发布《关于</w:t>
      </w:r>
      <w:r>
        <w:rPr>
          <w:spacing w:val="-2"/>
        </w:rPr>
        <w:t> </w:t>
      </w:r>
      <w:r>
        <w:rPr>
          <w:spacing w:val="-2"/>
        </w:rPr>
      </w:r>
      <w:r>
        <w:rPr>
          <w:spacing w:val="-4"/>
        </w:rPr>
        <w:t>印发电子病历系统应用水平分级评价管理办法（试行）及评价标准（试行）的通知》，要求到</w:t>
      </w:r>
      <w:r>
        <w:rPr>
          <w:rFonts w:ascii="Times New Roman" w:hAnsi="Times New Roman" w:cs="Times New Roman" w:eastAsia="Times New Roman" w:hint="default"/>
          <w:spacing w:val="-4"/>
        </w:rPr>
        <w:t>2019</w:t>
      </w:r>
      <w:r>
        <w:rPr>
          <w:spacing w:val="-4"/>
        </w:rPr>
        <w:t>年，所有三级医院要达到</w:t>
      </w:r>
      <w:r>
        <w:rPr>
          <w:spacing w:val="43"/>
        </w:rPr>
        <w:t> </w:t>
      </w:r>
      <w:r>
        <w:rPr>
          <w:spacing w:val="43"/>
        </w:rPr>
      </w:r>
      <w:r>
        <w:rPr>
          <w:spacing w:val="-3"/>
        </w:rPr>
        <w:t>分级评价</w:t>
      </w:r>
      <w:r>
        <w:rPr>
          <w:rFonts w:ascii="Times New Roman" w:hAnsi="Times New Roman" w:cs="Times New Roman" w:eastAsia="Times New Roman" w:hint="default"/>
          <w:spacing w:val="-3"/>
        </w:rPr>
        <w:t>3</w:t>
      </w:r>
      <w:r>
        <w:rPr>
          <w:spacing w:val="-3"/>
        </w:rPr>
        <w:t>级以上；到</w:t>
      </w:r>
      <w:r>
        <w:rPr>
          <w:rFonts w:ascii="Times New Roman" w:hAnsi="Times New Roman" w:cs="Times New Roman" w:eastAsia="Times New Roman" w:hint="default"/>
          <w:spacing w:val="-3"/>
        </w:rPr>
        <w:t>2020</w:t>
      </w:r>
      <w:r>
        <w:rPr>
          <w:spacing w:val="-3"/>
        </w:rPr>
        <w:t>年，所有三级医院要达到分级评价</w:t>
      </w:r>
      <w:r>
        <w:rPr>
          <w:rFonts w:ascii="Times New Roman" w:hAnsi="Times New Roman" w:cs="Times New Roman" w:eastAsia="Times New Roman" w:hint="default"/>
          <w:spacing w:val="-3"/>
        </w:rPr>
        <w:t>4</w:t>
      </w:r>
      <w:r>
        <w:rPr>
          <w:spacing w:val="-3"/>
        </w:rPr>
        <w:t>级以上，二级医院要达到分级评价</w:t>
      </w:r>
      <w:r>
        <w:rPr>
          <w:rFonts w:ascii="Times New Roman" w:hAnsi="Times New Roman" w:cs="Times New Roman" w:eastAsia="Times New Roman" w:hint="default"/>
          <w:spacing w:val="-3"/>
        </w:rPr>
        <w:t>3</w:t>
      </w:r>
      <w:r>
        <w:rPr>
          <w:spacing w:val="-3"/>
        </w:rPr>
        <w:t>级以上。电子病历系统的</w:t>
      </w:r>
      <w:r>
        <w:rPr>
          <w:spacing w:val="83"/>
        </w:rPr>
        <w:t> </w:t>
      </w:r>
      <w:r>
        <w:rPr>
          <w:spacing w:val="83"/>
        </w:rPr>
      </w:r>
      <w:r>
        <w:rPr>
          <w:spacing w:val="-3"/>
        </w:rPr>
        <w:t>建设和改造，是医院信息化建设的核心，涉及</w:t>
      </w:r>
      <w:r>
        <w:rPr>
          <w:rFonts w:ascii="Times New Roman" w:hAnsi="Times New Roman" w:cs="Times New Roman" w:eastAsia="Times New Roman" w:hint="default"/>
          <w:spacing w:val="-3"/>
        </w:rPr>
        <w:t>HIS</w:t>
      </w:r>
      <w:r>
        <w:rPr>
          <w:spacing w:val="-3"/>
        </w:rPr>
        <w:t>、电子病历、集成平台和临床数据中心的全面改造和升级换代。电子病历</w:t>
      </w:r>
      <w:r>
        <w:rPr>
          <w:spacing w:val="57"/>
        </w:rPr>
        <w:t> </w:t>
      </w:r>
      <w:r>
        <w:rPr>
          <w:spacing w:val="57"/>
        </w:rPr>
      </w:r>
      <w:r>
        <w:rPr>
          <w:spacing w:val="-3"/>
        </w:rPr>
        <w:t>以及集成平台、临床数据中心等系统的升级换代将给医疗信息化行业带来巨大的市场空间。</w:t>
      </w:r>
    </w:p>
    <w:p>
      <w:pPr>
        <w:pStyle w:val="BodyText"/>
        <w:spacing w:line="300" w:lineRule="auto" w:before="31"/>
        <w:ind w:right="1120" w:firstLine="360"/>
        <w:jc w:val="both"/>
      </w:pPr>
      <w:r>
        <w:rPr>
          <w:spacing w:val="-4"/>
        </w:rPr>
        <w:t>此外，为了让患者感受更加方便和快捷的医疗服务，发展面向患者的</w:t>
      </w:r>
      <w:r>
        <w:rPr>
          <w:rFonts w:ascii="Times New Roman" w:hAnsi="Times New Roman" w:cs="Times New Roman" w:eastAsia="Times New Roman" w:hint="default"/>
          <w:spacing w:val="-4"/>
        </w:rPr>
        <w:t>“</w:t>
      </w:r>
      <w:r>
        <w:rPr>
          <w:spacing w:val="-4"/>
        </w:rPr>
        <w:t>智慧服务</w:t>
      </w:r>
      <w:r>
        <w:rPr>
          <w:rFonts w:ascii="Times New Roman" w:hAnsi="Times New Roman" w:cs="Times New Roman" w:eastAsia="Times New Roman" w:hint="default"/>
          <w:spacing w:val="-4"/>
        </w:rPr>
        <w:t>”</w:t>
      </w:r>
      <w:r>
        <w:rPr>
          <w:spacing w:val="-4"/>
        </w:rPr>
        <w:t>，国家层面发布了《关于促进</w:t>
      </w:r>
      <w:r>
        <w:rPr>
          <w:rFonts w:ascii="Times New Roman" w:hAnsi="Times New Roman" w:cs="Times New Roman" w:eastAsia="Times New Roman" w:hint="default"/>
          <w:spacing w:val="-4"/>
        </w:rPr>
        <w:t>“</w:t>
      </w:r>
      <w:r>
        <w:rPr>
          <w:spacing w:val="-4"/>
        </w:rPr>
        <w:t>互联网</w:t>
      </w:r>
      <w:r>
        <w:rPr>
          <w:rFonts w:ascii="Times New Roman" w:hAnsi="Times New Roman" w:cs="Times New Roman" w:eastAsia="Times New Roman" w:hint="default"/>
          <w:spacing w:val="-4"/>
        </w:rPr>
        <w:t>+</w:t>
      </w:r>
      <w:r>
        <w:rPr>
          <w:rFonts w:ascii="Times New Roman" w:hAnsi="Times New Roman" w:cs="Times New Roman" w:eastAsia="Times New Roman" w:hint="default"/>
          <w:w w:val="101"/>
        </w:rPr>
        <w:t> </w:t>
      </w:r>
      <w:r>
        <w:rPr>
          <w:spacing w:val="-3"/>
        </w:rPr>
        <w:t>医疗健康</w:t>
      </w:r>
      <w:r>
        <w:rPr>
          <w:rFonts w:ascii="Times New Roman" w:hAnsi="Times New Roman" w:cs="Times New Roman" w:eastAsia="Times New Roman" w:hint="default"/>
          <w:spacing w:val="-3"/>
        </w:rPr>
        <w:t>”</w:t>
      </w:r>
      <w:r>
        <w:rPr>
          <w:spacing w:val="-3"/>
        </w:rPr>
        <w:t>发展的意见》、《互联网诊疗管理办法（试行）》、《互联网医院管理办法（试行）》、《远程医疗服务管理规</w:t>
      </w:r>
      <w:r>
        <w:rPr>
          <w:spacing w:val="-2"/>
        </w:rPr>
        <w:t> </w:t>
      </w:r>
      <w:r>
        <w:rPr>
          <w:spacing w:val="-2"/>
        </w:rPr>
      </w:r>
      <w:r>
        <w:rPr>
          <w:spacing w:val="-3"/>
        </w:rPr>
        <w:t>范（试行）》、《关于完善</w:t>
      </w:r>
      <w:r>
        <w:rPr>
          <w:rFonts w:ascii="Times New Roman" w:hAnsi="Times New Roman" w:cs="Times New Roman" w:eastAsia="Times New Roman" w:hint="default"/>
          <w:spacing w:val="-3"/>
        </w:rPr>
        <w:t>“</w:t>
      </w:r>
      <w:r>
        <w:rPr>
          <w:spacing w:val="-3"/>
        </w:rPr>
        <w:t>互联网</w:t>
      </w:r>
      <w:r>
        <w:rPr>
          <w:rFonts w:ascii="Times New Roman" w:hAnsi="Times New Roman" w:cs="Times New Roman" w:eastAsia="Times New Roman" w:hint="default"/>
          <w:spacing w:val="-3"/>
        </w:rPr>
        <w:t>+”</w:t>
      </w:r>
      <w:r>
        <w:rPr>
          <w:spacing w:val="-3"/>
        </w:rPr>
        <w:t>医疗服务价格和医保支付政策的指导意见》等一系列文件。系列政策的出台肯定了慢</w:t>
      </w:r>
      <w:r>
        <w:rPr>
          <w:spacing w:val="2"/>
        </w:rPr>
        <w:t> </w:t>
      </w:r>
      <w:r>
        <w:rPr>
          <w:spacing w:val="2"/>
        </w:rPr>
      </w:r>
      <w:r>
        <w:rPr>
          <w:spacing w:val="-2"/>
        </w:rPr>
        <w:t>病复诊、在线处方、医疗机构处方漫游、医保在线支付和一站式结算等</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医疗服务</w:t>
      </w:r>
      <w:r>
        <w:rPr>
          <w:rFonts w:ascii="Times New Roman" w:hAnsi="Times New Roman" w:cs="Times New Roman" w:eastAsia="Times New Roman" w:hint="default"/>
          <w:spacing w:val="-2"/>
        </w:rPr>
        <w:t>”</w:t>
      </w:r>
      <w:r>
        <w:rPr>
          <w:spacing w:val="-2"/>
        </w:rPr>
        <w:t>的合法性，极大地调动了医护人</w:t>
      </w:r>
      <w:r>
        <w:rPr>
          <w:spacing w:val="37"/>
        </w:rPr>
        <w:t> </w:t>
      </w:r>
      <w:r>
        <w:rPr>
          <w:spacing w:val="37"/>
        </w:rPr>
      </w:r>
      <w:r>
        <w:rPr/>
        <w:t>员、管理人员、第三方服务机构等各医疗行业参与主体的积极性。在国家政策强力驱动下，</w:t>
      </w:r>
      <w:r>
        <w:rPr>
          <w:rFonts w:ascii="Times New Roman" w:hAnsi="Times New Roman" w:cs="Times New Roman" w:eastAsia="Times New Roman" w:hint="default"/>
        </w:rPr>
        <w:t>“</w:t>
      </w:r>
      <w:r>
        <w:rPr/>
        <w:t>互联网医院</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智慧医联体</w:t>
      </w:r>
      <w:r>
        <w:rPr>
          <w:rFonts w:ascii="Times New Roman" w:hAnsi="Times New Roman" w:cs="Times New Roman" w:eastAsia="Times New Roman" w:hint="default"/>
        </w:rPr>
        <w:t>”</w:t>
      </w:r>
      <w:r>
        <w:rPr>
          <w:rFonts w:ascii="Times New Roman" w:hAnsi="Times New Roman" w:cs="Times New Roman" w:eastAsia="Times New Roman" w:hint="default"/>
          <w:spacing w:val="7"/>
        </w:rPr>
        <w:t> </w:t>
      </w:r>
      <w:r>
        <w:rPr>
          <w:spacing w:val="-3"/>
        </w:rPr>
        <w:t>市场蓬勃发展。</w:t>
      </w:r>
    </w:p>
    <w:p>
      <w:pPr>
        <w:pStyle w:val="BodyText"/>
        <w:spacing w:line="319" w:lineRule="auto" w:before="31"/>
        <w:ind w:right="1122" w:firstLine="360"/>
        <w:jc w:val="both"/>
      </w:pPr>
      <w:r>
        <w:rPr>
          <w:spacing w:val="-8"/>
          <w:w w:val="101"/>
        </w:rPr>
        <w:t>智慧医院整体解决方案是公司的核心业务重点，其核心模块包括电子病历系统、集成平台、临床数据中心、互联网医院、</w:t>
      </w:r>
      <w:r>
        <w:rPr>
          <w:w w:val="101"/>
        </w:rPr>
        <w:t> </w:t>
      </w:r>
      <w:r>
        <w:rPr>
          <w:spacing w:val="-4"/>
        </w:rPr>
        <w:t>人工智能应用等。公司正按照最新的市场需求优化升级产品和解决方案，拓展样板医院的建设，以进一步提高高等级医院用</w:t>
      </w:r>
      <w:r>
        <w:rPr>
          <w:spacing w:val="43"/>
        </w:rPr>
        <w:t> </w:t>
      </w:r>
      <w:r>
        <w:rPr>
          <w:spacing w:val="43"/>
        </w:rPr>
      </w:r>
      <w:r>
        <w:rPr/>
        <w:t>户市场的市场占有率。</w:t>
      </w:r>
    </w:p>
    <w:p>
      <w:pPr>
        <w:pStyle w:val="BodyText"/>
        <w:spacing w:line="300" w:lineRule="auto" w:before="17"/>
        <w:ind w:left="513" w:right="0"/>
        <w:jc w:val="left"/>
      </w:pPr>
      <w:r>
        <w:rPr>
          <w:rFonts w:ascii="Times New Roman" w:hAnsi="Times New Roman" w:cs="Times New Roman" w:eastAsia="Times New Roman" w:hint="default"/>
          <w:spacing w:val="-3"/>
        </w:rPr>
        <w:t>2</w:t>
      </w:r>
      <w:r>
        <w:rPr>
          <w:spacing w:val="-3"/>
        </w:rPr>
        <w:t>、分级诊疗、三医联动、疫情防控和应急管理等需求助力城市级智慧医疗服务爆发</w:t>
      </w:r>
      <w:r>
        <w:rPr>
          <w:spacing w:val="23"/>
        </w:rPr>
        <w:t> </w:t>
      </w:r>
      <w:r>
        <w:rPr>
          <w:spacing w:val="23"/>
        </w:rPr>
      </w:r>
      <w:r>
        <w:rPr>
          <w:spacing w:val="-5"/>
        </w:rPr>
        <w:t>分级诊疗是我国深化医药卫生体制改革的重要内容。当前我国医疗资源总量不足、优质资源匮乏，分布不合理，特别是</w:t>
      </w:r>
    </w:p>
    <w:p>
      <w:pPr>
        <w:pStyle w:val="BodyText"/>
        <w:spacing w:line="319" w:lineRule="auto" w:before="31"/>
        <w:ind w:right="1037"/>
        <w:jc w:val="both"/>
      </w:pPr>
      <w:r>
        <w:rPr>
          <w:spacing w:val="-4"/>
        </w:rPr>
        <w:t>基层医疗服务能力弱。为了发展卫生事业，调整资源结构，提高医疗服务体系的整体效能，卫健委、医保局等国家监管机构</w:t>
      </w:r>
      <w:r>
        <w:rPr>
          <w:spacing w:val="41"/>
        </w:rPr>
        <w:t> </w:t>
      </w:r>
      <w:r>
        <w:rPr>
          <w:spacing w:val="41"/>
        </w:rPr>
      </w:r>
      <w:r>
        <w:rPr>
          <w:spacing w:val="-4"/>
        </w:rPr>
        <w:t>发布了一系列结构严谨、相互配合的政策，以便于解决下述重点问题：以学科建设为抓手，建设一批国家医疗中心和区域医</w:t>
      </w:r>
      <w:r>
        <w:rPr>
          <w:spacing w:val="40"/>
        </w:rPr>
        <w:t> </w:t>
      </w:r>
      <w:r>
        <w:rPr>
          <w:spacing w:val="40"/>
        </w:rPr>
      </w:r>
      <w:r>
        <w:rPr>
          <w:spacing w:val="-4"/>
        </w:rPr>
        <w:t>疗中心，做到区域分开；以县医院为抓手，将县医院建设成为农村医疗卫生服务的龙头，解决城乡分开；以病种为抓手，实</w:t>
      </w:r>
      <w:r>
        <w:rPr>
          <w:spacing w:val="40"/>
        </w:rPr>
        <w:t> </w:t>
      </w:r>
      <w:r>
        <w:rPr>
          <w:spacing w:val="40"/>
        </w:rPr>
      </w:r>
      <w:r>
        <w:rPr>
          <w:spacing w:val="-3"/>
        </w:rPr>
        <w:t>现常见病、多发病在社区、在基层就诊，疑难重症在大医院解决，实现上下分开；以支付方式改革为抓手，解决急慢分开。</w:t>
      </w:r>
    </w:p>
    <w:p>
      <w:pPr>
        <w:pStyle w:val="BodyText"/>
        <w:spacing w:line="309" w:lineRule="auto" w:before="17"/>
        <w:ind w:right="1122" w:firstLine="360"/>
        <w:jc w:val="both"/>
      </w:pPr>
      <w:r>
        <w:rPr>
          <w:spacing w:val="-5"/>
        </w:rPr>
        <w:t>为此，卫健委、医保局等国家监管机构发布了要求建立城市紧密型医联体、农村县域医疗共同体，构建整合型医疗服务</w:t>
      </w:r>
      <w:r>
        <w:rPr>
          <w:w w:val="101"/>
        </w:rPr>
        <w:t> </w:t>
      </w:r>
      <w:r>
        <w:rPr>
          <w:spacing w:val="-2"/>
        </w:rPr>
        <w:t>体系；通过发展县级医院、乡镇卫生院提高基层医疗服务的水平；发展</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医疗健康</w:t>
      </w:r>
      <w:r>
        <w:rPr>
          <w:rFonts w:ascii="Times New Roman" w:hAnsi="Times New Roman" w:cs="Times New Roman" w:eastAsia="Times New Roman" w:hint="default"/>
          <w:spacing w:val="-2"/>
        </w:rPr>
        <w:t>”</w:t>
      </w:r>
      <w:r>
        <w:rPr>
          <w:spacing w:val="-2"/>
        </w:rPr>
        <w:t>，推进远程医疗，为人民群众提</w:t>
      </w:r>
      <w:r>
        <w:rPr>
          <w:spacing w:val="37"/>
        </w:rPr>
        <w:t> </w:t>
      </w:r>
      <w:r>
        <w:rPr>
          <w:spacing w:val="37"/>
        </w:rPr>
      </w:r>
      <w:r>
        <w:rPr>
          <w:spacing w:val="-3"/>
        </w:rPr>
        <w:t>供更加便利的医疗服务；发挥基层医疗机构网底的作用，做实做细家庭医生签约服务等一些列政策。</w:t>
      </w:r>
    </w:p>
    <w:p>
      <w:pPr>
        <w:pStyle w:val="BodyText"/>
        <w:spacing w:line="314" w:lineRule="auto" w:before="24"/>
        <w:ind w:right="1123" w:firstLine="360"/>
        <w:jc w:val="both"/>
      </w:pPr>
      <w:r>
        <w:rPr>
          <w:spacing w:val="-4"/>
        </w:rPr>
        <w:t>三医联动是我国深化医药卫生体制改革的另一个重要内容。三医联动牵涉医院、医保、医药以及相关单位和行业的责权</w:t>
      </w:r>
      <w:r>
        <w:rPr>
          <w:w w:val="101"/>
        </w:rPr>
        <w:t> </w:t>
      </w:r>
      <w:r>
        <w:rPr>
          <w:spacing w:val="-4"/>
        </w:rPr>
        <w:t>利转变和行业洗牌，支撑医疗业务和管理的信息系统需要集成、整合、升级换代，甚至新的服务模式创新。近年来随着我国</w:t>
      </w:r>
      <w:r>
        <w:rPr>
          <w:spacing w:val="40"/>
        </w:rPr>
        <w:t> </w:t>
      </w:r>
      <w:r>
        <w:rPr>
          <w:spacing w:val="40"/>
        </w:rPr>
      </w:r>
      <w:r>
        <w:rPr>
          <w:spacing w:val="-6"/>
        </w:rPr>
        <w:t>各类医保基金结余率逐渐下降，医疗基金控费已成为政策监管部门的当务之急。</w:t>
      </w:r>
      <w:r>
        <w:rPr>
          <w:rFonts w:ascii="Times New Roman" w:hAnsi="Times New Roman" w:cs="Times New Roman" w:eastAsia="Times New Roman" w:hint="default"/>
          <w:spacing w:val="-6"/>
        </w:rPr>
        <w:t>2018</w:t>
      </w:r>
      <w:r>
        <w:rPr>
          <w:spacing w:val="-6"/>
        </w:rPr>
        <w:t>年</w:t>
      </w:r>
      <w:r>
        <w:rPr>
          <w:rFonts w:ascii="Times New Roman" w:hAnsi="Times New Roman" w:cs="Times New Roman" w:eastAsia="Times New Roman" w:hint="default"/>
          <w:spacing w:val="-6"/>
        </w:rPr>
        <w:t>5</w:t>
      </w:r>
      <w:r>
        <w:rPr>
          <w:spacing w:val="-6"/>
        </w:rPr>
        <w:t>月</w:t>
      </w:r>
      <w:r>
        <w:rPr>
          <w:rFonts w:ascii="Times New Roman" w:hAnsi="Times New Roman" w:cs="Times New Roman" w:eastAsia="Times New Roman" w:hint="default"/>
          <w:spacing w:val="-6"/>
        </w:rPr>
        <w:t>31</w:t>
      </w:r>
      <w:r>
        <w:rPr>
          <w:spacing w:val="-6"/>
        </w:rPr>
        <w:t>日，国家医疗保障局正式挂牌，</w:t>
      </w:r>
      <w:r>
        <w:rPr>
          <w:spacing w:val="-4"/>
        </w:rPr>
        <w:t> </w:t>
      </w:r>
      <w:r>
        <w:rPr>
          <w:spacing w:val="-4"/>
        </w:rPr>
      </w:r>
      <w:r>
        <w:rPr>
          <w:spacing w:val="-8"/>
          <w:w w:val="101"/>
        </w:rPr>
        <w:t>目前各省、地市、县区的医保局已经基本成立，医保局作为医疗健康服务的总支付方将对医药卫生体制改革产生巨大的影响，</w:t>
      </w:r>
      <w:r>
        <w:rPr>
          <w:spacing w:val="-52"/>
          <w:w w:val="101"/>
        </w:rPr>
        <w:t> </w:t>
      </w:r>
      <w:r>
        <w:rPr>
          <w:spacing w:val="-52"/>
          <w:w w:val="101"/>
        </w:rPr>
      </w:r>
      <w:r>
        <w:rPr>
          <w:spacing w:val="-3"/>
        </w:rPr>
        <w:t>涉及医保支付制度、药品采购和价格、医疗服务价格等医疗、卫生、健康的方方面面。</w:t>
      </w:r>
    </w:p>
    <w:p>
      <w:pPr>
        <w:pStyle w:val="BodyText"/>
        <w:spacing w:line="300" w:lineRule="auto" w:before="21"/>
        <w:ind w:right="0" w:firstLine="360"/>
        <w:jc w:val="left"/>
      </w:pP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20</w:t>
      </w:r>
      <w:r>
        <w:rPr>
          <w:spacing w:val="-4"/>
        </w:rPr>
        <w:t>日，国家医保局发布《关于申报按疾病诊断相关分组付费国家试点的通知》，计划制定出适合我国医疗服</w:t>
      </w:r>
      <w:r>
        <w:rPr>
          <w:w w:val="101"/>
        </w:rPr>
        <w:t> </w:t>
      </w:r>
      <w:r>
        <w:rPr>
          <w:spacing w:val="-3"/>
        </w:rPr>
        <w:t>务体系和医保管理能力的按疾病诊断相关分组（</w:t>
      </w:r>
      <w:r>
        <w:rPr>
          <w:rFonts w:ascii="Times New Roman" w:hAnsi="Times New Roman" w:cs="Times New Roman" w:eastAsia="Times New Roman" w:hint="default"/>
          <w:spacing w:val="-3"/>
        </w:rPr>
        <w:t>DRGs</w:t>
      </w:r>
      <w:r>
        <w:rPr>
          <w:spacing w:val="-3"/>
        </w:rPr>
        <w:t>）标准，并要求部分城市启动按</w:t>
      </w:r>
      <w:r>
        <w:rPr>
          <w:rFonts w:ascii="Times New Roman" w:hAnsi="Times New Roman" w:cs="Times New Roman" w:eastAsia="Times New Roman" w:hint="default"/>
          <w:spacing w:val="-3"/>
        </w:rPr>
        <w:t>DRGs</w:t>
      </w:r>
      <w:r>
        <w:rPr>
          <w:spacing w:val="-3"/>
        </w:rPr>
        <w:t>付费试点工作。</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5</w:t>
      </w:r>
      <w:r>
        <w:rPr>
          <w:spacing w:val="-3"/>
        </w:rPr>
        <w:t>日，</w:t>
      </w:r>
      <w:r>
        <w:rPr>
          <w:spacing w:val="7"/>
        </w:rPr>
        <w:t> </w:t>
      </w:r>
      <w:r>
        <w:rPr>
          <w:spacing w:val="-2"/>
        </w:rPr>
        <w:t>国家医疗保障局发布《关于印发</w:t>
      </w:r>
      <w:r>
        <w:rPr>
          <w:rFonts w:ascii="Times New Roman" w:hAnsi="Times New Roman" w:cs="Times New Roman" w:eastAsia="Times New Roman" w:hint="default"/>
          <w:spacing w:val="-2"/>
        </w:rPr>
        <w:t>&lt;</w:t>
      </w:r>
      <w:r>
        <w:rPr>
          <w:spacing w:val="-2"/>
        </w:rPr>
        <w:t>按疾病诊断相关分组付费国家试点城市名单</w:t>
      </w:r>
      <w:r>
        <w:rPr>
          <w:rFonts w:ascii="Times New Roman" w:hAnsi="Times New Roman" w:cs="Times New Roman" w:eastAsia="Times New Roman" w:hint="default"/>
          <w:spacing w:val="-2"/>
        </w:rPr>
        <w:t>&gt;</w:t>
      </w:r>
      <w:r>
        <w:rPr>
          <w:spacing w:val="-2"/>
        </w:rPr>
        <w:t>的通知》，确定了</w:t>
      </w:r>
      <w:r>
        <w:rPr>
          <w:rFonts w:ascii="Times New Roman" w:hAnsi="Times New Roman" w:cs="Times New Roman" w:eastAsia="Times New Roman" w:hint="default"/>
          <w:spacing w:val="-2"/>
        </w:rPr>
        <w:t>30</w:t>
      </w:r>
      <w:r>
        <w:rPr>
          <w:spacing w:val="-2"/>
        </w:rPr>
        <w:t>个城市作为</w:t>
      </w:r>
      <w:r>
        <w:rPr>
          <w:rFonts w:ascii="Times New Roman" w:hAnsi="Times New Roman" w:cs="Times New Roman" w:eastAsia="Times New Roman" w:hint="default"/>
          <w:spacing w:val="-2"/>
        </w:rPr>
        <w:t>DRG</w:t>
      </w:r>
      <w:r>
        <w:rPr>
          <w:spacing w:val="-2"/>
        </w:rPr>
        <w:t>付费国</w:t>
      </w:r>
    </w:p>
    <w:p>
      <w:pPr>
        <w:spacing w:after="0" w:line="30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00" w:lineRule="auto" w:before="46"/>
        <w:ind w:right="0"/>
        <w:jc w:val="left"/>
      </w:pPr>
      <w:r>
        <w:rPr>
          <w:spacing w:val="-3"/>
        </w:rPr>
        <w:t>家试点城市，确保</w:t>
      </w:r>
      <w:r>
        <w:rPr>
          <w:rFonts w:ascii="Times New Roman" w:hAnsi="Times New Roman" w:cs="Times New Roman" w:eastAsia="Times New Roman" w:hint="default"/>
          <w:spacing w:val="-3"/>
        </w:rPr>
        <w:t>2020</w:t>
      </w:r>
      <w:r>
        <w:rPr>
          <w:spacing w:val="-3"/>
        </w:rPr>
        <w:t>年模拟运行，</w:t>
      </w:r>
      <w:r>
        <w:rPr>
          <w:rFonts w:ascii="Times New Roman" w:hAnsi="Times New Roman" w:cs="Times New Roman" w:eastAsia="Times New Roman" w:hint="default"/>
          <w:spacing w:val="-3"/>
        </w:rPr>
        <w:t>2021</w:t>
      </w:r>
      <w:r>
        <w:rPr>
          <w:spacing w:val="-3"/>
        </w:rPr>
        <w:t>年启动实际付费。</w:t>
      </w:r>
      <w:r>
        <w:rPr>
          <w:rFonts w:ascii="Times New Roman" w:hAnsi="Times New Roman" w:cs="Times New Roman" w:eastAsia="Times New Roman" w:hint="default"/>
          <w:spacing w:val="-3"/>
        </w:rPr>
        <w:t>DRGs</w:t>
      </w:r>
      <w:r>
        <w:rPr>
          <w:spacing w:val="-3"/>
        </w:rPr>
        <w:t>付费的重点是费用控制和绩效管理，将极大地影响医院业</w:t>
      </w:r>
      <w:r>
        <w:rPr>
          <w:spacing w:val="4"/>
        </w:rPr>
        <w:t> </w:t>
      </w:r>
      <w:r>
        <w:rPr>
          <w:spacing w:val="4"/>
        </w:rPr>
      </w:r>
      <w:r>
        <w:rPr>
          <w:spacing w:val="-3"/>
        </w:rPr>
        <w:t>务和管理模式。医保局还将进一步规划医保相关的信息化标准和平台建设，进一步拓展智慧医院和健康城市的市场空间。</w:t>
      </w:r>
    </w:p>
    <w:p>
      <w:pPr>
        <w:pStyle w:val="BodyText"/>
        <w:spacing w:line="309" w:lineRule="auto" w:before="31"/>
        <w:ind w:right="1122" w:firstLine="360"/>
        <w:jc w:val="both"/>
      </w:pPr>
      <w:r>
        <w:rPr>
          <w:rFonts w:ascii="Times New Roman" w:hAnsi="Times New Roman" w:cs="Times New Roman" w:eastAsia="Times New Roman" w:hint="default"/>
          <w:spacing w:val="-4"/>
        </w:rPr>
        <w:t>2019</w:t>
      </w:r>
      <w:r>
        <w:rPr>
          <w:spacing w:val="-4"/>
        </w:rPr>
        <w:t>年新冠肺炎疫情爆发，面对疫情的冲击，在疫情防控的过程中，暴露了疾控体系信息孤岛、医疗卫生一体化建设薄</w:t>
      </w:r>
      <w:r>
        <w:rPr>
          <w:w w:val="101"/>
        </w:rPr>
        <w:t> </w:t>
      </w:r>
      <w:r>
        <w:rPr>
          <w:spacing w:val="-3"/>
        </w:rPr>
        <w:t>弱、没有体系化的应急预案、慢病和老年病复查配药困难、低效的城市管理联动等许多问题。</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14</w:t>
      </w:r>
      <w:r>
        <w:rPr>
          <w:spacing w:val="-3"/>
        </w:rPr>
        <w:t>日，中央深化改 </w:t>
      </w:r>
      <w:r>
        <w:rPr>
          <w:spacing w:val="-4"/>
        </w:rPr>
        <w:t>革委员会召开会议，强调完善重大疫情防控体制机制，健全国家公共卫生应急管理体系；运用大数据、人工智能、云计算等</w:t>
      </w:r>
      <w:r>
        <w:rPr>
          <w:spacing w:val="41"/>
        </w:rPr>
        <w:t> </w:t>
      </w:r>
      <w:r>
        <w:rPr>
          <w:spacing w:val="41"/>
        </w:rPr>
      </w:r>
      <w:r>
        <w:rPr>
          <w:spacing w:val="-6"/>
        </w:rPr>
        <w:t>技术，在疫情监测、病毒溯源、防控救治、资源调配等方面更好发挥支撑作用。</w:t>
      </w:r>
      <w:r>
        <w:rPr>
          <w:rFonts w:ascii="Times New Roman" w:hAnsi="Times New Roman" w:cs="Times New Roman" w:eastAsia="Times New Roman" w:hint="default"/>
          <w:spacing w:val="-6"/>
        </w:rPr>
        <w:t>2020</w:t>
      </w:r>
      <w:r>
        <w:rPr>
          <w:spacing w:val="-6"/>
        </w:rPr>
        <w:t>年</w:t>
      </w:r>
      <w:r>
        <w:rPr>
          <w:rFonts w:ascii="Times New Roman" w:hAnsi="Times New Roman" w:cs="Times New Roman" w:eastAsia="Times New Roman" w:hint="default"/>
          <w:spacing w:val="-6"/>
        </w:rPr>
        <w:t>2</w:t>
      </w:r>
      <w:r>
        <w:rPr>
          <w:spacing w:val="-6"/>
        </w:rPr>
        <w:t>月，国家卫生健康委办公厅发布《关 </w:t>
      </w:r>
      <w:r>
        <w:rPr>
          <w:spacing w:val="-5"/>
        </w:rPr>
        <w:t>于加强信息化支撑新型冠状病毒感染的肺炎疫情防控工作的通知》，通知指出，积极开展远程医疗服务；充分发挥各省份远</w:t>
      </w:r>
      <w:r>
        <w:rPr>
          <w:spacing w:val="4"/>
        </w:rPr>
        <w:t> </w:t>
      </w:r>
      <w:r>
        <w:rPr>
          <w:spacing w:val="4"/>
        </w:rPr>
      </w:r>
      <w:r>
        <w:rPr>
          <w:spacing w:val="-8"/>
          <w:w w:val="101"/>
        </w:rPr>
        <w:t>程医疗平台作用，鼓励包括省级定点救治医院在内的各大医院提供远程会诊、防治指导等服务，借助信息技术下沉专家资源，</w:t>
      </w:r>
      <w:r>
        <w:rPr>
          <w:spacing w:val="-53"/>
          <w:w w:val="101"/>
        </w:rPr>
        <w:t> </w:t>
      </w:r>
      <w:r>
        <w:rPr>
          <w:spacing w:val="-53"/>
          <w:w w:val="101"/>
        </w:rPr>
      </w:r>
      <w:r>
        <w:rPr>
          <w:spacing w:val="-4"/>
        </w:rPr>
        <w:t>提高基层和社区医疗卫生机构应对处置疫情能力，缓解定点医院诊疗压力，减少人员跨区域传播风险；有条件的地方可运用</w:t>
      </w:r>
      <w:r>
        <w:rPr>
          <w:spacing w:val="43"/>
        </w:rPr>
        <w:t> </w:t>
      </w:r>
      <w:r>
        <w:rPr>
          <w:spacing w:val="43"/>
        </w:rPr>
      </w:r>
      <w:r>
        <w:rPr>
          <w:rFonts w:ascii="Times New Roman" w:hAnsi="Times New Roman" w:cs="Times New Roman" w:eastAsia="Times New Roman" w:hint="default"/>
          <w:spacing w:val="-2"/>
        </w:rPr>
        <w:t>5G</w:t>
      </w:r>
      <w:r>
        <w:rPr>
          <w:spacing w:val="-2"/>
        </w:rPr>
        <w:t>等信息技术，提高定点救治医院网络稳定性和传输质量，满足患者救治工作需要。该政策将进一步推动院内信息化互联</w:t>
      </w:r>
      <w:r>
        <w:rPr>
          <w:spacing w:val="73"/>
        </w:rPr>
        <w:t> </w:t>
      </w:r>
      <w:r>
        <w:rPr>
          <w:spacing w:val="73"/>
        </w:rPr>
      </w:r>
      <w:r>
        <w:rPr>
          <w:spacing w:val="-3"/>
        </w:rPr>
        <w:t>互通平台和物联网医院的建设，区域卫生信息化平台的升级改造，加快智慧医疗行业的发展。</w:t>
      </w:r>
    </w:p>
    <w:p>
      <w:pPr>
        <w:pStyle w:val="BodyText"/>
        <w:spacing w:line="319" w:lineRule="auto" w:before="24"/>
        <w:ind w:right="1124" w:firstLine="360"/>
        <w:jc w:val="both"/>
      </w:pPr>
      <w:r>
        <w:rPr>
          <w:spacing w:val="-5"/>
        </w:rPr>
        <w:t>分级诊疗、三医联动、疫情疾控和应急管理、数字城市建设等相关政策和需求的实现本质上需要一个城市级的智慧医疗</w:t>
      </w:r>
      <w:r>
        <w:rPr>
          <w:w w:val="101"/>
        </w:rPr>
        <w:t> </w:t>
      </w:r>
      <w:r>
        <w:rPr>
          <w:spacing w:val="-4"/>
        </w:rPr>
        <w:t>解决方案，实现城市范围内医疗、卫生、健康数据的实时在线、业务流程的跨机构协作和服务、实时监管和跨行业互动。公</w:t>
      </w:r>
      <w:r>
        <w:rPr>
          <w:spacing w:val="40"/>
        </w:rPr>
        <w:t> </w:t>
      </w:r>
      <w:r>
        <w:rPr>
          <w:spacing w:val="40"/>
        </w:rPr>
      </w:r>
      <w:r>
        <w:rPr>
          <w:spacing w:val="-4"/>
        </w:rPr>
        <w:t>司从战略高度重视这一市场机遇，正在积极跟踪国务院、卫健委、医保局的政策和市场走向，进一步完善城市级智慧医疗解</w:t>
      </w:r>
      <w:r>
        <w:rPr>
          <w:spacing w:val="40"/>
        </w:rPr>
        <w:t> </w:t>
      </w:r>
      <w:r>
        <w:rPr>
          <w:spacing w:val="40"/>
        </w:rPr>
      </w:r>
      <w:r>
        <w:rPr>
          <w:spacing w:val="-3"/>
        </w:rPr>
        <w:t>决方案，在试点医院和试点城市持续开发和迭代新功能，完善服务，探索新的建设和服务模式。</w:t>
      </w:r>
    </w:p>
    <w:p>
      <w:pPr>
        <w:spacing w:line="240" w:lineRule="auto" w:before="2"/>
        <w:rPr>
          <w:rFonts w:ascii="宋体" w:hAnsi="宋体" w:cs="宋体" w:eastAsia="宋体" w:hint="default"/>
          <w:sz w:val="25"/>
          <w:szCs w:val="25"/>
        </w:rPr>
      </w:pPr>
    </w:p>
    <w:p>
      <w:pPr>
        <w:pStyle w:val="BodyText"/>
        <w:spacing w:line="240" w:lineRule="auto"/>
        <w:ind w:left="513" w:right="0"/>
        <w:jc w:val="left"/>
      </w:pPr>
      <w:r>
        <w:rPr>
          <w:spacing w:val="-3"/>
        </w:rPr>
        <w:t>（二）公司未来发展战略</w:t>
      </w:r>
    </w:p>
    <w:p>
      <w:pPr>
        <w:pStyle w:val="BodyText"/>
        <w:spacing w:line="300" w:lineRule="auto" w:before="76"/>
        <w:ind w:left="513" w:right="0"/>
        <w:jc w:val="left"/>
      </w:pPr>
      <w:r>
        <w:rPr>
          <w:rFonts w:ascii="Times New Roman" w:hAnsi="Times New Roman" w:cs="Times New Roman" w:eastAsia="Times New Roman" w:hint="default"/>
          <w:spacing w:val="-3"/>
        </w:rPr>
        <w:t>1</w:t>
      </w:r>
      <w:r>
        <w:rPr>
          <w:spacing w:val="-3"/>
        </w:rPr>
        <w:t>、持续深化智慧医院整体解决方案</w:t>
      </w:r>
      <w:r>
        <w:rPr>
          <w:spacing w:val="-40"/>
        </w:rPr>
        <w:t> </w:t>
      </w:r>
      <w:r>
        <w:rPr>
          <w:spacing w:val="-40"/>
        </w:rPr>
      </w:r>
      <w:r>
        <w:rPr>
          <w:spacing w:val="-4"/>
        </w:rPr>
        <w:t>智慧医院整体解决方案是包含了以电子病历为核心的临床医疗信息系统、以</w:t>
      </w:r>
      <w:r>
        <w:rPr>
          <w:rFonts w:ascii="Times New Roman" w:hAnsi="Times New Roman" w:cs="Times New Roman" w:eastAsia="Times New Roman" w:hint="default"/>
          <w:spacing w:val="-4"/>
        </w:rPr>
        <w:t>HRP</w:t>
      </w:r>
      <w:r>
        <w:rPr>
          <w:spacing w:val="-4"/>
        </w:rPr>
        <w:t>为核心的运营管理信息系统、以医院设</w:t>
      </w:r>
    </w:p>
    <w:p>
      <w:pPr>
        <w:pStyle w:val="BodyText"/>
        <w:spacing w:line="316" w:lineRule="auto" w:before="13"/>
        <w:ind w:right="0"/>
        <w:jc w:val="left"/>
      </w:pPr>
      <w:r>
        <w:rPr>
          <w:spacing w:val="-4"/>
        </w:rPr>
        <w:t>施设备为基础的物联网解决方案和以互联网医院为主的新型服务系统，以及将上述系统根据场景特色、业务流程、管理需求</w:t>
      </w:r>
      <w:r>
        <w:rPr>
          <w:spacing w:val="38"/>
        </w:rPr>
        <w:t> </w:t>
      </w:r>
      <w:r>
        <w:rPr>
          <w:spacing w:val="38"/>
        </w:rPr>
      </w:r>
      <w:r>
        <w:rPr>
          <w:spacing w:val="-3"/>
        </w:rPr>
        <w:t>进行集成融合的整体解决方案。</w:t>
      </w:r>
    </w:p>
    <w:p>
      <w:pPr>
        <w:pStyle w:val="BodyText"/>
        <w:spacing w:line="316" w:lineRule="auto" w:before="19"/>
        <w:ind w:right="1122" w:firstLine="360"/>
        <w:jc w:val="both"/>
      </w:pPr>
      <w:r>
        <w:rPr>
          <w:spacing w:val="-4"/>
        </w:rPr>
        <w:t>公司将抓住电子病历以及集成平台、临床数据中心等系统升级换代给医疗信息化行业带来的巨大发展契机，持续优化以</w:t>
      </w:r>
      <w:r>
        <w:rPr>
          <w:w w:val="101"/>
        </w:rPr>
        <w:t> </w:t>
      </w:r>
      <w:r>
        <w:rPr>
          <w:spacing w:val="-4"/>
        </w:rPr>
        <w:t>电子病历为核心新一代医疗信息系统，提高产品的适用性，在产品不断迭代完善的同时加大市场推广，目前公司已与多家大</w:t>
      </w:r>
      <w:r>
        <w:rPr>
          <w:spacing w:val="44"/>
        </w:rPr>
        <w:t> </w:t>
      </w:r>
      <w:r>
        <w:rPr>
          <w:spacing w:val="44"/>
        </w:rPr>
      </w:r>
      <w:r>
        <w:rPr>
          <w:spacing w:val="-3"/>
        </w:rPr>
        <w:t>型医院达成初步意向，为全面市场拓展奠定基础。</w:t>
      </w:r>
    </w:p>
    <w:p>
      <w:pPr>
        <w:pStyle w:val="BodyText"/>
        <w:spacing w:line="300" w:lineRule="auto" w:before="19"/>
        <w:ind w:right="1126" w:firstLine="360"/>
        <w:jc w:val="both"/>
      </w:pPr>
      <w:r>
        <w:rPr>
          <w:spacing w:val="-3"/>
        </w:rPr>
        <w:t>同时，面对</w:t>
      </w:r>
      <w:r>
        <w:rPr>
          <w:rFonts w:ascii="Times New Roman" w:hAnsi="Times New Roman" w:cs="Times New Roman" w:eastAsia="Times New Roman" w:hint="default"/>
          <w:spacing w:val="-3"/>
        </w:rPr>
        <w:t>“</w:t>
      </w:r>
      <w:r>
        <w:rPr>
          <w:spacing w:val="-3"/>
        </w:rPr>
        <w:t>互联网</w:t>
      </w:r>
      <w:r>
        <w:rPr>
          <w:rFonts w:ascii="Times New Roman" w:hAnsi="Times New Roman" w:cs="Times New Roman" w:eastAsia="Times New Roman" w:hint="default"/>
          <w:spacing w:val="-3"/>
        </w:rPr>
        <w:t>+</w:t>
      </w:r>
      <w:r>
        <w:rPr>
          <w:spacing w:val="-3"/>
        </w:rPr>
        <w:t>医疗健康</w:t>
      </w:r>
      <w:r>
        <w:rPr>
          <w:rFonts w:ascii="Times New Roman" w:hAnsi="Times New Roman" w:cs="Times New Roman" w:eastAsia="Times New Roman" w:hint="default"/>
          <w:spacing w:val="-3"/>
        </w:rPr>
        <w:t>”</w:t>
      </w:r>
      <w:r>
        <w:rPr>
          <w:spacing w:val="-3"/>
        </w:rPr>
        <w:t>建设的迫切需求，公司将进一步加大和加深互联网医院的应用深度，借助</w:t>
      </w:r>
      <w:r>
        <w:rPr>
          <w:rFonts w:ascii="Times New Roman" w:hAnsi="Times New Roman" w:cs="Times New Roman" w:eastAsia="Times New Roman" w:hint="default"/>
          <w:spacing w:val="-3"/>
        </w:rPr>
        <w:t>5G</w:t>
      </w:r>
      <w:r>
        <w:rPr>
          <w:spacing w:val="-3"/>
        </w:rPr>
        <w:t>、云计算等</w:t>
      </w:r>
      <w:r>
        <w:rPr>
          <w:w w:val="101"/>
        </w:rPr>
        <w:t> </w:t>
      </w:r>
      <w:r>
        <w:rPr>
          <w:spacing w:val="-3"/>
        </w:rPr>
        <w:t>技术不断升级现有的方案和应用场景，为患者和医院提供打破空间和时间限制的优质服务，极大发挥产品价值。</w:t>
      </w:r>
    </w:p>
    <w:p>
      <w:pPr>
        <w:pStyle w:val="BodyText"/>
        <w:spacing w:line="309" w:lineRule="auto" w:before="31"/>
        <w:ind w:right="1123" w:firstLine="360"/>
        <w:jc w:val="both"/>
      </w:pPr>
      <w:r>
        <w:rPr>
          <w:spacing w:val="-4"/>
        </w:rPr>
        <w:t>紧扣</w:t>
      </w:r>
      <w:r>
        <w:rPr>
          <w:rFonts w:ascii="Times New Roman" w:hAnsi="Times New Roman" w:cs="Times New Roman" w:eastAsia="Times New Roman" w:hint="default"/>
          <w:spacing w:val="-4"/>
        </w:rPr>
        <w:t>“</w:t>
      </w:r>
      <w:r>
        <w:rPr>
          <w:spacing w:val="-4"/>
        </w:rPr>
        <w:t>万物互联</w:t>
      </w:r>
      <w:r>
        <w:rPr>
          <w:rFonts w:ascii="Times New Roman" w:hAnsi="Times New Roman" w:cs="Times New Roman" w:eastAsia="Times New Roman" w:hint="default"/>
          <w:spacing w:val="-4"/>
        </w:rPr>
        <w:t>”</w:t>
      </w:r>
      <w:r>
        <w:rPr>
          <w:spacing w:val="-4"/>
        </w:rPr>
        <w:t>，公司将进一步加强物联网解决方案建设，打造汇聚智慧医院建设的智慧医疗、智慧服务、智慧管理等</w:t>
      </w:r>
      <w:r>
        <w:rPr>
          <w:w w:val="101"/>
        </w:rPr>
        <w:t> </w:t>
      </w:r>
      <w:r>
        <w:rPr>
          <w:spacing w:val="-4"/>
        </w:rPr>
        <w:t>各业务模块的综合运营管理平台，不断迭代升级，通过数据信息的管理应用，为医院客户提供数字化、智能化、集成式的运</w:t>
      </w:r>
      <w:r>
        <w:rPr>
          <w:spacing w:val="40"/>
        </w:rPr>
        <w:t> </w:t>
      </w:r>
      <w:r>
        <w:rPr>
          <w:spacing w:val="40"/>
        </w:rPr>
      </w:r>
      <w:r>
        <w:rPr/>
        <w:t>营管理体系工具。</w:t>
      </w:r>
    </w:p>
    <w:p>
      <w:pPr>
        <w:pStyle w:val="BodyText"/>
        <w:spacing w:line="307" w:lineRule="auto" w:before="24"/>
        <w:ind w:right="1122" w:firstLine="360"/>
        <w:jc w:val="both"/>
      </w:pPr>
      <w:r>
        <w:rPr>
          <w:spacing w:val="-3"/>
        </w:rPr>
        <w:t>把控</w:t>
      </w:r>
      <w:r>
        <w:rPr>
          <w:rFonts w:ascii="Times New Roman" w:hAnsi="Times New Roman" w:cs="Times New Roman" w:eastAsia="Times New Roman" w:hint="default"/>
          <w:spacing w:val="-3"/>
        </w:rPr>
        <w:t>“</w:t>
      </w:r>
      <w:r>
        <w:rPr>
          <w:spacing w:val="-3"/>
        </w:rPr>
        <w:t>大数据和人工智能</w:t>
      </w:r>
      <w:r>
        <w:rPr>
          <w:rFonts w:ascii="Times New Roman" w:hAnsi="Times New Roman" w:cs="Times New Roman" w:eastAsia="Times New Roman" w:hint="default"/>
          <w:spacing w:val="-3"/>
        </w:rPr>
        <w:t>”</w:t>
      </w:r>
      <w:r>
        <w:rPr>
          <w:spacing w:val="-3"/>
        </w:rPr>
        <w:t>的医疗健康信息化热点，公司将持续深化自身核心产品</w:t>
      </w:r>
      <w:r>
        <w:rPr>
          <w:rFonts w:ascii="Times New Roman" w:hAnsi="Times New Roman" w:cs="Times New Roman" w:eastAsia="Times New Roman" w:hint="default"/>
          <w:spacing w:val="-3"/>
        </w:rPr>
        <w:t>--</w:t>
      </w:r>
      <w:r>
        <w:rPr>
          <w:spacing w:val="-3"/>
        </w:rPr>
        <w:t>电子病历系统功能，重点聚焦于临床</w:t>
      </w:r>
      <w:r>
        <w:rPr>
          <w:w w:val="101"/>
        </w:rPr>
        <w:t> </w:t>
      </w:r>
      <w:r>
        <w:rPr>
          <w:spacing w:val="-3"/>
        </w:rPr>
        <w:t>决策支持系统（</w:t>
      </w:r>
      <w:r>
        <w:rPr>
          <w:rFonts w:ascii="Times New Roman" w:hAnsi="Times New Roman" w:cs="Times New Roman" w:eastAsia="Times New Roman" w:hint="default"/>
          <w:spacing w:val="-3"/>
        </w:rPr>
        <w:t>CDSS</w:t>
      </w:r>
      <w:r>
        <w:rPr>
          <w:spacing w:val="-3"/>
        </w:rPr>
        <w:t>）、基于</w:t>
      </w:r>
      <w:r>
        <w:rPr>
          <w:rFonts w:ascii="Times New Roman" w:hAnsi="Times New Roman" w:cs="Times New Roman" w:eastAsia="Times New Roman" w:hint="default"/>
          <w:spacing w:val="-3"/>
        </w:rPr>
        <w:t>AI</w:t>
      </w:r>
      <w:r>
        <w:rPr>
          <w:spacing w:val="-3"/>
        </w:rPr>
        <w:t>技术实现病历内涵质控，逐步实现海量历史数据的一体化管理及与医院各业务生产系统数</w:t>
      </w:r>
      <w:r>
        <w:rPr>
          <w:spacing w:val="70"/>
        </w:rPr>
        <w:t> </w:t>
      </w:r>
      <w:r>
        <w:rPr>
          <w:spacing w:val="70"/>
        </w:rPr>
      </w:r>
      <w:r>
        <w:rPr>
          <w:spacing w:val="-4"/>
        </w:rPr>
        <w:t>据库保持实时同步、数据一致性的关键技术。后续公司还将基于医院积累的已有数据逐步开展大数据应用，帮助医院挖掘现</w:t>
      </w:r>
      <w:r>
        <w:rPr>
          <w:spacing w:val="44"/>
        </w:rPr>
        <w:t> </w:t>
      </w:r>
      <w:r>
        <w:rPr>
          <w:spacing w:val="44"/>
        </w:rPr>
      </w:r>
      <w:r>
        <w:rPr>
          <w:spacing w:val="-3"/>
        </w:rPr>
        <w:t>有电子病历中的数据，为医院开展临床科研、临床辅助决策提供更好的工具和服务。</w:t>
      </w:r>
    </w:p>
    <w:p>
      <w:pPr>
        <w:pStyle w:val="BodyText"/>
        <w:spacing w:line="300" w:lineRule="auto" w:before="26"/>
        <w:ind w:left="513" w:right="0"/>
        <w:jc w:val="left"/>
      </w:pPr>
      <w:r>
        <w:rPr>
          <w:rFonts w:ascii="Times New Roman" w:hAnsi="Times New Roman" w:cs="Times New Roman" w:eastAsia="Times New Roman" w:hint="default"/>
          <w:spacing w:val="-3"/>
        </w:rPr>
        <w:t>2</w:t>
      </w:r>
      <w:r>
        <w:rPr>
          <w:spacing w:val="-3"/>
        </w:rPr>
        <w:t>、发展城市级智慧医疗解决方案和运营探索</w:t>
      </w:r>
      <w:r>
        <w:rPr>
          <w:spacing w:val="-29"/>
        </w:rPr>
        <w:t> </w:t>
      </w:r>
      <w:r>
        <w:rPr>
          <w:spacing w:val="-29"/>
        </w:rPr>
      </w:r>
      <w:r>
        <w:rPr>
          <w:spacing w:val="-4"/>
        </w:rPr>
        <w:t>城市级智慧医疗建设是医疗机构信息化建设的延伸和扩展，基于区域数字城市建设的统一规划，从整个城市角度融入更</w:t>
      </w:r>
    </w:p>
    <w:p>
      <w:pPr>
        <w:pStyle w:val="BodyText"/>
        <w:spacing w:line="309" w:lineRule="auto" w:before="31"/>
        <w:ind w:right="1037"/>
        <w:jc w:val="left"/>
      </w:pPr>
      <w:r>
        <w:rPr>
          <w:spacing w:val="-2"/>
        </w:rPr>
        <w:t>多的医疗、医保、医药等专业服务和实时监管能力。例如，公司参建的杭州</w:t>
      </w:r>
      <w:r>
        <w:rPr>
          <w:rFonts w:ascii="Times New Roman" w:hAnsi="Times New Roman" w:cs="Times New Roman" w:eastAsia="Times New Roman" w:hint="default"/>
          <w:spacing w:val="-2"/>
        </w:rPr>
        <w:t>“</w:t>
      </w:r>
      <w:r>
        <w:rPr>
          <w:spacing w:val="-2"/>
        </w:rPr>
        <w:t>城市大脑</w:t>
      </w:r>
      <w:r>
        <w:rPr>
          <w:rFonts w:ascii="Times New Roman" w:hAnsi="Times New Roman" w:cs="Times New Roman" w:eastAsia="Times New Roman" w:hint="default"/>
          <w:spacing w:val="-2"/>
        </w:rPr>
        <w:t>·</w:t>
      </w:r>
      <w:r>
        <w:rPr>
          <w:spacing w:val="-2"/>
        </w:rPr>
        <w:t>舒心就医平台（卫健系统）</w:t>
      </w:r>
      <w:r>
        <w:rPr>
          <w:rFonts w:ascii="Times New Roman" w:hAnsi="Times New Roman" w:cs="Times New Roman" w:eastAsia="Times New Roman" w:hint="default"/>
          <w:spacing w:val="-2"/>
        </w:rPr>
        <w:t>”</w:t>
      </w:r>
      <w:r>
        <w:rPr>
          <w:spacing w:val="-2"/>
        </w:rPr>
        <w:t>，通过</w:t>
      </w:r>
      <w:r>
        <w:rPr>
          <w:spacing w:val="74"/>
        </w:rPr>
        <w:t> </w:t>
      </w:r>
      <w:r>
        <w:rPr>
          <w:spacing w:val="74"/>
        </w:rPr>
      </w:r>
      <w:r>
        <w:rPr>
          <w:spacing w:val="-2"/>
        </w:rPr>
        <w:t>与公安系统快速对接建立了卫健警务</w:t>
      </w:r>
      <w:r>
        <w:rPr>
          <w:rFonts w:ascii="Times New Roman" w:hAnsi="Times New Roman" w:cs="Times New Roman" w:eastAsia="Times New Roman" w:hint="default"/>
          <w:spacing w:val="-2"/>
        </w:rPr>
        <w:t>-</w:t>
      </w:r>
      <w:r>
        <w:rPr>
          <w:spacing w:val="-2"/>
        </w:rPr>
        <w:t>新型冠状病毒防控系统，利用精准的数据指导，实时掌握重点人群动态，为疫情防控</w:t>
      </w:r>
      <w:r>
        <w:rPr>
          <w:spacing w:val="52"/>
        </w:rPr>
        <w:t> </w:t>
      </w:r>
      <w:r>
        <w:rPr>
          <w:spacing w:val="52"/>
        </w:rPr>
      </w:r>
      <w:r>
        <w:rPr>
          <w:spacing w:val="-4"/>
        </w:rPr>
        <w:t>工作提供实时、精准的参考与指导。未来公司将继续在城市级智慧医疗的建设方面不断探索和创新，和相关部门积极深化基</w:t>
      </w:r>
      <w:r>
        <w:rPr>
          <w:spacing w:val="44"/>
        </w:rPr>
        <w:t> </w:t>
      </w:r>
      <w:r>
        <w:rPr>
          <w:spacing w:val="44"/>
        </w:rPr>
      </w:r>
      <w:r>
        <w:rPr>
          <w:spacing w:val="-3"/>
        </w:rPr>
        <w:t>于各医疗机构核心业务的数据脱敏或授权情况下的各场景应用，发挥在城市基建数据和信息的管道作用，相信很快在惠民、</w:t>
      </w:r>
      <w:r>
        <w:rPr>
          <w:spacing w:val="76"/>
        </w:rPr>
        <w:t> </w:t>
      </w:r>
      <w:r>
        <w:rPr>
          <w:spacing w:val="76"/>
        </w:rPr>
      </w:r>
      <w:r>
        <w:rPr>
          <w:spacing w:val="-3"/>
        </w:rPr>
        <w:t>慧医、慧政等方面都有新的亮点呈现。</w:t>
      </w:r>
    </w:p>
    <w:p>
      <w:pPr>
        <w:pStyle w:val="BodyText"/>
        <w:spacing w:line="319" w:lineRule="auto" w:before="24"/>
        <w:ind w:right="1122" w:firstLine="360"/>
        <w:jc w:val="both"/>
      </w:pPr>
      <w:r>
        <w:rPr>
          <w:spacing w:val="-5"/>
        </w:rPr>
        <w:t>城市级智慧医疗的建设重点是民生工程、业务协同、实时监管和服务模式创新。在服务模式创新方面，基于数据驱动的</w:t>
      </w:r>
      <w:r>
        <w:rPr>
          <w:w w:val="101"/>
        </w:rPr>
        <w:t> </w:t>
      </w:r>
      <w:r>
        <w:rPr>
          <w:spacing w:val="-4"/>
        </w:rPr>
        <w:t>健康城市是一种全新的生态圈。公司正积极跟踪国家一系列的政策和意见，将依托云架构和大数据等技术，将服务覆盖到就</w:t>
      </w:r>
      <w:r>
        <w:rPr>
          <w:spacing w:val="43"/>
        </w:rPr>
        <w:t> </w:t>
      </w:r>
      <w:r>
        <w:rPr>
          <w:spacing w:val="43"/>
        </w:rPr>
      </w:r>
      <w:r>
        <w:rPr>
          <w:spacing w:val="-4"/>
        </w:rPr>
        <w:t>医的院前中后、线下到线上，整合生态圈各参与方的禀赋、资源与能力，开展大数据挖掘和应用等服务，探索创新的建设和</w:t>
      </w:r>
      <w:r>
        <w:rPr>
          <w:spacing w:val="41"/>
        </w:rPr>
        <w:t> </w:t>
      </w:r>
      <w:r>
        <w:rPr>
          <w:spacing w:val="41"/>
        </w:rPr>
      </w:r>
      <w:r>
        <w:rPr>
          <w:spacing w:val="-3"/>
        </w:rPr>
        <w:t>运营模式，开展安全和开放的合作体系建设。</w:t>
      </w:r>
    </w:p>
    <w:p>
      <w:pPr>
        <w:spacing w:after="0" w:line="319" w:lineRule="auto"/>
        <w:jc w:val="both"/>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00" w:lineRule="auto" w:before="46"/>
        <w:ind w:left="513" w:right="0"/>
        <w:jc w:val="left"/>
      </w:pPr>
      <w:r>
        <w:rPr>
          <w:rFonts w:ascii="Times New Roman" w:hAnsi="Times New Roman" w:cs="Times New Roman" w:eastAsia="Times New Roman" w:hint="default"/>
          <w:spacing w:val="-3"/>
        </w:rPr>
        <w:t>3</w:t>
      </w:r>
      <w:r>
        <w:rPr>
          <w:spacing w:val="-3"/>
        </w:rPr>
        <w:t>、加强客户经营体系建设</w:t>
      </w:r>
      <w:r>
        <w:rPr>
          <w:spacing w:val="-52"/>
        </w:rPr>
        <w:t> </w:t>
      </w:r>
      <w:r>
        <w:rPr>
          <w:spacing w:val="-52"/>
        </w:rPr>
      </w:r>
      <w:r>
        <w:rPr>
          <w:spacing w:val="-5"/>
        </w:rPr>
        <w:t>一方面，医院信息化建设日新月异，信息化系统升级换代需求呈现出长期持续的特点；另一方面，公司的新产品和原有</w:t>
      </w:r>
    </w:p>
    <w:p>
      <w:pPr>
        <w:pStyle w:val="BodyText"/>
        <w:spacing w:line="309" w:lineRule="auto" w:before="31"/>
        <w:ind w:right="0"/>
        <w:jc w:val="left"/>
      </w:pPr>
      <w:r>
        <w:rPr>
          <w:spacing w:val="-4"/>
        </w:rPr>
        <w:t>产品的升级换代与原来的产品高度耦合，实施难度小。持续增长的老客户需求及相对较小的实施难度为公司在老客户的信息</w:t>
      </w:r>
      <w:r>
        <w:rPr>
          <w:spacing w:val="38"/>
        </w:rPr>
        <w:t> </w:t>
      </w:r>
      <w:r>
        <w:rPr>
          <w:spacing w:val="38"/>
        </w:rPr>
      </w:r>
      <w:r>
        <w:rPr>
          <w:spacing w:val="-6"/>
          <w:w w:val="101"/>
        </w:rPr>
        <w:t>化持续建设中提供了天然优势；同时，公司在发展过程中积累了数量众多且优质的大型</w:t>
      </w:r>
      <w:r>
        <w:rPr>
          <w:rFonts w:ascii="Times New Roman" w:hAnsi="Times New Roman" w:cs="Times New Roman" w:eastAsia="Times New Roman" w:hint="default"/>
          <w:spacing w:val="-6"/>
          <w:w w:val="101"/>
        </w:rPr>
        <w:t>“</w:t>
      </w:r>
      <w:r>
        <w:rPr>
          <w:spacing w:val="-6"/>
          <w:w w:val="101"/>
        </w:rPr>
        <w:t>三甲</w:t>
      </w:r>
      <w:r>
        <w:rPr>
          <w:rFonts w:ascii="Times New Roman" w:hAnsi="Times New Roman" w:cs="Times New Roman" w:eastAsia="Times New Roman" w:hint="default"/>
          <w:spacing w:val="-6"/>
          <w:w w:val="101"/>
        </w:rPr>
        <w:t>”</w:t>
      </w:r>
      <w:r>
        <w:rPr>
          <w:spacing w:val="-6"/>
          <w:w w:val="101"/>
        </w:rPr>
        <w:t>医院高端客户及专科医院客户，</w:t>
      </w:r>
      <w:r>
        <w:rPr>
          <w:spacing w:val="-44"/>
          <w:w w:val="101"/>
        </w:rPr>
        <w:t> </w:t>
      </w:r>
      <w:r>
        <w:rPr>
          <w:spacing w:val="-44"/>
          <w:w w:val="101"/>
        </w:rPr>
      </w:r>
      <w:r>
        <w:rPr>
          <w:spacing w:val="-3"/>
        </w:rPr>
        <w:t>在日常经营中公司与客户维持着紧密且良好的合作关系，为公司创造了业务的长期增长点。</w:t>
      </w:r>
    </w:p>
    <w:p>
      <w:pPr>
        <w:pStyle w:val="BodyText"/>
        <w:spacing w:line="316" w:lineRule="auto" w:before="24"/>
        <w:ind w:right="1122" w:firstLine="360"/>
        <w:jc w:val="both"/>
      </w:pPr>
      <w:r>
        <w:rPr>
          <w:spacing w:val="-5"/>
        </w:rPr>
        <w:t>医院信息化需求旺盛、需求多样且临时变动大等特点，导致医院信息系统在性能、逻辑及功能上存在缺陷，医院现有信</w:t>
      </w:r>
      <w:r>
        <w:rPr>
          <w:w w:val="101"/>
        </w:rPr>
        <w:t> </w:t>
      </w:r>
      <w:r>
        <w:rPr>
          <w:spacing w:val="-4"/>
        </w:rPr>
        <w:t>息化系统得不到及时有效的升级与完善。智慧医院的建设，不能仅仅依靠于所采购的信息化、场景化产品，更需要及时、贴</w:t>
      </w:r>
      <w:r>
        <w:rPr>
          <w:spacing w:val="40"/>
        </w:rPr>
        <w:t> </w:t>
      </w:r>
      <w:r>
        <w:rPr>
          <w:spacing w:val="40"/>
        </w:rPr>
      </w:r>
      <w:r>
        <w:rPr>
          <w:spacing w:val="-4"/>
        </w:rPr>
        <w:t>身、持续的优质服务。公司依托运维服务纽带，通过一体化管家式服务、长期驻场的技术服务团队等措施，与中南大学湘雅</w:t>
      </w:r>
      <w:r>
        <w:rPr>
          <w:spacing w:val="40"/>
        </w:rPr>
        <w:t> </w:t>
      </w:r>
      <w:r>
        <w:rPr>
          <w:spacing w:val="40"/>
        </w:rPr>
      </w:r>
      <w:r>
        <w:rPr>
          <w:spacing w:val="-4"/>
        </w:rPr>
        <w:t>三医院、华中科技大学同济医学院附属同济医院等形成了长期稳固的合作关系，积累了良好的口碑。未来，公司将进一步探</w:t>
      </w:r>
      <w:r>
        <w:rPr>
          <w:spacing w:val="40"/>
        </w:rPr>
        <w:t> </w:t>
      </w:r>
      <w:r>
        <w:rPr>
          <w:spacing w:val="40"/>
        </w:rPr>
      </w:r>
      <w:r>
        <w:rPr>
          <w:spacing w:val="-8"/>
        </w:rPr>
        <w:t>索新的服务方式，创新经营模式，重视客户需求，加强与客户合作，进行积极的新功能和新服务推介，提供包括咨询和规划、</w:t>
      </w:r>
      <w:r>
        <w:rPr>
          <w:spacing w:val="6"/>
        </w:rPr>
        <w:t> </w:t>
      </w:r>
      <w:r>
        <w:rPr>
          <w:spacing w:val="6"/>
        </w:rPr>
      </w:r>
      <w:r>
        <w:rPr>
          <w:spacing w:val="-4"/>
        </w:rPr>
        <w:t>设计和优化、集成和建设、数据整合应用、运维和保障、升级和迭代等在内的项目全生命周期的服务，实现客户价值与公司</w:t>
      </w:r>
      <w:r>
        <w:rPr>
          <w:spacing w:val="40"/>
        </w:rPr>
        <w:t> </w:t>
      </w:r>
      <w:r>
        <w:rPr>
          <w:spacing w:val="40"/>
        </w:rPr>
      </w:r>
      <w:r>
        <w:rPr>
          <w:spacing w:val="-3"/>
        </w:rPr>
        <w:t>价值的共同最大化。</w:t>
      </w:r>
    </w:p>
    <w:p>
      <w:pPr>
        <w:pStyle w:val="BodyText"/>
        <w:spacing w:line="300" w:lineRule="auto" w:before="19"/>
        <w:ind w:left="513" w:right="0"/>
        <w:jc w:val="left"/>
      </w:pPr>
      <w:r>
        <w:rPr>
          <w:rFonts w:ascii="Times New Roman" w:hAnsi="Times New Roman" w:cs="Times New Roman" w:eastAsia="Times New Roman" w:hint="default"/>
          <w:spacing w:val="-3"/>
        </w:rPr>
        <w:t>4</w:t>
      </w:r>
      <w:r>
        <w:rPr>
          <w:spacing w:val="-3"/>
        </w:rPr>
        <w:t>、加强基于物联网及大数据技术的智慧医院一体化建设</w:t>
      </w:r>
      <w:r>
        <w:rPr>
          <w:spacing w:val="-12"/>
        </w:rPr>
        <w:t> </w:t>
      </w:r>
      <w:r>
        <w:rPr>
          <w:spacing w:val="-12"/>
        </w:rPr>
      </w:r>
      <w:r>
        <w:rPr>
          <w:spacing w:val="-5"/>
          <w:w w:val="101"/>
        </w:rPr>
        <w:t>医院信息化依赖及需求日益强烈与现阶段医院信息化建设不足的矛盾在近年来逐步凸显，促使各家医院不断探索新的信</w:t>
      </w:r>
      <w:r>
        <w:rPr>
          <w:spacing w:val="-5"/>
        </w:rPr>
      </w:r>
    </w:p>
    <w:p>
      <w:pPr>
        <w:pStyle w:val="BodyText"/>
        <w:spacing w:line="316" w:lineRule="auto" w:before="32"/>
        <w:ind w:right="1123"/>
        <w:jc w:val="both"/>
      </w:pPr>
      <w:r>
        <w:rPr>
          <w:spacing w:val="-4"/>
        </w:rPr>
        <w:t>息化建设模式。国家也出台了各项政策及规划，指导各级医疗机构要逐步迈向智慧医疗，打造智慧医院。我们认为行业未来</w:t>
      </w:r>
      <w:r>
        <w:rPr>
          <w:spacing w:val="40"/>
        </w:rPr>
        <w:t> </w:t>
      </w:r>
      <w:r>
        <w:rPr>
          <w:spacing w:val="40"/>
        </w:rPr>
      </w:r>
      <w:r>
        <w:rPr>
          <w:spacing w:val="-4"/>
        </w:rPr>
        <w:t>的信息化重心在于加强数据打通、智能调度、分级诊疗等方面，公司与时俱进地提出了新的医院信息化建设服务模式，即基</w:t>
      </w:r>
      <w:r>
        <w:rPr>
          <w:spacing w:val="40"/>
        </w:rPr>
        <w:t> </w:t>
      </w:r>
      <w:r>
        <w:rPr>
          <w:spacing w:val="40"/>
        </w:rPr>
      </w:r>
      <w:r>
        <w:rPr>
          <w:spacing w:val="-3"/>
        </w:rPr>
        <w:t>于物联网、大数据技术的智慧医院一体化建设模式。</w:t>
      </w:r>
    </w:p>
    <w:p>
      <w:pPr>
        <w:pStyle w:val="BodyText"/>
        <w:spacing w:line="312" w:lineRule="auto" w:before="19"/>
        <w:ind w:right="1123" w:firstLine="360"/>
        <w:jc w:val="both"/>
      </w:pPr>
      <w:r>
        <w:rPr>
          <w:spacing w:val="-3"/>
        </w:rPr>
        <w:t>公司将提供以自有产品为核心的整体信息化建设以及专业的</w:t>
      </w:r>
      <w:r>
        <w:rPr>
          <w:rFonts w:ascii="Times New Roman" w:hAnsi="Times New Roman" w:cs="Times New Roman" w:eastAsia="Times New Roman" w:hint="default"/>
          <w:spacing w:val="-3"/>
        </w:rPr>
        <w:t>HIT</w:t>
      </w:r>
      <w:r>
        <w:rPr>
          <w:spacing w:val="-3"/>
        </w:rPr>
        <w:t>服务，包括软件选型建议、系统集成、数据管理、需求</w:t>
      </w:r>
      <w:r>
        <w:rPr>
          <w:w w:val="101"/>
        </w:rPr>
        <w:t> </w:t>
      </w:r>
      <w:r>
        <w:rPr>
          <w:spacing w:val="-4"/>
        </w:rPr>
        <w:t>实现等，持续为医院提供智慧医院信息化建设。软件产品是更好服务医院的工具和手段，专业的服务是最大化发挥产品价值</w:t>
      </w:r>
      <w:r>
        <w:rPr>
          <w:spacing w:val="43"/>
        </w:rPr>
        <w:t> </w:t>
      </w:r>
      <w:r>
        <w:rPr>
          <w:spacing w:val="43"/>
        </w:rPr>
      </w:r>
      <w:r>
        <w:rPr>
          <w:spacing w:val="-4"/>
        </w:rPr>
        <w:t>的形式和助推器。通过不断地服务客户，从客户中汲取有价值的产品需求，将更加有利于公司产品进化，从而构建强大的核</w:t>
      </w:r>
      <w:r>
        <w:rPr>
          <w:spacing w:val="40"/>
        </w:rPr>
        <w:t> </w:t>
      </w:r>
      <w:r>
        <w:rPr>
          <w:spacing w:val="40"/>
        </w:rPr>
      </w:r>
      <w:r>
        <w:rPr>
          <w:spacing w:val="-3"/>
        </w:rPr>
        <w:t>心竞争力和护城河，保障公司可持续发展。</w:t>
      </w:r>
    </w:p>
    <w:p>
      <w:pPr>
        <w:pStyle w:val="BodyText"/>
        <w:spacing w:line="240" w:lineRule="auto" w:before="65"/>
        <w:ind w:left="513" w:right="0"/>
        <w:jc w:val="left"/>
      </w:pPr>
      <w:r>
        <w:rPr>
          <w:spacing w:val="-3"/>
        </w:rPr>
        <w:t>（三）未来发展规划</w:t>
      </w:r>
    </w:p>
    <w:p>
      <w:pPr>
        <w:pStyle w:val="BodyText"/>
        <w:spacing w:line="333" w:lineRule="auto" w:before="119"/>
        <w:ind w:left="513" w:right="1037"/>
        <w:jc w:val="left"/>
      </w:pPr>
      <w:r>
        <w:rPr>
          <w:rFonts w:ascii="Times New Roman" w:hAnsi="Times New Roman" w:cs="Times New Roman" w:eastAsia="Times New Roman" w:hint="default"/>
        </w:rPr>
        <w:t>1</w:t>
      </w:r>
      <w:r>
        <w:rPr/>
        <w:t>、业务探索拓展计划</w:t>
      </w:r>
      <w:r>
        <w:rPr>
          <w:spacing w:val="-88"/>
        </w:rPr>
        <w:t> </w:t>
      </w:r>
      <w:r>
        <w:rPr>
          <w:spacing w:val="-88"/>
        </w:rPr>
      </w:r>
      <w:r>
        <w:rPr>
          <w:spacing w:val="-3"/>
        </w:rPr>
        <w:t>公司将加强营销网络建设和营销投入，在全国各地庞大的新建医院目标市场中，为新建医院提供包括</w:t>
      </w:r>
    </w:p>
    <w:p>
      <w:pPr>
        <w:pStyle w:val="BodyText"/>
        <w:spacing w:line="312" w:lineRule="auto" w:before="6"/>
        <w:ind w:right="1122"/>
        <w:jc w:val="both"/>
      </w:pPr>
      <w:r>
        <w:rPr>
          <w:spacing w:val="-5"/>
        </w:rPr>
        <w:t>从顶层设计出发，以医院数据的采集、融合、管理、应用的角度为客户提供智慧医院建设总体规划并细化到逐年分步建设计</w:t>
      </w:r>
      <w:r>
        <w:rPr>
          <w:spacing w:val="4"/>
        </w:rPr>
        <w:t> </w:t>
      </w:r>
      <w:r>
        <w:rPr>
          <w:spacing w:val="4"/>
        </w:rPr>
      </w:r>
      <w:r>
        <w:rPr>
          <w:spacing w:val="-3"/>
        </w:rPr>
        <w:t>划，达成医院数据管理一元化、一致性、实时管理、有效应用的目标，实现客户从</w:t>
      </w:r>
      <w:r>
        <w:rPr>
          <w:rFonts w:ascii="Times New Roman" w:hAnsi="Times New Roman" w:cs="Times New Roman" w:eastAsia="Times New Roman" w:hint="default"/>
          <w:spacing w:val="-3"/>
        </w:rPr>
        <w:t>IT</w:t>
      </w:r>
      <w:r>
        <w:rPr>
          <w:spacing w:val="-3"/>
        </w:rPr>
        <w:t>建设到</w:t>
      </w:r>
      <w:r>
        <w:rPr>
          <w:rFonts w:ascii="Times New Roman" w:hAnsi="Times New Roman" w:cs="Times New Roman" w:eastAsia="Times New Roman" w:hint="default"/>
          <w:spacing w:val="-3"/>
        </w:rPr>
        <w:t>DT </w:t>
      </w:r>
      <w:r>
        <w:rPr>
          <w:spacing w:val="-3"/>
        </w:rPr>
        <w:t>应用的提升。同时针对新建</w:t>
      </w:r>
      <w:r>
        <w:rPr>
          <w:spacing w:val="-47"/>
        </w:rPr>
        <w:t> </w:t>
      </w:r>
      <w:r>
        <w:rPr>
          <w:spacing w:val="-47"/>
        </w:rPr>
      </w:r>
      <w:r>
        <w:rPr>
          <w:spacing w:val="-4"/>
        </w:rPr>
        <w:t>医院或院区提供总包式系统性建设，提供软硬件一体化配置、整体系统集成调试、系统维保在内的医疗信息系统整体交付服</w:t>
      </w:r>
      <w:r>
        <w:rPr>
          <w:spacing w:val="43"/>
        </w:rPr>
        <w:t> </w:t>
      </w:r>
      <w:r>
        <w:rPr>
          <w:spacing w:val="43"/>
        </w:rPr>
      </w:r>
      <w:r>
        <w:rPr/>
        <w:t>务及系统性解决方案。</w:t>
      </w:r>
    </w:p>
    <w:p>
      <w:pPr>
        <w:pStyle w:val="BodyText"/>
        <w:spacing w:line="319" w:lineRule="auto" w:before="22"/>
        <w:ind w:right="1035" w:firstLine="360"/>
        <w:jc w:val="both"/>
      </w:pPr>
      <w:r>
        <w:rPr>
          <w:spacing w:val="-5"/>
        </w:rPr>
        <w:t>对于仍在服务的老客户，将深挖客户经营，以临床为核心、业务流程优化为目标，凭借公司多年高水平医疗信息化建设</w:t>
      </w:r>
      <w:r>
        <w:rPr>
          <w:w w:val="101"/>
        </w:rPr>
        <w:t> </w:t>
      </w:r>
      <w:r>
        <w:rPr>
          <w:spacing w:val="-4"/>
        </w:rPr>
        <w:t>经验，帮助医院提升临床信息化应用水平，支撑医院通过互联互通标准化成熟度测评、电子病历系统应用水平分级评价等相</w:t>
      </w:r>
      <w:r>
        <w:rPr>
          <w:spacing w:val="43"/>
        </w:rPr>
        <w:t> </w:t>
      </w:r>
      <w:r>
        <w:rPr>
          <w:spacing w:val="43"/>
        </w:rPr>
      </w:r>
      <w:r>
        <w:rPr>
          <w:spacing w:val="-3"/>
        </w:rPr>
        <w:t>关行业评级；同时进行已建系统功能优化、性能优化、边界内新增功能需求的研发、版本升级管理等一系列后续运维服务。</w:t>
      </w:r>
    </w:p>
    <w:p>
      <w:pPr>
        <w:pStyle w:val="BodyText"/>
        <w:spacing w:line="314" w:lineRule="auto" w:before="60"/>
        <w:ind w:right="1122" w:firstLine="360"/>
        <w:jc w:val="both"/>
      </w:pPr>
      <w:r>
        <w:rPr>
          <w:spacing w:val="-4"/>
        </w:rPr>
        <w:t>而为寻求更好发展机遇，通过分析目前国内医院信息化建设存在的问题和痛点，公司也结合自身特点和积累，与时俱进</w:t>
      </w:r>
      <w:r>
        <w:rPr>
          <w:w w:val="101"/>
        </w:rPr>
        <w:t> </w:t>
      </w:r>
      <w:r>
        <w:rPr>
          <w:spacing w:val="-2"/>
        </w:rPr>
        <w:t>地推出</w:t>
      </w:r>
      <w:r>
        <w:rPr>
          <w:rFonts w:ascii="Times New Roman" w:hAnsi="Times New Roman" w:cs="Times New Roman" w:eastAsia="Times New Roman" w:hint="default"/>
          <w:spacing w:val="-2"/>
        </w:rPr>
        <w:t>“</w:t>
      </w:r>
      <w:r>
        <w:rPr>
          <w:spacing w:val="-2"/>
        </w:rPr>
        <w:t>基于物联网及大数据技术的智慧医院一体化建设模式</w:t>
      </w:r>
      <w:r>
        <w:rPr>
          <w:rFonts w:ascii="Times New Roman" w:hAnsi="Times New Roman" w:cs="Times New Roman" w:eastAsia="Times New Roman" w:hint="default"/>
          <w:spacing w:val="-2"/>
        </w:rPr>
        <w:t>“</w:t>
      </w:r>
      <w:r>
        <w:rPr>
          <w:spacing w:val="-2"/>
        </w:rPr>
        <w:t>。该模式强调</w:t>
      </w:r>
      <w:r>
        <w:rPr>
          <w:rFonts w:ascii="Times New Roman" w:hAnsi="Times New Roman" w:cs="Times New Roman" w:eastAsia="Times New Roman" w:hint="default"/>
          <w:spacing w:val="-2"/>
        </w:rPr>
        <w:t>“</w:t>
      </w:r>
      <w:r>
        <w:rPr>
          <w:spacing w:val="-2"/>
        </w:rPr>
        <w:t>一体化投资建设</w:t>
      </w:r>
      <w:r>
        <w:rPr>
          <w:rFonts w:ascii="Times New Roman" w:hAnsi="Times New Roman" w:cs="Times New Roman" w:eastAsia="Times New Roman" w:hint="default"/>
          <w:spacing w:val="-2"/>
        </w:rPr>
        <w:t>+</w:t>
      </w:r>
      <w:r>
        <w:rPr>
          <w:spacing w:val="-2"/>
        </w:rPr>
        <w:t>服务</w:t>
      </w:r>
      <w:r>
        <w:rPr>
          <w:rFonts w:ascii="Times New Roman" w:hAnsi="Times New Roman" w:cs="Times New Roman" w:eastAsia="Times New Roman" w:hint="default"/>
          <w:spacing w:val="-2"/>
        </w:rPr>
        <w:t>”</w:t>
      </w:r>
      <w:r>
        <w:rPr>
          <w:spacing w:val="-2"/>
        </w:rPr>
        <w:t>，主要针对医院面临的</w:t>
      </w:r>
      <w:r>
        <w:rPr>
          <w:spacing w:val="58"/>
        </w:rPr>
        <w:t> </w:t>
      </w:r>
      <w:r>
        <w:rPr>
          <w:spacing w:val="58"/>
        </w:rPr>
      </w:r>
      <w:r>
        <w:rPr>
          <w:spacing w:val="-4"/>
        </w:rPr>
        <w:t>建设成本高、资金短缺、碎片化建设、建设周期长等一系列痛点，改变医院根据有限的预算通过自行购买软件的组合应用的</w:t>
      </w:r>
      <w:r>
        <w:rPr>
          <w:spacing w:val="40"/>
        </w:rPr>
        <w:t> </w:t>
      </w:r>
      <w:r>
        <w:rPr>
          <w:spacing w:val="40"/>
        </w:rPr>
      </w:r>
      <w:r>
        <w:rPr>
          <w:spacing w:val="-4"/>
        </w:rPr>
        <w:t>方式，医院由购买信息系统转变为购买服务，公司则提供长期持久服务，深度经营客户，一次投入分期收取服务费。上述模</w:t>
      </w:r>
      <w:r>
        <w:rPr>
          <w:spacing w:val="40"/>
        </w:rPr>
        <w:t> </w:t>
      </w:r>
      <w:r>
        <w:rPr>
          <w:spacing w:val="40"/>
        </w:rPr>
      </w:r>
      <w:r>
        <w:rPr>
          <w:spacing w:val="-3"/>
        </w:rPr>
        <w:t>式的推广落地，在为医院信息化整体建设提供可行行业实践的同时，公司也可同步获得较好的价值回报与长期发展。</w:t>
      </w:r>
    </w:p>
    <w:p>
      <w:pPr>
        <w:pStyle w:val="BodyText"/>
        <w:spacing w:line="338" w:lineRule="auto" w:before="64"/>
        <w:ind w:left="513" w:right="1828"/>
        <w:jc w:val="left"/>
      </w:pPr>
      <w:r>
        <w:rPr>
          <w:rFonts w:ascii="Times New Roman" w:hAnsi="Times New Roman" w:cs="Times New Roman" w:eastAsia="Times New Roman" w:hint="default"/>
        </w:rPr>
        <w:t>2</w:t>
      </w:r>
      <w:r>
        <w:rPr/>
        <w:t>、管理提升计划</w:t>
      </w:r>
      <w:r>
        <w:rPr>
          <w:spacing w:val="-87"/>
        </w:rPr>
        <w:t> </w:t>
      </w:r>
      <w:r>
        <w:rPr>
          <w:spacing w:val="-87"/>
        </w:rPr>
      </w:r>
      <w:r>
        <w:rPr>
          <w:spacing w:val="-3"/>
        </w:rPr>
        <w:t>为适应业务规模扩张对提高公司管理水平的需求，公司计划重点在以下两个方面提升管理水平：</w:t>
      </w:r>
    </w:p>
    <w:p>
      <w:pPr>
        <w:pStyle w:val="BodyText"/>
        <w:spacing w:line="338" w:lineRule="auto" w:before="41"/>
        <w:ind w:left="513" w:right="0"/>
        <w:jc w:val="left"/>
      </w:pPr>
      <w:r>
        <w:rPr>
          <w:spacing w:val="-3"/>
        </w:rPr>
        <w:t>（</w:t>
      </w:r>
      <w:r>
        <w:rPr>
          <w:rFonts w:ascii="Times New Roman" w:hAnsi="Times New Roman" w:cs="Times New Roman" w:eastAsia="Times New Roman" w:hint="default"/>
          <w:spacing w:val="-3"/>
        </w:rPr>
        <w:t>1</w:t>
      </w:r>
      <w:r>
        <w:rPr>
          <w:spacing w:val="-3"/>
        </w:rPr>
        <w:t>）持续建设提升公司项目管理及实施交付水平</w:t>
      </w:r>
      <w:r>
        <w:rPr>
          <w:spacing w:val="-23"/>
        </w:rPr>
        <w:t> </w:t>
      </w:r>
      <w:r>
        <w:rPr>
          <w:spacing w:val="-23"/>
        </w:rPr>
      </w:r>
      <w:r>
        <w:rPr>
          <w:spacing w:val="-4"/>
        </w:rPr>
        <w:t>根据项目合理配置团队，做好任务的规划及分解，建立标准化的快速实施能力，项目实施过程中加强项目精细化管理及</w:t>
      </w:r>
    </w:p>
    <w:p>
      <w:pPr>
        <w:pStyle w:val="BodyText"/>
        <w:spacing w:line="319" w:lineRule="auto" w:before="3"/>
        <w:ind w:right="1123"/>
        <w:jc w:val="both"/>
      </w:pPr>
      <w:r>
        <w:rPr>
          <w:spacing w:val="-4"/>
        </w:rPr>
        <w:t>全流程管理，实现对项目从进入、交付到退出各个流程的有效监督，形成重要项目重点管理的机制，持续跟进项目的重大变</w:t>
      </w:r>
      <w:r>
        <w:rPr>
          <w:spacing w:val="40"/>
        </w:rPr>
        <w:t> </w:t>
      </w:r>
      <w:r>
        <w:rPr>
          <w:spacing w:val="40"/>
        </w:rPr>
      </w:r>
      <w:r>
        <w:rPr>
          <w:spacing w:val="-4"/>
        </w:rPr>
        <w:t>动及后续处置。持续加大产品的研发力度，做好产品升级的统筹规划，深化提高产品的设计，同时做好项目经营维护，保证</w:t>
      </w:r>
      <w:r>
        <w:rPr>
          <w:spacing w:val="40"/>
        </w:rPr>
        <w:t> </w:t>
      </w:r>
      <w:r>
        <w:rPr>
          <w:spacing w:val="40"/>
        </w:rPr>
      </w:r>
      <w:r>
        <w:rPr>
          <w:spacing w:val="-3"/>
        </w:rPr>
        <w:t>项目快速回款，促使实现二次营销。</w:t>
      </w:r>
    </w:p>
    <w:p>
      <w:pPr>
        <w:spacing w:after="0" w:line="319" w:lineRule="auto"/>
        <w:jc w:val="both"/>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21" w:lineRule="auto" w:before="46"/>
        <w:ind w:right="1124" w:firstLine="360"/>
        <w:jc w:val="both"/>
      </w:pPr>
      <w:r>
        <w:rPr>
          <w:spacing w:val="-4"/>
        </w:rPr>
        <w:t>建立并维护全面的维护供应商渠道管理，通过多种途径加快信息化渠道建设，沉淀一批有竞争力的合作厂商；同时加强</w:t>
      </w:r>
      <w:r>
        <w:rPr>
          <w:w w:val="101"/>
        </w:rPr>
        <w:t> </w:t>
      </w:r>
      <w:r>
        <w:rPr>
          <w:spacing w:val="-3"/>
        </w:rPr>
        <w:t>竞标询价及策划管理，完成标前品牌方案和询价梳理，针对项目形成不同的应对方案，逐步建立模型库。</w:t>
      </w:r>
    </w:p>
    <w:p>
      <w:pPr>
        <w:pStyle w:val="BodyText"/>
        <w:spacing w:line="338" w:lineRule="auto" w:before="53"/>
        <w:ind w:left="513" w:right="0"/>
        <w:jc w:val="left"/>
      </w:pPr>
      <w:r>
        <w:rPr>
          <w:spacing w:val="-3"/>
        </w:rPr>
        <w:t>（</w:t>
      </w:r>
      <w:r>
        <w:rPr>
          <w:rFonts w:ascii="Times New Roman" w:hAnsi="Times New Roman" w:cs="Times New Roman" w:eastAsia="Times New Roman" w:hint="default"/>
          <w:spacing w:val="-3"/>
        </w:rPr>
        <w:t>2</w:t>
      </w:r>
      <w:r>
        <w:rPr>
          <w:spacing w:val="-3"/>
        </w:rPr>
        <w:t>）加强对外合作及公司生态业务打造</w:t>
      </w:r>
      <w:r>
        <w:rPr>
          <w:spacing w:val="-34"/>
        </w:rPr>
        <w:t> </w:t>
      </w:r>
      <w:r>
        <w:rPr>
          <w:spacing w:val="-34"/>
        </w:rPr>
      </w:r>
      <w:r>
        <w:rPr>
          <w:spacing w:val="-3"/>
        </w:rPr>
        <w:t>公司将加强资本运作能力及对外合作，整合利用行业资源，围绕大健康产业经济生态圈的打造丰富公司产品服务业态，</w:t>
      </w:r>
    </w:p>
    <w:p>
      <w:pPr>
        <w:pStyle w:val="BodyText"/>
        <w:spacing w:line="321" w:lineRule="auto" w:before="2"/>
        <w:ind w:right="0"/>
        <w:jc w:val="left"/>
      </w:pPr>
      <w:r>
        <w:rPr>
          <w:spacing w:val="-4"/>
        </w:rPr>
        <w:t>充分利用并购、联盟、战略合作、战略投资等方式，快速突破业务瓶颈，强化资源经营意识。结合资源经营、产品经营、流</w:t>
      </w:r>
      <w:r>
        <w:rPr>
          <w:spacing w:val="40"/>
        </w:rPr>
        <w:t> </w:t>
      </w:r>
      <w:r>
        <w:rPr>
          <w:spacing w:val="40"/>
        </w:rPr>
      </w:r>
      <w:r>
        <w:rPr>
          <w:spacing w:val="-3"/>
        </w:rPr>
        <w:t>量经营的要求，合理利用各种方式，向市场快速采购资源和能力。</w:t>
      </w:r>
    </w:p>
    <w:p>
      <w:pPr>
        <w:pStyle w:val="BodyText"/>
        <w:spacing w:line="333" w:lineRule="auto" w:before="53"/>
        <w:ind w:left="513" w:right="0"/>
        <w:jc w:val="left"/>
      </w:pPr>
      <w:r>
        <w:rPr>
          <w:rFonts w:ascii="Times New Roman" w:hAnsi="Times New Roman" w:cs="Times New Roman" w:eastAsia="Times New Roman" w:hint="default"/>
        </w:rPr>
        <w:t>3</w:t>
      </w:r>
      <w:r>
        <w:rPr/>
        <w:t>、人力资源发展计划</w:t>
      </w:r>
      <w:r>
        <w:rPr>
          <w:spacing w:val="-88"/>
        </w:rPr>
        <w:t> </w:t>
      </w:r>
      <w:r>
        <w:rPr>
          <w:spacing w:val="-88"/>
        </w:rPr>
      </w:r>
      <w:r>
        <w:rPr>
          <w:spacing w:val="-4"/>
        </w:rPr>
        <w:t>对于人才的持续关注和投入是公司坚定不移的核心策略之一。为了确保该策略的有效实施，公司将在以下几个方面进行</w:t>
      </w:r>
    </w:p>
    <w:p>
      <w:pPr>
        <w:pStyle w:val="BodyText"/>
        <w:spacing w:line="240" w:lineRule="auto" w:before="11"/>
        <w:ind w:right="0"/>
        <w:jc w:val="left"/>
        <w:rPr>
          <w:rFonts w:ascii="Times New Roman" w:hAnsi="Times New Roman" w:cs="Times New Roman" w:eastAsia="Times New Roman" w:hint="default"/>
        </w:rPr>
      </w:pPr>
      <w:r>
        <w:rPr/>
        <w:t>重点推进</w:t>
      </w:r>
      <w:r>
        <w:rPr>
          <w:rFonts w:ascii="Times New Roman" w:hAnsi="Times New Roman" w:cs="Times New Roman" w:eastAsia="Times New Roman" w:hint="default"/>
        </w:rPr>
        <w:t>:</w:t>
      </w:r>
    </w:p>
    <w:p>
      <w:pPr>
        <w:pStyle w:val="BodyText"/>
        <w:spacing w:line="314" w:lineRule="auto" w:before="101"/>
        <w:ind w:right="1123" w:firstLine="360"/>
        <w:jc w:val="both"/>
      </w:pPr>
      <w:r>
        <w:rPr>
          <w:spacing w:val="-4"/>
        </w:rPr>
        <w:t>持续迭代和优化激励体系，通过不断优化与考核体系相配套的奖金体系等各类激励手段，力求通过长短期结合的高效的</w:t>
      </w:r>
      <w:r>
        <w:rPr>
          <w:w w:val="101"/>
        </w:rPr>
        <w:t> </w:t>
      </w:r>
      <w:r>
        <w:rPr>
          <w:spacing w:val="-8"/>
          <w:w w:val="101"/>
        </w:rPr>
        <w:t>激励体系进一步激发人才活力、凝聚核心团队，吸引更多的外部优秀人才加盟，优化现有人才结构，同时充分激发人才价值，</w:t>
      </w:r>
      <w:r>
        <w:rPr>
          <w:spacing w:val="-49"/>
          <w:w w:val="101"/>
        </w:rPr>
        <w:t> </w:t>
      </w:r>
      <w:r>
        <w:rPr>
          <w:spacing w:val="-49"/>
          <w:w w:val="101"/>
        </w:rPr>
      </w:r>
      <w:r>
        <w:rPr>
          <w:spacing w:val="-2"/>
        </w:rPr>
        <w:t>体现激励约束对等，进行人才公司双向赋能，综合提升企业能力，通过建立完整的</w:t>
      </w:r>
      <w:r>
        <w:rPr>
          <w:rFonts w:ascii="Times New Roman" w:hAnsi="Times New Roman" w:cs="Times New Roman" w:eastAsia="Times New Roman" w:hint="default"/>
          <w:spacing w:val="-2"/>
        </w:rPr>
        <w:t>“</w:t>
      </w:r>
      <w:r>
        <w:rPr>
          <w:spacing w:val="-2"/>
        </w:rPr>
        <w:t>战略</w:t>
      </w:r>
      <w:r>
        <w:rPr>
          <w:rFonts w:ascii="Times New Roman" w:hAnsi="Times New Roman" w:cs="Times New Roman" w:eastAsia="Times New Roman" w:hint="default"/>
          <w:spacing w:val="-2"/>
        </w:rPr>
        <w:t>-</w:t>
      </w:r>
      <w:r>
        <w:rPr>
          <w:spacing w:val="-2"/>
        </w:rPr>
        <w:t>绩效</w:t>
      </w:r>
      <w:r>
        <w:rPr>
          <w:rFonts w:ascii="Times New Roman" w:hAnsi="Times New Roman" w:cs="Times New Roman" w:eastAsia="Times New Roman" w:hint="default"/>
          <w:spacing w:val="-2"/>
        </w:rPr>
        <w:t>”</w:t>
      </w:r>
      <w:r>
        <w:rPr>
          <w:spacing w:val="-2"/>
        </w:rPr>
        <w:t>闭环，促进公司战略目标的</w:t>
      </w:r>
      <w:r>
        <w:rPr>
          <w:spacing w:val="74"/>
        </w:rPr>
        <w:t> </w:t>
      </w:r>
      <w:r>
        <w:rPr>
          <w:spacing w:val="74"/>
        </w:rPr>
      </w:r>
      <w:r>
        <w:rPr/>
        <w:t>实现。</w:t>
      </w:r>
    </w:p>
    <w:p>
      <w:pPr>
        <w:pStyle w:val="BodyText"/>
        <w:spacing w:line="321" w:lineRule="auto" w:before="55"/>
        <w:ind w:right="1037" w:firstLine="360"/>
        <w:jc w:val="both"/>
      </w:pPr>
      <w:r>
        <w:rPr>
          <w:spacing w:val="-6"/>
          <w:w w:val="101"/>
        </w:rPr>
        <w:t>构建和优化人才培养体系，将职级和任职资格体系作为人才衡量和发展的通道，通过加大各类专项培训和定向培养力度，</w:t>
      </w:r>
      <w:r>
        <w:rPr>
          <w:w w:val="101"/>
        </w:rPr>
        <w:t> </w:t>
      </w:r>
      <w:r>
        <w:rPr>
          <w:spacing w:val="-3"/>
        </w:rPr>
        <w:t>使员工获得成长助力，进而不断提升效能并作用于经营。</w:t>
      </w:r>
    </w:p>
    <w:p>
      <w:pPr>
        <w:pStyle w:val="BodyText"/>
        <w:spacing w:line="321" w:lineRule="auto" w:before="49"/>
        <w:ind w:right="1122" w:firstLine="360"/>
        <w:jc w:val="both"/>
      </w:pPr>
      <w:r>
        <w:rPr>
          <w:spacing w:val="-4"/>
        </w:rPr>
        <w:t>立足公司战略和长期发展需求，进行人力资源有效规划，结合长短期公司经营目标，针对性开展各类人员选用育留动作</w:t>
      </w:r>
      <w:r>
        <w:rPr>
          <w:w w:val="101"/>
        </w:rPr>
        <w:t> </w:t>
      </w:r>
      <w:r>
        <w:rPr/>
        <w:t>及人力资源配置优化。</w:t>
      </w:r>
    </w:p>
    <w:p>
      <w:pPr>
        <w:spacing w:line="240" w:lineRule="auto" w:before="9"/>
        <w:rPr>
          <w:rFonts w:ascii="宋体" w:hAnsi="宋体" w:cs="宋体" w:eastAsia="宋体" w:hint="default"/>
          <w:sz w:val="19"/>
          <w:szCs w:val="19"/>
        </w:rPr>
      </w:pPr>
    </w:p>
    <w:p>
      <w:pPr>
        <w:pStyle w:val="Heading2"/>
        <w:spacing w:line="240" w:lineRule="auto"/>
        <w:ind w:right="0"/>
        <w:jc w:val="left"/>
        <w:rPr>
          <w:b w:val="0"/>
          <w:bCs w:val="0"/>
        </w:rPr>
      </w:pPr>
      <w:bookmarkStart w:name="十、接待调研、沟通、采访等活动登记表" w:id="58"/>
      <w:bookmarkEnd w:id="58"/>
      <w:r>
        <w:rPr>
          <w:b w:val="0"/>
          <w:bCs w:val="0"/>
        </w:rPr>
      </w:r>
      <w:r>
        <w:rPr/>
        <w:t>十、接待调研、沟通、采访等活动登记表</w:t>
      </w:r>
      <w:r>
        <w:rPr>
          <w:b w:val="0"/>
          <w:bCs w:val="0"/>
        </w:rPr>
      </w:r>
    </w:p>
    <w:p>
      <w:pPr>
        <w:spacing w:line="240" w:lineRule="auto" w:before="4"/>
        <w:rPr>
          <w:rFonts w:ascii="宋体" w:hAnsi="宋体" w:cs="宋体" w:eastAsia="宋体" w:hint="default"/>
          <w:b/>
          <w:bCs/>
          <w:sz w:val="25"/>
          <w:szCs w:val="25"/>
        </w:rPr>
      </w:pPr>
    </w:p>
    <w:p>
      <w:pPr>
        <w:pStyle w:val="Heading4"/>
        <w:spacing w:line="240" w:lineRule="auto"/>
        <w:ind w:right="0"/>
        <w:jc w:val="left"/>
        <w:rPr>
          <w:b w:val="0"/>
          <w:bCs w:val="0"/>
        </w:rPr>
      </w:pPr>
      <w:bookmarkStart w:name="1、报告期内接待调研、沟通、采访等活动登记表" w:id="59"/>
      <w:bookmarkEnd w:id="59"/>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BodyText"/>
        <w:spacing w:line="240" w:lineRule="auto" w:before="46"/>
        <w:ind w:left="0" w:right="1136"/>
        <w:jc w:val="right"/>
      </w:pPr>
      <w:r>
        <w:rPr/>
        <w:pict>
          <v:shape style="position:absolute;margin-left:56.424pt;margin-top:-36.408287pt;width:479.5pt;height:71.8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80"/>
                    <w:gridCol w:w="2175"/>
                    <w:gridCol w:w="2180"/>
                    <w:gridCol w:w="3040"/>
                  </w:tblGrid>
                  <w:tr>
                    <w:trPr>
                      <w:trHeight w:val="399"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24"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2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2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4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06" w:right="0"/>
                          <w:jc w:val="left"/>
                          <w:rPr>
                            <w:rFonts w:ascii="宋体" w:hAnsi="宋体" w:cs="宋体" w:eastAsia="宋体" w:hint="default"/>
                            <w:sz w:val="18"/>
                            <w:szCs w:val="18"/>
                          </w:rPr>
                        </w:pPr>
                        <w:r>
                          <w:rPr>
                            <w:rFonts w:ascii="宋体" w:hAnsi="宋体" w:cs="宋体" w:eastAsia="宋体" w:hint="default"/>
                            <w:spacing w:val="-3"/>
                            <w:sz w:val="18"/>
                            <w:szCs w:val="18"/>
                          </w:rPr>
                          <w:t>调研的基本情况索引</w:t>
                        </w:r>
                      </w:p>
                    </w:tc>
                  </w:tr>
                  <w:tr>
                    <w:trPr>
                      <w:trHeight w:val="1027"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8"/>
                          <w:ind w:left="23" w:right="26"/>
                          <w:jc w:val="left"/>
                          <w:rPr>
                            <w:rFonts w:ascii="宋体" w:hAnsi="宋体" w:cs="宋体" w:eastAsia="宋体" w:hint="default"/>
                            <w:sz w:val="18"/>
                            <w:szCs w:val="18"/>
                          </w:rPr>
                        </w:pPr>
                        <w:r>
                          <w:rPr>
                            <w:rFonts w:ascii="宋体" w:hAnsi="宋体" w:cs="宋体" w:eastAsia="宋体" w:hint="default"/>
                            <w:sz w:val="18"/>
                            <w:szCs w:val="18"/>
                          </w:rPr>
                          <w:t>详见公司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日披露于</w:t>
                        </w:r>
                        <w:r>
                          <w:rPr>
                            <w:rFonts w:ascii="宋体" w:hAnsi="宋体" w:cs="宋体" w:eastAsia="宋体" w:hint="default"/>
                            <w:w w:val="101"/>
                            <w:sz w:val="18"/>
                            <w:szCs w:val="18"/>
                          </w:rPr>
                          <w:t> </w:t>
                        </w:r>
                        <w:r>
                          <w:rPr>
                            <w:rFonts w:ascii="宋体" w:hAnsi="宋体" w:cs="宋体" w:eastAsia="宋体" w:hint="default"/>
                            <w:spacing w:val="-5"/>
                            <w:w w:val="101"/>
                            <w:sz w:val="18"/>
                            <w:szCs w:val="18"/>
                          </w:rPr>
                          <w:t>巨潮资讯网（</w:t>
                        </w:r>
                        <w:hyperlink r:id="rId11">
                          <w:r>
                            <w:rPr>
                              <w:rFonts w:ascii="Times New Roman" w:hAnsi="Times New Roman" w:cs="Times New Roman" w:eastAsia="Times New Roman" w:hint="default"/>
                              <w:spacing w:val="-5"/>
                              <w:w w:val="101"/>
                              <w:sz w:val="18"/>
                              <w:szCs w:val="18"/>
                            </w:rPr>
                            <w:t>http://www.cninfo.com.cn</w:t>
                          </w:r>
                        </w:hyperlink>
                        <w:r>
                          <w:rPr>
                            <w:rFonts w:ascii="Times New Roman" w:hAnsi="Times New Roman" w:cs="Times New Roman" w:eastAsia="Times New Roman" w:hint="default"/>
                            <w:spacing w:val="-37"/>
                            <w:w w:val="101"/>
                            <w:sz w:val="18"/>
                            <w:szCs w:val="18"/>
                          </w:rPr>
                          <w:t> </w:t>
                        </w:r>
                        <w:r>
                          <w:rPr>
                            <w:rFonts w:ascii="Times New Roman" w:hAnsi="Times New Roman" w:cs="Times New Roman" w:eastAsia="Times New Roman" w:hint="default"/>
                            <w:spacing w:val="-37"/>
                            <w:w w:val="101"/>
                            <w:sz w:val="18"/>
                            <w:szCs w:val="18"/>
                          </w:rPr>
                        </w:r>
                        <w:r>
                          <w:rPr>
                            <w:rFonts w:ascii="宋体" w:hAnsi="宋体" w:cs="宋体" w:eastAsia="宋体" w:hint="default"/>
                            <w:spacing w:val="-3"/>
                            <w:sz w:val="18"/>
                            <w:szCs w:val="18"/>
                          </w:rPr>
                          <w:t>的投资者关系活动记录表</w:t>
                        </w:r>
                      </w:p>
                    </w:tc>
                  </w:tr>
                </w:tbl>
                <w:p>
                  <w:pPr/>
                </w:p>
              </w:txbxContent>
            </v:textbox>
            <w10:wrap type="none"/>
          </v:shape>
        </w:pict>
      </w:r>
      <w:r>
        <w:rPr>
          <w:w w:val="101"/>
        </w:rPr>
        <w:t>）</w:t>
      </w:r>
      <w:r>
        <w:rPr/>
      </w:r>
    </w:p>
    <w:p>
      <w:pPr>
        <w:spacing w:after="0" w:line="240" w:lineRule="auto"/>
        <w:jc w:val="right"/>
        <w:sectPr>
          <w:pgSz w:w="11910" w:h="16840"/>
          <w:pgMar w:header="741" w:footer="979" w:top="1060" w:bottom="1160" w:left="980" w:right="0"/>
        </w:sectPr>
      </w:pPr>
    </w:p>
    <w:p>
      <w:pPr>
        <w:spacing w:line="240" w:lineRule="auto" w:before="0"/>
        <w:rPr>
          <w:rFonts w:ascii="宋体" w:hAnsi="宋体" w:cs="宋体" w:eastAsia="宋体" w:hint="default"/>
          <w:sz w:val="20"/>
          <w:szCs w:val="20"/>
        </w:rPr>
      </w:pPr>
      <w:r>
        <w:rPr/>
        <w:pict>
          <v:group style="position:absolute;margin-left:242.979996pt;margin-top:377.855988pt;width:291pt;height:20.7pt;mso-position-horizontal-relative:page;mso-position-vertical-relative:page;z-index:-1110664" coordorigin="4860,7557" coordsize="5820,414">
            <v:group style="position:absolute;left:4869;top:7567;width:2;height:395" coordorigin="4869,7567" coordsize="2,395">
              <v:shape style="position:absolute;left:4869;top:7567;width:2;height:395" coordorigin="4869,7567" coordsize="0,395" path="m4869,7567l4869,7961e" filled="false" stroked="true" strokeweight=".96001pt" strokecolor="#ffffff">
                <v:path arrowok="t"/>
              </v:shape>
            </v:group>
            <v:group style="position:absolute;left:4879;top:7567;width:5801;height:395" coordorigin="4879,7567" coordsize="5801,395">
              <v:shape style="position:absolute;left:4879;top:7567;width:5801;height:395" coordorigin="4879,7567" coordsize="5801,395" path="m4879,7961l10679,7961,10679,7567,4879,7567,4879,7961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right="3752"/>
        <w:jc w:val="center"/>
        <w:rPr>
          <w:b w:val="0"/>
          <w:bCs w:val="0"/>
        </w:rPr>
      </w:pPr>
      <w:bookmarkStart w:name="第五节重要事项" w:id="60"/>
      <w:bookmarkEnd w:id="60"/>
      <w:r>
        <w:rPr>
          <w:b w:val="0"/>
          <w:bCs w:val="0"/>
        </w:rPr>
      </w:r>
      <w:bookmarkStart w:name="_bookmark3" w:id="61"/>
      <w:bookmarkEnd w:id="61"/>
      <w:r>
        <w:rPr>
          <w:b w:val="0"/>
          <w:bCs w:val="0"/>
        </w:rPr>
      </w:r>
      <w:r>
        <w:rPr/>
        <w:t>第五节重要事项</w:t>
      </w:r>
      <w:r>
        <w:rPr>
          <w:b w:val="0"/>
          <w:bCs w:val="0"/>
        </w:rPr>
      </w:r>
    </w:p>
    <w:p>
      <w:pPr>
        <w:spacing w:line="240" w:lineRule="auto" w:before="4"/>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2"/>
      <w:bookmarkEnd w:id="62"/>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spacing w:val="-3"/>
        </w:rPr>
        <w:t>报告期内普通股利润分配政策，特别是现金分红政策的制定、执行或调整情况</w:t>
      </w:r>
    </w:p>
    <w:p>
      <w:pPr>
        <w:pStyle w:val="BodyText"/>
        <w:spacing w:line="338" w:lineRule="auto" w:before="115"/>
        <w:ind w:right="3109"/>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公司报告期利润分配预案及资本公积金转增股本预案与公司章程和分红管理办法等的相关规定一致</w:t>
      </w:r>
    </w:p>
    <w:p>
      <w:pPr>
        <w:pStyle w:val="BodyText"/>
        <w:spacing w:line="348" w:lineRule="auto" w:before="46"/>
        <w:ind w:right="3109"/>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否</w:t>
      </w:r>
      <w:r>
        <w:rPr>
          <w:spacing w:val="1"/>
        </w:rPr>
        <w:t>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不适用</w:t>
      </w:r>
      <w:r>
        <w:rPr>
          <w:spacing w:val="-80"/>
        </w:rPr>
        <w:t> </w:t>
      </w:r>
      <w:r>
        <w:rPr>
          <w:spacing w:val="-80"/>
        </w:rPr>
      </w:r>
      <w:r>
        <w:rPr>
          <w:spacing w:val="-3"/>
        </w:rPr>
        <w:t>公司报告期利润分配预案及资本公积金转增股本预案符合公司章程等的相关规定。</w:t>
      </w:r>
      <w:r>
        <w:rPr>
          <w:spacing w:val="14"/>
        </w:rPr>
        <w:t> </w:t>
      </w:r>
      <w:r>
        <w:rPr>
          <w:spacing w:val="14"/>
        </w:rPr>
      </w:r>
      <w:r>
        <w:rPr>
          <w:spacing w:val="-3"/>
        </w:rPr>
        <w:t>本年度利润分配及资本公积金转增股本情况</w:t>
      </w:r>
    </w:p>
    <w:tbl>
      <w:tblPr>
        <w:tblW w:w="0" w:type="auto"/>
        <w:jc w:val="left"/>
        <w:tblInd w:w="160" w:type="dxa"/>
        <w:tblLayout w:type="fixed"/>
        <w:tblCellMar>
          <w:top w:w="0" w:type="dxa"/>
          <w:left w:w="0" w:type="dxa"/>
          <w:bottom w:w="0" w:type="dxa"/>
          <w:right w:w="0" w:type="dxa"/>
        </w:tblCellMar>
        <w:tblLook w:val="01E0"/>
      </w:tblPr>
      <w:tblGrid>
        <w:gridCol w:w="3695"/>
        <w:gridCol w:w="5863"/>
      </w:tblGrid>
      <w:tr>
        <w:trPr>
          <w:trHeight w:val="399"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w w:val="101"/>
                <w:sz w:val="18"/>
                <w:szCs w:val="18"/>
              </w:rPr>
              <w:t>每</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股</w:t>
            </w:r>
            <w:r>
              <w:rPr>
                <w:rFonts w:ascii="宋体" w:hAnsi="宋体" w:cs="宋体" w:eastAsia="宋体" w:hint="default"/>
                <w:spacing w:val="-5"/>
                <w:w w:val="101"/>
                <w:sz w:val="18"/>
                <w:szCs w:val="18"/>
              </w:rPr>
              <w:t>派</w:t>
            </w:r>
            <w:r>
              <w:rPr>
                <w:rFonts w:ascii="宋体" w:hAnsi="宋体" w:cs="宋体" w:eastAsia="宋体" w:hint="default"/>
                <w:w w:val="101"/>
                <w:sz w:val="18"/>
                <w:szCs w:val="18"/>
              </w:rPr>
              <w:t>息</w:t>
            </w:r>
            <w:r>
              <w:rPr>
                <w:rFonts w:ascii="宋体" w:hAnsi="宋体" w:cs="宋体" w:eastAsia="宋体" w:hint="default"/>
                <w:spacing w:val="-5"/>
                <w:w w:val="101"/>
                <w:sz w:val="18"/>
                <w:szCs w:val="18"/>
              </w:rPr>
              <w:t>数</w:t>
            </w:r>
            <w:r>
              <w:rPr>
                <w:rFonts w:ascii="宋体" w:hAnsi="宋体" w:cs="宋体" w:eastAsia="宋体" w:hint="default"/>
                <w:w w:val="101"/>
                <w:sz w:val="18"/>
                <w:szCs w:val="18"/>
              </w:rPr>
              <w:t>（</w:t>
            </w:r>
            <w:r>
              <w:rPr>
                <w:rFonts w:ascii="宋体" w:hAnsi="宋体" w:cs="宋体" w:eastAsia="宋体" w:hint="default"/>
                <w:spacing w:val="-5"/>
                <w:w w:val="101"/>
                <w:sz w:val="18"/>
                <w:szCs w:val="18"/>
              </w:rPr>
              <w:t>元</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含</w:t>
            </w:r>
            <w:r>
              <w:rPr>
                <w:rFonts w:ascii="宋体" w:hAnsi="宋体" w:cs="宋体" w:eastAsia="宋体" w:hint="default"/>
                <w:spacing w:val="-5"/>
                <w:w w:val="101"/>
                <w:sz w:val="18"/>
                <w:szCs w:val="18"/>
              </w:rPr>
              <w:t>税</w:t>
            </w:r>
            <w:r>
              <w:rPr>
                <w:rFonts w:ascii="宋体" w:hAnsi="宋体" w:cs="宋体" w:eastAsia="宋体" w:hint="default"/>
                <w:w w:val="101"/>
                <w:sz w:val="18"/>
                <w:szCs w:val="18"/>
              </w:rPr>
              <w:t>）</w:t>
            </w:r>
            <w:r>
              <w:rPr>
                <w:rFonts w:ascii="宋体" w:hAnsi="宋体" w:cs="宋体" w:eastAsia="宋体" w:hint="default"/>
                <w:sz w:val="18"/>
                <w:szCs w:val="18"/>
              </w:rPr>
            </w:r>
          </w:p>
        </w:tc>
        <w:tc>
          <w:tcPr>
            <w:tcW w:w="5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0.55</w:t>
            </w:r>
          </w:p>
        </w:tc>
      </w:tr>
      <w:tr>
        <w:trPr>
          <w:trHeight w:val="403"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每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股转增数（股）</w:t>
            </w:r>
          </w:p>
        </w:tc>
        <w:tc>
          <w:tcPr>
            <w:tcW w:w="5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r>
      <w:tr>
        <w:trPr>
          <w:trHeight w:val="403"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分配预案的股本基数（股）</w:t>
            </w:r>
          </w:p>
        </w:tc>
        <w:tc>
          <w:tcPr>
            <w:tcW w:w="5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117,190,500</w:t>
            </w:r>
          </w:p>
        </w:tc>
      </w:tr>
      <w:tr>
        <w:trPr>
          <w:trHeight w:val="398"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w w:val="101"/>
                <w:sz w:val="18"/>
                <w:szCs w:val="18"/>
              </w:rPr>
              <w:t>现</w:t>
            </w:r>
            <w:r>
              <w:rPr>
                <w:rFonts w:ascii="宋体" w:hAnsi="宋体" w:cs="宋体" w:eastAsia="宋体" w:hint="default"/>
                <w:spacing w:val="-5"/>
                <w:w w:val="101"/>
                <w:sz w:val="18"/>
                <w:szCs w:val="18"/>
              </w:rPr>
              <w:t>金</w:t>
            </w:r>
            <w:r>
              <w:rPr>
                <w:rFonts w:ascii="宋体" w:hAnsi="宋体" w:cs="宋体" w:eastAsia="宋体" w:hint="default"/>
                <w:w w:val="101"/>
                <w:sz w:val="18"/>
                <w:szCs w:val="18"/>
              </w:rPr>
              <w:t>分</w:t>
            </w:r>
            <w:r>
              <w:rPr>
                <w:rFonts w:ascii="宋体" w:hAnsi="宋体" w:cs="宋体" w:eastAsia="宋体" w:hint="default"/>
                <w:spacing w:val="-5"/>
                <w:w w:val="101"/>
                <w:sz w:val="18"/>
                <w:szCs w:val="18"/>
              </w:rPr>
              <w:t>红</w:t>
            </w:r>
            <w:r>
              <w:rPr>
                <w:rFonts w:ascii="宋体" w:hAnsi="宋体" w:cs="宋体" w:eastAsia="宋体" w:hint="default"/>
                <w:w w:val="101"/>
                <w:sz w:val="18"/>
                <w:szCs w:val="18"/>
              </w:rPr>
              <w:t>金</w:t>
            </w:r>
            <w:r>
              <w:rPr>
                <w:rFonts w:ascii="宋体" w:hAnsi="宋体" w:cs="宋体" w:eastAsia="宋体" w:hint="default"/>
                <w:spacing w:val="-5"/>
                <w:w w:val="101"/>
                <w:sz w:val="18"/>
                <w:szCs w:val="18"/>
              </w:rPr>
              <w:t>额</w:t>
            </w:r>
            <w:r>
              <w:rPr>
                <w:rFonts w:ascii="宋体" w:hAnsi="宋体" w:cs="宋体" w:eastAsia="宋体" w:hint="default"/>
                <w:w w:val="101"/>
                <w:sz w:val="18"/>
                <w:szCs w:val="18"/>
              </w:rPr>
              <w:t>（元</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含</w:t>
            </w:r>
            <w:r>
              <w:rPr>
                <w:rFonts w:ascii="宋体" w:hAnsi="宋体" w:cs="宋体" w:eastAsia="宋体" w:hint="default"/>
                <w:w w:val="101"/>
                <w:sz w:val="18"/>
                <w:szCs w:val="18"/>
              </w:rPr>
              <w:t>税）</w:t>
            </w:r>
            <w:r>
              <w:rPr>
                <w:rFonts w:ascii="宋体" w:hAnsi="宋体" w:cs="宋体" w:eastAsia="宋体" w:hint="default"/>
                <w:sz w:val="18"/>
                <w:szCs w:val="18"/>
              </w:rPr>
            </w:r>
          </w:p>
        </w:tc>
        <w:tc>
          <w:tcPr>
            <w:tcW w:w="5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6,445,477.50</w:t>
            </w:r>
          </w:p>
        </w:tc>
      </w:tr>
      <w:tr>
        <w:trPr>
          <w:trHeight w:val="404"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4"/>
                <w:sz w:val="18"/>
                <w:szCs w:val="18"/>
              </w:rPr>
              <w:t>以其他方式（如回购股份）现金分红金额（元</w:t>
            </w:r>
          </w:p>
        </w:tc>
        <w:tc>
          <w:tcPr>
            <w:tcW w:w="5863" w:type="dxa"/>
            <w:tcBorders>
              <w:top w:val="single" w:sz="4" w:space="0" w:color="000000"/>
              <w:left w:val="single" w:sz="10" w:space="0" w:color="D2D2D2"/>
              <w:bottom w:val="single" w:sz="4" w:space="0" w:color="000000"/>
              <w:right w:val="single" w:sz="4" w:space="0" w:color="000000"/>
            </w:tcBorders>
          </w:tcPr>
          <w:p>
            <w:pPr>
              <w:pStyle w:val="TableParagraph"/>
              <w:tabs>
                <w:tab w:pos="5504" w:val="left" w:leader="none"/>
              </w:tabs>
              <w:spacing w:line="240" w:lineRule="auto" w:before="54"/>
              <w:ind w:left="-115" w:right="17"/>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0.00</w:t>
            </w:r>
          </w:p>
        </w:tc>
      </w:tr>
      <w:tr>
        <w:trPr>
          <w:trHeight w:val="403"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w w:val="101"/>
                <w:sz w:val="18"/>
                <w:szCs w:val="18"/>
              </w:rPr>
              <w:t>现</w:t>
            </w:r>
            <w:r>
              <w:rPr>
                <w:rFonts w:ascii="宋体" w:hAnsi="宋体" w:cs="宋体" w:eastAsia="宋体" w:hint="default"/>
                <w:spacing w:val="-5"/>
                <w:w w:val="101"/>
                <w:sz w:val="18"/>
                <w:szCs w:val="18"/>
              </w:rPr>
              <w:t>金</w:t>
            </w:r>
            <w:r>
              <w:rPr>
                <w:rFonts w:ascii="宋体" w:hAnsi="宋体" w:cs="宋体" w:eastAsia="宋体" w:hint="default"/>
                <w:w w:val="101"/>
                <w:sz w:val="18"/>
                <w:szCs w:val="18"/>
              </w:rPr>
              <w:t>分</w:t>
            </w:r>
            <w:r>
              <w:rPr>
                <w:rFonts w:ascii="宋体" w:hAnsi="宋体" w:cs="宋体" w:eastAsia="宋体" w:hint="default"/>
                <w:spacing w:val="-5"/>
                <w:w w:val="101"/>
                <w:sz w:val="18"/>
                <w:szCs w:val="18"/>
              </w:rPr>
              <w:t>红</w:t>
            </w:r>
            <w:r>
              <w:rPr>
                <w:rFonts w:ascii="宋体" w:hAnsi="宋体" w:cs="宋体" w:eastAsia="宋体" w:hint="default"/>
                <w:w w:val="101"/>
                <w:sz w:val="18"/>
                <w:szCs w:val="18"/>
              </w:rPr>
              <w:t>总</w:t>
            </w:r>
            <w:r>
              <w:rPr>
                <w:rFonts w:ascii="宋体" w:hAnsi="宋体" w:cs="宋体" w:eastAsia="宋体" w:hint="default"/>
                <w:spacing w:val="-5"/>
                <w:w w:val="101"/>
                <w:sz w:val="18"/>
                <w:szCs w:val="18"/>
              </w:rPr>
              <w:t>额</w:t>
            </w:r>
            <w:r>
              <w:rPr>
                <w:rFonts w:ascii="宋体" w:hAnsi="宋体" w:cs="宋体" w:eastAsia="宋体" w:hint="default"/>
                <w:w w:val="101"/>
                <w:sz w:val="18"/>
                <w:szCs w:val="18"/>
              </w:rPr>
              <w:t>（</w:t>
            </w:r>
            <w:r>
              <w:rPr>
                <w:rFonts w:ascii="宋体" w:hAnsi="宋体" w:cs="宋体" w:eastAsia="宋体" w:hint="default"/>
                <w:spacing w:val="-5"/>
                <w:w w:val="101"/>
                <w:sz w:val="18"/>
                <w:szCs w:val="18"/>
              </w:rPr>
              <w:t>含</w:t>
            </w:r>
            <w:r>
              <w:rPr>
                <w:rFonts w:ascii="宋体" w:hAnsi="宋体" w:cs="宋体" w:eastAsia="宋体" w:hint="default"/>
                <w:w w:val="101"/>
                <w:sz w:val="18"/>
                <w:szCs w:val="18"/>
              </w:rPr>
              <w:t>其</w:t>
            </w:r>
            <w:r>
              <w:rPr>
                <w:rFonts w:ascii="宋体" w:hAnsi="宋体" w:cs="宋体" w:eastAsia="宋体" w:hint="default"/>
                <w:spacing w:val="-5"/>
                <w:w w:val="101"/>
                <w:sz w:val="18"/>
                <w:szCs w:val="18"/>
              </w:rPr>
              <w:t>他</w:t>
            </w:r>
            <w:r>
              <w:rPr>
                <w:rFonts w:ascii="宋体" w:hAnsi="宋体" w:cs="宋体" w:eastAsia="宋体" w:hint="default"/>
                <w:w w:val="101"/>
                <w:sz w:val="18"/>
                <w:szCs w:val="18"/>
              </w:rPr>
              <w:t>方式</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元</w:t>
            </w:r>
            <w:r>
              <w:rPr>
                <w:rFonts w:ascii="宋体" w:hAnsi="宋体" w:cs="宋体" w:eastAsia="宋体" w:hint="default"/>
                <w:w w:val="101"/>
                <w:sz w:val="18"/>
                <w:szCs w:val="18"/>
              </w:rPr>
              <w:t>）</w:t>
            </w:r>
            <w:r>
              <w:rPr>
                <w:rFonts w:ascii="宋体" w:hAnsi="宋体" w:cs="宋体" w:eastAsia="宋体" w:hint="default"/>
                <w:sz w:val="18"/>
                <w:szCs w:val="18"/>
              </w:rPr>
            </w:r>
          </w:p>
        </w:tc>
        <w:tc>
          <w:tcPr>
            <w:tcW w:w="5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26" w:right="0"/>
              <w:jc w:val="left"/>
              <w:rPr>
                <w:rFonts w:ascii="Times New Roman" w:hAnsi="Times New Roman" w:cs="Times New Roman" w:eastAsia="Times New Roman" w:hint="default"/>
                <w:sz w:val="18"/>
                <w:szCs w:val="18"/>
              </w:rPr>
            </w:pPr>
            <w:r>
              <w:rPr>
                <w:rFonts w:ascii="Times New Roman"/>
                <w:sz w:val="18"/>
              </w:rPr>
              <w:t>6,445,477.50</w:t>
            </w:r>
          </w:p>
        </w:tc>
      </w:tr>
      <w:tr>
        <w:trPr>
          <w:trHeight w:val="403"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239,036,210.26</w:t>
            </w:r>
          </w:p>
        </w:tc>
      </w:tr>
      <w:tr>
        <w:trPr>
          <w:trHeight w:val="711"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66"/>
              <w:jc w:val="left"/>
              <w:rPr>
                <w:rFonts w:ascii="宋体" w:hAnsi="宋体" w:cs="宋体" w:eastAsia="宋体" w:hint="default"/>
                <w:sz w:val="18"/>
                <w:szCs w:val="18"/>
              </w:rPr>
            </w:pPr>
            <w:r>
              <w:rPr>
                <w:rFonts w:ascii="宋体" w:hAnsi="宋体" w:cs="宋体" w:eastAsia="宋体" w:hint="default"/>
                <w:spacing w:val="-3"/>
                <w:sz w:val="18"/>
                <w:szCs w:val="18"/>
              </w:rPr>
              <w:t>现金分红总额（含其他方式）占利润分配总额</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的比例</w:t>
            </w:r>
          </w:p>
        </w:tc>
        <w:tc>
          <w:tcPr>
            <w:tcW w:w="5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403" w:hRule="exact"/>
        </w:trPr>
        <w:tc>
          <w:tcPr>
            <w:tcW w:w="9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4"/>
                <w:sz w:val="18"/>
                <w:szCs w:val="18"/>
              </w:rPr>
              <w:t>公司发展阶段不易区分但有重大资金支出安排的，进行利润分配时，现金分红在本次利润分配中所占比例最低应达到 </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3" w:hRule="exact"/>
        </w:trPr>
        <w:tc>
          <w:tcPr>
            <w:tcW w:w="9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78" w:right="0"/>
              <w:jc w:val="left"/>
              <w:rPr>
                <w:rFonts w:ascii="宋体" w:hAnsi="宋体" w:cs="宋体" w:eastAsia="宋体" w:hint="default"/>
                <w:sz w:val="18"/>
                <w:szCs w:val="18"/>
              </w:rPr>
            </w:pPr>
            <w:r>
              <w:rPr>
                <w:rFonts w:ascii="宋体" w:hAnsi="宋体" w:cs="宋体" w:eastAsia="宋体" w:hint="default"/>
                <w:spacing w:val="-3"/>
                <w:sz w:val="18"/>
                <w:szCs w:val="18"/>
              </w:rPr>
              <w:t>利润分配或资本公积金转增预案的详细情况说明</w:t>
            </w:r>
          </w:p>
        </w:tc>
      </w:tr>
      <w:tr>
        <w:trPr>
          <w:trHeight w:val="1959" w:hRule="exact"/>
        </w:trPr>
        <w:tc>
          <w:tcPr>
            <w:tcW w:w="95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7"/>
                <w:sz w:val="18"/>
                <w:szCs w:val="18"/>
              </w:rPr>
              <w:t>经天健会计师事务所（特殊普通合伙）审计，公司 </w:t>
            </w:r>
            <w:r>
              <w:rPr>
                <w:rFonts w:ascii="Times New Roman" w:hAnsi="Times New Roman" w:cs="Times New Roman" w:eastAsia="Times New Roman" w:hint="default"/>
                <w:sz w:val="18"/>
                <w:szCs w:val="18"/>
              </w:rPr>
              <w:t>2019  </w:t>
            </w:r>
            <w:r>
              <w:rPr>
                <w:rFonts w:ascii="宋体" w:hAnsi="宋体" w:cs="宋体" w:eastAsia="宋体" w:hint="default"/>
                <w:spacing w:val="-3"/>
                <w:sz w:val="18"/>
                <w:szCs w:val="18"/>
              </w:rPr>
              <w:t>年度实现归属于母公司股东的净利润为 </w:t>
            </w:r>
            <w:r>
              <w:rPr>
                <w:rFonts w:ascii="Times New Roman" w:hAnsi="Times New Roman" w:cs="Times New Roman" w:eastAsia="Times New Roman" w:hint="default"/>
                <w:sz w:val="18"/>
                <w:szCs w:val="18"/>
              </w:rPr>
              <w:t>41,234,827.65</w:t>
            </w:r>
            <w:r>
              <w:rPr>
                <w:rFonts w:ascii="Times New Roman" w:hAnsi="Times New Roman" w:cs="Times New Roman" w:eastAsia="Times New Roman" w:hint="default"/>
                <w:spacing w:val="-5"/>
                <w:sz w:val="18"/>
                <w:szCs w:val="18"/>
              </w:rPr>
              <w:t> </w:t>
            </w:r>
            <w:r>
              <w:rPr>
                <w:rFonts w:ascii="宋体" w:hAnsi="宋体" w:cs="宋体" w:eastAsia="宋体" w:hint="default"/>
                <w:spacing w:val="-13"/>
                <w:sz w:val="18"/>
                <w:szCs w:val="18"/>
              </w:rPr>
              <w:t>元，根据《公</w:t>
            </w:r>
          </w:p>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司章程》规定，按照</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年度母公司实现净利润的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提取法定盈余公积金</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4,365,784.21</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元；截至</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日，</w:t>
            </w:r>
            <w:r>
              <w:rPr>
                <w:rFonts w:ascii="宋体" w:hAnsi="宋体" w:cs="宋体" w:eastAsia="宋体" w:hint="default"/>
                <w:sz w:val="18"/>
                <w:szCs w:val="18"/>
              </w:rPr>
            </w:r>
          </w:p>
          <w:p>
            <w:pPr>
              <w:pStyle w:val="TableParagraph"/>
              <w:spacing w:line="302" w:lineRule="auto" w:before="63"/>
              <w:ind w:left="11" w:right="12"/>
              <w:jc w:val="left"/>
              <w:rPr>
                <w:rFonts w:ascii="宋体" w:hAnsi="宋体" w:cs="宋体" w:eastAsia="宋体" w:hint="default"/>
                <w:sz w:val="18"/>
                <w:szCs w:val="18"/>
              </w:rPr>
            </w:pPr>
            <w:r>
              <w:rPr>
                <w:rFonts w:ascii="宋体" w:hAnsi="宋体" w:cs="宋体" w:eastAsia="宋体" w:hint="default"/>
                <w:sz w:val="18"/>
                <w:szCs w:val="18"/>
              </w:rPr>
              <w:t>公司累计未分配利润为 </w:t>
            </w:r>
            <w:r>
              <w:rPr>
                <w:rFonts w:ascii="Times New Roman" w:hAnsi="Times New Roman" w:cs="Times New Roman" w:eastAsia="Times New Roman" w:hint="default"/>
                <w:sz w:val="18"/>
                <w:szCs w:val="18"/>
              </w:rPr>
              <w:t>239,036,210.26 </w:t>
            </w:r>
            <w:r>
              <w:rPr>
                <w:rFonts w:ascii="宋体" w:hAnsi="宋体" w:cs="宋体" w:eastAsia="宋体" w:hint="default"/>
                <w:spacing w:val="-3"/>
                <w:sz w:val="18"/>
                <w:szCs w:val="18"/>
              </w:rPr>
              <w:t>元。公司本年度进行利润分配，以未来实施 </w:t>
            </w:r>
            <w:r>
              <w:rPr>
                <w:rFonts w:ascii="Times New Roman" w:hAnsi="Times New Roman" w:cs="Times New Roman" w:eastAsia="Times New Roman" w:hint="default"/>
                <w:sz w:val="18"/>
                <w:szCs w:val="18"/>
              </w:rPr>
              <w:t>2019 </w:t>
            </w:r>
            <w:r>
              <w:rPr>
                <w:rFonts w:ascii="宋体" w:hAnsi="宋体" w:cs="宋体" w:eastAsia="宋体" w:hint="default"/>
                <w:spacing w:val="-3"/>
                <w:sz w:val="18"/>
                <w:szCs w:val="18"/>
              </w:rPr>
              <w:t>年年度权益分配方案时股权登记</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w w:val="101"/>
                <w:sz w:val="18"/>
                <w:szCs w:val="18"/>
              </w:rPr>
              <w:t>日享有利润分配、公积金转增股本权利的总股本为基数，向全体股东每</w:t>
            </w:r>
            <w:r>
              <w:rPr>
                <w:rFonts w:ascii="宋体" w:hAnsi="宋体" w:cs="宋体" w:eastAsia="宋体" w:hint="default"/>
                <w:spacing w:val="-43"/>
                <w:w w:val="101"/>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1"/>
                <w:w w:val="101"/>
                <w:sz w:val="18"/>
                <w:szCs w:val="18"/>
              </w:rPr>
              <w:t> </w:t>
            </w:r>
            <w:r>
              <w:rPr>
                <w:rFonts w:ascii="宋体" w:hAnsi="宋体" w:cs="宋体" w:eastAsia="宋体" w:hint="default"/>
                <w:spacing w:val="-3"/>
                <w:w w:val="101"/>
                <w:sz w:val="18"/>
                <w:szCs w:val="18"/>
              </w:rPr>
              <w:t>股派发现金红利</w:t>
            </w:r>
            <w:r>
              <w:rPr>
                <w:rFonts w:ascii="宋体" w:hAnsi="宋体" w:cs="宋体" w:eastAsia="宋体" w:hint="default"/>
                <w:spacing w:val="-44"/>
                <w:w w:val="101"/>
                <w:sz w:val="18"/>
                <w:szCs w:val="18"/>
              </w:rPr>
              <w:t> </w:t>
            </w:r>
            <w:r>
              <w:rPr>
                <w:rFonts w:ascii="Times New Roman" w:hAnsi="Times New Roman" w:cs="Times New Roman" w:eastAsia="Times New Roman" w:hint="default"/>
                <w:spacing w:val="-1"/>
                <w:w w:val="101"/>
                <w:sz w:val="18"/>
                <w:szCs w:val="18"/>
              </w:rPr>
              <w:t>0.55</w:t>
            </w:r>
            <w:r>
              <w:rPr>
                <w:rFonts w:ascii="Times New Roman" w:hAnsi="Times New Roman" w:cs="Times New Roman" w:eastAsia="Times New Roman" w:hint="default"/>
                <w:spacing w:val="1"/>
                <w:w w:val="101"/>
                <w:sz w:val="18"/>
                <w:szCs w:val="18"/>
              </w:rPr>
              <w:t> </w:t>
            </w:r>
            <w:r>
              <w:rPr>
                <w:rFonts w:ascii="宋体" w:hAnsi="宋体" w:cs="宋体" w:eastAsia="宋体" w:hint="default"/>
                <w:spacing w:val="-13"/>
                <w:w w:val="101"/>
                <w:sz w:val="18"/>
                <w:szCs w:val="18"/>
              </w:rPr>
              <w:t>元（含税）、以资本公积金</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每 </w:t>
            </w:r>
            <w:r>
              <w:rPr>
                <w:rFonts w:ascii="Times New Roman" w:hAnsi="Times New Roman" w:cs="Times New Roman" w:eastAsia="Times New Roman" w:hint="default"/>
                <w:sz w:val="18"/>
                <w:szCs w:val="18"/>
              </w:rPr>
              <w:t>10 </w:t>
            </w:r>
            <w:r>
              <w:rPr>
                <w:rFonts w:ascii="宋体" w:hAnsi="宋体" w:cs="宋体" w:eastAsia="宋体" w:hint="default"/>
                <w:sz w:val="18"/>
                <w:szCs w:val="18"/>
              </w:rPr>
              <w:t>股转增 </w:t>
            </w:r>
            <w:r>
              <w:rPr>
                <w:rFonts w:ascii="Times New Roman" w:hAnsi="Times New Roman" w:cs="Times New Roman" w:eastAsia="Times New Roman" w:hint="default"/>
                <w:sz w:val="18"/>
                <w:szCs w:val="18"/>
              </w:rPr>
              <w:t>4 </w:t>
            </w:r>
            <w:r>
              <w:rPr>
                <w:rFonts w:ascii="宋体" w:hAnsi="宋体" w:cs="宋体" w:eastAsia="宋体" w:hint="default"/>
                <w:spacing w:val="-3"/>
                <w:sz w:val="18"/>
                <w:szCs w:val="18"/>
              </w:rPr>
              <w:t>股、不送红股。若利润分配方案实施完毕前，公司股本发生变动，公司将维持每股分配比例不变，相应调</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z w:val="18"/>
                <w:szCs w:val="18"/>
              </w:rPr>
              <w:t>整分配总额。</w:t>
            </w:r>
          </w:p>
        </w:tc>
      </w:tr>
    </w:tbl>
    <w:p>
      <w:pPr>
        <w:pStyle w:val="BodyText"/>
        <w:spacing w:line="319" w:lineRule="auto" w:before="77"/>
        <w:ind w:right="0"/>
        <w:jc w:val="left"/>
      </w:pPr>
      <w:r>
        <w:rPr>
          <w:w w:val="101"/>
        </w:rPr>
        <w:t>公司近</w:t>
      </w:r>
      <w:r>
        <w:rPr>
          <w:spacing w:val="-48"/>
          <w:w w:val="101"/>
        </w:rPr>
        <w:t> </w:t>
      </w:r>
      <w:r>
        <w:rPr>
          <w:rFonts w:ascii="Times New Roman" w:hAnsi="Times New Roman" w:cs="Times New Roman" w:eastAsia="Times New Roman" w:hint="default"/>
          <w:w w:val="101"/>
        </w:rPr>
        <w:t>3</w:t>
      </w:r>
      <w:r>
        <w:rPr>
          <w:rFonts w:ascii="Times New Roman" w:hAnsi="Times New Roman" w:cs="Times New Roman" w:eastAsia="Times New Roman" w:hint="default"/>
          <w:spacing w:val="-8"/>
          <w:w w:val="101"/>
        </w:rPr>
        <w:t> </w:t>
      </w:r>
      <w:r>
        <w:rPr>
          <w:spacing w:val="-5"/>
          <w:w w:val="101"/>
        </w:rPr>
        <w:t>年（包括本报告期）的普通股股利分配方案（预案）、资本公积金转增股本方案（预案）情况</w:t>
      </w:r>
      <w:r>
        <w:rPr>
          <w:spacing w:val="-74"/>
          <w:w w:val="101"/>
        </w:rPr>
        <w:t> </w:t>
      </w:r>
      <w:r>
        <w:rPr>
          <w:spacing w:val="-74"/>
          <w:w w:val="101"/>
        </w:rPr>
      </w:r>
      <w:r>
        <w:rPr>
          <w:rFonts w:ascii="Times New Roman" w:hAnsi="Times New Roman" w:cs="Times New Roman" w:eastAsia="Times New Roman" w:hint="default"/>
          <w:spacing w:val="-5"/>
          <w:w w:val="101"/>
        </w:rPr>
        <w:t>2017</w:t>
      </w:r>
      <w:r>
        <w:rPr>
          <w:spacing w:val="-5"/>
          <w:w w:val="101"/>
        </w:rPr>
        <w:t>年利润分配方案：根据</w:t>
      </w:r>
      <w:r>
        <w:rPr>
          <w:rFonts w:ascii="Times New Roman" w:hAnsi="Times New Roman" w:cs="Times New Roman" w:eastAsia="Times New Roman" w:hint="default"/>
          <w:spacing w:val="-5"/>
          <w:w w:val="101"/>
        </w:rPr>
        <w:t>2018</w:t>
      </w:r>
      <w:r>
        <w:rPr>
          <w:spacing w:val="-5"/>
          <w:w w:val="101"/>
        </w:rPr>
        <w:t>年</w:t>
      </w:r>
      <w:r>
        <w:rPr>
          <w:rFonts w:ascii="Times New Roman" w:hAnsi="Times New Roman" w:cs="Times New Roman" w:eastAsia="Times New Roman" w:hint="default"/>
          <w:spacing w:val="-5"/>
          <w:w w:val="101"/>
        </w:rPr>
        <w:t>4</w:t>
      </w:r>
      <w:r>
        <w:rPr>
          <w:spacing w:val="-5"/>
          <w:w w:val="101"/>
        </w:rPr>
        <w:t>月</w:t>
      </w:r>
      <w:r>
        <w:rPr>
          <w:rFonts w:ascii="Times New Roman" w:hAnsi="Times New Roman" w:cs="Times New Roman" w:eastAsia="Times New Roman" w:hint="default"/>
          <w:spacing w:val="-5"/>
          <w:w w:val="101"/>
        </w:rPr>
        <w:t>24</w:t>
      </w:r>
      <w:r>
        <w:rPr>
          <w:spacing w:val="-5"/>
          <w:w w:val="101"/>
        </w:rPr>
        <w:t>日公司第二届董事会第八次会议审议通过的</w:t>
      </w:r>
      <w:r>
        <w:rPr>
          <w:rFonts w:ascii="Times New Roman" w:hAnsi="Times New Roman" w:cs="Times New Roman" w:eastAsia="Times New Roman" w:hint="default"/>
          <w:spacing w:val="-5"/>
          <w:w w:val="101"/>
        </w:rPr>
        <w:t>2017</w:t>
      </w:r>
      <w:r>
        <w:rPr>
          <w:spacing w:val="-5"/>
          <w:w w:val="101"/>
        </w:rPr>
        <w:t>年利润分配预案，公司按母公司</w:t>
      </w:r>
      <w:r>
        <w:rPr>
          <w:rFonts w:ascii="Times New Roman" w:hAnsi="Times New Roman" w:cs="Times New Roman" w:eastAsia="Times New Roman" w:hint="default"/>
          <w:spacing w:val="-5"/>
          <w:w w:val="101"/>
        </w:rPr>
        <w:t>2017</w:t>
      </w:r>
      <w:r>
        <w:rPr>
          <w:rFonts w:ascii="Times New Roman" w:hAnsi="Times New Roman" w:cs="Times New Roman" w:eastAsia="Times New Roman" w:hint="default"/>
          <w:spacing w:val="-36"/>
          <w:w w:val="101"/>
        </w:rPr>
        <w:t> </w:t>
      </w:r>
      <w:r>
        <w:rPr>
          <w:rFonts w:ascii="Times New Roman" w:hAnsi="Times New Roman" w:cs="Times New Roman" w:eastAsia="Times New Roman" w:hint="default"/>
          <w:spacing w:val="-36"/>
          <w:w w:val="101"/>
        </w:rPr>
      </w:r>
      <w:r>
        <w:rPr>
          <w:spacing w:val="-3"/>
        </w:rPr>
        <w:t>年度实现净利润的</w:t>
      </w:r>
      <w:r>
        <w:rPr>
          <w:rFonts w:ascii="Times New Roman" w:hAnsi="Times New Roman" w:cs="Times New Roman" w:eastAsia="Times New Roman" w:hint="default"/>
          <w:spacing w:val="-3"/>
        </w:rPr>
        <w:t>10%</w:t>
      </w:r>
      <w:r>
        <w:rPr>
          <w:spacing w:val="-3"/>
        </w:rPr>
        <w:t>提取法定盈余公积，以公司</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24</w:t>
      </w:r>
      <w:r>
        <w:rPr>
          <w:spacing w:val="-3"/>
        </w:rPr>
        <w:t>日总股本</w:t>
      </w:r>
      <w:r>
        <w:rPr>
          <w:rFonts w:ascii="Times New Roman" w:hAnsi="Times New Roman" w:cs="Times New Roman" w:eastAsia="Times New Roman" w:hint="default"/>
          <w:spacing w:val="-3"/>
        </w:rPr>
        <w:t>83,220,000</w:t>
      </w:r>
      <w:r>
        <w:rPr>
          <w:spacing w:val="-3"/>
        </w:rPr>
        <w:t>股为基数，向全体股东每</w:t>
      </w:r>
      <w:r>
        <w:rPr>
          <w:rFonts w:ascii="Times New Roman" w:hAnsi="Times New Roman" w:cs="Times New Roman" w:eastAsia="Times New Roman" w:hint="default"/>
          <w:spacing w:val="-3"/>
        </w:rPr>
        <w:t>10</w:t>
      </w:r>
      <w:r>
        <w:rPr>
          <w:spacing w:val="-3"/>
        </w:rPr>
        <w:t>股派发现金红</w:t>
      </w:r>
    </w:p>
    <w:p>
      <w:pPr>
        <w:pStyle w:val="BodyText"/>
        <w:spacing w:line="246" w:lineRule="exact"/>
        <w:ind w:right="0"/>
        <w:jc w:val="left"/>
      </w:pPr>
      <w:r>
        <w:rPr>
          <w:spacing w:val="-3"/>
        </w:rPr>
        <w:t>利人民币</w:t>
      </w:r>
      <w:r>
        <w:rPr>
          <w:rFonts w:ascii="Times New Roman" w:hAnsi="Times New Roman" w:cs="Times New Roman" w:eastAsia="Times New Roman" w:hint="default"/>
          <w:spacing w:val="-3"/>
        </w:rPr>
        <w:t>0.6</w:t>
      </w:r>
      <w:r>
        <w:rPr>
          <w:spacing w:val="-3"/>
        </w:rPr>
        <w:t>元（含税）；不送红股，不以资本公积转增股本。</w:t>
      </w:r>
    </w:p>
    <w:p>
      <w:pPr>
        <w:pStyle w:val="BodyText"/>
        <w:spacing w:line="300" w:lineRule="auto" w:before="63"/>
        <w:ind w:right="1203"/>
        <w:jc w:val="left"/>
      </w:pPr>
      <w:r>
        <w:rPr>
          <w:rFonts w:ascii="Times New Roman" w:hAnsi="Times New Roman" w:cs="Times New Roman" w:eastAsia="Times New Roman" w:hint="default"/>
          <w:spacing w:val="-4"/>
        </w:rPr>
        <w:t>2018</w:t>
      </w:r>
      <w:r>
        <w:rPr>
          <w:spacing w:val="-4"/>
        </w:rPr>
        <w:t>年利润分配预案：以未来实施</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spacing w:val="-4"/>
        </w:rPr>
        <w:t>年年度权益分配方案时股权登记日享有利润分配、公积金转增股本权利的总股本为</w:t>
      </w:r>
      <w:r>
        <w:rPr>
          <w:spacing w:val="-71"/>
        </w:rPr>
        <w:t> </w:t>
      </w:r>
      <w:r>
        <w:rPr>
          <w:spacing w:val="-71"/>
        </w:rPr>
      </w:r>
      <w:r>
        <w:rPr>
          <w:spacing w:val="-3"/>
        </w:rPr>
        <w:t>基数，向全体股东每</w:t>
      </w:r>
      <w:r>
        <w:rPr>
          <w:rFonts w:ascii="Times New Roman" w:hAnsi="Times New Roman" w:cs="Times New Roman" w:eastAsia="Times New Roman" w:hint="default"/>
          <w:spacing w:val="-3"/>
        </w:rPr>
        <w:t>10</w:t>
      </w:r>
      <w:r>
        <w:rPr>
          <w:spacing w:val="-3"/>
        </w:rPr>
        <w:t>股派发现金红利</w:t>
      </w:r>
      <w:r>
        <w:rPr>
          <w:rFonts w:ascii="Times New Roman" w:hAnsi="Times New Roman" w:cs="Times New Roman" w:eastAsia="Times New Roman" w:hint="default"/>
          <w:spacing w:val="-3"/>
        </w:rPr>
        <w:t>0.75</w:t>
      </w:r>
      <w:r>
        <w:rPr>
          <w:spacing w:val="-3"/>
        </w:rPr>
        <w:t>元（含税）、以资本公积转增</w:t>
      </w:r>
      <w:r>
        <w:rPr>
          <w:rFonts w:ascii="Times New Roman" w:hAnsi="Times New Roman" w:cs="Times New Roman" w:eastAsia="Times New Roman" w:hint="default"/>
          <w:spacing w:val="-3"/>
        </w:rPr>
        <w:t>4</w:t>
      </w:r>
      <w:r>
        <w:rPr>
          <w:spacing w:val="-3"/>
        </w:rPr>
        <w:t>股、不送红股。</w:t>
      </w:r>
      <w:r>
        <w:rPr>
          <w:spacing w:val="40"/>
        </w:rPr>
        <w:t> </w:t>
      </w:r>
      <w:r>
        <w:rPr>
          <w:spacing w:val="40"/>
        </w:rPr>
      </w:r>
      <w:r>
        <w:rPr>
          <w:rFonts w:ascii="Times New Roman" w:hAnsi="Times New Roman" w:cs="Times New Roman" w:eastAsia="Times New Roman" w:hint="default"/>
          <w:spacing w:val="-4"/>
        </w:rPr>
        <w:t>2019</w:t>
      </w:r>
      <w:r>
        <w:rPr>
          <w:spacing w:val="-4"/>
        </w:rPr>
        <w:t>年利润分配预案：以未来实施</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9"/>
        </w:rPr>
        <w:t> </w:t>
      </w:r>
      <w:r>
        <w:rPr>
          <w:spacing w:val="-4"/>
        </w:rPr>
        <w:t>年年度权益分配方案时股权登记日享有利润分配、公积金转增股本权利的总股本为</w:t>
      </w:r>
      <w:r>
        <w:rPr>
          <w:spacing w:val="-71"/>
        </w:rPr>
        <w:t> </w:t>
      </w:r>
      <w:r>
        <w:rPr>
          <w:spacing w:val="-71"/>
        </w:rPr>
      </w:r>
      <w:r>
        <w:rPr>
          <w:spacing w:val="-3"/>
        </w:rPr>
        <w:t>基数，向全体股东每</w:t>
      </w:r>
      <w:r>
        <w:rPr>
          <w:rFonts w:ascii="Times New Roman" w:hAnsi="Times New Roman" w:cs="Times New Roman" w:eastAsia="Times New Roman" w:hint="default"/>
          <w:spacing w:val="-3"/>
        </w:rPr>
        <w:t>10</w:t>
      </w:r>
      <w:r>
        <w:rPr>
          <w:spacing w:val="-3"/>
        </w:rPr>
        <w:t>股派发现金红利</w:t>
      </w:r>
      <w:r>
        <w:rPr>
          <w:rFonts w:ascii="Times New Roman" w:hAnsi="Times New Roman" w:cs="Times New Roman" w:eastAsia="Times New Roman" w:hint="default"/>
          <w:spacing w:val="-3"/>
        </w:rPr>
        <w:t>0.55</w:t>
      </w:r>
      <w:r>
        <w:rPr>
          <w:spacing w:val="-3"/>
        </w:rPr>
        <w:t>元（含税）、以资本公积转增</w:t>
      </w:r>
      <w:r>
        <w:rPr>
          <w:rFonts w:ascii="Times New Roman" w:hAnsi="Times New Roman" w:cs="Times New Roman" w:eastAsia="Times New Roman" w:hint="default"/>
          <w:spacing w:val="-3"/>
        </w:rPr>
        <w:t>4</w:t>
      </w:r>
      <w:r>
        <w:rPr>
          <w:spacing w:val="-3"/>
        </w:rPr>
        <w:t>股、不送红股。若利润分配方案实施完毕前，公</w:t>
      </w:r>
    </w:p>
    <w:p>
      <w:pPr>
        <w:spacing w:after="0" w:line="30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741" w:footer="979" w:top="1060" w:bottom="1160" w:left="980" w:right="0"/>
        </w:sectPr>
      </w:pPr>
    </w:p>
    <w:p>
      <w:pPr>
        <w:pStyle w:val="BodyText"/>
        <w:spacing w:line="362" w:lineRule="auto" w:before="46"/>
        <w:ind w:right="0"/>
        <w:jc w:val="left"/>
      </w:pPr>
      <w:r>
        <w:rPr>
          <w:spacing w:val="-3"/>
        </w:rPr>
        <w:t>司股本发生变化，公司将维持每股分配比例不变，相应调整分配总额。</w:t>
      </w:r>
      <w:r>
        <w:rPr>
          <w:spacing w:val="2"/>
        </w:rPr>
        <w:t> </w:t>
      </w:r>
      <w:r>
        <w:rPr>
          <w:spacing w:val="2"/>
        </w:rPr>
      </w:r>
      <w:r>
        <w:rPr>
          <w:spacing w:val="-3"/>
        </w:rPr>
        <w:t>公司近三年（包括本报告期）普通股现金分红情况表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5737" w:space="3185"/>
            <w:col w:w="2008"/>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196"/>
        <w:gridCol w:w="1196"/>
        <w:gridCol w:w="1201"/>
        <w:gridCol w:w="1196"/>
        <w:gridCol w:w="1196"/>
        <w:gridCol w:w="1184"/>
        <w:gridCol w:w="1220"/>
        <w:gridCol w:w="1174"/>
      </w:tblGrid>
      <w:tr>
        <w:trPr>
          <w:trHeight w:val="164"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1" w:type="dxa"/>
            <w:vMerge w:val="restart"/>
            <w:tcBorders>
              <w:top w:val="single" w:sz="4" w:space="0" w:color="000000"/>
              <w:left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20" w:type="dxa"/>
            <w:vMerge w:val="restart"/>
            <w:tcBorders>
              <w:top w:val="single" w:sz="4" w:space="0" w:color="000000"/>
              <w:left w:val="single" w:sz="4" w:space="0" w:color="000000"/>
              <w:right w:val="single" w:sz="4" w:space="0" w:color="000000"/>
            </w:tcBorders>
            <w:shd w:val="clear" w:color="auto" w:fill="D2D2D2"/>
          </w:tcPr>
          <w:p>
            <w:pPr/>
          </w:p>
        </w:tc>
        <w:tc>
          <w:tcPr>
            <w:tcW w:w="11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1"/>
              <w:ind w:left="40" w:right="36"/>
              <w:jc w:val="center"/>
              <w:rPr>
                <w:rFonts w:ascii="宋体" w:hAnsi="宋体" w:cs="宋体" w:eastAsia="宋体" w:hint="default"/>
                <w:sz w:val="18"/>
                <w:szCs w:val="18"/>
              </w:rPr>
            </w:pPr>
            <w:r>
              <w:rPr>
                <w:rFonts w:ascii="宋体" w:hAnsi="宋体" w:cs="宋体" w:eastAsia="宋体" w:hint="default"/>
                <w:sz w:val="18"/>
                <w:szCs w:val="18"/>
              </w:rPr>
              <w:t>（含其他方</w:t>
            </w:r>
            <w:r>
              <w:rPr>
                <w:rFonts w:ascii="宋体" w:hAnsi="宋体" w:cs="宋体" w:eastAsia="宋体" w:hint="default"/>
                <w:w w:val="101"/>
                <w:sz w:val="18"/>
                <w:szCs w:val="18"/>
              </w:rPr>
              <w:t> </w:t>
            </w:r>
            <w:r>
              <w:rPr>
                <w:rFonts w:ascii="宋体" w:hAnsi="宋体" w:cs="宋体" w:eastAsia="宋体" w:hint="default"/>
                <w:spacing w:val="-2"/>
                <w:sz w:val="18"/>
                <w:szCs w:val="18"/>
              </w:rPr>
              <w:t>式）占合并报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表中归属于上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市公司普通股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股东的净利润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的比率</w:t>
            </w:r>
          </w:p>
        </w:tc>
      </w:tr>
      <w:tr>
        <w:trPr>
          <w:trHeight w:val="154"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01"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52" w:right="46"/>
              <w:jc w:val="center"/>
              <w:rPr>
                <w:rFonts w:ascii="宋体" w:hAnsi="宋体" w:cs="宋体" w:eastAsia="宋体" w:hint="default"/>
                <w:sz w:val="18"/>
                <w:szCs w:val="18"/>
              </w:rPr>
            </w:pPr>
            <w:r>
              <w:rPr>
                <w:rFonts w:ascii="宋体" w:hAnsi="宋体" w:cs="宋体" w:eastAsia="宋体" w:hint="default"/>
                <w:spacing w:val="-2"/>
                <w:sz w:val="18"/>
                <w:szCs w:val="18"/>
              </w:rPr>
              <w:t>现金分红金额</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占合并报表中</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归属于上市公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司普通股股东</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的净利润的比</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率</w:t>
            </w:r>
          </w:p>
        </w:tc>
        <w:tc>
          <w:tcPr>
            <w:tcW w:w="1196" w:type="dxa"/>
            <w:vMerge/>
            <w:tcBorders>
              <w:left w:val="single" w:sz="4" w:space="0" w:color="000000"/>
              <w:right w:val="single" w:sz="4" w:space="0" w:color="000000"/>
            </w:tcBorders>
            <w:shd w:val="clear" w:color="auto" w:fill="D2D2D2"/>
          </w:tcPr>
          <w:p>
            <w:pPr/>
          </w:p>
        </w:tc>
        <w:tc>
          <w:tcPr>
            <w:tcW w:w="11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52" w:right="34"/>
              <w:jc w:val="both"/>
              <w:rPr>
                <w:rFonts w:ascii="宋体" w:hAnsi="宋体" w:cs="宋体" w:eastAsia="宋体" w:hint="default"/>
                <w:sz w:val="18"/>
                <w:szCs w:val="18"/>
              </w:rPr>
            </w:pPr>
            <w:r>
              <w:rPr>
                <w:rFonts w:ascii="宋体" w:hAnsi="宋体" w:cs="宋体" w:eastAsia="宋体" w:hint="default"/>
                <w:spacing w:val="-2"/>
                <w:sz w:val="18"/>
                <w:szCs w:val="18"/>
              </w:rPr>
              <w:t>以其他方式现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金分红金额占</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合并报表中归</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属于上市公司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普通股股东的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净利润的比例</w:t>
            </w: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8"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01"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52" w:right="51"/>
              <w:jc w:val="center"/>
              <w:rPr>
                <w:rFonts w:ascii="宋体" w:hAnsi="宋体" w:cs="宋体" w:eastAsia="宋体" w:hint="default"/>
                <w:sz w:val="18"/>
                <w:szCs w:val="18"/>
              </w:rPr>
            </w:pPr>
            <w:r>
              <w:rPr>
                <w:rFonts w:ascii="宋体" w:hAnsi="宋体" w:cs="宋体" w:eastAsia="宋体" w:hint="default"/>
                <w:spacing w:val="-2"/>
                <w:sz w:val="18"/>
                <w:szCs w:val="18"/>
              </w:rPr>
              <w:t>分红年度合并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报表中归属于</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上市公司普通</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股股东的净利</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润</w:t>
            </w: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4"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1"/>
              <w:ind w:left="52" w:right="46"/>
              <w:jc w:val="center"/>
              <w:rPr>
                <w:rFonts w:ascii="宋体" w:hAnsi="宋体" w:cs="宋体" w:eastAsia="宋体" w:hint="default"/>
                <w:sz w:val="18"/>
                <w:szCs w:val="18"/>
              </w:rPr>
            </w:pPr>
            <w:r>
              <w:rPr>
                <w:rFonts w:ascii="宋体" w:hAnsi="宋体" w:cs="宋体" w:eastAsia="宋体" w:hint="default"/>
                <w:sz w:val="18"/>
                <w:szCs w:val="18"/>
              </w:rPr>
              <w:t>（如回购股</w:t>
            </w:r>
            <w:r>
              <w:rPr>
                <w:rFonts w:ascii="宋体" w:hAnsi="宋体" w:cs="宋体" w:eastAsia="宋体" w:hint="default"/>
                <w:w w:val="101"/>
                <w:sz w:val="18"/>
                <w:szCs w:val="18"/>
              </w:rPr>
              <w:t> </w:t>
            </w:r>
            <w:r>
              <w:rPr>
                <w:rFonts w:ascii="宋体" w:hAnsi="宋体" w:cs="宋体" w:eastAsia="宋体" w:hint="default"/>
                <w:spacing w:val="-2"/>
                <w:sz w:val="18"/>
                <w:szCs w:val="18"/>
              </w:rPr>
              <w:t>份）现金分红</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的金额</w:t>
            </w: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bottom w:val="nil" w:sz="6" w:space="0" w:color="auto"/>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8"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64"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21" w:lineRule="auto" w:before="71"/>
              <w:ind w:left="424" w:right="149" w:hanging="269"/>
              <w:jc w:val="left"/>
              <w:rPr>
                <w:rFonts w:ascii="宋体" w:hAnsi="宋体" w:cs="宋体" w:eastAsia="宋体" w:hint="default"/>
                <w:sz w:val="18"/>
                <w:szCs w:val="18"/>
              </w:rPr>
            </w:pPr>
            <w:r>
              <w:rPr>
                <w:rFonts w:ascii="宋体" w:hAnsi="宋体" w:cs="宋体" w:eastAsia="宋体" w:hint="default"/>
                <w:spacing w:val="-2"/>
                <w:sz w:val="18"/>
                <w:szCs w:val="18"/>
              </w:rPr>
              <w:t>（含其他方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式）</w:t>
            </w:r>
          </w:p>
        </w:tc>
        <w:tc>
          <w:tcPr>
            <w:tcW w:w="1174" w:type="dxa"/>
            <w:vMerge/>
            <w:tcBorders>
              <w:left w:val="single" w:sz="4" w:space="0" w:color="000000"/>
              <w:right w:val="single" w:sz="4" w:space="0" w:color="000000"/>
            </w:tcBorders>
            <w:shd w:val="clear" w:color="auto" w:fill="D2D2D2"/>
          </w:tcPr>
          <w:p>
            <w:pPr/>
          </w:p>
        </w:tc>
      </w:tr>
      <w:tr>
        <w:trPr>
          <w:trHeight w:val="154"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394"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6" w:type="dxa"/>
            <w:vMerge/>
            <w:tcBorders>
              <w:left w:val="single" w:sz="4" w:space="0" w:color="000000"/>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4"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8" w:hRule="exact"/>
        </w:trPr>
        <w:tc>
          <w:tcPr>
            <w:tcW w:w="1196"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bottom w:val="nil" w:sz="6" w:space="0" w:color="auto"/>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4"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val="restart"/>
            <w:tcBorders>
              <w:top w:val="nil" w:sz="6" w:space="0" w:color="auto"/>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8"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01"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4"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01"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bottom w:val="nil" w:sz="6" w:space="0" w:color="auto"/>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63"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01"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20" w:type="dxa"/>
            <w:vMerge/>
            <w:tcBorders>
              <w:left w:val="single" w:sz="4" w:space="0" w:color="000000"/>
              <w:bottom w:val="single" w:sz="4" w:space="0" w:color="000000"/>
              <w:right w:val="single" w:sz="4" w:space="0" w:color="000000"/>
            </w:tcBorders>
            <w:shd w:val="clear" w:color="auto" w:fill="D2D2D2"/>
          </w:tcPr>
          <w:p>
            <w:pPr/>
          </w:p>
        </w:tc>
        <w:tc>
          <w:tcPr>
            <w:tcW w:w="1174"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6,445,477.50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41,234,827.65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15.63%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spacing w:val="-1"/>
                <w:sz w:val="18"/>
              </w:rPr>
              <w:t>6,445,477.50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right"/>
              <w:rPr>
                <w:rFonts w:ascii="Times New Roman" w:hAnsi="Times New Roman" w:cs="Times New Roman" w:eastAsia="Times New Roman" w:hint="default"/>
                <w:sz w:val="18"/>
                <w:szCs w:val="18"/>
              </w:rPr>
            </w:pPr>
            <w:r>
              <w:rPr>
                <w:rFonts w:ascii="Times New Roman"/>
                <w:spacing w:val="-1"/>
                <w:sz w:val="18"/>
              </w:rPr>
              <w:t>15.63%</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6,284,250.00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40,444,026.83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15.54%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5"/>
              <w:jc w:val="right"/>
              <w:rPr>
                <w:rFonts w:ascii="Times New Roman" w:hAnsi="Times New Roman" w:cs="Times New Roman" w:eastAsia="Times New Roman" w:hint="default"/>
                <w:sz w:val="18"/>
                <w:szCs w:val="18"/>
              </w:rPr>
            </w:pPr>
            <w:r>
              <w:rPr>
                <w:rFonts w:ascii="Times New Roman"/>
                <w:spacing w:val="-1"/>
                <w:sz w:val="18"/>
              </w:rPr>
              <w:t>6,284,250.00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
              <w:jc w:val="right"/>
              <w:rPr>
                <w:rFonts w:ascii="Times New Roman" w:hAnsi="Times New Roman" w:cs="Times New Roman" w:eastAsia="Times New Roman" w:hint="default"/>
                <w:sz w:val="18"/>
                <w:szCs w:val="18"/>
              </w:rPr>
            </w:pPr>
            <w:r>
              <w:rPr>
                <w:rFonts w:ascii="Times New Roman"/>
                <w:spacing w:val="-1"/>
                <w:sz w:val="18"/>
              </w:rPr>
              <w:t>15.54%</w:t>
            </w:r>
          </w:p>
        </w:tc>
      </w:tr>
      <w:tr>
        <w:trPr>
          <w:trHeight w:val="40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4,993,200.00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32,904,573.34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15.17%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spacing w:val="-1"/>
                <w:sz w:val="18"/>
              </w:rPr>
              <w:t>4,993,200.00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right"/>
              <w:rPr>
                <w:rFonts w:ascii="Times New Roman" w:hAnsi="Times New Roman" w:cs="Times New Roman" w:eastAsia="Times New Roman" w:hint="default"/>
                <w:sz w:val="18"/>
                <w:szCs w:val="18"/>
              </w:rPr>
            </w:pPr>
            <w:r>
              <w:rPr>
                <w:rFonts w:ascii="Times New Roman"/>
                <w:spacing w:val="-1"/>
                <w:sz w:val="18"/>
              </w:rPr>
              <w:t>15.17%</w:t>
            </w:r>
          </w:p>
        </w:tc>
      </w:tr>
    </w:tbl>
    <w:p>
      <w:pPr>
        <w:pStyle w:val="BodyText"/>
        <w:spacing w:line="240" w:lineRule="auto" w:before="53"/>
        <w:ind w:right="0"/>
        <w:jc w:val="left"/>
      </w:pPr>
      <w:r>
        <w:rPr>
          <w:spacing w:val="-3"/>
        </w:rPr>
        <w:t>公司报告期内盈利且母公司可供普通股股东分配利润为正但未提出普通股现金红利分配预案</w:t>
      </w:r>
    </w:p>
    <w:p>
      <w:pPr>
        <w:pStyle w:val="BodyText"/>
        <w:spacing w:line="240" w:lineRule="auto" w:before="119"/>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二、承诺事项履行情况" w:id="63"/>
      <w:bookmarkEnd w:id="63"/>
      <w:r>
        <w:rPr>
          <w:b w:val="0"/>
          <w:bCs w:val="0"/>
        </w:rPr>
      </w:r>
      <w:r>
        <w:rPr/>
        <w:t>二、承诺事项履行情况</w:t>
      </w:r>
      <w:r>
        <w:rPr>
          <w:b w:val="0"/>
          <w:bCs w:val="0"/>
        </w:rPr>
      </w:r>
    </w:p>
    <w:p>
      <w:pPr>
        <w:spacing w:line="240" w:lineRule="auto" w:before="9"/>
        <w:rPr>
          <w:rFonts w:ascii="宋体" w:hAnsi="宋体" w:cs="宋体" w:eastAsia="宋体" w:hint="default"/>
          <w:b/>
          <w:bCs/>
          <w:sz w:val="25"/>
          <w:szCs w:val="25"/>
        </w:rPr>
      </w:pPr>
    </w:p>
    <w:p>
      <w:pPr>
        <w:pStyle w:val="Heading4"/>
        <w:spacing w:line="254" w:lineRule="auto"/>
        <w:ind w:right="0"/>
        <w:jc w:val="left"/>
        <w:rPr>
          <w:b w:val="0"/>
          <w:bCs w:val="0"/>
        </w:rPr>
      </w:pPr>
      <w:bookmarkStart w:name="1、公司实际控制人、股东、关联方、收购人以及公司等承诺相关方在报告期内履行完毕及" w:id="64"/>
      <w:bookmarkEnd w:id="64"/>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4"/>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404"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7"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5"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99"/>
              <w:jc w:val="left"/>
              <w:rPr>
                <w:rFonts w:ascii="宋体" w:hAnsi="宋体" w:cs="宋体" w:eastAsia="宋体" w:hint="default"/>
                <w:sz w:val="18"/>
                <w:szCs w:val="18"/>
              </w:rPr>
            </w:pPr>
            <w:r>
              <w:rPr>
                <w:rFonts w:ascii="宋体" w:hAnsi="宋体" w:cs="宋体" w:eastAsia="宋体" w:hint="default"/>
                <w:spacing w:val="-3"/>
                <w:sz w:val="18"/>
                <w:szCs w:val="18"/>
              </w:rPr>
              <w:t>收购报告书或权益变动报告书中所</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作承诺</w:t>
            </w:r>
          </w:p>
        </w:tc>
        <w:tc>
          <w:tcPr>
            <w:tcW w:w="1124"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资产重组时所作承诺</w:t>
            </w:r>
          </w:p>
        </w:tc>
        <w:tc>
          <w:tcPr>
            <w:tcW w:w="1124"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2170" w:hRule="exact"/>
        </w:trPr>
        <w:tc>
          <w:tcPr>
            <w:tcW w:w="28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4"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309" w:lineRule="auto"/>
              <w:ind w:left="16" w:right="12"/>
              <w:jc w:val="left"/>
              <w:rPr>
                <w:rFonts w:ascii="宋体" w:hAnsi="宋体" w:cs="宋体" w:eastAsia="宋体" w:hint="default"/>
                <w:sz w:val="18"/>
                <w:szCs w:val="18"/>
              </w:rPr>
            </w:pPr>
            <w:r>
              <w:rPr>
                <w:rFonts w:ascii="宋体" w:hAnsi="宋体" w:cs="宋体" w:eastAsia="宋体" w:hint="default"/>
                <w:sz w:val="18"/>
                <w:szCs w:val="18"/>
              </w:rPr>
              <w:t>杭州磐鸿投</w:t>
            </w:r>
            <w:r>
              <w:rPr>
                <w:rFonts w:ascii="宋体" w:hAnsi="宋体" w:cs="宋体" w:eastAsia="宋体" w:hint="default"/>
                <w:w w:val="101"/>
                <w:sz w:val="18"/>
                <w:szCs w:val="18"/>
              </w:rPr>
              <w:t> </w:t>
            </w:r>
            <w:r>
              <w:rPr>
                <w:rFonts w:ascii="宋体" w:hAnsi="宋体" w:cs="宋体" w:eastAsia="宋体" w:hint="default"/>
                <w:sz w:val="18"/>
                <w:szCs w:val="18"/>
              </w:rPr>
              <w:t>资管理合伙</w:t>
            </w:r>
            <w:r>
              <w:rPr>
                <w:rFonts w:ascii="宋体" w:hAnsi="宋体" w:cs="宋体" w:eastAsia="宋体" w:hint="default"/>
                <w:w w:val="101"/>
                <w:sz w:val="18"/>
                <w:szCs w:val="18"/>
              </w:rPr>
              <w:t> </w:t>
            </w:r>
            <w:r>
              <w:rPr>
                <w:rFonts w:ascii="宋体" w:hAnsi="宋体" w:cs="宋体" w:eastAsia="宋体" w:hint="default"/>
                <w:spacing w:val="-4"/>
                <w:sz w:val="18"/>
                <w:szCs w:val="18"/>
              </w:rPr>
              <w:t>企业（有限合</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11"/>
                <w:sz w:val="18"/>
                <w:szCs w:val="18"/>
              </w:rPr>
              <w:t>伙）</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杭州磐源</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投资有限公</w:t>
            </w:r>
            <w:r>
              <w:rPr>
                <w:rFonts w:ascii="宋体" w:hAnsi="宋体" w:cs="宋体" w:eastAsia="宋体" w:hint="default"/>
                <w:w w:val="101"/>
                <w:sz w:val="18"/>
                <w:szCs w:val="18"/>
              </w:rPr>
              <w:t> </w:t>
            </w:r>
            <w:r>
              <w:rPr>
                <w:rFonts w:ascii="宋体" w:hAnsi="宋体" w:cs="宋体" w:eastAsia="宋体" w:hint="default"/>
                <w:spacing w:val="-3"/>
                <w:sz w:val="18"/>
                <w:szCs w:val="18"/>
              </w:rPr>
              <w:t>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杨波</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杨一</w:t>
            </w:r>
            <w:r>
              <w:rPr>
                <w:rFonts w:ascii="宋体" w:hAnsi="宋体" w:cs="宋体" w:eastAsia="宋体" w:hint="default"/>
                <w:spacing w:val="-72"/>
                <w:sz w:val="18"/>
                <w:szCs w:val="18"/>
              </w:rPr>
              <w:t> </w:t>
            </w:r>
            <w:r>
              <w:rPr>
                <w:rFonts w:ascii="宋体" w:hAnsi="宋体" w:cs="宋体" w:eastAsia="宋体" w:hint="default"/>
                <w:sz w:val="18"/>
                <w:szCs w:val="18"/>
              </w:rPr>
              <w:t>兵</w:t>
            </w:r>
            <w:r>
              <w:rPr>
                <w:rFonts w:ascii="Times New Roman" w:hAnsi="Times New Roman" w:cs="Times New Roman" w:eastAsia="Times New Roman" w:hint="default"/>
                <w:sz w:val="18"/>
                <w:szCs w:val="18"/>
              </w:rPr>
              <w:t>;</w:t>
            </w:r>
            <w:r>
              <w:rPr>
                <w:rFonts w:ascii="宋体" w:hAnsi="宋体" w:cs="宋体" w:eastAsia="宋体" w:hint="default"/>
                <w:sz w:val="18"/>
                <w:szCs w:val="18"/>
              </w:rPr>
              <w:t>杨依敏</w:t>
            </w:r>
            <w:r>
              <w:rPr>
                <w:rFonts w:ascii="Times New Roman" w:hAnsi="Times New Roman" w:cs="Times New Roman" w:eastAsia="Times New Roman" w:hint="default"/>
                <w:sz w:val="18"/>
                <w:szCs w:val="18"/>
              </w:rPr>
              <w:t>;</w:t>
            </w:r>
            <w:r>
              <w:rPr>
                <w:rFonts w:ascii="宋体" w:hAnsi="宋体" w:cs="宋体" w:eastAsia="宋体" w:hint="default"/>
                <w:sz w:val="18"/>
                <w:szCs w:val="18"/>
              </w:rPr>
              <w:t>郑</w:t>
            </w:r>
            <w:r>
              <w:rPr>
                <w:rFonts w:ascii="宋体" w:hAnsi="宋体" w:cs="宋体" w:eastAsia="宋体" w:hint="default"/>
                <w:spacing w:val="-88"/>
                <w:sz w:val="18"/>
                <w:szCs w:val="18"/>
              </w:rPr>
              <w:t> </w:t>
            </w:r>
            <w:r>
              <w:rPr>
                <w:rFonts w:ascii="宋体" w:hAnsi="宋体" w:cs="宋体" w:eastAsia="宋体" w:hint="default"/>
                <w:sz w:val="18"/>
                <w:szCs w:val="18"/>
              </w:rPr>
              <w:t>香叶</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23" w:right="190"/>
              <w:jc w:val="left"/>
              <w:rPr>
                <w:rFonts w:ascii="宋体" w:hAnsi="宋体" w:cs="宋体" w:eastAsia="宋体" w:hint="default"/>
                <w:sz w:val="18"/>
                <w:szCs w:val="18"/>
              </w:rPr>
            </w:pPr>
            <w:r>
              <w:rPr>
                <w:rFonts w:ascii="宋体" w:hAnsi="宋体" w:cs="宋体" w:eastAsia="宋体" w:hint="default"/>
                <w:spacing w:val="-2"/>
                <w:sz w:val="18"/>
                <w:szCs w:val="18"/>
              </w:rPr>
              <w:t>股份限售承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诺</w:t>
            </w:r>
          </w:p>
        </w:tc>
        <w:tc>
          <w:tcPr>
            <w:tcW w:w="1124" w:type="dxa"/>
            <w:vMerge w:val="restart"/>
            <w:tcBorders>
              <w:top w:val="single" w:sz="4" w:space="0" w:color="000000"/>
              <w:left w:val="single" w:sz="4" w:space="0" w:color="000000"/>
              <w:right w:val="single" w:sz="4" w:space="0" w:color="000000"/>
            </w:tcBorders>
          </w:tcPr>
          <w:p>
            <w:pPr>
              <w:pStyle w:val="TableParagraph"/>
              <w:spacing w:line="316" w:lineRule="auto" w:before="53"/>
              <w:ind w:left="24" w:right="12"/>
              <w:jc w:val="left"/>
              <w:rPr>
                <w:rFonts w:ascii="宋体" w:hAnsi="宋体" w:cs="宋体" w:eastAsia="宋体" w:hint="default"/>
                <w:sz w:val="18"/>
                <w:szCs w:val="18"/>
              </w:rPr>
            </w:pPr>
            <w:r>
              <w:rPr>
                <w:rFonts w:ascii="宋体" w:hAnsi="宋体" w:cs="宋体" w:eastAsia="宋体" w:hint="default"/>
                <w:sz w:val="18"/>
                <w:szCs w:val="18"/>
              </w:rPr>
              <w:t>自公司股票</w:t>
            </w:r>
            <w:r>
              <w:rPr>
                <w:rFonts w:ascii="宋体" w:hAnsi="宋体" w:cs="宋体" w:eastAsia="宋体" w:hint="default"/>
                <w:w w:val="101"/>
                <w:sz w:val="18"/>
                <w:szCs w:val="18"/>
              </w:rPr>
              <w:t> </w:t>
            </w:r>
            <w:r>
              <w:rPr>
                <w:rFonts w:ascii="宋体" w:hAnsi="宋体" w:cs="宋体" w:eastAsia="宋体" w:hint="default"/>
                <w:sz w:val="18"/>
                <w:szCs w:val="18"/>
              </w:rPr>
              <w:t>上市之日起</w:t>
            </w:r>
            <w:r>
              <w:rPr>
                <w:rFonts w:ascii="宋体" w:hAnsi="宋体" w:cs="宋体" w:eastAsia="宋体" w:hint="default"/>
                <w:w w:val="101"/>
                <w:sz w:val="18"/>
                <w:szCs w:val="18"/>
              </w:rPr>
              <w:t> </w:t>
            </w:r>
            <w:r>
              <w:rPr>
                <w:rFonts w:ascii="宋体" w:hAnsi="宋体" w:cs="宋体" w:eastAsia="宋体" w:hint="default"/>
                <w:sz w:val="18"/>
                <w:szCs w:val="18"/>
              </w:rPr>
              <w:t>三十六个月</w:t>
            </w:r>
            <w:r>
              <w:rPr>
                <w:rFonts w:ascii="宋体" w:hAnsi="宋体" w:cs="宋体" w:eastAsia="宋体" w:hint="default"/>
                <w:w w:val="101"/>
                <w:sz w:val="18"/>
                <w:szCs w:val="18"/>
              </w:rPr>
              <w:t> </w:t>
            </w:r>
            <w:r>
              <w:rPr>
                <w:rFonts w:ascii="宋体" w:hAnsi="宋体" w:cs="宋体" w:eastAsia="宋体" w:hint="default"/>
                <w:spacing w:val="-4"/>
                <w:sz w:val="18"/>
                <w:szCs w:val="18"/>
              </w:rPr>
              <w:t>内，不转让或</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者委托他人</w:t>
            </w:r>
            <w:r>
              <w:rPr>
                <w:rFonts w:ascii="宋体" w:hAnsi="宋体" w:cs="宋体" w:eastAsia="宋体" w:hint="default"/>
                <w:w w:val="101"/>
                <w:sz w:val="18"/>
                <w:szCs w:val="18"/>
              </w:rPr>
              <w:t> </w:t>
            </w:r>
            <w:r>
              <w:rPr>
                <w:rFonts w:ascii="宋体" w:hAnsi="宋体" w:cs="宋体" w:eastAsia="宋体" w:hint="default"/>
                <w:sz w:val="18"/>
                <w:szCs w:val="18"/>
              </w:rPr>
              <w:t>管理其直接</w:t>
            </w:r>
            <w:r>
              <w:rPr>
                <w:rFonts w:ascii="宋体" w:hAnsi="宋体" w:cs="宋体" w:eastAsia="宋体" w:hint="default"/>
                <w:w w:val="101"/>
                <w:sz w:val="18"/>
                <w:szCs w:val="18"/>
              </w:rPr>
              <w:t> </w:t>
            </w:r>
            <w:r>
              <w:rPr>
                <w:rFonts w:ascii="宋体" w:hAnsi="宋体" w:cs="宋体" w:eastAsia="宋体" w:hint="default"/>
                <w:sz w:val="18"/>
                <w:szCs w:val="18"/>
              </w:rPr>
              <w:t>或间接持有</w:t>
            </w:r>
            <w:r>
              <w:rPr>
                <w:rFonts w:ascii="宋体" w:hAnsi="宋体" w:cs="宋体" w:eastAsia="宋体" w:hint="default"/>
                <w:w w:val="101"/>
                <w:sz w:val="18"/>
                <w:szCs w:val="18"/>
              </w:rPr>
              <w:t> </w:t>
            </w:r>
            <w:r>
              <w:rPr>
                <w:rFonts w:ascii="宋体" w:hAnsi="宋体" w:cs="宋体" w:eastAsia="宋体" w:hint="default"/>
                <w:sz w:val="18"/>
                <w:szCs w:val="18"/>
              </w:rPr>
              <w:t>的公司本次</w:t>
            </w:r>
            <w:r>
              <w:rPr>
                <w:rFonts w:ascii="宋体" w:hAnsi="宋体" w:cs="宋体" w:eastAsia="宋体" w:hint="default"/>
                <w:w w:val="101"/>
                <w:sz w:val="18"/>
                <w:szCs w:val="18"/>
              </w:rPr>
              <w:t> </w:t>
            </w:r>
            <w:r>
              <w:rPr>
                <w:rFonts w:ascii="宋体" w:hAnsi="宋体" w:cs="宋体" w:eastAsia="宋体" w:hint="default"/>
                <w:sz w:val="18"/>
                <w:szCs w:val="18"/>
              </w:rPr>
              <w:t>发行前已发</w:t>
            </w:r>
            <w:r>
              <w:rPr>
                <w:rFonts w:ascii="宋体" w:hAnsi="宋体" w:cs="宋体" w:eastAsia="宋体" w:hint="default"/>
                <w:w w:val="101"/>
                <w:sz w:val="18"/>
                <w:szCs w:val="18"/>
              </w:rPr>
              <w:t> </w:t>
            </w:r>
            <w:r>
              <w:rPr>
                <w:rFonts w:ascii="宋体" w:hAnsi="宋体" w:cs="宋体" w:eastAsia="宋体" w:hint="default"/>
                <w:spacing w:val="-4"/>
                <w:sz w:val="18"/>
                <w:szCs w:val="18"/>
              </w:rPr>
              <w:t>行的股份，也</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不由公司回</w:t>
            </w:r>
            <w:r>
              <w:rPr>
                <w:rFonts w:ascii="宋体" w:hAnsi="宋体" w:cs="宋体" w:eastAsia="宋体" w:hint="default"/>
                <w:w w:val="101"/>
                <w:sz w:val="18"/>
                <w:szCs w:val="18"/>
              </w:rPr>
              <w:t> </w:t>
            </w:r>
            <w:r>
              <w:rPr>
                <w:rFonts w:ascii="宋体" w:hAnsi="宋体" w:cs="宋体" w:eastAsia="宋体" w:hint="default"/>
                <w:sz w:val="18"/>
                <w:szCs w:val="18"/>
              </w:rPr>
              <w:t>购其直接或</w:t>
            </w:r>
            <w:r>
              <w:rPr>
                <w:rFonts w:ascii="宋体" w:hAnsi="宋体" w:cs="宋体" w:eastAsia="宋体" w:hint="default"/>
                <w:w w:val="101"/>
                <w:sz w:val="18"/>
                <w:szCs w:val="18"/>
              </w:rPr>
              <w:t> </w:t>
            </w:r>
            <w:r>
              <w:rPr>
                <w:rFonts w:ascii="宋体" w:hAnsi="宋体" w:cs="宋体" w:eastAsia="宋体" w:hint="default"/>
                <w:sz w:val="18"/>
                <w:szCs w:val="18"/>
              </w:rPr>
              <w:t>间接持有的</w:t>
            </w:r>
            <w:r>
              <w:rPr>
                <w:rFonts w:ascii="宋体" w:hAnsi="宋体" w:cs="宋体" w:eastAsia="宋体" w:hint="default"/>
                <w:w w:val="101"/>
                <w:sz w:val="18"/>
                <w:szCs w:val="18"/>
              </w:rPr>
              <w:t> </w:t>
            </w:r>
            <w:r>
              <w:rPr>
                <w:rFonts w:ascii="宋体" w:hAnsi="宋体" w:cs="宋体" w:eastAsia="宋体" w:hint="default"/>
                <w:sz w:val="18"/>
                <w:szCs w:val="18"/>
              </w:rPr>
              <w:t>公司本次发</w:t>
            </w:r>
            <w:r>
              <w:rPr>
                <w:rFonts w:ascii="宋体" w:hAnsi="宋体" w:cs="宋体" w:eastAsia="宋体" w:hint="default"/>
                <w:w w:val="101"/>
                <w:sz w:val="18"/>
                <w:szCs w:val="18"/>
              </w:rPr>
              <w:t> </w:t>
            </w:r>
            <w:r>
              <w:rPr>
                <w:rFonts w:ascii="宋体" w:hAnsi="宋体" w:cs="宋体" w:eastAsia="宋体" w:hint="default"/>
                <w:sz w:val="18"/>
                <w:szCs w:val="18"/>
              </w:rPr>
              <w:t>行前已发行</w:t>
            </w:r>
          </w:p>
        </w:tc>
        <w:tc>
          <w:tcPr>
            <w:tcW w:w="11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389" w:hRule="exact"/>
        </w:trPr>
        <w:tc>
          <w:tcPr>
            <w:tcW w:w="28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首次公开发行或再融资时所作承诺</w:t>
            </w:r>
          </w:p>
        </w:tc>
        <w:tc>
          <w:tcPr>
            <w:tcW w:w="1124" w:type="dxa"/>
            <w:vMerge/>
            <w:tcBorders>
              <w:left w:val="single" w:sz="10" w:space="0" w:color="D2D2D2"/>
              <w:right w:val="single" w:sz="4" w:space="0" w:color="000000"/>
            </w:tcBorders>
          </w:tcPr>
          <w:p>
            <w:pPr/>
          </w:p>
        </w:tc>
        <w:tc>
          <w:tcPr>
            <w:tcW w:w="1128"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2170" w:hRule="exact"/>
        </w:trPr>
        <w:tc>
          <w:tcPr>
            <w:tcW w:w="28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4" w:type="dxa"/>
            <w:vMerge/>
            <w:tcBorders>
              <w:left w:val="single" w:sz="10" w:space="0" w:color="D2D2D2"/>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4"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6"/>
      </w:tblGrid>
      <w:tr>
        <w:trPr>
          <w:trHeight w:val="360"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的股份</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773" w:hRule="exact"/>
        </w:trPr>
        <w:tc>
          <w:tcPr>
            <w:tcW w:w="2838" w:type="dxa"/>
            <w:vMerge/>
            <w:tcBorders>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2" w:lineRule="auto"/>
              <w:ind w:left="23" w:right="12"/>
              <w:jc w:val="left"/>
              <w:rPr>
                <w:rFonts w:ascii="宋体" w:hAnsi="宋体" w:cs="宋体" w:eastAsia="宋体" w:hint="default"/>
                <w:sz w:val="18"/>
                <w:szCs w:val="18"/>
              </w:rPr>
            </w:pPr>
            <w:r>
              <w:rPr>
                <w:rFonts w:ascii="宋体" w:hAnsi="宋体" w:cs="宋体" w:eastAsia="宋体" w:hint="default"/>
                <w:sz w:val="18"/>
                <w:szCs w:val="18"/>
              </w:rPr>
              <w:t>北京盛景财</w:t>
            </w:r>
            <w:r>
              <w:rPr>
                <w:rFonts w:ascii="宋体" w:hAnsi="宋体" w:cs="宋体" w:eastAsia="宋体" w:hint="default"/>
                <w:w w:val="101"/>
                <w:sz w:val="18"/>
                <w:szCs w:val="18"/>
              </w:rPr>
              <w:t> </w:t>
            </w:r>
            <w:r>
              <w:rPr>
                <w:rFonts w:ascii="宋体" w:hAnsi="宋体" w:cs="宋体" w:eastAsia="宋体" w:hint="default"/>
                <w:sz w:val="18"/>
                <w:szCs w:val="18"/>
              </w:rPr>
              <w:t>富投资管理</w:t>
            </w:r>
            <w:r>
              <w:rPr>
                <w:rFonts w:ascii="宋体" w:hAnsi="宋体" w:cs="宋体" w:eastAsia="宋体" w:hint="default"/>
                <w:w w:val="101"/>
                <w:sz w:val="18"/>
                <w:szCs w:val="18"/>
              </w:rPr>
              <w:t> </w:t>
            </w: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傅</w:t>
            </w:r>
            <w:r>
              <w:rPr>
                <w:rFonts w:ascii="宋体" w:hAnsi="宋体" w:cs="宋体" w:eastAsia="宋体" w:hint="default"/>
                <w:spacing w:val="-86"/>
                <w:sz w:val="18"/>
                <w:szCs w:val="18"/>
              </w:rPr>
              <w:t> </w:t>
            </w:r>
            <w:r>
              <w:rPr>
                <w:rFonts w:ascii="宋体" w:hAnsi="宋体" w:cs="宋体" w:eastAsia="宋体" w:hint="default"/>
                <w:sz w:val="18"/>
                <w:szCs w:val="18"/>
              </w:rPr>
              <w:t>烈勇</w:t>
            </w:r>
            <w:r>
              <w:rPr>
                <w:rFonts w:ascii="Times New Roman" w:hAnsi="Times New Roman" w:cs="Times New Roman" w:eastAsia="Times New Roman" w:hint="default"/>
                <w:sz w:val="18"/>
                <w:szCs w:val="18"/>
              </w:rPr>
              <w:t>;</w:t>
            </w:r>
            <w:r>
              <w:rPr>
                <w:rFonts w:ascii="宋体" w:hAnsi="宋体" w:cs="宋体" w:eastAsia="宋体" w:hint="default"/>
                <w:sz w:val="18"/>
                <w:szCs w:val="18"/>
              </w:rPr>
              <w:t>昆山雷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石雨花股权</w:t>
            </w:r>
            <w:r>
              <w:rPr>
                <w:rFonts w:ascii="宋体" w:hAnsi="宋体" w:cs="宋体" w:eastAsia="宋体" w:hint="default"/>
                <w:w w:val="101"/>
                <w:sz w:val="18"/>
                <w:szCs w:val="18"/>
              </w:rPr>
              <w:t> </w:t>
            </w:r>
            <w:r>
              <w:rPr>
                <w:rFonts w:ascii="宋体" w:hAnsi="宋体" w:cs="宋体" w:eastAsia="宋体" w:hint="default"/>
                <w:sz w:val="18"/>
                <w:szCs w:val="18"/>
              </w:rPr>
              <w:t>投资合伙企</w:t>
            </w:r>
            <w:r>
              <w:rPr>
                <w:rFonts w:ascii="宋体" w:hAnsi="宋体" w:cs="宋体" w:eastAsia="宋体" w:hint="default"/>
                <w:w w:val="101"/>
                <w:sz w:val="18"/>
                <w:szCs w:val="18"/>
              </w:rPr>
              <w:t> </w:t>
            </w:r>
            <w:r>
              <w:rPr>
                <w:rFonts w:ascii="宋体" w:hAnsi="宋体" w:cs="宋体" w:eastAsia="宋体" w:hint="default"/>
                <w:sz w:val="18"/>
                <w:szCs w:val="18"/>
              </w:rPr>
              <w:t>业（有限合</w:t>
            </w:r>
            <w:r>
              <w:rPr>
                <w:rFonts w:ascii="宋体" w:hAnsi="宋体" w:cs="宋体" w:eastAsia="宋体" w:hint="default"/>
                <w:w w:val="101"/>
                <w:sz w:val="18"/>
                <w:szCs w:val="18"/>
              </w:rPr>
              <w:t> </w:t>
            </w:r>
            <w:r>
              <w:rPr>
                <w:rFonts w:ascii="宋体" w:hAnsi="宋体" w:cs="宋体" w:eastAsia="宋体" w:hint="default"/>
                <w:spacing w:val="-11"/>
                <w:sz w:val="18"/>
                <w:szCs w:val="18"/>
              </w:rPr>
              <w:t>伙）</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青岛金石</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灏汭投资有</w:t>
            </w:r>
            <w:r>
              <w:rPr>
                <w:rFonts w:ascii="宋体" w:hAnsi="宋体" w:cs="宋体" w:eastAsia="宋体" w:hint="default"/>
                <w:w w:val="101"/>
                <w:sz w:val="18"/>
                <w:szCs w:val="18"/>
              </w:rPr>
              <w:t> </w:t>
            </w:r>
            <w:r>
              <w:rPr>
                <w:rFonts w:ascii="宋体" w:hAnsi="宋体" w:cs="宋体" w:eastAsia="宋体" w:hint="default"/>
                <w:sz w:val="18"/>
                <w:szCs w:val="18"/>
              </w:rPr>
              <w:t>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武汉</w:t>
            </w:r>
            <w:r>
              <w:rPr>
                <w:rFonts w:ascii="宋体" w:hAnsi="宋体" w:cs="宋体" w:eastAsia="宋体" w:hint="default"/>
                <w:spacing w:val="-86"/>
                <w:sz w:val="18"/>
                <w:szCs w:val="18"/>
              </w:rPr>
              <w:t> </w:t>
            </w:r>
            <w:r>
              <w:rPr>
                <w:rFonts w:ascii="宋体" w:hAnsi="宋体" w:cs="宋体" w:eastAsia="宋体" w:hint="default"/>
                <w:sz w:val="18"/>
                <w:szCs w:val="18"/>
              </w:rPr>
              <w:t>雷石瑞丰股</w:t>
            </w:r>
            <w:r>
              <w:rPr>
                <w:rFonts w:ascii="宋体" w:hAnsi="宋体" w:cs="宋体" w:eastAsia="宋体" w:hint="default"/>
                <w:w w:val="101"/>
                <w:sz w:val="18"/>
                <w:szCs w:val="18"/>
              </w:rPr>
              <w:t> </w:t>
            </w:r>
            <w:r>
              <w:rPr>
                <w:rFonts w:ascii="宋体" w:hAnsi="宋体" w:cs="宋体" w:eastAsia="宋体" w:hint="default"/>
                <w:sz w:val="18"/>
                <w:szCs w:val="18"/>
              </w:rPr>
              <w:t>权投资合伙</w:t>
            </w:r>
            <w:r>
              <w:rPr>
                <w:rFonts w:ascii="宋体" w:hAnsi="宋体" w:cs="宋体" w:eastAsia="宋体" w:hint="default"/>
                <w:w w:val="101"/>
                <w:sz w:val="18"/>
                <w:szCs w:val="18"/>
              </w:rPr>
              <w:t> </w:t>
            </w:r>
            <w:r>
              <w:rPr>
                <w:rFonts w:ascii="宋体" w:hAnsi="宋体" w:cs="宋体" w:eastAsia="宋体" w:hint="default"/>
                <w:spacing w:val="-4"/>
                <w:sz w:val="18"/>
                <w:szCs w:val="18"/>
              </w:rPr>
              <w:t>企业（有限合</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伙）</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9" w:lineRule="auto"/>
              <w:ind w:left="23" w:right="190"/>
              <w:jc w:val="left"/>
              <w:rPr>
                <w:rFonts w:ascii="宋体" w:hAnsi="宋体" w:cs="宋体" w:eastAsia="宋体" w:hint="default"/>
                <w:sz w:val="18"/>
                <w:szCs w:val="18"/>
              </w:rPr>
            </w:pPr>
            <w:r>
              <w:rPr>
                <w:rFonts w:ascii="宋体" w:hAnsi="宋体" w:cs="宋体" w:eastAsia="宋体" w:hint="default"/>
                <w:spacing w:val="-2"/>
                <w:sz w:val="18"/>
                <w:szCs w:val="18"/>
              </w:rPr>
              <w:t>股份限售承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
              <w:jc w:val="left"/>
              <w:rPr>
                <w:rFonts w:ascii="宋体" w:hAnsi="宋体" w:cs="宋体" w:eastAsia="宋体" w:hint="default"/>
                <w:sz w:val="18"/>
                <w:szCs w:val="18"/>
              </w:rPr>
            </w:pPr>
            <w:r>
              <w:rPr>
                <w:rFonts w:ascii="宋体" w:hAnsi="宋体" w:cs="宋体" w:eastAsia="宋体" w:hint="default"/>
                <w:sz w:val="18"/>
                <w:szCs w:val="18"/>
              </w:rPr>
              <w:t>自公司股票</w:t>
            </w:r>
            <w:r>
              <w:rPr>
                <w:rFonts w:ascii="宋体" w:hAnsi="宋体" w:cs="宋体" w:eastAsia="宋体" w:hint="default"/>
                <w:w w:val="101"/>
                <w:sz w:val="18"/>
                <w:szCs w:val="18"/>
              </w:rPr>
              <w:t> </w:t>
            </w:r>
            <w:r>
              <w:rPr>
                <w:rFonts w:ascii="宋体" w:hAnsi="宋体" w:cs="宋体" w:eastAsia="宋体" w:hint="default"/>
                <w:sz w:val="18"/>
                <w:szCs w:val="18"/>
              </w:rPr>
              <w:t>上市之日起</w:t>
            </w:r>
            <w:r>
              <w:rPr>
                <w:rFonts w:ascii="宋体" w:hAnsi="宋体" w:cs="宋体" w:eastAsia="宋体" w:hint="default"/>
                <w:w w:val="101"/>
                <w:sz w:val="18"/>
                <w:szCs w:val="18"/>
              </w:rPr>
              <w:t> </w:t>
            </w:r>
            <w:r>
              <w:rPr>
                <w:rFonts w:ascii="宋体" w:hAnsi="宋体" w:cs="宋体" w:eastAsia="宋体" w:hint="default"/>
                <w:spacing w:val="-2"/>
                <w:sz w:val="18"/>
                <w:szCs w:val="18"/>
              </w:rPr>
              <w:t>十二个月内，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不转让或者</w:t>
            </w:r>
            <w:r>
              <w:rPr>
                <w:rFonts w:ascii="宋体" w:hAnsi="宋体" w:cs="宋体" w:eastAsia="宋体" w:hint="default"/>
                <w:w w:val="101"/>
                <w:sz w:val="18"/>
                <w:szCs w:val="18"/>
              </w:rPr>
              <w:t> </w:t>
            </w:r>
            <w:r>
              <w:rPr>
                <w:rFonts w:ascii="宋体" w:hAnsi="宋体" w:cs="宋体" w:eastAsia="宋体" w:hint="default"/>
                <w:sz w:val="18"/>
                <w:szCs w:val="18"/>
              </w:rPr>
              <w:t>委托他人管</w:t>
            </w:r>
            <w:r>
              <w:rPr>
                <w:rFonts w:ascii="宋体" w:hAnsi="宋体" w:cs="宋体" w:eastAsia="宋体" w:hint="default"/>
                <w:w w:val="101"/>
                <w:sz w:val="18"/>
                <w:szCs w:val="18"/>
              </w:rPr>
              <w:t> </w:t>
            </w:r>
            <w:r>
              <w:rPr>
                <w:rFonts w:ascii="宋体" w:hAnsi="宋体" w:cs="宋体" w:eastAsia="宋体" w:hint="default"/>
                <w:sz w:val="18"/>
                <w:szCs w:val="18"/>
              </w:rPr>
              <w:t>理本人直接</w:t>
            </w:r>
            <w:r>
              <w:rPr>
                <w:rFonts w:ascii="宋体" w:hAnsi="宋体" w:cs="宋体" w:eastAsia="宋体" w:hint="default"/>
                <w:w w:val="101"/>
                <w:sz w:val="18"/>
                <w:szCs w:val="18"/>
              </w:rPr>
              <w:t> </w:t>
            </w:r>
            <w:r>
              <w:rPr>
                <w:rFonts w:ascii="宋体" w:hAnsi="宋体" w:cs="宋体" w:eastAsia="宋体" w:hint="default"/>
                <w:sz w:val="18"/>
                <w:szCs w:val="18"/>
              </w:rPr>
              <w:t>或间接持有</w:t>
            </w:r>
            <w:r>
              <w:rPr>
                <w:rFonts w:ascii="宋体" w:hAnsi="宋体" w:cs="宋体" w:eastAsia="宋体" w:hint="default"/>
                <w:w w:val="101"/>
                <w:sz w:val="18"/>
                <w:szCs w:val="18"/>
              </w:rPr>
              <w:t> </w:t>
            </w:r>
            <w:r>
              <w:rPr>
                <w:rFonts w:ascii="宋体" w:hAnsi="宋体" w:cs="宋体" w:eastAsia="宋体" w:hint="default"/>
                <w:sz w:val="18"/>
                <w:szCs w:val="18"/>
              </w:rPr>
              <w:t>的公司本次</w:t>
            </w:r>
            <w:r>
              <w:rPr>
                <w:rFonts w:ascii="宋体" w:hAnsi="宋体" w:cs="宋体" w:eastAsia="宋体" w:hint="default"/>
                <w:w w:val="101"/>
                <w:sz w:val="18"/>
                <w:szCs w:val="18"/>
              </w:rPr>
              <w:t> </w:t>
            </w:r>
            <w:r>
              <w:rPr>
                <w:rFonts w:ascii="宋体" w:hAnsi="宋体" w:cs="宋体" w:eastAsia="宋体" w:hint="default"/>
                <w:sz w:val="18"/>
                <w:szCs w:val="18"/>
              </w:rPr>
              <w:t>发行前已发</w:t>
            </w:r>
            <w:r>
              <w:rPr>
                <w:rFonts w:ascii="宋体" w:hAnsi="宋体" w:cs="宋体" w:eastAsia="宋体" w:hint="default"/>
                <w:w w:val="101"/>
                <w:sz w:val="18"/>
                <w:szCs w:val="18"/>
              </w:rPr>
              <w:t> </w:t>
            </w:r>
            <w:r>
              <w:rPr>
                <w:rFonts w:ascii="宋体" w:hAnsi="宋体" w:cs="宋体" w:eastAsia="宋体" w:hint="default"/>
                <w:spacing w:val="-4"/>
                <w:sz w:val="18"/>
                <w:szCs w:val="18"/>
              </w:rPr>
              <w:t>行的股份，也</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不由公司回</w:t>
            </w:r>
            <w:r>
              <w:rPr>
                <w:rFonts w:ascii="宋体" w:hAnsi="宋体" w:cs="宋体" w:eastAsia="宋体" w:hint="default"/>
                <w:w w:val="101"/>
                <w:sz w:val="18"/>
                <w:szCs w:val="18"/>
              </w:rPr>
              <w:t> </w:t>
            </w:r>
            <w:r>
              <w:rPr>
                <w:rFonts w:ascii="宋体" w:hAnsi="宋体" w:cs="宋体" w:eastAsia="宋体" w:hint="default"/>
                <w:sz w:val="18"/>
                <w:szCs w:val="18"/>
              </w:rPr>
              <w:t>购其间接持</w:t>
            </w:r>
            <w:r>
              <w:rPr>
                <w:rFonts w:ascii="宋体" w:hAnsi="宋体" w:cs="宋体" w:eastAsia="宋体" w:hint="default"/>
                <w:w w:val="101"/>
                <w:sz w:val="18"/>
                <w:szCs w:val="18"/>
              </w:rPr>
              <w:t> </w:t>
            </w:r>
            <w:r>
              <w:rPr>
                <w:rFonts w:ascii="宋体" w:hAnsi="宋体" w:cs="宋体" w:eastAsia="宋体" w:hint="default"/>
                <w:sz w:val="18"/>
                <w:szCs w:val="18"/>
              </w:rPr>
              <w:t>有的公司本</w:t>
            </w:r>
            <w:r>
              <w:rPr>
                <w:rFonts w:ascii="宋体" w:hAnsi="宋体" w:cs="宋体" w:eastAsia="宋体" w:hint="default"/>
                <w:w w:val="101"/>
                <w:sz w:val="18"/>
                <w:szCs w:val="18"/>
              </w:rPr>
              <w:t> </w:t>
            </w:r>
            <w:r>
              <w:rPr>
                <w:rFonts w:ascii="宋体" w:hAnsi="宋体" w:cs="宋体" w:eastAsia="宋体" w:hint="default"/>
                <w:sz w:val="18"/>
                <w:szCs w:val="18"/>
              </w:rPr>
              <w:t>次发行前已</w:t>
            </w:r>
            <w:r>
              <w:rPr>
                <w:rFonts w:ascii="宋体" w:hAnsi="宋体" w:cs="宋体" w:eastAsia="宋体" w:hint="default"/>
                <w:w w:val="101"/>
                <w:sz w:val="18"/>
                <w:szCs w:val="18"/>
              </w:rPr>
              <w:t> </w:t>
            </w:r>
            <w:r>
              <w:rPr>
                <w:rFonts w:ascii="宋体" w:hAnsi="宋体" w:cs="宋体" w:eastAsia="宋体" w:hint="default"/>
                <w:sz w:val="18"/>
                <w:szCs w:val="18"/>
              </w:rPr>
              <w:t>发行的股份</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8791"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5"/>
              <w:ind w:left="23" w:right="12"/>
              <w:jc w:val="left"/>
              <w:rPr>
                <w:rFonts w:ascii="宋体" w:hAnsi="宋体" w:cs="宋体" w:eastAsia="宋体" w:hint="default"/>
                <w:sz w:val="18"/>
                <w:szCs w:val="18"/>
              </w:rPr>
            </w:pPr>
            <w:r>
              <w:rPr>
                <w:rFonts w:ascii="宋体" w:hAnsi="宋体" w:cs="宋体" w:eastAsia="宋体" w:hint="default"/>
                <w:sz w:val="18"/>
                <w:szCs w:val="18"/>
              </w:rPr>
              <w:t>曹健</w:t>
            </w:r>
            <w:r>
              <w:rPr>
                <w:rFonts w:ascii="Times New Roman" w:hAnsi="Times New Roman" w:cs="Times New Roman" w:eastAsia="Times New Roman" w:hint="default"/>
                <w:sz w:val="18"/>
                <w:szCs w:val="18"/>
              </w:rPr>
              <w:t>;</w:t>
            </w:r>
            <w:r>
              <w:rPr>
                <w:rFonts w:ascii="宋体" w:hAnsi="宋体" w:cs="宋体" w:eastAsia="宋体" w:hint="default"/>
                <w:sz w:val="18"/>
                <w:szCs w:val="18"/>
              </w:rPr>
              <w:t>冯忆文</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傅烈勇</w:t>
            </w:r>
            <w:r>
              <w:rPr>
                <w:rFonts w:ascii="Times New Roman" w:hAnsi="Times New Roman" w:cs="Times New Roman" w:eastAsia="Times New Roman" w:hint="default"/>
                <w:sz w:val="18"/>
                <w:szCs w:val="18"/>
              </w:rPr>
              <w:t>;</w:t>
            </w:r>
            <w:r>
              <w:rPr>
                <w:rFonts w:ascii="宋体" w:hAnsi="宋体" w:cs="宋体" w:eastAsia="宋体" w:hint="default"/>
                <w:sz w:val="18"/>
                <w:szCs w:val="18"/>
              </w:rPr>
              <w:t>沈红</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夏红</w:t>
            </w:r>
            <w:r>
              <w:rPr>
                <w:rFonts w:ascii="Times New Roman" w:hAnsi="Times New Roman" w:cs="Times New Roman" w:eastAsia="Times New Roman" w:hint="default"/>
                <w:sz w:val="18"/>
                <w:szCs w:val="18"/>
              </w:rPr>
              <w:t>;</w:t>
            </w:r>
            <w:r>
              <w:rPr>
                <w:rFonts w:ascii="宋体" w:hAnsi="宋体" w:cs="宋体" w:eastAsia="宋体" w:hint="default"/>
                <w:sz w:val="18"/>
                <w:szCs w:val="18"/>
              </w:rPr>
              <w:t>杨波</w:t>
            </w:r>
            <w:r>
              <w:rPr>
                <w:rFonts w:ascii="Times New Roman" w:hAnsi="Times New Roman" w:cs="Times New Roman" w:eastAsia="Times New Roman" w:hint="default"/>
                <w:sz w:val="18"/>
                <w:szCs w:val="18"/>
              </w:rPr>
              <w:t>;</w:t>
            </w:r>
            <w:r>
              <w:rPr>
                <w:rFonts w:ascii="宋体" w:hAnsi="宋体" w:cs="宋体" w:eastAsia="宋体" w:hint="default"/>
                <w:sz w:val="18"/>
                <w:szCs w:val="18"/>
              </w:rPr>
              <w:t>杨</w:t>
            </w:r>
            <w:r>
              <w:rPr>
                <w:rFonts w:ascii="宋体" w:hAnsi="宋体" w:cs="宋体" w:eastAsia="宋体" w:hint="default"/>
                <w:spacing w:val="-88"/>
                <w:sz w:val="18"/>
                <w:szCs w:val="18"/>
              </w:rPr>
              <w:t> </w:t>
            </w:r>
            <w:r>
              <w:rPr>
                <w:rFonts w:ascii="宋体" w:hAnsi="宋体" w:cs="宋体" w:eastAsia="宋体" w:hint="default"/>
                <w:sz w:val="18"/>
                <w:szCs w:val="18"/>
              </w:rPr>
              <w:t>一兵</w:t>
            </w:r>
            <w:r>
              <w:rPr>
                <w:rFonts w:ascii="Times New Roman" w:hAnsi="Times New Roman" w:cs="Times New Roman" w:eastAsia="Times New Roman" w:hint="default"/>
                <w:sz w:val="18"/>
                <w:szCs w:val="18"/>
              </w:rPr>
              <w:t>;</w:t>
            </w:r>
            <w:r>
              <w:rPr>
                <w:rFonts w:ascii="宋体" w:hAnsi="宋体" w:cs="宋体" w:eastAsia="宋体" w:hint="default"/>
                <w:sz w:val="18"/>
                <w:szCs w:val="18"/>
              </w:rPr>
              <w:t>张雪峰</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pacing w:val="-11"/>
                <w:sz w:val="18"/>
                <w:szCs w:val="18"/>
              </w:rPr>
              <w:t>章逸</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孙霆；任</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4"/>
                <w:sz w:val="18"/>
                <w:szCs w:val="18"/>
              </w:rPr>
              <w:t>洪明；姚建民</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8"/>
              <w:ind w:left="23" w:right="190"/>
              <w:jc w:val="left"/>
              <w:rPr>
                <w:rFonts w:ascii="宋体" w:hAnsi="宋体" w:cs="宋体" w:eastAsia="宋体" w:hint="default"/>
                <w:sz w:val="18"/>
                <w:szCs w:val="18"/>
              </w:rPr>
            </w:pPr>
            <w:r>
              <w:rPr>
                <w:rFonts w:ascii="宋体" w:hAnsi="宋体" w:cs="宋体" w:eastAsia="宋体" w:hint="default"/>
                <w:spacing w:val="-2"/>
                <w:sz w:val="18"/>
                <w:szCs w:val="18"/>
              </w:rPr>
              <w:t>股份增持承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2"/>
              <w:jc w:val="left"/>
              <w:rPr>
                <w:rFonts w:ascii="宋体" w:hAnsi="宋体" w:cs="宋体" w:eastAsia="宋体" w:hint="default"/>
                <w:sz w:val="18"/>
                <w:szCs w:val="18"/>
              </w:rPr>
            </w:pPr>
            <w:r>
              <w:rPr>
                <w:rFonts w:ascii="宋体" w:hAnsi="宋体" w:cs="宋体" w:eastAsia="宋体" w:hint="default"/>
                <w:sz w:val="18"/>
                <w:szCs w:val="18"/>
              </w:rPr>
              <w:t>在控股股东</w:t>
            </w:r>
            <w:r>
              <w:rPr>
                <w:rFonts w:ascii="宋体" w:hAnsi="宋体" w:cs="宋体" w:eastAsia="宋体" w:hint="default"/>
                <w:w w:val="101"/>
                <w:sz w:val="18"/>
                <w:szCs w:val="18"/>
              </w:rPr>
              <w:t> </w:t>
            </w:r>
            <w:r>
              <w:rPr>
                <w:rFonts w:ascii="宋体" w:hAnsi="宋体" w:cs="宋体" w:eastAsia="宋体" w:hint="default"/>
                <w:sz w:val="18"/>
                <w:szCs w:val="18"/>
              </w:rPr>
              <w:t>增持股份措</w:t>
            </w:r>
            <w:r>
              <w:rPr>
                <w:rFonts w:ascii="宋体" w:hAnsi="宋体" w:cs="宋体" w:eastAsia="宋体" w:hint="default"/>
                <w:w w:val="101"/>
                <w:sz w:val="18"/>
                <w:szCs w:val="18"/>
              </w:rPr>
              <w:t> </w:t>
            </w:r>
            <w:r>
              <w:rPr>
                <w:rFonts w:ascii="宋体" w:hAnsi="宋体" w:cs="宋体" w:eastAsia="宋体" w:hint="default"/>
                <w:spacing w:val="-4"/>
                <w:sz w:val="18"/>
                <w:szCs w:val="18"/>
              </w:rPr>
              <w:t>施、公司回购</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股份措施实</w:t>
            </w:r>
            <w:r>
              <w:rPr>
                <w:rFonts w:ascii="宋体" w:hAnsi="宋体" w:cs="宋体" w:eastAsia="宋体" w:hint="default"/>
                <w:w w:val="101"/>
                <w:sz w:val="18"/>
                <w:szCs w:val="18"/>
              </w:rPr>
              <w:t> </w:t>
            </w:r>
            <w:r>
              <w:rPr>
                <w:rFonts w:ascii="宋体" w:hAnsi="宋体" w:cs="宋体" w:eastAsia="宋体" w:hint="default"/>
                <w:spacing w:val="-4"/>
                <w:sz w:val="18"/>
                <w:szCs w:val="18"/>
              </w:rPr>
              <w:t>施后，仍出现</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公司股票连</w:t>
            </w:r>
            <w:r>
              <w:rPr>
                <w:rFonts w:ascii="宋体" w:hAnsi="宋体" w:cs="宋体" w:eastAsia="宋体" w:hint="default"/>
                <w:w w:val="101"/>
                <w:sz w:val="18"/>
                <w:szCs w:val="18"/>
              </w:rPr>
              <w:t> </w:t>
            </w:r>
            <w:r>
              <w:rPr>
                <w:rFonts w:ascii="宋体" w:hAnsi="宋体" w:cs="宋体" w:eastAsia="宋体" w:hint="default"/>
                <w:sz w:val="18"/>
                <w:szCs w:val="18"/>
              </w:rPr>
              <w:t>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日的收盘价</w:t>
            </w:r>
            <w:r>
              <w:rPr>
                <w:rFonts w:ascii="宋体" w:hAnsi="宋体" w:cs="宋体" w:eastAsia="宋体" w:hint="default"/>
                <w:w w:val="101"/>
                <w:sz w:val="18"/>
                <w:szCs w:val="18"/>
              </w:rPr>
              <w:t> </w:t>
            </w:r>
            <w:r>
              <w:rPr>
                <w:rFonts w:ascii="宋体" w:hAnsi="宋体" w:cs="宋体" w:eastAsia="宋体" w:hint="default"/>
                <w:sz w:val="18"/>
                <w:szCs w:val="18"/>
              </w:rPr>
              <w:t>低于公司最</w:t>
            </w:r>
            <w:r>
              <w:rPr>
                <w:rFonts w:ascii="宋体" w:hAnsi="宋体" w:cs="宋体" w:eastAsia="宋体" w:hint="default"/>
                <w:w w:val="101"/>
                <w:sz w:val="18"/>
                <w:szCs w:val="18"/>
              </w:rPr>
              <w:t> </w:t>
            </w:r>
            <w:r>
              <w:rPr>
                <w:rFonts w:ascii="宋体" w:hAnsi="宋体" w:cs="宋体" w:eastAsia="宋体" w:hint="default"/>
                <w:sz w:val="18"/>
                <w:szCs w:val="18"/>
              </w:rPr>
              <w:t>近一期末每</w:t>
            </w:r>
            <w:r>
              <w:rPr>
                <w:rFonts w:ascii="宋体" w:hAnsi="宋体" w:cs="宋体" w:eastAsia="宋体" w:hint="default"/>
                <w:w w:val="101"/>
                <w:sz w:val="18"/>
                <w:szCs w:val="18"/>
              </w:rPr>
              <w:t> </w:t>
            </w:r>
            <w:r>
              <w:rPr>
                <w:rFonts w:ascii="宋体" w:hAnsi="宋体" w:cs="宋体" w:eastAsia="宋体" w:hint="default"/>
                <w:sz w:val="18"/>
                <w:szCs w:val="18"/>
              </w:rPr>
              <w:t>股净资产的</w:t>
            </w:r>
            <w:r>
              <w:rPr>
                <w:rFonts w:ascii="宋体" w:hAnsi="宋体" w:cs="宋体" w:eastAsia="宋体" w:hint="default"/>
                <w:w w:val="101"/>
                <w:sz w:val="18"/>
                <w:szCs w:val="18"/>
              </w:rPr>
              <w:t> </w:t>
            </w:r>
            <w:r>
              <w:rPr>
                <w:rFonts w:ascii="宋体" w:hAnsi="宋体" w:cs="宋体" w:eastAsia="宋体" w:hint="default"/>
                <w:spacing w:val="-4"/>
                <w:sz w:val="18"/>
                <w:szCs w:val="18"/>
              </w:rPr>
              <w:t>情形，公司董</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事、高级管理</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人员应于出</w:t>
            </w:r>
            <w:r>
              <w:rPr>
                <w:rFonts w:ascii="宋体" w:hAnsi="宋体" w:cs="宋体" w:eastAsia="宋体" w:hint="default"/>
                <w:w w:val="101"/>
                <w:sz w:val="18"/>
                <w:szCs w:val="18"/>
              </w:rPr>
              <w:t> </w:t>
            </w:r>
            <w:r>
              <w:rPr>
                <w:rFonts w:ascii="宋体" w:hAnsi="宋体" w:cs="宋体" w:eastAsia="宋体" w:hint="default"/>
                <w:sz w:val="18"/>
                <w:szCs w:val="18"/>
              </w:rPr>
              <w:t>现上述情形</w:t>
            </w:r>
            <w:r>
              <w:rPr>
                <w:rFonts w:ascii="宋体" w:hAnsi="宋体" w:cs="宋体" w:eastAsia="宋体" w:hint="default"/>
                <w:w w:val="101"/>
                <w:sz w:val="18"/>
                <w:szCs w:val="18"/>
              </w:rPr>
              <w:t> </w:t>
            </w:r>
            <w:r>
              <w:rPr>
                <w:rFonts w:ascii="宋体" w:hAnsi="宋体" w:cs="宋体" w:eastAsia="宋体" w:hint="default"/>
                <w:sz w:val="18"/>
                <w:szCs w:val="18"/>
              </w:rPr>
              <w:t>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日内（如期间</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存在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N</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个交</w:t>
            </w:r>
            <w:r>
              <w:rPr>
                <w:rFonts w:ascii="宋体" w:hAnsi="宋体" w:cs="宋体" w:eastAsia="宋体" w:hint="default"/>
                <w:spacing w:val="-83"/>
                <w:sz w:val="18"/>
                <w:szCs w:val="18"/>
              </w:rPr>
              <w:t> </w:t>
            </w:r>
            <w:r>
              <w:rPr>
                <w:rFonts w:ascii="宋体" w:hAnsi="宋体" w:cs="宋体" w:eastAsia="宋体" w:hint="default"/>
                <w:sz w:val="18"/>
                <w:szCs w:val="18"/>
              </w:rPr>
              <w:t>易日限制董</w:t>
            </w:r>
            <w:r>
              <w:rPr>
                <w:rFonts w:ascii="宋体" w:hAnsi="宋体" w:cs="宋体" w:eastAsia="宋体" w:hint="default"/>
                <w:w w:val="101"/>
                <w:sz w:val="18"/>
                <w:szCs w:val="18"/>
              </w:rPr>
              <w:t> </w:t>
            </w:r>
            <w:r>
              <w:rPr>
                <w:rFonts w:ascii="宋体" w:hAnsi="宋体" w:cs="宋体" w:eastAsia="宋体" w:hint="default"/>
                <w:spacing w:val="-4"/>
                <w:sz w:val="18"/>
                <w:szCs w:val="18"/>
              </w:rPr>
              <w:t>事、高级管理</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人员买卖股</w:t>
            </w:r>
          </w:p>
          <w:p>
            <w:pPr>
              <w:pStyle w:val="TableParagraph"/>
              <w:spacing w:line="314" w:lineRule="auto" w:before="20"/>
              <w:ind w:left="24" w:right="3"/>
              <w:jc w:val="left"/>
              <w:rPr>
                <w:rFonts w:ascii="宋体" w:hAnsi="宋体" w:cs="宋体" w:eastAsia="宋体" w:hint="default"/>
                <w:sz w:val="18"/>
                <w:szCs w:val="18"/>
              </w:rPr>
            </w:pPr>
            <w:r>
              <w:rPr>
                <w:rFonts w:ascii="宋体" w:hAnsi="宋体" w:cs="宋体" w:eastAsia="宋体" w:hint="default"/>
                <w:spacing w:val="-2"/>
                <w:sz w:val="18"/>
                <w:szCs w:val="18"/>
              </w:rPr>
              <w:t>票，则董事、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高级管理人</w:t>
            </w:r>
            <w:r>
              <w:rPr>
                <w:rFonts w:ascii="宋体" w:hAnsi="宋体" w:cs="宋体" w:eastAsia="宋体" w:hint="default"/>
                <w:w w:val="101"/>
                <w:sz w:val="18"/>
                <w:szCs w:val="18"/>
              </w:rPr>
              <w:t> </w:t>
            </w:r>
            <w:r>
              <w:rPr>
                <w:rFonts w:ascii="宋体" w:hAnsi="宋体" w:cs="宋体" w:eastAsia="宋体" w:hint="default"/>
                <w:sz w:val="18"/>
                <w:szCs w:val="18"/>
              </w:rPr>
              <w:t>员应于出现</w:t>
            </w:r>
            <w:r>
              <w:rPr>
                <w:rFonts w:ascii="宋体" w:hAnsi="宋体" w:cs="宋体" w:eastAsia="宋体" w:hint="default"/>
                <w:w w:val="101"/>
                <w:sz w:val="18"/>
                <w:szCs w:val="18"/>
              </w:rPr>
              <w:t> </w:t>
            </w:r>
            <w:r>
              <w:rPr>
                <w:rFonts w:ascii="宋体" w:hAnsi="宋体" w:cs="宋体" w:eastAsia="宋体" w:hint="default"/>
                <w:sz w:val="18"/>
                <w:szCs w:val="18"/>
              </w:rPr>
              <w:t>上述情形之</w:t>
            </w:r>
            <w:r>
              <w:rPr>
                <w:rFonts w:ascii="宋体" w:hAnsi="宋体" w:cs="宋体" w:eastAsia="宋体" w:hint="default"/>
                <w:w w:val="101"/>
                <w:sz w:val="18"/>
                <w:szCs w:val="18"/>
              </w:rPr>
              <w:t> </w:t>
            </w:r>
            <w:r>
              <w:rPr>
                <w:rFonts w:ascii="宋体" w:hAnsi="宋体" w:cs="宋体" w:eastAsia="宋体" w:hint="default"/>
                <w:sz w:val="18"/>
                <w:szCs w:val="18"/>
              </w:rPr>
              <w:t>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20+N</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r>
              <w:rPr>
                <w:rFonts w:ascii="宋体" w:hAnsi="宋体" w:cs="宋体" w:eastAsia="宋体" w:hint="default"/>
                <w:spacing w:val="-86"/>
                <w:sz w:val="18"/>
                <w:szCs w:val="18"/>
              </w:rPr>
              <w:t> </w:t>
            </w:r>
            <w:r>
              <w:rPr>
                <w:rFonts w:ascii="宋体" w:hAnsi="宋体" w:cs="宋体" w:eastAsia="宋体" w:hint="default"/>
                <w:spacing w:val="-17"/>
                <w:w w:val="101"/>
                <w:sz w:val="18"/>
                <w:szCs w:val="18"/>
              </w:rPr>
              <w:t>交易日内），</w:t>
            </w:r>
            <w:r>
              <w:rPr>
                <w:rFonts w:ascii="宋体" w:hAnsi="宋体" w:cs="宋体" w:eastAsia="宋体" w:hint="default"/>
                <w:w w:val="101"/>
                <w:sz w:val="18"/>
                <w:szCs w:val="18"/>
              </w:rPr>
              <w:t> </w:t>
            </w:r>
            <w:r>
              <w:rPr>
                <w:rFonts w:ascii="宋体" w:hAnsi="宋体" w:cs="宋体" w:eastAsia="宋体" w:hint="default"/>
                <w:sz w:val="18"/>
                <w:szCs w:val="18"/>
              </w:rPr>
              <w:t>向公司送达</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316"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增持通知书，</w:t>
            </w:r>
          </w:p>
        </w:tc>
        <w:tc>
          <w:tcPr>
            <w:tcW w:w="1129" w:type="dxa"/>
            <w:vMerge w:val="restart"/>
            <w:tcBorders>
              <w:top w:val="single" w:sz="4" w:space="0" w:color="000000"/>
              <w:left w:val="single" w:sz="4" w:space="0" w:color="000000"/>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c>
          <w:tcPr>
            <w:tcW w:w="1104" w:type="dxa"/>
            <w:vMerge w:val="restart"/>
            <w:tcBorders>
              <w:top w:val="single" w:sz="4" w:space="0" w:color="000000"/>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增持通知书</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应包括增持</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股份数量、增</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持价格确定</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方式、增持期</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限、增持目标</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及其他有关</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增持的内容，</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其累计增持</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资金额不低</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于其上一年</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度自公司处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取得的税后</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工资总额的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，但公司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股票收盘价</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连续</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个交</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易日高于最</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近一期经审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计的每股净</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资产，则董</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事、高级管理</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人员可中止</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实施增持计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划。公司股票</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上市后每年</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度，公司董</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事、高级管理</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人员因</w:t>
            </w:r>
            <w:r>
              <w:rPr>
                <w:rFonts w:ascii="Times New Roman" w:hAnsi="Times New Roman" w:cs="Times New Roman" w:eastAsia="Times New Roman" w:hint="default"/>
                <w:sz w:val="18"/>
                <w:szCs w:val="18"/>
              </w:rPr>
              <w:t>"</w:t>
            </w:r>
            <w:r>
              <w:rPr>
                <w:rFonts w:ascii="宋体" w:hAnsi="宋体" w:cs="宋体" w:eastAsia="宋体" w:hint="default"/>
                <w:sz w:val="18"/>
                <w:szCs w:val="18"/>
              </w:rPr>
              <w:t>触发</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稳定股价义</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务</w:t>
            </w:r>
            <w:r>
              <w:rPr>
                <w:rFonts w:ascii="Times New Roman" w:hAnsi="Times New Roman" w:cs="Times New Roman" w:eastAsia="Times New Roman" w:hint="default"/>
                <w:sz w:val="18"/>
                <w:szCs w:val="18"/>
              </w:rPr>
              <w:t>"</w:t>
            </w:r>
            <w:r>
              <w:rPr>
                <w:rFonts w:ascii="宋体" w:hAnsi="宋体" w:cs="宋体" w:eastAsia="宋体" w:hint="default"/>
                <w:sz w:val="18"/>
                <w:szCs w:val="18"/>
              </w:rPr>
              <w:t>而增持公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司股票的累</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计投入金额</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不超过其上</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一年度自公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司处取得的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税后工资总</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额的</w:t>
            </w:r>
            <w:r>
              <w:rPr>
                <w:rFonts w:ascii="宋体" w:hAnsi="宋体" w:cs="宋体" w:eastAsia="宋体" w:hint="default"/>
                <w:spacing w:val="-29"/>
                <w:sz w:val="18"/>
                <w:szCs w:val="18"/>
              </w:rPr>
              <w:t> </w:t>
            </w:r>
            <w:r>
              <w:rPr>
                <w:rFonts w:ascii="Times New Roman" w:hAnsi="Times New Roman" w:cs="Times New Roman" w:eastAsia="Times New Roman" w:hint="default"/>
                <w:spacing w:val="-12"/>
                <w:sz w:val="18"/>
                <w:szCs w:val="18"/>
              </w:rPr>
              <w:t>60%</w:t>
            </w:r>
            <w:r>
              <w:rPr>
                <w:rFonts w:ascii="宋体" w:hAnsi="宋体" w:cs="宋体" w:eastAsia="宋体" w:hint="default"/>
                <w:spacing w:val="-12"/>
                <w:sz w:val="18"/>
                <w:szCs w:val="18"/>
              </w:rPr>
              <w:t>。公</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pacing w:val="-4"/>
                <w:sz w:val="18"/>
                <w:szCs w:val="18"/>
              </w:rPr>
              <w:t>司董事、高级</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管理人员因</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其他原因自</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愿增持公司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8"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股票的，不受</w:t>
            </w: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4"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6"/>
      </w:tblGrid>
      <w:tr>
        <w:trPr>
          <w:trHeight w:val="360"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本条款限制</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13473"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4" w:lineRule="auto"/>
              <w:ind w:left="23" w:right="12"/>
              <w:jc w:val="left"/>
              <w:rPr>
                <w:rFonts w:ascii="宋体" w:hAnsi="宋体" w:cs="宋体" w:eastAsia="宋体" w:hint="default"/>
                <w:sz w:val="18"/>
                <w:szCs w:val="18"/>
              </w:rPr>
            </w:pPr>
            <w:r>
              <w:rPr>
                <w:rFonts w:ascii="宋体" w:hAnsi="宋体" w:cs="宋体" w:eastAsia="宋体" w:hint="default"/>
                <w:sz w:val="18"/>
                <w:szCs w:val="18"/>
              </w:rPr>
              <w:t>杭州磐鸿投</w:t>
            </w:r>
            <w:r>
              <w:rPr>
                <w:rFonts w:ascii="宋体" w:hAnsi="宋体" w:cs="宋体" w:eastAsia="宋体" w:hint="default"/>
                <w:w w:val="101"/>
                <w:sz w:val="18"/>
                <w:szCs w:val="18"/>
              </w:rPr>
              <w:t> </w:t>
            </w:r>
            <w:r>
              <w:rPr>
                <w:rFonts w:ascii="宋体" w:hAnsi="宋体" w:cs="宋体" w:eastAsia="宋体" w:hint="default"/>
                <w:sz w:val="18"/>
                <w:szCs w:val="18"/>
              </w:rPr>
              <w:t>资管理合伙</w:t>
            </w:r>
            <w:r>
              <w:rPr>
                <w:rFonts w:ascii="宋体" w:hAnsi="宋体" w:cs="宋体" w:eastAsia="宋体" w:hint="default"/>
                <w:w w:val="101"/>
                <w:sz w:val="18"/>
                <w:szCs w:val="18"/>
              </w:rPr>
              <w:t> </w:t>
            </w:r>
            <w:r>
              <w:rPr>
                <w:rFonts w:ascii="宋体" w:hAnsi="宋体" w:cs="宋体" w:eastAsia="宋体" w:hint="default"/>
                <w:spacing w:val="-4"/>
                <w:sz w:val="18"/>
                <w:szCs w:val="18"/>
              </w:rPr>
              <w:t>企业（有限合</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11"/>
                <w:sz w:val="18"/>
                <w:szCs w:val="18"/>
              </w:rPr>
              <w:t>伙）</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杭州磐源</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投资有限公</w:t>
            </w:r>
            <w:r>
              <w:rPr>
                <w:rFonts w:ascii="宋体" w:hAnsi="宋体" w:cs="宋体" w:eastAsia="宋体" w:hint="default"/>
                <w:w w:val="101"/>
                <w:sz w:val="18"/>
                <w:szCs w:val="18"/>
              </w:rPr>
              <w:t> </w:t>
            </w:r>
            <w:r>
              <w:rPr>
                <w:rFonts w:ascii="宋体" w:hAnsi="宋体" w:cs="宋体" w:eastAsia="宋体" w:hint="default"/>
                <w:sz w:val="18"/>
                <w:szCs w:val="18"/>
              </w:rPr>
              <w:t>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316" w:lineRule="auto"/>
              <w:ind w:left="23" w:right="190"/>
              <w:jc w:val="left"/>
              <w:rPr>
                <w:rFonts w:ascii="宋体" w:hAnsi="宋体" w:cs="宋体" w:eastAsia="宋体" w:hint="default"/>
                <w:sz w:val="18"/>
                <w:szCs w:val="18"/>
              </w:rPr>
            </w:pPr>
            <w:r>
              <w:rPr>
                <w:rFonts w:ascii="宋体" w:hAnsi="宋体" w:cs="宋体" w:eastAsia="宋体" w:hint="default"/>
                <w:spacing w:val="-2"/>
                <w:sz w:val="18"/>
                <w:szCs w:val="18"/>
              </w:rPr>
              <w:t>股份减持承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
              <w:jc w:val="left"/>
              <w:rPr>
                <w:rFonts w:ascii="宋体" w:hAnsi="宋体" w:cs="宋体" w:eastAsia="宋体" w:hint="default"/>
                <w:sz w:val="18"/>
                <w:szCs w:val="18"/>
              </w:rPr>
            </w:pPr>
            <w:r>
              <w:rPr>
                <w:rFonts w:ascii="宋体" w:hAnsi="宋体" w:cs="宋体" w:eastAsia="宋体" w:hint="default"/>
                <w:sz w:val="18"/>
                <w:szCs w:val="18"/>
              </w:rPr>
              <w:t>公司控股股</w:t>
            </w:r>
            <w:r>
              <w:rPr>
                <w:rFonts w:ascii="宋体" w:hAnsi="宋体" w:cs="宋体" w:eastAsia="宋体" w:hint="default"/>
                <w:w w:val="101"/>
                <w:sz w:val="18"/>
                <w:szCs w:val="18"/>
              </w:rPr>
              <w:t> </w:t>
            </w:r>
            <w:r>
              <w:rPr>
                <w:rFonts w:ascii="宋体" w:hAnsi="宋体" w:cs="宋体" w:eastAsia="宋体" w:hint="default"/>
                <w:spacing w:val="-2"/>
                <w:sz w:val="18"/>
                <w:szCs w:val="18"/>
              </w:rPr>
              <w:t>东磐源投资、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实际控制人</w:t>
            </w:r>
            <w:r>
              <w:rPr>
                <w:rFonts w:ascii="宋体" w:hAnsi="宋体" w:cs="宋体" w:eastAsia="宋体" w:hint="default"/>
                <w:w w:val="101"/>
                <w:sz w:val="18"/>
                <w:szCs w:val="18"/>
              </w:rPr>
              <w:t> </w:t>
            </w:r>
            <w:r>
              <w:rPr>
                <w:rFonts w:ascii="宋体" w:hAnsi="宋体" w:cs="宋体" w:eastAsia="宋体" w:hint="default"/>
                <w:sz w:val="18"/>
                <w:szCs w:val="18"/>
              </w:rPr>
              <w:t>杨一兵及杨</w:t>
            </w:r>
            <w:r>
              <w:rPr>
                <w:rFonts w:ascii="宋体" w:hAnsi="宋体" w:cs="宋体" w:eastAsia="宋体" w:hint="default"/>
                <w:w w:val="101"/>
                <w:sz w:val="18"/>
                <w:szCs w:val="18"/>
              </w:rPr>
              <w:t> </w:t>
            </w:r>
            <w:r>
              <w:rPr>
                <w:rFonts w:ascii="宋体" w:hAnsi="宋体" w:cs="宋体" w:eastAsia="宋体" w:hint="default"/>
                <w:spacing w:val="-4"/>
                <w:sz w:val="18"/>
                <w:szCs w:val="18"/>
              </w:rPr>
              <w:t>波、公司股东</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磐鸿投资、公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司董事及高</w:t>
            </w:r>
            <w:r>
              <w:rPr>
                <w:rFonts w:ascii="宋体" w:hAnsi="宋体" w:cs="宋体" w:eastAsia="宋体" w:hint="default"/>
                <w:w w:val="101"/>
                <w:sz w:val="18"/>
                <w:szCs w:val="18"/>
              </w:rPr>
              <w:t> </w:t>
            </w:r>
            <w:r>
              <w:rPr>
                <w:rFonts w:ascii="宋体" w:hAnsi="宋体" w:cs="宋体" w:eastAsia="宋体" w:hint="default"/>
                <w:sz w:val="18"/>
                <w:szCs w:val="18"/>
              </w:rPr>
              <w:t>级管理人员</w:t>
            </w:r>
            <w:r>
              <w:rPr>
                <w:rFonts w:ascii="宋体" w:hAnsi="宋体" w:cs="宋体" w:eastAsia="宋体" w:hint="default"/>
                <w:w w:val="101"/>
                <w:sz w:val="18"/>
                <w:szCs w:val="18"/>
              </w:rPr>
              <w:t> </w:t>
            </w:r>
            <w:r>
              <w:rPr>
                <w:rFonts w:ascii="宋体" w:hAnsi="宋体" w:cs="宋体" w:eastAsia="宋体" w:hint="default"/>
                <w:spacing w:val="-2"/>
                <w:sz w:val="18"/>
                <w:szCs w:val="18"/>
              </w:rPr>
              <w:t>傅烈勇承诺，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其直接或间</w:t>
            </w:r>
            <w:r>
              <w:rPr>
                <w:rFonts w:ascii="宋体" w:hAnsi="宋体" w:cs="宋体" w:eastAsia="宋体" w:hint="default"/>
                <w:w w:val="101"/>
                <w:sz w:val="18"/>
                <w:szCs w:val="18"/>
              </w:rPr>
              <w:t> </w:t>
            </w:r>
            <w:r>
              <w:rPr>
                <w:rFonts w:ascii="宋体" w:hAnsi="宋体" w:cs="宋体" w:eastAsia="宋体" w:hint="default"/>
                <w:sz w:val="18"/>
                <w:szCs w:val="18"/>
              </w:rPr>
              <w:t>接持有的公</w:t>
            </w:r>
            <w:r>
              <w:rPr>
                <w:rFonts w:ascii="宋体" w:hAnsi="宋体" w:cs="宋体" w:eastAsia="宋体" w:hint="default"/>
                <w:w w:val="101"/>
                <w:sz w:val="18"/>
                <w:szCs w:val="18"/>
              </w:rPr>
              <w:t> </w:t>
            </w:r>
            <w:r>
              <w:rPr>
                <w:rFonts w:ascii="宋体" w:hAnsi="宋体" w:cs="宋体" w:eastAsia="宋体" w:hint="default"/>
                <w:sz w:val="18"/>
                <w:szCs w:val="18"/>
              </w:rPr>
              <w:t>司股票在锁</w:t>
            </w:r>
            <w:r>
              <w:rPr>
                <w:rFonts w:ascii="宋体" w:hAnsi="宋体" w:cs="宋体" w:eastAsia="宋体" w:hint="default"/>
                <w:w w:val="101"/>
                <w:sz w:val="18"/>
                <w:szCs w:val="18"/>
              </w:rPr>
              <w:t> </w:t>
            </w:r>
            <w:r>
              <w:rPr>
                <w:rFonts w:ascii="宋体" w:hAnsi="宋体" w:cs="宋体" w:eastAsia="宋体" w:hint="default"/>
                <w:sz w:val="18"/>
                <w:szCs w:val="18"/>
              </w:rPr>
              <w:t>定期届满后</w:t>
            </w:r>
            <w:r>
              <w:rPr>
                <w:rFonts w:ascii="宋体" w:hAnsi="宋体" w:cs="宋体" w:eastAsia="宋体" w:hint="default"/>
                <w:w w:val="101"/>
                <w:sz w:val="18"/>
                <w:szCs w:val="18"/>
              </w:rPr>
              <w:t> </w:t>
            </w:r>
            <w:r>
              <w:rPr>
                <w:rFonts w:ascii="宋体" w:hAnsi="宋体" w:cs="宋体" w:eastAsia="宋体" w:hint="default"/>
                <w:sz w:val="18"/>
                <w:szCs w:val="18"/>
              </w:rPr>
              <w:t>两年内减持</w:t>
            </w:r>
            <w:r>
              <w:rPr>
                <w:rFonts w:ascii="宋体" w:hAnsi="宋体" w:cs="宋体" w:eastAsia="宋体" w:hint="default"/>
                <w:w w:val="101"/>
                <w:sz w:val="18"/>
                <w:szCs w:val="18"/>
              </w:rPr>
              <w:t> </w:t>
            </w:r>
            <w:r>
              <w:rPr>
                <w:rFonts w:ascii="宋体" w:hAnsi="宋体" w:cs="宋体" w:eastAsia="宋体" w:hint="default"/>
                <w:spacing w:val="-4"/>
                <w:sz w:val="18"/>
                <w:szCs w:val="18"/>
              </w:rPr>
              <w:t>的，其减持价</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格不低于本</w:t>
            </w:r>
            <w:r>
              <w:rPr>
                <w:rFonts w:ascii="宋体" w:hAnsi="宋体" w:cs="宋体" w:eastAsia="宋体" w:hint="default"/>
                <w:w w:val="101"/>
                <w:sz w:val="18"/>
                <w:szCs w:val="18"/>
              </w:rPr>
              <w:t> </w:t>
            </w:r>
            <w:r>
              <w:rPr>
                <w:rFonts w:ascii="宋体" w:hAnsi="宋体" w:cs="宋体" w:eastAsia="宋体" w:hint="default"/>
                <w:sz w:val="18"/>
                <w:szCs w:val="18"/>
              </w:rPr>
              <w:t>次发行并上</w:t>
            </w:r>
            <w:r>
              <w:rPr>
                <w:rFonts w:ascii="宋体" w:hAnsi="宋体" w:cs="宋体" w:eastAsia="宋体" w:hint="default"/>
                <w:w w:val="101"/>
                <w:sz w:val="18"/>
                <w:szCs w:val="18"/>
              </w:rPr>
              <w:t> </w:t>
            </w:r>
            <w:r>
              <w:rPr>
                <w:rFonts w:ascii="宋体" w:hAnsi="宋体" w:cs="宋体" w:eastAsia="宋体" w:hint="default"/>
                <w:sz w:val="18"/>
                <w:szCs w:val="18"/>
              </w:rPr>
              <w:t>市时公司股</w:t>
            </w:r>
            <w:r>
              <w:rPr>
                <w:rFonts w:ascii="宋体" w:hAnsi="宋体" w:cs="宋体" w:eastAsia="宋体" w:hint="default"/>
                <w:w w:val="101"/>
                <w:sz w:val="18"/>
                <w:szCs w:val="18"/>
              </w:rPr>
              <w:t> </w:t>
            </w:r>
            <w:r>
              <w:rPr>
                <w:rFonts w:ascii="宋体" w:hAnsi="宋体" w:cs="宋体" w:eastAsia="宋体" w:hint="default"/>
                <w:sz w:val="18"/>
                <w:szCs w:val="18"/>
              </w:rPr>
              <w:t>票的发行价</w:t>
            </w:r>
          </w:p>
          <w:p>
            <w:pPr>
              <w:pStyle w:val="TableParagraph"/>
              <w:spacing w:line="316" w:lineRule="auto" w:before="17"/>
              <w:ind w:left="24" w:right="3"/>
              <w:jc w:val="left"/>
              <w:rPr>
                <w:rFonts w:ascii="宋体" w:hAnsi="宋体" w:cs="宋体" w:eastAsia="宋体" w:hint="default"/>
                <w:sz w:val="18"/>
                <w:szCs w:val="18"/>
              </w:rPr>
            </w:pPr>
            <w:r>
              <w:rPr>
                <w:rFonts w:ascii="宋体" w:hAnsi="宋体" w:cs="宋体" w:eastAsia="宋体" w:hint="default"/>
                <w:sz w:val="18"/>
                <w:szCs w:val="18"/>
              </w:rPr>
              <w:t>（如发行人</w:t>
            </w:r>
            <w:r>
              <w:rPr>
                <w:rFonts w:ascii="宋体" w:hAnsi="宋体" w:cs="宋体" w:eastAsia="宋体" w:hint="default"/>
                <w:w w:val="101"/>
                <w:sz w:val="18"/>
                <w:szCs w:val="18"/>
              </w:rPr>
              <w:t> </w:t>
            </w:r>
            <w:r>
              <w:rPr>
                <w:rFonts w:ascii="宋体" w:hAnsi="宋体" w:cs="宋体" w:eastAsia="宋体" w:hint="default"/>
                <w:spacing w:val="-4"/>
                <w:sz w:val="18"/>
                <w:szCs w:val="18"/>
              </w:rPr>
              <w:t>发生分红、派</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息、送股、资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本公积金转</w:t>
            </w:r>
            <w:r>
              <w:rPr>
                <w:rFonts w:ascii="宋体" w:hAnsi="宋体" w:cs="宋体" w:eastAsia="宋体" w:hint="default"/>
                <w:w w:val="101"/>
                <w:sz w:val="18"/>
                <w:szCs w:val="18"/>
              </w:rPr>
              <w:t> </w:t>
            </w:r>
            <w:r>
              <w:rPr>
                <w:rFonts w:ascii="宋体" w:hAnsi="宋体" w:cs="宋体" w:eastAsia="宋体" w:hint="default"/>
                <w:sz w:val="18"/>
                <w:szCs w:val="18"/>
              </w:rPr>
              <w:t>增股本等除</w:t>
            </w:r>
            <w:r>
              <w:rPr>
                <w:rFonts w:ascii="宋体" w:hAnsi="宋体" w:cs="宋体" w:eastAsia="宋体" w:hint="default"/>
                <w:w w:val="101"/>
                <w:sz w:val="18"/>
                <w:szCs w:val="18"/>
              </w:rPr>
              <w:t> </w:t>
            </w:r>
            <w:r>
              <w:rPr>
                <w:rFonts w:ascii="宋体" w:hAnsi="宋体" w:cs="宋体" w:eastAsia="宋体" w:hint="default"/>
                <w:spacing w:val="-2"/>
                <w:sz w:val="18"/>
                <w:szCs w:val="18"/>
              </w:rPr>
              <w:t>权除息事项，</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须按照有关</w:t>
            </w:r>
            <w:r>
              <w:rPr>
                <w:rFonts w:ascii="宋体" w:hAnsi="宋体" w:cs="宋体" w:eastAsia="宋体" w:hint="default"/>
                <w:w w:val="101"/>
                <w:sz w:val="18"/>
                <w:szCs w:val="18"/>
              </w:rPr>
              <w:t> </w:t>
            </w:r>
            <w:r>
              <w:rPr>
                <w:rFonts w:ascii="宋体" w:hAnsi="宋体" w:cs="宋体" w:eastAsia="宋体" w:hint="default"/>
                <w:sz w:val="18"/>
                <w:szCs w:val="18"/>
              </w:rPr>
              <w:t>规定做复权</w:t>
            </w:r>
            <w:r>
              <w:rPr>
                <w:rFonts w:ascii="宋体" w:hAnsi="宋体" w:cs="宋体" w:eastAsia="宋体" w:hint="default"/>
                <w:w w:val="101"/>
                <w:sz w:val="18"/>
                <w:szCs w:val="18"/>
              </w:rPr>
              <w:t> </w:t>
            </w:r>
            <w:r>
              <w:rPr>
                <w:rFonts w:ascii="宋体" w:hAnsi="宋体" w:cs="宋体" w:eastAsia="宋体" w:hint="default"/>
                <w:spacing w:val="-17"/>
                <w:w w:val="101"/>
                <w:sz w:val="18"/>
                <w:szCs w:val="18"/>
              </w:rPr>
              <w:t>处理）；公司</w:t>
            </w:r>
            <w:r>
              <w:rPr>
                <w:rFonts w:ascii="宋体" w:hAnsi="宋体" w:cs="宋体" w:eastAsia="宋体" w:hint="default"/>
                <w:w w:val="101"/>
                <w:sz w:val="18"/>
                <w:szCs w:val="18"/>
              </w:rPr>
              <w:t> </w:t>
            </w:r>
            <w:r>
              <w:rPr>
                <w:rFonts w:ascii="宋体" w:hAnsi="宋体" w:cs="宋体" w:eastAsia="宋体" w:hint="default"/>
                <w:sz w:val="18"/>
                <w:szCs w:val="18"/>
              </w:rPr>
              <w:t>上市后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个月</w:t>
            </w:r>
            <w:r>
              <w:rPr>
                <w:rFonts w:ascii="宋体" w:hAnsi="宋体" w:cs="宋体" w:eastAsia="宋体" w:hint="default"/>
                <w:spacing w:val="-87"/>
                <w:sz w:val="18"/>
                <w:szCs w:val="18"/>
              </w:rPr>
              <w:t> </w:t>
            </w:r>
            <w:r>
              <w:rPr>
                <w:rFonts w:ascii="宋体" w:hAnsi="宋体" w:cs="宋体" w:eastAsia="宋体" w:hint="default"/>
                <w:sz w:val="18"/>
                <w:szCs w:val="18"/>
              </w:rPr>
              <w:t>内如公司股</w:t>
            </w:r>
            <w:r>
              <w:rPr>
                <w:rFonts w:ascii="宋体" w:hAnsi="宋体" w:cs="宋体" w:eastAsia="宋体" w:hint="default"/>
                <w:w w:val="101"/>
                <w:sz w:val="18"/>
                <w:szCs w:val="18"/>
              </w:rPr>
              <w:t> </w:t>
            </w:r>
            <w:r>
              <w:rPr>
                <w:rFonts w:ascii="宋体" w:hAnsi="宋体" w:cs="宋体" w:eastAsia="宋体" w:hint="default"/>
                <w:sz w:val="18"/>
                <w:szCs w:val="18"/>
              </w:rPr>
              <w:t>票连续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w:t>
            </w:r>
            <w:r>
              <w:rPr>
                <w:rFonts w:ascii="宋体" w:hAnsi="宋体" w:cs="宋体" w:eastAsia="宋体" w:hint="default"/>
                <w:spacing w:val="-84"/>
                <w:sz w:val="18"/>
                <w:szCs w:val="18"/>
              </w:rPr>
              <w:t> </w:t>
            </w:r>
            <w:r>
              <w:rPr>
                <w:rFonts w:ascii="宋体" w:hAnsi="宋体" w:cs="宋体" w:eastAsia="宋体" w:hint="default"/>
                <w:sz w:val="18"/>
                <w:szCs w:val="18"/>
              </w:rPr>
              <w:t>交易日的收</w:t>
            </w:r>
            <w:r>
              <w:rPr>
                <w:rFonts w:ascii="宋体" w:hAnsi="宋体" w:cs="宋体" w:eastAsia="宋体" w:hint="default"/>
                <w:w w:val="101"/>
                <w:sz w:val="18"/>
                <w:szCs w:val="18"/>
              </w:rPr>
              <w:t> </w:t>
            </w:r>
            <w:r>
              <w:rPr>
                <w:rFonts w:ascii="宋体" w:hAnsi="宋体" w:cs="宋体" w:eastAsia="宋体" w:hint="default"/>
                <w:sz w:val="18"/>
                <w:szCs w:val="18"/>
              </w:rPr>
              <w:t>盘价均低于</w:t>
            </w:r>
            <w:r>
              <w:rPr>
                <w:rFonts w:ascii="宋体" w:hAnsi="宋体" w:cs="宋体" w:eastAsia="宋体" w:hint="default"/>
                <w:w w:val="101"/>
                <w:sz w:val="18"/>
                <w:szCs w:val="18"/>
              </w:rPr>
              <w:t> </w:t>
            </w:r>
            <w:r>
              <w:rPr>
                <w:rFonts w:ascii="宋体" w:hAnsi="宋体" w:cs="宋体" w:eastAsia="宋体" w:hint="default"/>
                <w:spacing w:val="-4"/>
                <w:sz w:val="18"/>
                <w:szCs w:val="18"/>
              </w:rPr>
              <w:t>发行价，或者</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上市后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个月</w:t>
            </w:r>
            <w:r>
              <w:rPr>
                <w:rFonts w:ascii="宋体" w:hAnsi="宋体" w:cs="宋体" w:eastAsia="宋体" w:hint="default"/>
                <w:spacing w:val="-87"/>
                <w:sz w:val="18"/>
                <w:szCs w:val="18"/>
              </w:rPr>
              <w:t> </w:t>
            </w:r>
            <w:r>
              <w:rPr>
                <w:rFonts w:ascii="宋体" w:hAnsi="宋体" w:cs="宋体" w:eastAsia="宋体" w:hint="default"/>
                <w:spacing w:val="-4"/>
                <w:sz w:val="18"/>
                <w:szCs w:val="18"/>
              </w:rPr>
              <w:t>期末（如该日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不是交易日，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则该日后第</w:t>
            </w:r>
            <w:r>
              <w:rPr>
                <w:rFonts w:ascii="宋体" w:hAnsi="宋体" w:cs="宋体" w:eastAsia="宋体" w:hint="default"/>
                <w:w w:val="101"/>
                <w:sz w:val="18"/>
                <w:szCs w:val="18"/>
              </w:rPr>
              <w:t> </w:t>
            </w:r>
            <w:r>
              <w:rPr>
                <w:rFonts w:ascii="宋体" w:hAnsi="宋体" w:cs="宋体" w:eastAsia="宋体" w:hint="default"/>
                <w:spacing w:val="-2"/>
                <w:sz w:val="18"/>
                <w:szCs w:val="18"/>
              </w:rPr>
              <w:t>一个交易日）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收盘价低于</w:t>
            </w:r>
            <w:r>
              <w:rPr>
                <w:rFonts w:ascii="宋体" w:hAnsi="宋体" w:cs="宋体" w:eastAsia="宋体" w:hint="default"/>
                <w:w w:val="101"/>
                <w:sz w:val="18"/>
                <w:szCs w:val="18"/>
              </w:rPr>
              <w:t> </w:t>
            </w:r>
            <w:r>
              <w:rPr>
                <w:rFonts w:ascii="宋体" w:hAnsi="宋体" w:cs="宋体" w:eastAsia="宋体" w:hint="default"/>
                <w:spacing w:val="-4"/>
                <w:sz w:val="18"/>
                <w:szCs w:val="18"/>
              </w:rPr>
              <w:t>发行价，其直</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接或间接持</w:t>
            </w:r>
            <w:r>
              <w:rPr>
                <w:rFonts w:ascii="宋体" w:hAnsi="宋体" w:cs="宋体" w:eastAsia="宋体" w:hint="default"/>
                <w:w w:val="101"/>
                <w:sz w:val="18"/>
                <w:szCs w:val="18"/>
              </w:rPr>
              <w:t> </w:t>
            </w:r>
            <w:r>
              <w:rPr>
                <w:rFonts w:ascii="宋体" w:hAnsi="宋体" w:cs="宋体" w:eastAsia="宋体" w:hint="default"/>
                <w:sz w:val="18"/>
                <w:szCs w:val="18"/>
              </w:rPr>
              <w:t>有的公司股</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6"/>
      </w:tblGrid>
      <w:tr>
        <w:trPr>
          <w:trHeight w:val="10659"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4" w:right="12"/>
              <w:jc w:val="left"/>
              <w:rPr>
                <w:rFonts w:ascii="宋体" w:hAnsi="宋体" w:cs="宋体" w:eastAsia="宋体" w:hint="default"/>
                <w:sz w:val="18"/>
                <w:szCs w:val="18"/>
              </w:rPr>
            </w:pPr>
            <w:r>
              <w:rPr>
                <w:rFonts w:ascii="宋体" w:hAnsi="宋体" w:cs="宋体" w:eastAsia="宋体" w:hint="default"/>
                <w:sz w:val="18"/>
                <w:szCs w:val="18"/>
              </w:rPr>
              <w:t>票的锁定期</w:t>
            </w:r>
            <w:r>
              <w:rPr>
                <w:rFonts w:ascii="宋体" w:hAnsi="宋体" w:cs="宋体" w:eastAsia="宋体" w:hint="default"/>
                <w:w w:val="101"/>
                <w:sz w:val="18"/>
                <w:szCs w:val="18"/>
              </w:rPr>
              <w:t> </w:t>
            </w:r>
            <w:r>
              <w:rPr>
                <w:rFonts w:ascii="宋体" w:hAnsi="宋体" w:cs="宋体" w:eastAsia="宋体" w:hint="default"/>
                <w:sz w:val="18"/>
                <w:szCs w:val="18"/>
              </w:rPr>
              <w:t>限将自动延</w:t>
            </w:r>
            <w:r>
              <w:rPr>
                <w:rFonts w:ascii="宋体" w:hAnsi="宋体" w:cs="宋体" w:eastAsia="宋体" w:hint="default"/>
                <w:w w:val="101"/>
                <w:sz w:val="18"/>
                <w:szCs w:val="18"/>
              </w:rPr>
              <w:t> </w:t>
            </w:r>
            <w:r>
              <w:rPr>
                <w:rFonts w:ascii="宋体" w:hAnsi="宋体" w:cs="宋体" w:eastAsia="宋体" w:hint="default"/>
                <w:sz w:val="18"/>
                <w:szCs w:val="18"/>
              </w:rPr>
              <w:t>长</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个月。承</w:t>
            </w:r>
            <w:r>
              <w:rPr>
                <w:rFonts w:ascii="宋体" w:hAnsi="宋体" w:cs="宋体" w:eastAsia="宋体" w:hint="default"/>
                <w:w w:val="101"/>
                <w:sz w:val="18"/>
                <w:szCs w:val="18"/>
              </w:rPr>
              <w:t> </w:t>
            </w:r>
            <w:r>
              <w:rPr>
                <w:rFonts w:ascii="宋体" w:hAnsi="宋体" w:cs="宋体" w:eastAsia="宋体" w:hint="default"/>
                <w:sz w:val="18"/>
                <w:szCs w:val="18"/>
              </w:rPr>
              <w:t>诺股份锁定</w:t>
            </w:r>
            <w:r>
              <w:rPr>
                <w:rFonts w:ascii="宋体" w:hAnsi="宋体" w:cs="宋体" w:eastAsia="宋体" w:hint="default"/>
                <w:w w:val="101"/>
                <w:sz w:val="18"/>
                <w:szCs w:val="18"/>
              </w:rPr>
              <w:t> </w:t>
            </w:r>
            <w:r>
              <w:rPr>
                <w:rFonts w:ascii="宋体" w:hAnsi="宋体" w:cs="宋体" w:eastAsia="宋体" w:hint="default"/>
                <w:sz w:val="18"/>
                <w:szCs w:val="18"/>
              </w:rPr>
              <w:t>期满后两年</w:t>
            </w:r>
            <w:r>
              <w:rPr>
                <w:rFonts w:ascii="宋体" w:hAnsi="宋体" w:cs="宋体" w:eastAsia="宋体" w:hint="default"/>
                <w:w w:val="101"/>
                <w:sz w:val="18"/>
                <w:szCs w:val="18"/>
              </w:rPr>
              <w:t> </w:t>
            </w:r>
            <w:r>
              <w:rPr>
                <w:rFonts w:ascii="宋体" w:hAnsi="宋体" w:cs="宋体" w:eastAsia="宋体" w:hint="default"/>
                <w:sz w:val="18"/>
                <w:szCs w:val="18"/>
              </w:rPr>
              <w:t>内，其每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个月内转让</w:t>
            </w:r>
            <w:r>
              <w:rPr>
                <w:rFonts w:ascii="宋体" w:hAnsi="宋体" w:cs="宋体" w:eastAsia="宋体" w:hint="default"/>
                <w:w w:val="101"/>
                <w:sz w:val="18"/>
                <w:szCs w:val="18"/>
              </w:rPr>
              <w:t> </w:t>
            </w:r>
            <w:r>
              <w:rPr>
                <w:rFonts w:ascii="宋体" w:hAnsi="宋体" w:cs="宋体" w:eastAsia="宋体" w:hint="default"/>
                <w:sz w:val="18"/>
                <w:szCs w:val="18"/>
              </w:rPr>
              <w:t>的股份将不</w:t>
            </w:r>
            <w:r>
              <w:rPr>
                <w:rFonts w:ascii="宋体" w:hAnsi="宋体" w:cs="宋体" w:eastAsia="宋体" w:hint="default"/>
                <w:w w:val="101"/>
                <w:sz w:val="18"/>
                <w:szCs w:val="18"/>
              </w:rPr>
              <w:t> </w:t>
            </w:r>
            <w:r>
              <w:rPr>
                <w:rFonts w:ascii="宋体" w:hAnsi="宋体" w:cs="宋体" w:eastAsia="宋体" w:hint="default"/>
                <w:sz w:val="18"/>
                <w:szCs w:val="18"/>
              </w:rPr>
              <w:t>超过其直接</w:t>
            </w:r>
            <w:r>
              <w:rPr>
                <w:rFonts w:ascii="宋体" w:hAnsi="宋体" w:cs="宋体" w:eastAsia="宋体" w:hint="default"/>
                <w:w w:val="101"/>
                <w:sz w:val="18"/>
                <w:szCs w:val="18"/>
              </w:rPr>
              <w:t> </w:t>
            </w:r>
            <w:r>
              <w:rPr>
                <w:rFonts w:ascii="宋体" w:hAnsi="宋体" w:cs="宋体" w:eastAsia="宋体" w:hint="default"/>
                <w:sz w:val="18"/>
                <w:szCs w:val="18"/>
              </w:rPr>
              <w:t>或间接持有</w:t>
            </w:r>
            <w:r>
              <w:rPr>
                <w:rFonts w:ascii="宋体" w:hAnsi="宋体" w:cs="宋体" w:eastAsia="宋体" w:hint="default"/>
                <w:w w:val="101"/>
                <w:sz w:val="18"/>
                <w:szCs w:val="18"/>
              </w:rPr>
              <w:t> </w:t>
            </w:r>
            <w:r>
              <w:rPr>
                <w:rFonts w:ascii="宋体" w:hAnsi="宋体" w:cs="宋体" w:eastAsia="宋体" w:hint="default"/>
                <w:sz w:val="18"/>
                <w:szCs w:val="18"/>
              </w:rPr>
              <w:t>公司股份总</w:t>
            </w:r>
            <w:r>
              <w:rPr>
                <w:rFonts w:ascii="宋体" w:hAnsi="宋体" w:cs="宋体" w:eastAsia="宋体" w:hint="default"/>
                <w:w w:val="101"/>
                <w:sz w:val="18"/>
                <w:szCs w:val="18"/>
              </w:rPr>
              <w:t> </w:t>
            </w:r>
            <w:r>
              <w:rPr>
                <w:rFonts w:ascii="宋体" w:hAnsi="宋体" w:cs="宋体" w:eastAsia="宋体" w:hint="default"/>
                <w:sz w:val="18"/>
                <w:szCs w:val="18"/>
              </w:rPr>
              <w:t>数的</w:t>
            </w:r>
            <w:r>
              <w:rPr>
                <w:rFonts w:ascii="宋体" w:hAnsi="宋体" w:cs="宋体" w:eastAsia="宋体" w:hint="default"/>
                <w:spacing w:val="-43"/>
                <w:sz w:val="18"/>
                <w:szCs w:val="18"/>
              </w:rPr>
              <w:t> </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，并</w:t>
            </w:r>
            <w:r>
              <w:rPr>
                <w:rFonts w:ascii="宋体" w:hAnsi="宋体" w:cs="宋体" w:eastAsia="宋体" w:hint="default"/>
                <w:spacing w:val="-81"/>
                <w:sz w:val="18"/>
                <w:szCs w:val="18"/>
              </w:rPr>
              <w:t> </w:t>
            </w:r>
            <w:r>
              <w:rPr>
                <w:rFonts w:ascii="宋体" w:hAnsi="宋体" w:cs="宋体" w:eastAsia="宋体" w:hint="default"/>
                <w:sz w:val="18"/>
                <w:szCs w:val="18"/>
              </w:rPr>
              <w:t>将提前三个</w:t>
            </w:r>
            <w:r>
              <w:rPr>
                <w:rFonts w:ascii="宋体" w:hAnsi="宋体" w:cs="宋体" w:eastAsia="宋体" w:hint="default"/>
                <w:w w:val="101"/>
                <w:sz w:val="18"/>
                <w:szCs w:val="18"/>
              </w:rPr>
              <w:t> </w:t>
            </w:r>
            <w:r>
              <w:rPr>
                <w:rFonts w:ascii="宋体" w:hAnsi="宋体" w:cs="宋体" w:eastAsia="宋体" w:hint="default"/>
                <w:sz w:val="18"/>
                <w:szCs w:val="18"/>
              </w:rPr>
              <w:t>交易日公告</w:t>
            </w:r>
            <w:r>
              <w:rPr>
                <w:rFonts w:ascii="宋体" w:hAnsi="宋体" w:cs="宋体" w:eastAsia="宋体" w:hint="default"/>
                <w:w w:val="101"/>
                <w:sz w:val="18"/>
                <w:szCs w:val="18"/>
              </w:rPr>
              <w:t> </w:t>
            </w:r>
            <w:r>
              <w:rPr>
                <w:rFonts w:ascii="宋体" w:hAnsi="宋体" w:cs="宋体" w:eastAsia="宋体" w:hint="default"/>
                <w:spacing w:val="-4"/>
                <w:sz w:val="18"/>
                <w:szCs w:val="18"/>
              </w:rPr>
              <w:t>减持计划，在</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Times New Roman" w:hAnsi="Times New Roman" w:cs="Times New Roman" w:eastAsia="Times New Roman" w:hint="default"/>
                <w:sz w:val="18"/>
                <w:szCs w:val="18"/>
              </w:rPr>
              <w:t>6 </w:t>
            </w:r>
            <w:r>
              <w:rPr>
                <w:rFonts w:ascii="宋体" w:hAnsi="宋体" w:cs="宋体" w:eastAsia="宋体" w:hint="default"/>
                <w:sz w:val="18"/>
                <w:szCs w:val="18"/>
              </w:rPr>
              <w:t>个月内完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成。减持价格</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不低于发行</w:t>
            </w:r>
            <w:r>
              <w:rPr>
                <w:rFonts w:ascii="宋体" w:hAnsi="宋体" w:cs="宋体" w:eastAsia="宋体" w:hint="default"/>
                <w:w w:val="101"/>
                <w:sz w:val="18"/>
                <w:szCs w:val="18"/>
              </w:rPr>
              <w:t> </w:t>
            </w:r>
            <w:r>
              <w:rPr>
                <w:rFonts w:ascii="宋体" w:hAnsi="宋体" w:cs="宋体" w:eastAsia="宋体" w:hint="default"/>
                <w:sz w:val="18"/>
                <w:szCs w:val="18"/>
              </w:rPr>
              <w:t>人首次公开</w:t>
            </w:r>
            <w:r>
              <w:rPr>
                <w:rFonts w:ascii="宋体" w:hAnsi="宋体" w:cs="宋体" w:eastAsia="宋体" w:hint="default"/>
                <w:w w:val="101"/>
                <w:sz w:val="18"/>
                <w:szCs w:val="18"/>
              </w:rPr>
              <w:t> </w:t>
            </w:r>
            <w:r>
              <w:rPr>
                <w:rFonts w:ascii="宋体" w:hAnsi="宋体" w:cs="宋体" w:eastAsia="宋体" w:hint="default"/>
                <w:spacing w:val="-4"/>
                <w:sz w:val="18"/>
                <w:szCs w:val="18"/>
              </w:rPr>
              <w:t>发行价格（如</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因派发现金</w:t>
            </w:r>
          </w:p>
          <w:p>
            <w:pPr>
              <w:pStyle w:val="TableParagraph"/>
              <w:spacing w:line="319" w:lineRule="auto" w:before="20"/>
              <w:ind w:left="24" w:right="3"/>
              <w:jc w:val="left"/>
              <w:rPr>
                <w:rFonts w:ascii="宋体" w:hAnsi="宋体" w:cs="宋体" w:eastAsia="宋体" w:hint="default"/>
                <w:sz w:val="18"/>
                <w:szCs w:val="18"/>
              </w:rPr>
            </w:pPr>
            <w:r>
              <w:rPr>
                <w:rFonts w:ascii="宋体" w:hAnsi="宋体" w:cs="宋体" w:eastAsia="宋体" w:hint="default"/>
                <w:spacing w:val="-2"/>
                <w:sz w:val="18"/>
                <w:szCs w:val="18"/>
              </w:rPr>
              <w:t>红利、送股、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
                <w:sz w:val="18"/>
                <w:szCs w:val="18"/>
              </w:rPr>
              <w:t>转增股本、增</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发新股等原</w:t>
            </w:r>
            <w:r>
              <w:rPr>
                <w:rFonts w:ascii="宋体" w:hAnsi="宋体" w:cs="宋体" w:eastAsia="宋体" w:hint="default"/>
                <w:w w:val="101"/>
                <w:sz w:val="18"/>
                <w:szCs w:val="18"/>
              </w:rPr>
              <w:t> </w:t>
            </w:r>
            <w:r>
              <w:rPr>
                <w:rFonts w:ascii="宋体" w:hAnsi="宋体" w:cs="宋体" w:eastAsia="宋体" w:hint="default"/>
                <w:spacing w:val="-2"/>
                <w:sz w:val="18"/>
                <w:szCs w:val="18"/>
              </w:rPr>
              <w:t>因进行除权、</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
                <w:sz w:val="18"/>
                <w:szCs w:val="18"/>
              </w:rPr>
              <w:t>除息的，须按</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照有关规定</w:t>
            </w:r>
            <w:r>
              <w:rPr>
                <w:rFonts w:ascii="宋体" w:hAnsi="宋体" w:cs="宋体" w:eastAsia="宋体" w:hint="default"/>
                <w:w w:val="101"/>
                <w:sz w:val="18"/>
                <w:szCs w:val="18"/>
              </w:rPr>
              <w:t> </w:t>
            </w:r>
            <w:r>
              <w:rPr>
                <w:rFonts w:ascii="宋体" w:hAnsi="宋体" w:cs="宋体" w:eastAsia="宋体" w:hint="default"/>
                <w:sz w:val="18"/>
                <w:szCs w:val="18"/>
              </w:rPr>
              <w:t>做复权处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7"/>
                <w:w w:val="101"/>
                <w:sz w:val="18"/>
                <w:szCs w:val="18"/>
              </w:rPr>
              <w:t>理）。减持股</w:t>
            </w:r>
            <w:r>
              <w:rPr>
                <w:rFonts w:ascii="宋体" w:hAnsi="宋体" w:cs="宋体" w:eastAsia="宋体" w:hint="default"/>
                <w:w w:val="101"/>
                <w:sz w:val="18"/>
                <w:szCs w:val="18"/>
              </w:rPr>
              <w:t> </w:t>
            </w:r>
            <w:r>
              <w:rPr>
                <w:rFonts w:ascii="宋体" w:hAnsi="宋体" w:cs="宋体" w:eastAsia="宋体" w:hint="default"/>
                <w:sz w:val="18"/>
                <w:szCs w:val="18"/>
              </w:rPr>
              <w:t>份时将遵守</w:t>
            </w:r>
            <w:r>
              <w:rPr>
                <w:rFonts w:ascii="宋体" w:hAnsi="宋体" w:cs="宋体" w:eastAsia="宋体" w:hint="default"/>
                <w:w w:val="101"/>
                <w:sz w:val="18"/>
                <w:szCs w:val="18"/>
              </w:rPr>
              <w:t> </w:t>
            </w:r>
            <w:r>
              <w:rPr>
                <w:rFonts w:ascii="宋体" w:hAnsi="宋体" w:cs="宋体" w:eastAsia="宋体" w:hint="default"/>
                <w:sz w:val="18"/>
                <w:szCs w:val="18"/>
              </w:rPr>
              <w:t>相关法律法</w:t>
            </w:r>
            <w:r>
              <w:rPr>
                <w:rFonts w:ascii="宋体" w:hAnsi="宋体" w:cs="宋体" w:eastAsia="宋体" w:hint="default"/>
                <w:w w:val="101"/>
                <w:sz w:val="18"/>
                <w:szCs w:val="18"/>
              </w:rPr>
              <w:t> </w:t>
            </w:r>
            <w:r>
              <w:rPr>
                <w:rFonts w:ascii="宋体" w:hAnsi="宋体" w:cs="宋体" w:eastAsia="宋体" w:hint="default"/>
                <w:sz w:val="18"/>
                <w:szCs w:val="18"/>
              </w:rPr>
              <w:t>规及深圳证</w:t>
            </w:r>
            <w:r>
              <w:rPr>
                <w:rFonts w:ascii="宋体" w:hAnsi="宋体" w:cs="宋体" w:eastAsia="宋体" w:hint="default"/>
                <w:w w:val="101"/>
                <w:sz w:val="18"/>
                <w:szCs w:val="18"/>
              </w:rPr>
              <w:t> </w:t>
            </w:r>
            <w:r>
              <w:rPr>
                <w:rFonts w:ascii="宋体" w:hAnsi="宋体" w:cs="宋体" w:eastAsia="宋体" w:hint="default"/>
                <w:sz w:val="18"/>
                <w:szCs w:val="18"/>
              </w:rPr>
              <w:t>券交易所规</w:t>
            </w:r>
            <w:r>
              <w:rPr>
                <w:rFonts w:ascii="宋体" w:hAnsi="宋体" w:cs="宋体" w:eastAsia="宋体" w:hint="default"/>
                <w:w w:val="101"/>
                <w:sz w:val="18"/>
                <w:szCs w:val="18"/>
              </w:rPr>
              <w:t> </w:t>
            </w:r>
            <w:r>
              <w:rPr>
                <w:rFonts w:ascii="宋体" w:hAnsi="宋体" w:cs="宋体" w:eastAsia="宋体" w:hint="default"/>
                <w:sz w:val="18"/>
                <w:szCs w:val="18"/>
              </w:rPr>
              <w:t>则等要求</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3174"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4" w:lineRule="auto"/>
              <w:ind w:left="23" w:right="132"/>
              <w:jc w:val="both"/>
              <w:rPr>
                <w:rFonts w:ascii="宋体" w:hAnsi="宋体" w:cs="宋体" w:eastAsia="宋体" w:hint="default"/>
                <w:sz w:val="18"/>
                <w:szCs w:val="18"/>
              </w:rPr>
            </w:pPr>
            <w:r>
              <w:rPr>
                <w:rFonts w:ascii="宋体" w:hAnsi="宋体" w:cs="宋体" w:eastAsia="宋体" w:hint="default"/>
                <w:sz w:val="18"/>
                <w:szCs w:val="18"/>
              </w:rPr>
              <w:t>青岛金石灏</w:t>
            </w:r>
            <w:r>
              <w:rPr>
                <w:rFonts w:ascii="宋体" w:hAnsi="宋体" w:cs="宋体" w:eastAsia="宋体" w:hint="default"/>
                <w:w w:val="101"/>
                <w:sz w:val="18"/>
                <w:szCs w:val="18"/>
              </w:rPr>
              <w:t> </w:t>
            </w:r>
            <w:r>
              <w:rPr>
                <w:rFonts w:ascii="宋体" w:hAnsi="宋体" w:cs="宋体" w:eastAsia="宋体" w:hint="default"/>
                <w:sz w:val="18"/>
                <w:szCs w:val="18"/>
              </w:rPr>
              <w:t>汭投资有限</w:t>
            </w:r>
            <w:r>
              <w:rPr>
                <w:rFonts w:ascii="宋体" w:hAnsi="宋体" w:cs="宋体" w:eastAsia="宋体" w:hint="default"/>
                <w:w w:val="101"/>
                <w:sz w:val="18"/>
                <w:szCs w:val="18"/>
              </w:rPr>
              <w:t> </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武汉雷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石瑞丰股权</w:t>
            </w:r>
            <w:r>
              <w:rPr>
                <w:rFonts w:ascii="宋体" w:hAnsi="宋体" w:cs="宋体" w:eastAsia="宋体" w:hint="default"/>
                <w:w w:val="101"/>
                <w:sz w:val="18"/>
                <w:szCs w:val="18"/>
              </w:rPr>
              <w:t> </w:t>
            </w:r>
            <w:r>
              <w:rPr>
                <w:rFonts w:ascii="宋体" w:hAnsi="宋体" w:cs="宋体" w:eastAsia="宋体" w:hint="default"/>
                <w:sz w:val="18"/>
                <w:szCs w:val="18"/>
              </w:rPr>
              <w:t>投资合伙企</w:t>
            </w:r>
            <w:r>
              <w:rPr>
                <w:rFonts w:ascii="宋体" w:hAnsi="宋体" w:cs="宋体" w:eastAsia="宋体" w:hint="default"/>
                <w:w w:val="101"/>
                <w:sz w:val="18"/>
                <w:szCs w:val="18"/>
              </w:rPr>
              <w:t> </w:t>
            </w:r>
            <w:r>
              <w:rPr>
                <w:rFonts w:ascii="宋体" w:hAnsi="宋体" w:cs="宋体" w:eastAsia="宋体" w:hint="default"/>
                <w:sz w:val="18"/>
                <w:szCs w:val="18"/>
              </w:rPr>
              <w:t>业（有限合</w:t>
            </w:r>
            <w:r>
              <w:rPr>
                <w:rFonts w:ascii="宋体" w:hAnsi="宋体" w:cs="宋体" w:eastAsia="宋体" w:hint="default"/>
                <w:w w:val="101"/>
                <w:sz w:val="18"/>
                <w:szCs w:val="18"/>
              </w:rPr>
              <w:t> </w:t>
            </w:r>
            <w:r>
              <w:rPr>
                <w:rFonts w:ascii="宋体" w:hAnsi="宋体" w:cs="宋体" w:eastAsia="宋体" w:hint="default"/>
                <w:sz w:val="18"/>
                <w:szCs w:val="18"/>
              </w:rPr>
              <w:t>伙）</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321" w:lineRule="auto"/>
              <w:ind w:left="23" w:right="190"/>
              <w:jc w:val="left"/>
              <w:rPr>
                <w:rFonts w:ascii="宋体" w:hAnsi="宋体" w:cs="宋体" w:eastAsia="宋体" w:hint="default"/>
                <w:sz w:val="18"/>
                <w:szCs w:val="18"/>
              </w:rPr>
            </w:pPr>
            <w:r>
              <w:rPr>
                <w:rFonts w:ascii="宋体" w:hAnsi="宋体" w:cs="宋体" w:eastAsia="宋体" w:hint="default"/>
                <w:spacing w:val="-2"/>
                <w:sz w:val="18"/>
                <w:szCs w:val="18"/>
              </w:rPr>
              <w:t>股份减持承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
              <w:jc w:val="left"/>
              <w:rPr>
                <w:rFonts w:ascii="宋体" w:hAnsi="宋体" w:cs="宋体" w:eastAsia="宋体" w:hint="default"/>
                <w:sz w:val="18"/>
                <w:szCs w:val="18"/>
              </w:rPr>
            </w:pPr>
            <w:r>
              <w:rPr>
                <w:rFonts w:ascii="宋体" w:hAnsi="宋体" w:cs="宋体" w:eastAsia="宋体" w:hint="default"/>
                <w:sz w:val="18"/>
                <w:szCs w:val="18"/>
              </w:rPr>
              <w:t>承诺股份锁</w:t>
            </w:r>
            <w:r>
              <w:rPr>
                <w:rFonts w:ascii="宋体" w:hAnsi="宋体" w:cs="宋体" w:eastAsia="宋体" w:hint="default"/>
                <w:w w:val="101"/>
                <w:sz w:val="18"/>
                <w:szCs w:val="18"/>
              </w:rPr>
              <w:t> </w:t>
            </w:r>
            <w:r>
              <w:rPr>
                <w:rFonts w:ascii="宋体" w:hAnsi="宋体" w:cs="宋体" w:eastAsia="宋体" w:hint="default"/>
                <w:sz w:val="18"/>
                <w:szCs w:val="18"/>
              </w:rPr>
              <w:t>定期满后两</w:t>
            </w:r>
            <w:r>
              <w:rPr>
                <w:rFonts w:ascii="宋体" w:hAnsi="宋体" w:cs="宋体" w:eastAsia="宋体" w:hint="default"/>
                <w:w w:val="101"/>
                <w:sz w:val="18"/>
                <w:szCs w:val="18"/>
              </w:rPr>
              <w:t> </w:t>
            </w:r>
            <w:r>
              <w:rPr>
                <w:rFonts w:ascii="宋体" w:hAnsi="宋体" w:cs="宋体" w:eastAsia="宋体" w:hint="default"/>
                <w:spacing w:val="-4"/>
                <w:sz w:val="18"/>
                <w:szCs w:val="18"/>
              </w:rPr>
              <w:t>年内，其减持</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比例最高可</w:t>
            </w:r>
            <w:r>
              <w:rPr>
                <w:rFonts w:ascii="宋体" w:hAnsi="宋体" w:cs="宋体" w:eastAsia="宋体" w:hint="default"/>
                <w:w w:val="101"/>
                <w:sz w:val="18"/>
                <w:szCs w:val="18"/>
              </w:rPr>
              <w:t> </w:t>
            </w:r>
            <w:r>
              <w:rPr>
                <w:rFonts w:ascii="宋体" w:hAnsi="宋体" w:cs="宋体" w:eastAsia="宋体" w:hint="default"/>
                <w:sz w:val="18"/>
                <w:szCs w:val="18"/>
              </w:rPr>
              <w:t>至其持有公</w:t>
            </w:r>
            <w:r>
              <w:rPr>
                <w:rFonts w:ascii="宋体" w:hAnsi="宋体" w:cs="宋体" w:eastAsia="宋体" w:hint="default"/>
                <w:w w:val="101"/>
                <w:sz w:val="18"/>
                <w:szCs w:val="18"/>
              </w:rPr>
              <w:t> </w:t>
            </w:r>
            <w:r>
              <w:rPr>
                <w:rFonts w:ascii="宋体" w:hAnsi="宋体" w:cs="宋体" w:eastAsia="宋体" w:hint="default"/>
                <w:sz w:val="18"/>
                <w:szCs w:val="18"/>
              </w:rPr>
              <w:t>司股份总数</w:t>
            </w:r>
            <w:r>
              <w:rPr>
                <w:rFonts w:ascii="宋体" w:hAnsi="宋体" w:cs="宋体" w:eastAsia="宋体" w:hint="default"/>
                <w:w w:val="101"/>
                <w:sz w:val="18"/>
                <w:szCs w:val="18"/>
              </w:rPr>
              <w:t> </w:t>
            </w:r>
            <w:r>
              <w:rPr>
                <w:rFonts w:ascii="宋体" w:hAnsi="宋体" w:cs="宋体" w:eastAsia="宋体" w:hint="default"/>
                <w:sz w:val="18"/>
                <w:szCs w:val="18"/>
              </w:rPr>
              <w:t>的</w:t>
            </w:r>
            <w:r>
              <w:rPr>
                <w:rFonts w:ascii="宋体" w:hAnsi="宋体" w:cs="宋体" w:eastAsia="宋体" w:hint="default"/>
                <w:spacing w:val="-42"/>
                <w:sz w:val="18"/>
                <w:szCs w:val="18"/>
              </w:rPr>
              <w:t> </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，并</w:t>
            </w:r>
            <w:r>
              <w:rPr>
                <w:rFonts w:ascii="宋体" w:hAnsi="宋体" w:cs="宋体" w:eastAsia="宋体" w:hint="default"/>
                <w:spacing w:val="-79"/>
                <w:sz w:val="18"/>
                <w:szCs w:val="18"/>
              </w:rPr>
              <w:t> </w:t>
            </w:r>
            <w:r>
              <w:rPr>
                <w:rFonts w:ascii="宋体" w:hAnsi="宋体" w:cs="宋体" w:eastAsia="宋体" w:hint="default"/>
                <w:sz w:val="18"/>
                <w:szCs w:val="18"/>
              </w:rPr>
              <w:t>将提前三个</w:t>
            </w:r>
            <w:r>
              <w:rPr>
                <w:rFonts w:ascii="宋体" w:hAnsi="宋体" w:cs="宋体" w:eastAsia="宋体" w:hint="default"/>
                <w:w w:val="101"/>
                <w:sz w:val="18"/>
                <w:szCs w:val="18"/>
              </w:rPr>
              <w:t> </w:t>
            </w:r>
            <w:r>
              <w:rPr>
                <w:rFonts w:ascii="宋体" w:hAnsi="宋体" w:cs="宋体" w:eastAsia="宋体" w:hint="default"/>
                <w:sz w:val="18"/>
                <w:szCs w:val="18"/>
              </w:rPr>
              <w:t>交易日公告</w:t>
            </w:r>
            <w:r>
              <w:rPr>
                <w:rFonts w:ascii="宋体" w:hAnsi="宋体" w:cs="宋体" w:eastAsia="宋体" w:hint="default"/>
                <w:w w:val="101"/>
                <w:sz w:val="18"/>
                <w:szCs w:val="18"/>
              </w:rPr>
              <w:t> </w:t>
            </w:r>
            <w:r>
              <w:rPr>
                <w:rFonts w:ascii="宋体" w:hAnsi="宋体" w:cs="宋体" w:eastAsia="宋体" w:hint="default"/>
                <w:spacing w:val="-4"/>
                <w:sz w:val="18"/>
                <w:szCs w:val="18"/>
              </w:rPr>
              <w:t>减持计划，在</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6"/>
      </w:tblGrid>
      <w:tr>
        <w:trPr>
          <w:trHeight w:val="6602"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4"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个月内完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成。减持价格</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不低于发行</w:t>
            </w:r>
            <w:r>
              <w:rPr>
                <w:rFonts w:ascii="宋体" w:hAnsi="宋体" w:cs="宋体" w:eastAsia="宋体" w:hint="default"/>
                <w:w w:val="101"/>
                <w:sz w:val="18"/>
                <w:szCs w:val="18"/>
              </w:rPr>
              <w:t> </w:t>
            </w:r>
            <w:r>
              <w:rPr>
                <w:rFonts w:ascii="宋体" w:hAnsi="宋体" w:cs="宋体" w:eastAsia="宋体" w:hint="default"/>
                <w:sz w:val="18"/>
                <w:szCs w:val="18"/>
              </w:rPr>
              <w:t>人最近一期</w:t>
            </w:r>
            <w:r>
              <w:rPr>
                <w:rFonts w:ascii="宋体" w:hAnsi="宋体" w:cs="宋体" w:eastAsia="宋体" w:hint="default"/>
                <w:w w:val="101"/>
                <w:sz w:val="18"/>
                <w:szCs w:val="18"/>
              </w:rPr>
              <w:t> </w:t>
            </w:r>
            <w:r>
              <w:rPr>
                <w:rFonts w:ascii="宋体" w:hAnsi="宋体" w:cs="宋体" w:eastAsia="宋体" w:hint="default"/>
                <w:sz w:val="18"/>
                <w:szCs w:val="18"/>
              </w:rPr>
              <w:t>经审计后的</w:t>
            </w:r>
            <w:r>
              <w:rPr>
                <w:rFonts w:ascii="宋体" w:hAnsi="宋体" w:cs="宋体" w:eastAsia="宋体" w:hint="default"/>
                <w:w w:val="101"/>
                <w:sz w:val="18"/>
                <w:szCs w:val="18"/>
              </w:rPr>
              <w:t> </w:t>
            </w:r>
            <w:r>
              <w:rPr>
                <w:rFonts w:ascii="宋体" w:hAnsi="宋体" w:cs="宋体" w:eastAsia="宋体" w:hint="default"/>
                <w:sz w:val="18"/>
                <w:szCs w:val="18"/>
              </w:rPr>
              <w:t>每股净资产</w:t>
            </w:r>
          </w:p>
          <w:p>
            <w:pPr>
              <w:pStyle w:val="TableParagraph"/>
              <w:spacing w:line="319" w:lineRule="auto" w:before="20"/>
              <w:ind w:left="24" w:right="12"/>
              <w:jc w:val="left"/>
              <w:rPr>
                <w:rFonts w:ascii="宋体" w:hAnsi="宋体" w:cs="宋体" w:eastAsia="宋体" w:hint="default"/>
                <w:sz w:val="18"/>
                <w:szCs w:val="18"/>
              </w:rPr>
            </w:pPr>
            <w:r>
              <w:rPr>
                <w:rFonts w:ascii="宋体" w:hAnsi="宋体" w:cs="宋体" w:eastAsia="宋体" w:hint="default"/>
                <w:sz w:val="18"/>
                <w:szCs w:val="18"/>
              </w:rPr>
              <w:t>（如因派发</w:t>
            </w:r>
            <w:r>
              <w:rPr>
                <w:rFonts w:ascii="宋体" w:hAnsi="宋体" w:cs="宋体" w:eastAsia="宋体" w:hint="default"/>
                <w:w w:val="101"/>
                <w:sz w:val="18"/>
                <w:szCs w:val="18"/>
              </w:rPr>
              <w:t> </w:t>
            </w:r>
            <w:r>
              <w:rPr>
                <w:rFonts w:ascii="宋体" w:hAnsi="宋体" w:cs="宋体" w:eastAsia="宋体" w:hint="default"/>
                <w:spacing w:val="-4"/>
                <w:sz w:val="18"/>
                <w:szCs w:val="18"/>
              </w:rPr>
              <w:t>现金红利、送</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股、转增股</w:t>
            </w:r>
            <w:r>
              <w:rPr>
                <w:rFonts w:ascii="宋体" w:hAnsi="宋体" w:cs="宋体" w:eastAsia="宋体" w:hint="default"/>
                <w:w w:val="101"/>
                <w:sz w:val="18"/>
                <w:szCs w:val="18"/>
              </w:rPr>
              <w:t> </w:t>
            </w:r>
            <w:r>
              <w:rPr>
                <w:rFonts w:ascii="宋体" w:hAnsi="宋体" w:cs="宋体" w:eastAsia="宋体" w:hint="default"/>
                <w:spacing w:val="-4"/>
                <w:sz w:val="18"/>
                <w:szCs w:val="18"/>
              </w:rPr>
              <w:t>本、增发新股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等原因进行</w:t>
            </w:r>
            <w:r>
              <w:rPr>
                <w:rFonts w:ascii="宋体" w:hAnsi="宋体" w:cs="宋体" w:eastAsia="宋体" w:hint="default"/>
                <w:w w:val="101"/>
                <w:sz w:val="18"/>
                <w:szCs w:val="18"/>
              </w:rPr>
              <w:t> </w:t>
            </w:r>
            <w:r>
              <w:rPr>
                <w:rFonts w:ascii="宋体" w:hAnsi="宋体" w:cs="宋体" w:eastAsia="宋体" w:hint="default"/>
                <w:sz w:val="18"/>
                <w:szCs w:val="18"/>
              </w:rPr>
              <w:t>除权、除息</w:t>
            </w:r>
            <w:r>
              <w:rPr>
                <w:rFonts w:ascii="宋体" w:hAnsi="宋体" w:cs="宋体" w:eastAsia="宋体" w:hint="default"/>
                <w:w w:val="101"/>
                <w:sz w:val="18"/>
                <w:szCs w:val="18"/>
              </w:rPr>
              <w:t> </w:t>
            </w:r>
            <w:r>
              <w:rPr>
                <w:rFonts w:ascii="宋体" w:hAnsi="宋体" w:cs="宋体" w:eastAsia="宋体" w:hint="default"/>
                <w:spacing w:val="-4"/>
                <w:sz w:val="18"/>
                <w:szCs w:val="18"/>
              </w:rPr>
              <w:t>的，须按照有</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关规定做复</w:t>
            </w:r>
            <w:r>
              <w:rPr>
                <w:rFonts w:ascii="宋体" w:hAnsi="宋体" w:cs="宋体" w:eastAsia="宋体" w:hint="default"/>
                <w:w w:val="101"/>
                <w:sz w:val="18"/>
                <w:szCs w:val="18"/>
              </w:rPr>
              <w:t> </w:t>
            </w:r>
            <w:r>
              <w:rPr>
                <w:rFonts w:ascii="宋体" w:hAnsi="宋体" w:cs="宋体" w:eastAsia="宋体" w:hint="default"/>
                <w:spacing w:val="-17"/>
                <w:w w:val="101"/>
                <w:sz w:val="18"/>
                <w:szCs w:val="18"/>
              </w:rPr>
              <w:t>权处理）。减</w:t>
            </w:r>
            <w:r>
              <w:rPr>
                <w:rFonts w:ascii="宋体" w:hAnsi="宋体" w:cs="宋体" w:eastAsia="宋体" w:hint="default"/>
                <w:w w:val="101"/>
                <w:sz w:val="18"/>
                <w:szCs w:val="18"/>
              </w:rPr>
              <w:t> </w:t>
            </w:r>
            <w:r>
              <w:rPr>
                <w:rFonts w:ascii="宋体" w:hAnsi="宋体" w:cs="宋体" w:eastAsia="宋体" w:hint="default"/>
                <w:sz w:val="18"/>
                <w:szCs w:val="18"/>
              </w:rPr>
              <w:t>持股份时将</w:t>
            </w:r>
            <w:r>
              <w:rPr>
                <w:rFonts w:ascii="宋体" w:hAnsi="宋体" w:cs="宋体" w:eastAsia="宋体" w:hint="default"/>
                <w:w w:val="101"/>
                <w:sz w:val="18"/>
                <w:szCs w:val="18"/>
              </w:rPr>
              <w:t> </w:t>
            </w:r>
            <w:r>
              <w:rPr>
                <w:rFonts w:ascii="宋体" w:hAnsi="宋体" w:cs="宋体" w:eastAsia="宋体" w:hint="default"/>
                <w:sz w:val="18"/>
                <w:szCs w:val="18"/>
              </w:rPr>
              <w:t>遵守相关法</w:t>
            </w:r>
            <w:r>
              <w:rPr>
                <w:rFonts w:ascii="宋体" w:hAnsi="宋体" w:cs="宋体" w:eastAsia="宋体" w:hint="default"/>
                <w:w w:val="101"/>
                <w:sz w:val="18"/>
                <w:szCs w:val="18"/>
              </w:rPr>
              <w:t> </w:t>
            </w:r>
            <w:r>
              <w:rPr>
                <w:rFonts w:ascii="宋体" w:hAnsi="宋体" w:cs="宋体" w:eastAsia="宋体" w:hint="default"/>
                <w:sz w:val="18"/>
                <w:szCs w:val="18"/>
              </w:rPr>
              <w:t>律法规及深</w:t>
            </w:r>
            <w:r>
              <w:rPr>
                <w:rFonts w:ascii="宋体" w:hAnsi="宋体" w:cs="宋体" w:eastAsia="宋体" w:hint="default"/>
                <w:w w:val="101"/>
                <w:sz w:val="18"/>
                <w:szCs w:val="18"/>
              </w:rPr>
              <w:t> </w:t>
            </w:r>
            <w:r>
              <w:rPr>
                <w:rFonts w:ascii="宋体" w:hAnsi="宋体" w:cs="宋体" w:eastAsia="宋体" w:hint="default"/>
                <w:sz w:val="18"/>
                <w:szCs w:val="18"/>
              </w:rPr>
              <w:t>圳证券交易</w:t>
            </w:r>
            <w:r>
              <w:rPr>
                <w:rFonts w:ascii="宋体" w:hAnsi="宋体" w:cs="宋体" w:eastAsia="宋体" w:hint="default"/>
                <w:w w:val="101"/>
                <w:sz w:val="18"/>
                <w:szCs w:val="18"/>
              </w:rPr>
              <w:t> </w:t>
            </w:r>
            <w:r>
              <w:rPr>
                <w:rFonts w:ascii="宋体" w:hAnsi="宋体" w:cs="宋体" w:eastAsia="宋体" w:hint="default"/>
                <w:sz w:val="18"/>
                <w:szCs w:val="18"/>
              </w:rPr>
              <w:t>所规则等要</w:t>
            </w:r>
            <w:r>
              <w:rPr>
                <w:rFonts w:ascii="宋体" w:hAnsi="宋体" w:cs="宋体" w:eastAsia="宋体" w:hint="default"/>
                <w:w w:val="101"/>
                <w:sz w:val="18"/>
                <w:szCs w:val="18"/>
              </w:rPr>
              <w:t> </w:t>
            </w:r>
            <w:r>
              <w:rPr>
                <w:rFonts w:ascii="宋体" w:hAnsi="宋体" w:cs="宋体" w:eastAsia="宋体" w:hint="default"/>
                <w:sz w:val="18"/>
                <w:szCs w:val="18"/>
              </w:rPr>
              <w:t>求</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7231"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319" w:lineRule="auto"/>
              <w:ind w:left="23" w:right="185"/>
              <w:jc w:val="both"/>
              <w:rPr>
                <w:rFonts w:ascii="宋体" w:hAnsi="宋体" w:cs="宋体" w:eastAsia="宋体" w:hint="default"/>
                <w:sz w:val="18"/>
                <w:szCs w:val="18"/>
              </w:rPr>
            </w:pPr>
            <w:r>
              <w:rPr>
                <w:rFonts w:ascii="宋体" w:hAnsi="宋体" w:cs="宋体" w:eastAsia="宋体" w:hint="default"/>
                <w:spacing w:val="-3"/>
                <w:sz w:val="18"/>
                <w:szCs w:val="18"/>
              </w:rPr>
              <w:t>浙江和仁科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技股份有限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3" w:right="190"/>
              <w:jc w:val="left"/>
              <w:rPr>
                <w:rFonts w:ascii="宋体" w:hAnsi="宋体" w:cs="宋体" w:eastAsia="宋体" w:hint="default"/>
                <w:sz w:val="18"/>
                <w:szCs w:val="18"/>
              </w:rPr>
            </w:pPr>
            <w:r>
              <w:rPr>
                <w:rFonts w:ascii="宋体" w:hAnsi="宋体" w:cs="宋体" w:eastAsia="宋体" w:hint="default"/>
                <w:spacing w:val="-2"/>
                <w:sz w:val="18"/>
                <w:szCs w:val="18"/>
              </w:rPr>
              <w:t>股份回购承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
              <w:jc w:val="left"/>
              <w:rPr>
                <w:rFonts w:ascii="宋体" w:hAnsi="宋体" w:cs="宋体" w:eastAsia="宋体" w:hint="default"/>
                <w:sz w:val="18"/>
                <w:szCs w:val="18"/>
              </w:rPr>
            </w:pPr>
            <w:r>
              <w:rPr>
                <w:rFonts w:ascii="宋体" w:hAnsi="宋体" w:cs="宋体" w:eastAsia="宋体" w:hint="default"/>
                <w:sz w:val="18"/>
                <w:szCs w:val="18"/>
              </w:rPr>
              <w:t>如公司控股</w:t>
            </w:r>
            <w:r>
              <w:rPr>
                <w:rFonts w:ascii="宋体" w:hAnsi="宋体" w:cs="宋体" w:eastAsia="宋体" w:hint="default"/>
                <w:w w:val="101"/>
                <w:sz w:val="18"/>
                <w:szCs w:val="18"/>
              </w:rPr>
              <w:t> </w:t>
            </w:r>
            <w:r>
              <w:rPr>
                <w:rFonts w:ascii="宋体" w:hAnsi="宋体" w:cs="宋体" w:eastAsia="宋体" w:hint="default"/>
                <w:sz w:val="18"/>
                <w:szCs w:val="18"/>
              </w:rPr>
              <w:t>股东于触发</w:t>
            </w:r>
            <w:r>
              <w:rPr>
                <w:rFonts w:ascii="宋体" w:hAnsi="宋体" w:cs="宋体" w:eastAsia="宋体" w:hint="default"/>
                <w:w w:val="101"/>
                <w:sz w:val="18"/>
                <w:szCs w:val="18"/>
              </w:rPr>
              <w:t> </w:t>
            </w:r>
            <w:r>
              <w:rPr>
                <w:rFonts w:ascii="宋体" w:hAnsi="宋体" w:cs="宋体" w:eastAsia="宋体" w:hint="default"/>
                <w:sz w:val="18"/>
                <w:szCs w:val="18"/>
              </w:rPr>
              <w:t>稳定股价义</w:t>
            </w:r>
            <w:r>
              <w:rPr>
                <w:rFonts w:ascii="宋体" w:hAnsi="宋体" w:cs="宋体" w:eastAsia="宋体" w:hint="default"/>
                <w:w w:val="101"/>
                <w:sz w:val="18"/>
                <w:szCs w:val="18"/>
              </w:rPr>
              <w:t> </w:t>
            </w:r>
            <w:r>
              <w:rPr>
                <w:rFonts w:ascii="宋体" w:hAnsi="宋体" w:cs="宋体" w:eastAsia="宋体" w:hint="default"/>
                <w:sz w:val="18"/>
                <w:szCs w:val="18"/>
              </w:rPr>
              <w:t>务之日起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个交易日内</w:t>
            </w:r>
            <w:r>
              <w:rPr>
                <w:rFonts w:ascii="宋体" w:hAnsi="宋体" w:cs="宋体" w:eastAsia="宋体" w:hint="default"/>
                <w:w w:val="101"/>
                <w:sz w:val="18"/>
                <w:szCs w:val="18"/>
              </w:rPr>
              <w:t> </w:t>
            </w:r>
            <w:r>
              <w:rPr>
                <w:rFonts w:ascii="宋体" w:hAnsi="宋体" w:cs="宋体" w:eastAsia="宋体" w:hint="default"/>
                <w:sz w:val="18"/>
                <w:szCs w:val="18"/>
              </w:rPr>
              <w:t>未向公司送</w:t>
            </w:r>
            <w:r>
              <w:rPr>
                <w:rFonts w:ascii="宋体" w:hAnsi="宋体" w:cs="宋体" w:eastAsia="宋体" w:hint="default"/>
                <w:w w:val="101"/>
                <w:sz w:val="18"/>
                <w:szCs w:val="18"/>
              </w:rPr>
              <w:t> </w:t>
            </w:r>
            <w:r>
              <w:rPr>
                <w:rFonts w:ascii="宋体" w:hAnsi="宋体" w:cs="宋体" w:eastAsia="宋体" w:hint="default"/>
                <w:sz w:val="18"/>
                <w:szCs w:val="18"/>
              </w:rPr>
              <w:t>达增持通知</w:t>
            </w:r>
            <w:r>
              <w:rPr>
                <w:rFonts w:ascii="宋体" w:hAnsi="宋体" w:cs="宋体" w:eastAsia="宋体" w:hint="default"/>
                <w:w w:val="101"/>
                <w:sz w:val="18"/>
                <w:szCs w:val="18"/>
              </w:rPr>
              <w:t> </w:t>
            </w:r>
            <w:r>
              <w:rPr>
                <w:rFonts w:ascii="宋体" w:hAnsi="宋体" w:cs="宋体" w:eastAsia="宋体" w:hint="default"/>
                <w:sz w:val="18"/>
                <w:szCs w:val="18"/>
              </w:rPr>
              <w:t>书或未按披</w:t>
            </w:r>
            <w:r>
              <w:rPr>
                <w:rFonts w:ascii="宋体" w:hAnsi="宋体" w:cs="宋体" w:eastAsia="宋体" w:hint="default"/>
                <w:w w:val="101"/>
                <w:sz w:val="18"/>
                <w:szCs w:val="18"/>
              </w:rPr>
              <w:t> </w:t>
            </w:r>
            <w:r>
              <w:rPr>
                <w:rFonts w:ascii="宋体" w:hAnsi="宋体" w:cs="宋体" w:eastAsia="宋体" w:hint="default"/>
                <w:sz w:val="18"/>
                <w:szCs w:val="18"/>
              </w:rPr>
              <w:t>露的增持计</w:t>
            </w:r>
            <w:r>
              <w:rPr>
                <w:rFonts w:ascii="宋体" w:hAnsi="宋体" w:cs="宋体" w:eastAsia="宋体" w:hint="default"/>
                <w:w w:val="101"/>
                <w:sz w:val="18"/>
                <w:szCs w:val="18"/>
              </w:rPr>
              <w:t> </w:t>
            </w:r>
            <w:r>
              <w:rPr>
                <w:rFonts w:ascii="宋体" w:hAnsi="宋体" w:cs="宋体" w:eastAsia="宋体" w:hint="default"/>
                <w:spacing w:val="-4"/>
                <w:sz w:val="18"/>
                <w:szCs w:val="18"/>
              </w:rPr>
              <w:t>划实施，公司</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董事会应于</w:t>
            </w:r>
            <w:r>
              <w:rPr>
                <w:rFonts w:ascii="宋体" w:hAnsi="宋体" w:cs="宋体" w:eastAsia="宋体" w:hint="default"/>
                <w:w w:val="101"/>
                <w:sz w:val="18"/>
                <w:szCs w:val="18"/>
              </w:rPr>
              <w:t> </w:t>
            </w:r>
            <w:r>
              <w:rPr>
                <w:rFonts w:ascii="宋体" w:hAnsi="宋体" w:cs="宋体" w:eastAsia="宋体" w:hint="default"/>
                <w:sz w:val="18"/>
                <w:szCs w:val="18"/>
              </w:rPr>
              <w:t>确认前述事</w:t>
            </w:r>
            <w:r>
              <w:rPr>
                <w:rFonts w:ascii="宋体" w:hAnsi="宋体" w:cs="宋体" w:eastAsia="宋体" w:hint="default"/>
                <w:w w:val="101"/>
                <w:sz w:val="18"/>
                <w:szCs w:val="18"/>
              </w:rPr>
              <w:t> </w:t>
            </w:r>
            <w:r>
              <w:rPr>
                <w:rFonts w:ascii="宋体" w:hAnsi="宋体" w:cs="宋体" w:eastAsia="宋体" w:hint="default"/>
                <w:sz w:val="18"/>
                <w:szCs w:val="18"/>
              </w:rPr>
              <w:t>项之日起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个交易日内</w:t>
            </w:r>
            <w:r>
              <w:rPr>
                <w:rFonts w:ascii="宋体" w:hAnsi="宋体" w:cs="宋体" w:eastAsia="宋体" w:hint="default"/>
                <w:w w:val="101"/>
                <w:sz w:val="18"/>
                <w:szCs w:val="18"/>
              </w:rPr>
              <w:t> </w:t>
            </w:r>
            <w:r>
              <w:rPr>
                <w:rFonts w:ascii="宋体" w:hAnsi="宋体" w:cs="宋体" w:eastAsia="宋体" w:hint="default"/>
                <w:sz w:val="18"/>
                <w:szCs w:val="18"/>
              </w:rPr>
              <w:t>公告回购公</w:t>
            </w:r>
            <w:r>
              <w:rPr>
                <w:rFonts w:ascii="宋体" w:hAnsi="宋体" w:cs="宋体" w:eastAsia="宋体" w:hint="default"/>
                <w:w w:val="101"/>
                <w:sz w:val="18"/>
                <w:szCs w:val="18"/>
              </w:rPr>
              <w:t> </w:t>
            </w:r>
            <w:r>
              <w:rPr>
                <w:rFonts w:ascii="宋体" w:hAnsi="宋体" w:cs="宋体" w:eastAsia="宋体" w:hint="default"/>
                <w:sz w:val="18"/>
                <w:szCs w:val="18"/>
              </w:rPr>
              <w:t>司股份的预</w:t>
            </w:r>
            <w:r>
              <w:rPr>
                <w:rFonts w:ascii="宋体" w:hAnsi="宋体" w:cs="宋体" w:eastAsia="宋体" w:hint="default"/>
                <w:w w:val="101"/>
                <w:sz w:val="18"/>
                <w:szCs w:val="18"/>
              </w:rPr>
              <w:t> </w:t>
            </w:r>
            <w:r>
              <w:rPr>
                <w:rFonts w:ascii="宋体" w:hAnsi="宋体" w:cs="宋体" w:eastAsia="宋体" w:hint="default"/>
                <w:spacing w:val="-4"/>
                <w:sz w:val="18"/>
                <w:szCs w:val="18"/>
              </w:rPr>
              <w:t>案，回购预案</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包括但不限</w:t>
            </w:r>
            <w:r>
              <w:rPr>
                <w:rFonts w:ascii="宋体" w:hAnsi="宋体" w:cs="宋体" w:eastAsia="宋体" w:hint="default"/>
                <w:w w:val="101"/>
                <w:sz w:val="18"/>
                <w:szCs w:val="18"/>
              </w:rPr>
              <w:t> </w:t>
            </w:r>
            <w:r>
              <w:rPr>
                <w:rFonts w:ascii="宋体" w:hAnsi="宋体" w:cs="宋体" w:eastAsia="宋体" w:hint="default"/>
                <w:sz w:val="18"/>
                <w:szCs w:val="18"/>
              </w:rPr>
              <w:t>于回购股份</w:t>
            </w:r>
            <w:r>
              <w:rPr>
                <w:rFonts w:ascii="宋体" w:hAnsi="宋体" w:cs="宋体" w:eastAsia="宋体" w:hint="default"/>
                <w:w w:val="101"/>
                <w:sz w:val="18"/>
                <w:szCs w:val="18"/>
              </w:rPr>
              <w:t> </w:t>
            </w:r>
            <w:r>
              <w:rPr>
                <w:rFonts w:ascii="宋体" w:hAnsi="宋体" w:cs="宋体" w:eastAsia="宋体" w:hint="default"/>
                <w:spacing w:val="-4"/>
                <w:sz w:val="18"/>
                <w:szCs w:val="18"/>
              </w:rPr>
              <w:t>数量、回购价</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格区间、回购</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资金来源、回</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购对公司股</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6"/>
      </w:tblGrid>
      <w:tr>
        <w:trPr>
          <w:trHeight w:val="12843"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4" w:right="3"/>
              <w:jc w:val="left"/>
              <w:rPr>
                <w:rFonts w:ascii="宋体" w:hAnsi="宋体" w:cs="宋体" w:eastAsia="宋体" w:hint="default"/>
                <w:sz w:val="18"/>
                <w:szCs w:val="18"/>
              </w:rPr>
            </w:pPr>
            <w:r>
              <w:rPr>
                <w:rFonts w:ascii="宋体" w:hAnsi="宋体" w:cs="宋体" w:eastAsia="宋体" w:hint="default"/>
                <w:sz w:val="18"/>
                <w:szCs w:val="18"/>
              </w:rPr>
              <w:t>价及公司经</w:t>
            </w:r>
            <w:r>
              <w:rPr>
                <w:rFonts w:ascii="宋体" w:hAnsi="宋体" w:cs="宋体" w:eastAsia="宋体" w:hint="default"/>
                <w:w w:val="101"/>
                <w:sz w:val="18"/>
                <w:szCs w:val="18"/>
              </w:rPr>
              <w:t> </w:t>
            </w:r>
            <w:r>
              <w:rPr>
                <w:rFonts w:ascii="宋体" w:hAnsi="宋体" w:cs="宋体" w:eastAsia="宋体" w:hint="default"/>
                <w:sz w:val="18"/>
                <w:szCs w:val="18"/>
              </w:rPr>
              <w:t>营的影响等</w:t>
            </w:r>
            <w:r>
              <w:rPr>
                <w:rFonts w:ascii="宋体" w:hAnsi="宋体" w:cs="宋体" w:eastAsia="宋体" w:hint="default"/>
                <w:w w:val="101"/>
                <w:sz w:val="18"/>
                <w:szCs w:val="18"/>
              </w:rPr>
              <w:t> </w:t>
            </w:r>
            <w:r>
              <w:rPr>
                <w:rFonts w:ascii="宋体" w:hAnsi="宋体" w:cs="宋体" w:eastAsia="宋体" w:hint="default"/>
                <w:spacing w:val="-4"/>
                <w:sz w:val="18"/>
                <w:szCs w:val="18"/>
              </w:rPr>
              <w:t>内容。公司应</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于触发回购</w:t>
            </w:r>
            <w:r>
              <w:rPr>
                <w:rFonts w:ascii="宋体" w:hAnsi="宋体" w:cs="宋体" w:eastAsia="宋体" w:hint="default"/>
                <w:w w:val="101"/>
                <w:sz w:val="18"/>
                <w:szCs w:val="18"/>
              </w:rPr>
              <w:t> </w:t>
            </w:r>
            <w:r>
              <w:rPr>
                <w:rFonts w:ascii="宋体" w:hAnsi="宋体" w:cs="宋体" w:eastAsia="宋体" w:hint="default"/>
                <w:sz w:val="18"/>
                <w:szCs w:val="18"/>
              </w:rPr>
              <w:t>义务起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个月</w:t>
            </w:r>
            <w:r>
              <w:rPr>
                <w:rFonts w:ascii="宋体" w:hAnsi="宋体" w:cs="宋体" w:eastAsia="宋体" w:hint="default"/>
                <w:spacing w:val="-87"/>
                <w:sz w:val="18"/>
                <w:szCs w:val="18"/>
              </w:rPr>
              <w:t> </w:t>
            </w:r>
            <w:r>
              <w:rPr>
                <w:rFonts w:ascii="宋体" w:hAnsi="宋体" w:cs="宋体" w:eastAsia="宋体" w:hint="default"/>
                <w:sz w:val="18"/>
                <w:szCs w:val="18"/>
              </w:rPr>
              <w:t>内以不少于</w:t>
            </w:r>
            <w:r>
              <w:rPr>
                <w:rFonts w:ascii="宋体" w:hAnsi="宋体" w:cs="宋体" w:eastAsia="宋体" w:hint="default"/>
                <w:w w:val="101"/>
                <w:sz w:val="18"/>
                <w:szCs w:val="18"/>
              </w:rPr>
              <w:t> </w:t>
            </w:r>
            <w:r>
              <w:rPr>
                <w:rFonts w:ascii="宋体" w:hAnsi="宋体" w:cs="宋体" w:eastAsia="宋体" w:hint="default"/>
                <w:sz w:val="18"/>
                <w:szCs w:val="18"/>
              </w:rPr>
              <w:t>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z w:val="18"/>
                <w:szCs w:val="18"/>
              </w:rPr>
              <w:t>万元的资金</w:t>
            </w:r>
            <w:r>
              <w:rPr>
                <w:rFonts w:ascii="宋体" w:hAnsi="宋体" w:cs="宋体" w:eastAsia="宋体" w:hint="default"/>
                <w:w w:val="101"/>
                <w:sz w:val="18"/>
                <w:szCs w:val="18"/>
              </w:rPr>
              <w:t> </w:t>
            </w:r>
            <w:r>
              <w:rPr>
                <w:rFonts w:ascii="宋体" w:hAnsi="宋体" w:cs="宋体" w:eastAsia="宋体" w:hint="default"/>
                <w:sz w:val="18"/>
                <w:szCs w:val="18"/>
              </w:rPr>
              <w:t>回购公司股</w:t>
            </w:r>
            <w:r>
              <w:rPr>
                <w:rFonts w:ascii="宋体" w:hAnsi="宋体" w:cs="宋体" w:eastAsia="宋体" w:hint="default"/>
                <w:w w:val="101"/>
                <w:sz w:val="18"/>
                <w:szCs w:val="18"/>
              </w:rPr>
              <w:t> </w:t>
            </w:r>
            <w:r>
              <w:rPr>
                <w:rFonts w:ascii="宋体" w:hAnsi="宋体" w:cs="宋体" w:eastAsia="宋体" w:hint="default"/>
                <w:spacing w:val="-4"/>
                <w:sz w:val="18"/>
                <w:szCs w:val="18"/>
              </w:rPr>
              <w:t>份，但股票收</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盘价连续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个交易日高</w:t>
            </w:r>
            <w:r>
              <w:rPr>
                <w:rFonts w:ascii="宋体" w:hAnsi="宋体" w:cs="宋体" w:eastAsia="宋体" w:hint="default"/>
                <w:w w:val="101"/>
                <w:sz w:val="18"/>
                <w:szCs w:val="18"/>
              </w:rPr>
              <w:t> </w:t>
            </w:r>
            <w:r>
              <w:rPr>
                <w:rFonts w:ascii="宋体" w:hAnsi="宋体" w:cs="宋体" w:eastAsia="宋体" w:hint="default"/>
                <w:sz w:val="18"/>
                <w:szCs w:val="18"/>
              </w:rPr>
              <w:t>于最近一期</w:t>
            </w:r>
            <w:r>
              <w:rPr>
                <w:rFonts w:ascii="宋体" w:hAnsi="宋体" w:cs="宋体" w:eastAsia="宋体" w:hint="default"/>
                <w:w w:val="101"/>
                <w:sz w:val="18"/>
                <w:szCs w:val="18"/>
              </w:rPr>
              <w:t> </w:t>
            </w:r>
            <w:r>
              <w:rPr>
                <w:rFonts w:ascii="宋体" w:hAnsi="宋体" w:cs="宋体" w:eastAsia="宋体" w:hint="default"/>
                <w:sz w:val="18"/>
                <w:szCs w:val="18"/>
              </w:rPr>
              <w:t>经审计的每</w:t>
            </w:r>
            <w:r>
              <w:rPr>
                <w:rFonts w:ascii="宋体" w:hAnsi="宋体" w:cs="宋体" w:eastAsia="宋体" w:hint="default"/>
                <w:w w:val="101"/>
                <w:sz w:val="18"/>
                <w:szCs w:val="18"/>
              </w:rPr>
              <w:t> </w:t>
            </w:r>
            <w:r>
              <w:rPr>
                <w:rFonts w:ascii="宋体" w:hAnsi="宋体" w:cs="宋体" w:eastAsia="宋体" w:hint="default"/>
                <w:spacing w:val="-4"/>
                <w:sz w:val="18"/>
                <w:szCs w:val="18"/>
              </w:rPr>
              <w:t>股净资产，则</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公司可中止</w:t>
            </w:r>
            <w:r>
              <w:rPr>
                <w:rFonts w:ascii="宋体" w:hAnsi="宋体" w:cs="宋体" w:eastAsia="宋体" w:hint="default"/>
                <w:w w:val="101"/>
                <w:sz w:val="18"/>
                <w:szCs w:val="18"/>
              </w:rPr>
              <w:t> </w:t>
            </w:r>
            <w:r>
              <w:rPr>
                <w:rFonts w:ascii="宋体" w:hAnsi="宋体" w:cs="宋体" w:eastAsia="宋体" w:hint="default"/>
                <w:sz w:val="18"/>
                <w:szCs w:val="18"/>
              </w:rPr>
              <w:t>回购股份计</w:t>
            </w:r>
            <w:r>
              <w:rPr>
                <w:rFonts w:ascii="宋体" w:hAnsi="宋体" w:cs="宋体" w:eastAsia="宋体" w:hint="default"/>
                <w:w w:val="101"/>
                <w:sz w:val="18"/>
                <w:szCs w:val="18"/>
              </w:rPr>
              <w:t> </w:t>
            </w:r>
            <w:r>
              <w:rPr>
                <w:rFonts w:ascii="宋体" w:hAnsi="宋体" w:cs="宋体" w:eastAsia="宋体" w:hint="default"/>
                <w:spacing w:val="-4"/>
                <w:sz w:val="18"/>
                <w:szCs w:val="18"/>
              </w:rPr>
              <w:t>划。公司股票</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上市后每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0"/>
                <w:sz w:val="18"/>
                <w:szCs w:val="18"/>
              </w:rPr>
              <w:t> </w:t>
            </w:r>
            <w:r>
              <w:rPr>
                <w:rFonts w:ascii="宋体" w:hAnsi="宋体" w:cs="宋体" w:eastAsia="宋体" w:hint="default"/>
                <w:spacing w:val="-4"/>
                <w:sz w:val="18"/>
                <w:szCs w:val="18"/>
              </w:rPr>
              <w:t>个月内，公司</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因</w:t>
            </w:r>
            <w:r>
              <w:rPr>
                <w:rFonts w:ascii="Times New Roman" w:hAnsi="Times New Roman" w:cs="Times New Roman" w:eastAsia="Times New Roman" w:hint="default"/>
                <w:sz w:val="18"/>
                <w:szCs w:val="18"/>
              </w:rPr>
              <w:t>"</w:t>
            </w:r>
            <w:r>
              <w:rPr>
                <w:rFonts w:ascii="宋体" w:hAnsi="宋体" w:cs="宋体" w:eastAsia="宋体" w:hint="default"/>
                <w:sz w:val="18"/>
                <w:szCs w:val="18"/>
              </w:rPr>
              <w:t>触发稳定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股价义务</w:t>
            </w:r>
            <w:r>
              <w:rPr>
                <w:rFonts w:ascii="Times New Roman" w:hAnsi="Times New Roman" w:cs="Times New Roman" w:eastAsia="Times New Roman" w:hint="default"/>
                <w:sz w:val="18"/>
                <w:szCs w:val="18"/>
              </w:rPr>
              <w:t>"</w:t>
            </w:r>
            <w:r>
              <w:rPr>
                <w:rFonts w:ascii="宋体" w:hAnsi="宋体" w:cs="宋体" w:eastAsia="宋体" w:hint="default"/>
                <w:sz w:val="18"/>
                <w:szCs w:val="18"/>
              </w:rPr>
              <w:t>而</w:t>
            </w:r>
            <w:r>
              <w:rPr>
                <w:rFonts w:ascii="宋体" w:hAnsi="宋体" w:cs="宋体" w:eastAsia="宋体" w:hint="default"/>
                <w:spacing w:val="-86"/>
                <w:sz w:val="18"/>
                <w:szCs w:val="18"/>
              </w:rPr>
              <w:t> </w:t>
            </w:r>
            <w:r>
              <w:rPr>
                <w:rFonts w:ascii="宋体" w:hAnsi="宋体" w:cs="宋体" w:eastAsia="宋体" w:hint="default"/>
                <w:sz w:val="18"/>
                <w:szCs w:val="18"/>
              </w:rPr>
              <w:t>回购公司股</w:t>
            </w:r>
            <w:r>
              <w:rPr>
                <w:rFonts w:ascii="宋体" w:hAnsi="宋体" w:cs="宋体" w:eastAsia="宋体" w:hint="default"/>
                <w:w w:val="101"/>
                <w:sz w:val="18"/>
                <w:szCs w:val="18"/>
              </w:rPr>
              <w:t> </w:t>
            </w:r>
            <w:r>
              <w:rPr>
                <w:rFonts w:ascii="宋体" w:hAnsi="宋体" w:cs="宋体" w:eastAsia="宋体" w:hint="default"/>
                <w:sz w:val="18"/>
                <w:szCs w:val="18"/>
              </w:rPr>
              <w:t>票的累计投</w:t>
            </w:r>
            <w:r>
              <w:rPr>
                <w:rFonts w:ascii="宋体" w:hAnsi="宋体" w:cs="宋体" w:eastAsia="宋体" w:hint="default"/>
                <w:w w:val="101"/>
                <w:sz w:val="18"/>
                <w:szCs w:val="18"/>
              </w:rPr>
              <w:t> </w:t>
            </w:r>
            <w:r>
              <w:rPr>
                <w:rFonts w:ascii="宋体" w:hAnsi="宋体" w:cs="宋体" w:eastAsia="宋体" w:hint="default"/>
                <w:sz w:val="18"/>
                <w:szCs w:val="18"/>
              </w:rPr>
              <w:t>入金额不超</w:t>
            </w:r>
            <w:r>
              <w:rPr>
                <w:rFonts w:ascii="宋体" w:hAnsi="宋体" w:cs="宋体" w:eastAsia="宋体" w:hint="default"/>
                <w:w w:val="101"/>
                <w:sz w:val="18"/>
                <w:szCs w:val="18"/>
              </w:rPr>
              <w:t> </w:t>
            </w:r>
            <w:r>
              <w:rPr>
                <w:rFonts w:ascii="宋体" w:hAnsi="宋体" w:cs="宋体" w:eastAsia="宋体" w:hint="default"/>
                <w:sz w:val="18"/>
                <w:szCs w:val="18"/>
              </w:rPr>
              <w:t>过人民币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2,000 </w:t>
            </w:r>
            <w:r>
              <w:rPr>
                <w:rFonts w:ascii="宋体" w:hAnsi="宋体" w:cs="宋体" w:eastAsia="宋体" w:hint="default"/>
                <w:sz w:val="18"/>
                <w:szCs w:val="18"/>
              </w:rPr>
              <w:t>万元。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用于回购股</w:t>
            </w:r>
            <w:r>
              <w:rPr>
                <w:rFonts w:ascii="宋体" w:hAnsi="宋体" w:cs="宋体" w:eastAsia="宋体" w:hint="default"/>
                <w:w w:val="101"/>
                <w:sz w:val="18"/>
                <w:szCs w:val="18"/>
              </w:rPr>
              <w:t> </w:t>
            </w:r>
            <w:r>
              <w:rPr>
                <w:rFonts w:ascii="宋体" w:hAnsi="宋体" w:cs="宋体" w:eastAsia="宋体" w:hint="default"/>
                <w:sz w:val="18"/>
                <w:szCs w:val="18"/>
              </w:rPr>
              <w:t>份的资金从</w:t>
            </w:r>
            <w:r>
              <w:rPr>
                <w:rFonts w:ascii="宋体" w:hAnsi="宋体" w:cs="宋体" w:eastAsia="宋体" w:hint="default"/>
                <w:w w:val="101"/>
                <w:sz w:val="18"/>
                <w:szCs w:val="18"/>
              </w:rPr>
              <w:t> </w:t>
            </w:r>
            <w:r>
              <w:rPr>
                <w:rFonts w:ascii="宋体" w:hAnsi="宋体" w:cs="宋体" w:eastAsia="宋体" w:hint="default"/>
                <w:sz w:val="18"/>
                <w:szCs w:val="18"/>
              </w:rPr>
              <w:t>回购当年起</w:t>
            </w:r>
            <w:r>
              <w:rPr>
                <w:rFonts w:ascii="宋体" w:hAnsi="宋体" w:cs="宋体" w:eastAsia="宋体" w:hint="default"/>
                <w:w w:val="101"/>
                <w:sz w:val="18"/>
                <w:szCs w:val="18"/>
              </w:rPr>
              <w:t> </w:t>
            </w:r>
            <w:r>
              <w:rPr>
                <w:rFonts w:ascii="宋体" w:hAnsi="宋体" w:cs="宋体" w:eastAsia="宋体" w:hint="default"/>
                <w:sz w:val="18"/>
                <w:szCs w:val="18"/>
              </w:rPr>
              <w:t>分配给公司</w:t>
            </w:r>
            <w:r>
              <w:rPr>
                <w:rFonts w:ascii="宋体" w:hAnsi="宋体" w:cs="宋体" w:eastAsia="宋体" w:hint="default"/>
                <w:w w:val="101"/>
                <w:sz w:val="18"/>
                <w:szCs w:val="18"/>
              </w:rPr>
              <w:t> </w:t>
            </w:r>
            <w:r>
              <w:rPr>
                <w:rFonts w:ascii="宋体" w:hAnsi="宋体" w:cs="宋体" w:eastAsia="宋体" w:hint="default"/>
                <w:sz w:val="18"/>
                <w:szCs w:val="18"/>
              </w:rPr>
              <w:t>控股股东的</w:t>
            </w:r>
            <w:r>
              <w:rPr>
                <w:rFonts w:ascii="宋体" w:hAnsi="宋体" w:cs="宋体" w:eastAsia="宋体" w:hint="default"/>
                <w:w w:val="101"/>
                <w:sz w:val="18"/>
                <w:szCs w:val="18"/>
              </w:rPr>
              <w:t> </w:t>
            </w:r>
            <w:r>
              <w:rPr>
                <w:rFonts w:ascii="宋体" w:hAnsi="宋体" w:cs="宋体" w:eastAsia="宋体" w:hint="default"/>
                <w:sz w:val="18"/>
                <w:szCs w:val="18"/>
              </w:rPr>
              <w:t>分红款项中</w:t>
            </w:r>
            <w:r>
              <w:rPr>
                <w:rFonts w:ascii="宋体" w:hAnsi="宋体" w:cs="宋体" w:eastAsia="宋体" w:hint="default"/>
                <w:w w:val="101"/>
                <w:sz w:val="18"/>
                <w:szCs w:val="18"/>
              </w:rPr>
              <w:t> </w:t>
            </w:r>
            <w:r>
              <w:rPr>
                <w:rFonts w:ascii="宋体" w:hAnsi="宋体" w:cs="宋体" w:eastAsia="宋体" w:hint="default"/>
                <w:spacing w:val="-4"/>
                <w:sz w:val="18"/>
                <w:szCs w:val="18"/>
              </w:rPr>
              <w:t>扣除，直至收</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回回购股份</w:t>
            </w:r>
            <w:r>
              <w:rPr>
                <w:rFonts w:ascii="宋体" w:hAnsi="宋体" w:cs="宋体" w:eastAsia="宋体" w:hint="default"/>
                <w:w w:val="101"/>
                <w:sz w:val="18"/>
                <w:szCs w:val="18"/>
              </w:rPr>
              <w:t> </w:t>
            </w:r>
            <w:r>
              <w:rPr>
                <w:rFonts w:ascii="宋体" w:hAnsi="宋体" w:cs="宋体" w:eastAsia="宋体" w:hint="default"/>
                <w:spacing w:val="-2"/>
                <w:sz w:val="18"/>
                <w:szCs w:val="18"/>
              </w:rPr>
              <w:t>的全部资金。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如控股股东</w:t>
            </w:r>
            <w:r>
              <w:rPr>
                <w:rFonts w:ascii="宋体" w:hAnsi="宋体" w:cs="宋体" w:eastAsia="宋体" w:hint="default"/>
                <w:w w:val="101"/>
                <w:sz w:val="18"/>
                <w:szCs w:val="18"/>
              </w:rPr>
              <w:t> </w:t>
            </w:r>
            <w:r>
              <w:rPr>
                <w:rFonts w:ascii="宋体" w:hAnsi="宋体" w:cs="宋体" w:eastAsia="宋体" w:hint="default"/>
                <w:sz w:val="18"/>
                <w:szCs w:val="18"/>
              </w:rPr>
              <w:t>已履行增持</w:t>
            </w:r>
            <w:r>
              <w:rPr>
                <w:rFonts w:ascii="宋体" w:hAnsi="宋体" w:cs="宋体" w:eastAsia="宋体" w:hint="default"/>
                <w:w w:val="101"/>
                <w:sz w:val="18"/>
                <w:szCs w:val="18"/>
              </w:rPr>
              <w:t> </w:t>
            </w:r>
            <w:r>
              <w:rPr>
                <w:rFonts w:ascii="宋体" w:hAnsi="宋体" w:cs="宋体" w:eastAsia="宋体" w:hint="default"/>
                <w:spacing w:val="-4"/>
                <w:sz w:val="18"/>
                <w:szCs w:val="18"/>
              </w:rPr>
              <w:t>义务，则公司</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不再实施回</w:t>
            </w:r>
            <w:r>
              <w:rPr>
                <w:rFonts w:ascii="宋体" w:hAnsi="宋体" w:cs="宋体" w:eastAsia="宋体" w:hint="default"/>
                <w:w w:val="101"/>
                <w:sz w:val="18"/>
                <w:szCs w:val="18"/>
              </w:rPr>
              <w:t> </w:t>
            </w:r>
            <w:r>
              <w:rPr>
                <w:rFonts w:ascii="宋体" w:hAnsi="宋体" w:cs="宋体" w:eastAsia="宋体" w:hint="default"/>
                <w:sz w:val="18"/>
                <w:szCs w:val="18"/>
              </w:rPr>
              <w:t>购股份措施</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3" w:right="185"/>
              <w:jc w:val="both"/>
              <w:rPr>
                <w:rFonts w:ascii="宋体" w:hAnsi="宋体" w:cs="宋体" w:eastAsia="宋体" w:hint="default"/>
                <w:sz w:val="18"/>
                <w:szCs w:val="18"/>
              </w:rPr>
            </w:pPr>
            <w:r>
              <w:rPr>
                <w:rFonts w:ascii="宋体" w:hAnsi="宋体" w:cs="宋体" w:eastAsia="宋体" w:hint="default"/>
                <w:spacing w:val="-2"/>
                <w:sz w:val="18"/>
                <w:szCs w:val="18"/>
              </w:rPr>
              <w:t>浙江和仁科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技股份有限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分红承诺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8"/>
              <w:ind w:left="24" w:right="12"/>
              <w:jc w:val="left"/>
              <w:rPr>
                <w:rFonts w:ascii="宋体" w:hAnsi="宋体" w:cs="宋体" w:eastAsia="宋体" w:hint="default"/>
                <w:sz w:val="18"/>
                <w:szCs w:val="18"/>
              </w:rPr>
            </w:pPr>
            <w:r>
              <w:rPr>
                <w:rFonts w:ascii="宋体" w:hAnsi="宋体" w:cs="宋体" w:eastAsia="宋体" w:hint="default"/>
                <w:spacing w:val="-4"/>
                <w:sz w:val="18"/>
                <w:szCs w:val="18"/>
              </w:rPr>
              <w:t>（一）利润分</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配政策的宗</w:t>
            </w:r>
            <w:r>
              <w:rPr>
                <w:rFonts w:ascii="宋体" w:hAnsi="宋体" w:cs="宋体" w:eastAsia="宋体" w:hint="default"/>
                <w:w w:val="101"/>
                <w:sz w:val="18"/>
                <w:szCs w:val="18"/>
              </w:rPr>
              <w:t> </w:t>
            </w:r>
            <w:r>
              <w:rPr>
                <w:rFonts w:ascii="宋体" w:hAnsi="宋体" w:cs="宋体" w:eastAsia="宋体" w:hint="default"/>
                <w:sz w:val="18"/>
                <w:szCs w:val="18"/>
              </w:rPr>
              <w:t>旨和原则公</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802399pt;margin-top:72.505981pt;width:61.75pt;height:686.6pt;mso-position-horizontal-relative:page;mso-position-vertical-relative:page;z-index:-11106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38"/>
                    <w:ind w:left="0" w:right="0"/>
                    <w:jc w:val="left"/>
                  </w:pPr>
                  <w:r>
                    <w:rPr>
                      <w:w w:val="101"/>
                    </w:rPr>
                    <w:t>、</w:t>
                  </w:r>
                  <w:r>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26"/>
                      <w:szCs w:val="26"/>
                    </w:rPr>
                  </w:pPr>
                </w:p>
                <w:p>
                  <w:pPr>
                    <w:pStyle w:val="BodyText"/>
                    <w:spacing w:line="240" w:lineRule="auto"/>
                    <w:ind w:left="0" w:right="0"/>
                    <w:jc w:val="left"/>
                  </w:pPr>
                  <w:r>
                    <w:rPr>
                      <w:w w:val="101"/>
                    </w:rPr>
                    <w:t>）</w:t>
                  </w:r>
                  <w:r>
                    <w:rPr/>
                  </w:r>
                </w:p>
              </w:txbxContent>
            </v:textbox>
            <w10:wrap type="none"/>
          </v:shape>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316"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8" w:right="0"/>
              <w:jc w:val="center"/>
              <w:rPr>
                <w:rFonts w:ascii="宋体" w:hAnsi="宋体" w:cs="宋体" w:eastAsia="宋体" w:hint="default"/>
                <w:sz w:val="18"/>
                <w:szCs w:val="18"/>
              </w:rPr>
            </w:pPr>
            <w:r>
              <w:rPr>
                <w:rFonts w:ascii="宋体" w:hAnsi="宋体" w:cs="宋体" w:eastAsia="宋体" w:hint="default"/>
                <w:spacing w:val="-2"/>
                <w:sz w:val="18"/>
                <w:szCs w:val="18"/>
              </w:rPr>
              <w:t>司实行连续、</w:t>
            </w:r>
          </w:p>
        </w:tc>
        <w:tc>
          <w:tcPr>
            <w:tcW w:w="1129" w:type="dxa"/>
            <w:vMerge w:val="restart"/>
            <w:tcBorders>
              <w:top w:val="single" w:sz="4" w:space="0" w:color="000000"/>
              <w:left w:val="single" w:sz="4" w:space="0" w:color="000000"/>
              <w:right w:val="single" w:sz="4" w:space="0" w:color="000000"/>
            </w:tcBorders>
          </w:tcPr>
          <w:p>
            <w:pPr>
              <w:pStyle w:val="TableParagraph"/>
              <w:spacing w:line="13731" w:lineRule="exact"/>
              <w:ind w:left="4"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75pt;height:686.6pt;mso-position-horizontal-relative:char;mso-position-vertical-relative:line" coordorigin="0,0" coordsize="1115,13732">
                  <v:group style="position:absolute;left:0;top:0;width:1115;height:13732" coordorigin="0,0" coordsize="1115,13732">
                    <v:shape style="position:absolute;left:0;top:0;width:1115;height:13732" coordorigin="0,0" coordsize="1115,13732" path="m0,13732l1114,13732,1114,0,0,0,0,13732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4" w:type="dxa"/>
            <w:vMerge w:val="restart"/>
            <w:tcBorders>
              <w:top w:val="single" w:sz="4" w:space="0" w:color="000000"/>
              <w:left w:val="single" w:sz="4" w:space="0" w:color="000000"/>
              <w:right w:val="single" w:sz="4" w:space="0" w:color="000000"/>
            </w:tcBorders>
          </w:tcPr>
          <w:p>
            <w:pPr/>
          </w:p>
        </w:tc>
        <w:tc>
          <w:tcPr>
            <w:tcW w:w="1104" w:type="dxa"/>
            <w:vMerge w:val="restart"/>
            <w:tcBorders>
              <w:top w:val="single" w:sz="4" w:space="0" w:color="000000"/>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稳定的利润</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分配政策，公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司利润分配</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应重视对投</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资者的合理</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投资回报并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兼顾公司的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可持续发展，</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并坚持如下</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75"/>
              <w:jc w:val="center"/>
              <w:rPr>
                <w:rFonts w:ascii="宋体" w:hAnsi="宋体" w:cs="宋体" w:eastAsia="宋体" w:hint="default"/>
                <w:sz w:val="18"/>
                <w:szCs w:val="18"/>
              </w:rPr>
            </w:pPr>
            <w:r>
              <w:rPr>
                <w:rFonts w:ascii="宋体" w:hAnsi="宋体" w:cs="宋体" w:eastAsia="宋体" w:hint="default"/>
                <w:spacing w:val="-3"/>
                <w:sz w:val="18"/>
                <w:szCs w:val="18"/>
              </w:rPr>
              <w:t>原则：</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、按</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1"/>
              <w:jc w:val="center"/>
              <w:rPr>
                <w:rFonts w:ascii="宋体" w:hAnsi="宋体" w:cs="宋体" w:eastAsia="宋体" w:hint="default"/>
                <w:sz w:val="18"/>
                <w:szCs w:val="18"/>
              </w:rPr>
            </w:pPr>
            <w:r>
              <w:rPr>
                <w:rFonts w:ascii="宋体" w:hAnsi="宋体" w:cs="宋体" w:eastAsia="宋体" w:hint="default"/>
                <w:sz w:val="18"/>
                <w:szCs w:val="18"/>
              </w:rPr>
              <w:t>法定顺序分</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70"/>
              <w:jc w:val="center"/>
              <w:rPr>
                <w:rFonts w:ascii="宋体" w:hAnsi="宋体" w:cs="宋体" w:eastAsia="宋体" w:hint="default"/>
                <w:sz w:val="18"/>
                <w:szCs w:val="18"/>
              </w:rPr>
            </w:pPr>
            <w:r>
              <w:rPr>
                <w:rFonts w:ascii="宋体" w:hAnsi="宋体" w:cs="宋体" w:eastAsia="宋体" w:hint="default"/>
                <w:sz w:val="18"/>
                <w:szCs w:val="18"/>
              </w:rPr>
              <w:t>配；</w:t>
            </w:r>
            <w:r>
              <w:rPr>
                <w:rFonts w:ascii="Times New Roman" w:hAnsi="Times New Roman" w:cs="Times New Roman" w:eastAsia="Times New Roman" w:hint="default"/>
                <w:sz w:val="18"/>
                <w:szCs w:val="18"/>
              </w:rPr>
              <w:t>2</w:t>
            </w:r>
            <w:r>
              <w:rPr>
                <w:rFonts w:ascii="宋体" w:hAnsi="宋体" w:cs="宋体" w:eastAsia="宋体" w:hint="default"/>
                <w:sz w:val="18"/>
                <w:szCs w:val="18"/>
              </w:rPr>
              <w:t>、存在</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8" w:right="0"/>
              <w:jc w:val="center"/>
              <w:rPr>
                <w:rFonts w:ascii="宋体" w:hAnsi="宋体" w:cs="宋体" w:eastAsia="宋体" w:hint="default"/>
                <w:sz w:val="18"/>
                <w:szCs w:val="18"/>
              </w:rPr>
            </w:pPr>
            <w:r>
              <w:rPr>
                <w:rFonts w:ascii="宋体" w:hAnsi="宋体" w:cs="宋体" w:eastAsia="宋体" w:hint="default"/>
                <w:spacing w:val="-2"/>
                <w:sz w:val="18"/>
                <w:szCs w:val="18"/>
              </w:rPr>
              <w:t>未弥补亏损，</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不得向股东</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79"/>
              <w:jc w:val="center"/>
              <w:rPr>
                <w:rFonts w:ascii="Times New Roman" w:hAnsi="Times New Roman" w:cs="Times New Roman" w:eastAsia="Times New Roman" w:hint="default"/>
                <w:sz w:val="18"/>
                <w:szCs w:val="18"/>
              </w:rPr>
            </w:pPr>
            <w:r>
              <w:rPr>
                <w:rFonts w:ascii="宋体" w:hAnsi="宋体" w:cs="宋体" w:eastAsia="宋体" w:hint="default"/>
                <w:spacing w:val="-4"/>
                <w:sz w:val="18"/>
                <w:szCs w:val="18"/>
              </w:rPr>
              <w:t>分配利润；</w:t>
            </w:r>
            <w:r>
              <w:rPr>
                <w:rFonts w:ascii="Times New Roman" w:hAnsi="Times New Roman" w:cs="Times New Roman" w:eastAsia="Times New Roman" w:hint="default"/>
                <w:spacing w:val="-4"/>
                <w:sz w:val="18"/>
                <w:szCs w:val="18"/>
              </w:rPr>
              <w:t>3</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9" w:right="0"/>
              <w:jc w:val="center"/>
              <w:rPr>
                <w:rFonts w:ascii="宋体" w:hAnsi="宋体" w:cs="宋体" w:eastAsia="宋体" w:hint="default"/>
                <w:sz w:val="18"/>
                <w:szCs w:val="18"/>
              </w:rPr>
            </w:pPr>
            <w:r>
              <w:rPr>
                <w:rFonts w:ascii="宋体" w:hAnsi="宋体" w:cs="宋体" w:eastAsia="宋体" w:hint="default"/>
                <w:spacing w:val="-4"/>
                <w:sz w:val="18"/>
                <w:szCs w:val="18"/>
              </w:rPr>
              <w:t>同股同权、同</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71"/>
              <w:jc w:val="center"/>
              <w:rPr>
                <w:rFonts w:ascii="宋体" w:hAnsi="宋体" w:cs="宋体" w:eastAsia="宋体" w:hint="default"/>
                <w:sz w:val="18"/>
                <w:szCs w:val="18"/>
              </w:rPr>
            </w:pPr>
            <w:r>
              <w:rPr>
                <w:rFonts w:ascii="宋体" w:hAnsi="宋体" w:cs="宋体" w:eastAsia="宋体" w:hint="default"/>
                <w:sz w:val="18"/>
                <w:szCs w:val="18"/>
              </w:rPr>
              <w:t>股同利；</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1"/>
              <w:jc w:val="center"/>
              <w:rPr>
                <w:rFonts w:ascii="宋体" w:hAnsi="宋体" w:cs="宋体" w:eastAsia="宋体" w:hint="default"/>
                <w:sz w:val="18"/>
                <w:szCs w:val="18"/>
              </w:rPr>
            </w:pPr>
            <w:r>
              <w:rPr>
                <w:rFonts w:ascii="宋体" w:hAnsi="宋体" w:cs="宋体" w:eastAsia="宋体" w:hint="default"/>
                <w:sz w:val="18"/>
                <w:szCs w:val="18"/>
              </w:rPr>
              <w:t>公司持有的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本公司股份</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不得参与分</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71"/>
              <w:jc w:val="center"/>
              <w:rPr>
                <w:rFonts w:ascii="宋体" w:hAnsi="宋体" w:cs="宋体" w:eastAsia="宋体" w:hint="default"/>
                <w:sz w:val="18"/>
                <w:szCs w:val="18"/>
              </w:rPr>
            </w:pPr>
            <w:r>
              <w:rPr>
                <w:rFonts w:ascii="宋体" w:hAnsi="宋体" w:cs="宋体" w:eastAsia="宋体" w:hint="default"/>
                <w:sz w:val="18"/>
                <w:szCs w:val="18"/>
              </w:rPr>
              <w:t>配利润；</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1"/>
              <w:jc w:val="center"/>
              <w:rPr>
                <w:rFonts w:ascii="宋体" w:hAnsi="宋体" w:cs="宋体" w:eastAsia="宋体" w:hint="default"/>
                <w:sz w:val="18"/>
                <w:szCs w:val="18"/>
              </w:rPr>
            </w:pPr>
            <w:r>
              <w:rPr>
                <w:rFonts w:ascii="宋体" w:hAnsi="宋体" w:cs="宋体" w:eastAsia="宋体" w:hint="default"/>
                <w:sz w:val="18"/>
                <w:szCs w:val="18"/>
              </w:rPr>
              <w:t>优先采取现</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金分红的利</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润分配方式；</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70"/>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、充分听取</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1"/>
              <w:jc w:val="center"/>
              <w:rPr>
                <w:rFonts w:ascii="宋体" w:hAnsi="宋体" w:cs="宋体" w:eastAsia="宋体" w:hint="default"/>
                <w:sz w:val="18"/>
                <w:szCs w:val="18"/>
              </w:rPr>
            </w:pPr>
            <w:r>
              <w:rPr>
                <w:rFonts w:ascii="宋体" w:hAnsi="宋体" w:cs="宋体" w:eastAsia="宋体" w:hint="default"/>
                <w:sz w:val="18"/>
                <w:szCs w:val="18"/>
              </w:rPr>
              <w:t>和考虑中小</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股东的意见</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79"/>
              <w:jc w:val="center"/>
              <w:rPr>
                <w:rFonts w:ascii="宋体" w:hAnsi="宋体" w:cs="宋体" w:eastAsia="宋体" w:hint="default"/>
                <w:sz w:val="18"/>
                <w:szCs w:val="18"/>
              </w:rPr>
            </w:pPr>
            <w:r>
              <w:rPr>
                <w:rFonts w:ascii="宋体" w:hAnsi="宋体" w:cs="宋体" w:eastAsia="宋体" w:hint="default"/>
                <w:w w:val="101"/>
                <w:sz w:val="18"/>
                <w:szCs w:val="18"/>
              </w:rPr>
              <w:t>和</w:t>
            </w:r>
            <w:r>
              <w:rPr>
                <w:rFonts w:ascii="宋体" w:hAnsi="宋体" w:cs="宋体" w:eastAsia="宋体" w:hint="default"/>
                <w:spacing w:val="-5"/>
                <w:w w:val="101"/>
                <w:sz w:val="18"/>
                <w:szCs w:val="18"/>
              </w:rPr>
              <w:t>要</w:t>
            </w:r>
            <w:r>
              <w:rPr>
                <w:rFonts w:ascii="宋体" w:hAnsi="宋体" w:cs="宋体" w:eastAsia="宋体" w:hint="default"/>
                <w:w w:val="101"/>
                <w:sz w:val="18"/>
                <w:szCs w:val="18"/>
              </w:rPr>
              <w:t>求</w:t>
            </w:r>
            <w:r>
              <w:rPr>
                <w:rFonts w:ascii="宋体" w:hAnsi="宋体" w:cs="宋体" w:eastAsia="宋体" w:hint="default"/>
                <w:spacing w:val="-101"/>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二</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利润分配政</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策公司可以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采取现金、股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票或现金与</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股票相结合</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的方式分配</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利润。利润分</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配不得超过</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累计可分配</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 w:right="0"/>
              <w:jc w:val="center"/>
              <w:rPr>
                <w:rFonts w:ascii="宋体" w:hAnsi="宋体" w:cs="宋体" w:eastAsia="宋体" w:hint="default"/>
                <w:sz w:val="18"/>
                <w:szCs w:val="18"/>
              </w:rPr>
            </w:pPr>
            <w:r>
              <w:rPr>
                <w:rFonts w:ascii="宋体" w:hAnsi="宋体" w:cs="宋体" w:eastAsia="宋体" w:hint="default"/>
                <w:spacing w:val="-2"/>
                <w:sz w:val="18"/>
                <w:szCs w:val="18"/>
              </w:rPr>
              <w:t>利润的范围，</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不得损害公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司持续经营</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能力。公司可</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61"/>
              <w:jc w:val="center"/>
              <w:rPr>
                <w:rFonts w:ascii="宋体" w:hAnsi="宋体" w:cs="宋体" w:eastAsia="宋体" w:hint="default"/>
                <w:sz w:val="18"/>
                <w:szCs w:val="18"/>
              </w:rPr>
            </w:pPr>
            <w:r>
              <w:rPr>
                <w:rFonts w:ascii="宋体" w:hAnsi="宋体" w:cs="宋体" w:eastAsia="宋体" w:hint="default"/>
                <w:sz w:val="18"/>
                <w:szCs w:val="18"/>
              </w:rPr>
              <w:t>以进行中期</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8"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4"/>
                <w:sz w:val="18"/>
                <w:szCs w:val="18"/>
              </w:rPr>
              <w:t>现金分红。公</w:t>
            </w: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4"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316"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司主要采取</w:t>
            </w:r>
          </w:p>
        </w:tc>
        <w:tc>
          <w:tcPr>
            <w:tcW w:w="1129" w:type="dxa"/>
            <w:vMerge w:val="restart"/>
            <w:tcBorders>
              <w:top w:val="single" w:sz="4" w:space="0" w:color="000000"/>
              <w:left w:val="single" w:sz="4" w:space="0" w:color="000000"/>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c>
          <w:tcPr>
            <w:tcW w:w="1104" w:type="dxa"/>
            <w:vMerge w:val="restart"/>
            <w:tcBorders>
              <w:top w:val="single" w:sz="4" w:space="0" w:color="000000"/>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现金分红的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股利分配政</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策，即公司当</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年度实现盈</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利，在依法提</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取法定公积</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金、任意公积</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金后进行现</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金分红；若公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司营收增长</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快速，并且董</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事会认为公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司股票价格</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与公司股本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规模不匹配</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时，可以在满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足上述现金</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股利分配之</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余，提出并实</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施股票股利</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分配预案。</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（三）利润分</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配的条件</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现金分红的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比例：在满足</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公司正常生</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产经营的资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金需求情况</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下，如公司外</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部经营环境</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和经营状况</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未发生重大</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不利变化，公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司每年以现</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金形式分配</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的利润应当</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不少于当年</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实现的可分</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配利润的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15%</w:t>
            </w: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2</w:t>
            </w:r>
            <w:r>
              <w:rPr>
                <w:rFonts w:ascii="宋体" w:hAnsi="宋体" w:cs="宋体" w:eastAsia="宋体" w:hint="default"/>
                <w:spacing w:val="-11"/>
                <w:sz w:val="18"/>
                <w:szCs w:val="18"/>
              </w:rPr>
              <w:t>、在满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足公司正常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生产经营的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8"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资金需求情</w:t>
            </w: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4"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316"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4"/>
                <w:sz w:val="18"/>
                <w:szCs w:val="18"/>
              </w:rPr>
              <w:t>况下，公司实</w:t>
            </w:r>
          </w:p>
        </w:tc>
        <w:tc>
          <w:tcPr>
            <w:tcW w:w="1129" w:type="dxa"/>
            <w:vMerge w:val="restart"/>
            <w:tcBorders>
              <w:top w:val="single" w:sz="4" w:space="0" w:color="000000"/>
              <w:left w:val="single" w:sz="4" w:space="0" w:color="000000"/>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c>
          <w:tcPr>
            <w:tcW w:w="1104" w:type="dxa"/>
            <w:vMerge w:val="restart"/>
            <w:tcBorders>
              <w:top w:val="single" w:sz="4" w:space="0" w:color="000000"/>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施差异化现</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金分红政策：</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）公司发</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展阶段属成</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熟期且无重</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大资本支出</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安排的，进行</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利润分配时，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现金分红在</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本次利润分</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配中所占比</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例最低应达</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10"/>
              <w:jc w:val="left"/>
              <w:rPr>
                <w:rFonts w:ascii="宋体" w:hAnsi="宋体" w:cs="宋体" w:eastAsia="宋体" w:hint="default"/>
                <w:sz w:val="18"/>
                <w:szCs w:val="18"/>
              </w:rPr>
            </w:pPr>
            <w:r>
              <w:rPr>
                <w:rFonts w:ascii="宋体" w:hAnsi="宋体" w:cs="宋体" w:eastAsia="宋体" w:hint="default"/>
                <w:w w:val="101"/>
                <w:sz w:val="18"/>
                <w:szCs w:val="18"/>
              </w:rPr>
              <w:t>到</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80</w:t>
            </w:r>
            <w:r>
              <w:rPr>
                <w:rFonts w:ascii="Times New Roman" w:hAnsi="Times New Roman" w:cs="Times New Roman" w:eastAsia="Times New Roman" w:hint="default"/>
                <w:spacing w:val="-4"/>
                <w:w w:val="101"/>
                <w:sz w:val="18"/>
                <w:szCs w:val="18"/>
              </w:rPr>
              <w:t>%</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Times New Roman" w:hAnsi="Times New Roman" w:cs="Times New Roman" w:eastAsia="Times New Roman" w:hint="default"/>
                <w:spacing w:val="-5"/>
                <w:w w:val="101"/>
                <w:sz w:val="18"/>
                <w:szCs w:val="18"/>
              </w:rPr>
              <w:t>2</w:t>
            </w:r>
            <w:r>
              <w:rPr>
                <w:rFonts w:ascii="宋体" w:hAnsi="宋体" w:cs="宋体" w:eastAsia="宋体" w:hint="default"/>
                <w:w w:val="101"/>
                <w:sz w:val="18"/>
                <w:szCs w:val="18"/>
              </w:rPr>
              <w:t>）</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公司发展阶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段属成熟期</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且有重大资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本支出安排</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的，进行利润</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分配时，现金</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分红在本次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利润分配中</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所占比例应</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达到</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）公司发</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展阶段属成</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长期且有重</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大资本支出</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安排的，进行</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利润分配时，</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现金分红在</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本次利润分</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配中所占比</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例最低应达</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到</w:t>
            </w:r>
            <w:r>
              <w:rPr>
                <w:rFonts w:ascii="宋体" w:hAnsi="宋体" w:cs="宋体" w:eastAsia="宋体" w:hint="default"/>
                <w:spacing w:val="-30"/>
                <w:sz w:val="18"/>
                <w:szCs w:val="18"/>
              </w:rPr>
              <w:t> </w:t>
            </w:r>
            <w:r>
              <w:rPr>
                <w:rFonts w:ascii="Times New Roman" w:hAnsi="Times New Roman" w:cs="Times New Roman" w:eastAsia="Times New Roman" w:hint="default"/>
                <w:spacing w:val="-6"/>
                <w:sz w:val="18"/>
                <w:szCs w:val="18"/>
              </w:rPr>
              <w:t>20%</w:t>
            </w:r>
            <w:r>
              <w:rPr>
                <w:rFonts w:ascii="宋体" w:hAnsi="宋体" w:cs="宋体" w:eastAsia="宋体" w:hint="default"/>
                <w:spacing w:val="-6"/>
                <w:sz w:val="18"/>
                <w:szCs w:val="18"/>
              </w:rPr>
              <w:t>。公司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发展阶段不</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易区分但有</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重大资本支</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出安排的，可</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以按照前款</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规定处理。股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东大会授权</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董事会每年</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8"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在综合考虑</w:t>
            </w: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4"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6"/>
      </w:tblGrid>
      <w:tr>
        <w:trPr>
          <w:trHeight w:val="3481"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12"/>
              <w:jc w:val="left"/>
              <w:rPr>
                <w:rFonts w:ascii="宋体" w:hAnsi="宋体" w:cs="宋体" w:eastAsia="宋体" w:hint="default"/>
                <w:sz w:val="18"/>
                <w:szCs w:val="18"/>
              </w:rPr>
            </w:pPr>
            <w:r>
              <w:rPr>
                <w:rFonts w:ascii="宋体" w:hAnsi="宋体" w:cs="宋体" w:eastAsia="宋体" w:hint="default"/>
                <w:sz w:val="18"/>
                <w:szCs w:val="18"/>
              </w:rPr>
              <w:t>公司所处行</w:t>
            </w:r>
            <w:r>
              <w:rPr>
                <w:rFonts w:ascii="宋体" w:hAnsi="宋体" w:cs="宋体" w:eastAsia="宋体" w:hint="default"/>
                <w:w w:val="101"/>
                <w:sz w:val="18"/>
                <w:szCs w:val="18"/>
              </w:rPr>
              <w:t> </w:t>
            </w:r>
            <w:r>
              <w:rPr>
                <w:rFonts w:ascii="宋体" w:hAnsi="宋体" w:cs="宋体" w:eastAsia="宋体" w:hint="default"/>
                <w:spacing w:val="-4"/>
                <w:sz w:val="18"/>
                <w:szCs w:val="18"/>
              </w:rPr>
              <w:t>业特点、发展</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阶段、自身经</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营模式、盈利</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水平以及是</w:t>
            </w:r>
            <w:r>
              <w:rPr>
                <w:rFonts w:ascii="宋体" w:hAnsi="宋体" w:cs="宋体" w:eastAsia="宋体" w:hint="default"/>
                <w:w w:val="101"/>
                <w:sz w:val="18"/>
                <w:szCs w:val="18"/>
              </w:rPr>
              <w:t> </w:t>
            </w:r>
            <w:r>
              <w:rPr>
                <w:rFonts w:ascii="宋体" w:hAnsi="宋体" w:cs="宋体" w:eastAsia="宋体" w:hint="default"/>
                <w:sz w:val="18"/>
                <w:szCs w:val="18"/>
              </w:rPr>
              <w:t>否有重大资</w:t>
            </w:r>
            <w:r>
              <w:rPr>
                <w:rFonts w:ascii="宋体" w:hAnsi="宋体" w:cs="宋体" w:eastAsia="宋体" w:hint="default"/>
                <w:w w:val="101"/>
                <w:sz w:val="18"/>
                <w:szCs w:val="18"/>
              </w:rPr>
              <w:t> </w:t>
            </w:r>
            <w:r>
              <w:rPr>
                <w:rFonts w:ascii="宋体" w:hAnsi="宋体" w:cs="宋体" w:eastAsia="宋体" w:hint="default"/>
                <w:sz w:val="18"/>
                <w:szCs w:val="18"/>
              </w:rPr>
              <w:t>产支出安排</w:t>
            </w:r>
            <w:r>
              <w:rPr>
                <w:rFonts w:ascii="宋体" w:hAnsi="宋体" w:cs="宋体" w:eastAsia="宋体" w:hint="default"/>
                <w:w w:val="101"/>
                <w:sz w:val="18"/>
                <w:szCs w:val="18"/>
              </w:rPr>
              <w:t> </w:t>
            </w:r>
            <w:r>
              <w:rPr>
                <w:rFonts w:ascii="宋体" w:hAnsi="宋体" w:cs="宋体" w:eastAsia="宋体" w:hint="default"/>
                <w:spacing w:val="-4"/>
                <w:sz w:val="18"/>
                <w:szCs w:val="18"/>
              </w:rPr>
              <w:t>等因素，根据</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上述原则提</w:t>
            </w:r>
            <w:r>
              <w:rPr>
                <w:rFonts w:ascii="宋体" w:hAnsi="宋体" w:cs="宋体" w:eastAsia="宋体" w:hint="default"/>
                <w:w w:val="101"/>
                <w:sz w:val="18"/>
                <w:szCs w:val="18"/>
              </w:rPr>
              <w:t> </w:t>
            </w:r>
            <w:r>
              <w:rPr>
                <w:rFonts w:ascii="宋体" w:hAnsi="宋体" w:cs="宋体" w:eastAsia="宋体" w:hint="default"/>
                <w:sz w:val="18"/>
                <w:szCs w:val="18"/>
              </w:rPr>
              <w:t>出当年利润</w:t>
            </w:r>
            <w:r>
              <w:rPr>
                <w:rFonts w:ascii="宋体" w:hAnsi="宋体" w:cs="宋体" w:eastAsia="宋体" w:hint="default"/>
                <w:w w:val="101"/>
                <w:sz w:val="18"/>
                <w:szCs w:val="18"/>
              </w:rPr>
              <w:t> </w:t>
            </w:r>
            <w:r>
              <w:rPr>
                <w:rFonts w:ascii="宋体" w:hAnsi="宋体" w:cs="宋体" w:eastAsia="宋体" w:hint="default"/>
                <w:sz w:val="18"/>
                <w:szCs w:val="18"/>
              </w:rPr>
              <w:t>分配方案。</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10352"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59"/>
              <w:ind w:left="23" w:right="12"/>
              <w:jc w:val="left"/>
              <w:rPr>
                <w:rFonts w:ascii="宋体" w:hAnsi="宋体" w:cs="宋体" w:eastAsia="宋体" w:hint="default"/>
                <w:sz w:val="18"/>
                <w:szCs w:val="18"/>
              </w:rPr>
            </w:pPr>
            <w:r>
              <w:rPr>
                <w:rFonts w:ascii="宋体" w:hAnsi="宋体" w:cs="宋体" w:eastAsia="宋体" w:hint="default"/>
                <w:sz w:val="18"/>
                <w:szCs w:val="18"/>
              </w:rPr>
              <w:t>杭州磐鸿投</w:t>
            </w:r>
            <w:r>
              <w:rPr>
                <w:rFonts w:ascii="宋体" w:hAnsi="宋体" w:cs="宋体" w:eastAsia="宋体" w:hint="default"/>
                <w:w w:val="101"/>
                <w:sz w:val="18"/>
                <w:szCs w:val="18"/>
              </w:rPr>
              <w:t> </w:t>
            </w:r>
            <w:r>
              <w:rPr>
                <w:rFonts w:ascii="宋体" w:hAnsi="宋体" w:cs="宋体" w:eastAsia="宋体" w:hint="default"/>
                <w:sz w:val="18"/>
                <w:szCs w:val="18"/>
              </w:rPr>
              <w:t>资管理合伙</w:t>
            </w:r>
            <w:r>
              <w:rPr>
                <w:rFonts w:ascii="宋体" w:hAnsi="宋体" w:cs="宋体" w:eastAsia="宋体" w:hint="default"/>
                <w:w w:val="101"/>
                <w:sz w:val="18"/>
                <w:szCs w:val="18"/>
              </w:rPr>
              <w:t> </w:t>
            </w:r>
            <w:r>
              <w:rPr>
                <w:rFonts w:ascii="宋体" w:hAnsi="宋体" w:cs="宋体" w:eastAsia="宋体" w:hint="default"/>
                <w:spacing w:val="-4"/>
                <w:sz w:val="18"/>
                <w:szCs w:val="18"/>
              </w:rPr>
              <w:t>企业（有限合</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11"/>
                <w:sz w:val="18"/>
                <w:szCs w:val="18"/>
              </w:rPr>
              <w:t>伙）</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杭州磐源</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投资有限公</w:t>
            </w:r>
            <w:r>
              <w:rPr>
                <w:rFonts w:ascii="宋体" w:hAnsi="宋体" w:cs="宋体" w:eastAsia="宋体" w:hint="default"/>
                <w:w w:val="101"/>
                <w:sz w:val="18"/>
                <w:szCs w:val="18"/>
              </w:rPr>
              <w:t> </w:t>
            </w:r>
            <w:r>
              <w:rPr>
                <w:rFonts w:ascii="宋体" w:hAnsi="宋体" w:cs="宋体" w:eastAsia="宋体" w:hint="default"/>
                <w:spacing w:val="-3"/>
                <w:sz w:val="18"/>
                <w:szCs w:val="18"/>
              </w:rPr>
              <w:t>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杨波</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杨一</w:t>
            </w:r>
            <w:r>
              <w:rPr>
                <w:rFonts w:ascii="宋体" w:hAnsi="宋体" w:cs="宋体" w:eastAsia="宋体" w:hint="default"/>
                <w:spacing w:val="-72"/>
                <w:sz w:val="18"/>
                <w:szCs w:val="18"/>
              </w:rPr>
              <w:t> </w:t>
            </w:r>
            <w:r>
              <w:rPr>
                <w:rFonts w:ascii="宋体" w:hAnsi="宋体" w:cs="宋体" w:eastAsia="宋体" w:hint="default"/>
                <w:sz w:val="18"/>
                <w:szCs w:val="18"/>
              </w:rPr>
              <w:t>兵</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316" w:lineRule="auto"/>
              <w:ind w:left="23" w:right="17"/>
              <w:jc w:val="left"/>
              <w:rPr>
                <w:rFonts w:ascii="宋体" w:hAnsi="宋体" w:cs="宋体" w:eastAsia="宋体" w:hint="default"/>
                <w:sz w:val="18"/>
                <w:szCs w:val="18"/>
              </w:rPr>
            </w:pPr>
            <w:r>
              <w:rPr>
                <w:rFonts w:ascii="宋体" w:hAnsi="宋体" w:cs="宋体" w:eastAsia="宋体" w:hint="default"/>
                <w:sz w:val="18"/>
                <w:szCs w:val="18"/>
              </w:rPr>
              <w:t>关于同业竞</w:t>
            </w:r>
            <w:r>
              <w:rPr>
                <w:rFonts w:ascii="宋体" w:hAnsi="宋体" w:cs="宋体" w:eastAsia="宋体" w:hint="default"/>
                <w:w w:val="101"/>
                <w:sz w:val="18"/>
                <w:szCs w:val="18"/>
              </w:rPr>
              <w:t> </w:t>
            </w:r>
            <w:r>
              <w:rPr>
                <w:rFonts w:ascii="宋体" w:hAnsi="宋体" w:cs="宋体" w:eastAsia="宋体" w:hint="default"/>
                <w:sz w:val="18"/>
                <w:szCs w:val="18"/>
              </w:rPr>
              <w:t>争、关联交</w:t>
            </w:r>
            <w:r>
              <w:rPr>
                <w:rFonts w:ascii="宋体" w:hAnsi="宋体" w:cs="宋体" w:eastAsia="宋体" w:hint="default"/>
                <w:w w:val="101"/>
                <w:sz w:val="18"/>
                <w:szCs w:val="18"/>
              </w:rPr>
              <w:t> </w:t>
            </w:r>
            <w:r>
              <w:rPr>
                <w:rFonts w:ascii="宋体" w:hAnsi="宋体" w:cs="宋体" w:eastAsia="宋体" w:hint="default"/>
                <w:spacing w:val="-4"/>
                <w:sz w:val="18"/>
                <w:szCs w:val="18"/>
              </w:rPr>
              <w:t>易、资金占用</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方面的承诺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、承诺方及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其控股、参股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企业不以任</w:t>
            </w:r>
            <w:r>
              <w:rPr>
                <w:rFonts w:ascii="宋体" w:hAnsi="宋体" w:cs="宋体" w:eastAsia="宋体" w:hint="default"/>
                <w:w w:val="101"/>
                <w:sz w:val="18"/>
                <w:szCs w:val="18"/>
              </w:rPr>
              <w:t> </w:t>
            </w:r>
            <w:r>
              <w:rPr>
                <w:rFonts w:ascii="宋体" w:hAnsi="宋体" w:cs="宋体" w:eastAsia="宋体" w:hint="default"/>
                <w:sz w:val="18"/>
                <w:szCs w:val="18"/>
              </w:rPr>
              <w:t>何形式从事</w:t>
            </w:r>
            <w:r>
              <w:rPr>
                <w:rFonts w:ascii="宋体" w:hAnsi="宋体" w:cs="宋体" w:eastAsia="宋体" w:hint="default"/>
                <w:w w:val="101"/>
                <w:sz w:val="18"/>
                <w:szCs w:val="18"/>
              </w:rPr>
              <w:t> </w:t>
            </w:r>
            <w:r>
              <w:rPr>
                <w:rFonts w:ascii="宋体" w:hAnsi="宋体" w:cs="宋体" w:eastAsia="宋体" w:hint="default"/>
                <w:sz w:val="18"/>
                <w:szCs w:val="18"/>
              </w:rPr>
              <w:t>或参与对公</w:t>
            </w:r>
            <w:r>
              <w:rPr>
                <w:rFonts w:ascii="宋体" w:hAnsi="宋体" w:cs="宋体" w:eastAsia="宋体" w:hint="default"/>
                <w:w w:val="101"/>
                <w:sz w:val="18"/>
                <w:szCs w:val="18"/>
              </w:rPr>
              <w:t> </w:t>
            </w:r>
            <w:r>
              <w:rPr>
                <w:rFonts w:ascii="宋体" w:hAnsi="宋体" w:cs="宋体" w:eastAsia="宋体" w:hint="default"/>
                <w:sz w:val="18"/>
                <w:szCs w:val="18"/>
              </w:rPr>
              <w:t>司主营业务</w:t>
            </w:r>
            <w:r>
              <w:rPr>
                <w:rFonts w:ascii="宋体" w:hAnsi="宋体" w:cs="宋体" w:eastAsia="宋体" w:hint="default"/>
                <w:w w:val="101"/>
                <w:sz w:val="18"/>
                <w:szCs w:val="18"/>
              </w:rPr>
              <w:t> </w:t>
            </w:r>
            <w:r>
              <w:rPr>
                <w:rFonts w:ascii="宋体" w:hAnsi="宋体" w:cs="宋体" w:eastAsia="宋体" w:hint="default"/>
                <w:sz w:val="18"/>
                <w:szCs w:val="18"/>
              </w:rPr>
              <w:t>构成或可能</w:t>
            </w:r>
            <w:r>
              <w:rPr>
                <w:rFonts w:ascii="宋体" w:hAnsi="宋体" w:cs="宋体" w:eastAsia="宋体" w:hint="default"/>
                <w:w w:val="101"/>
                <w:sz w:val="18"/>
                <w:szCs w:val="18"/>
              </w:rPr>
              <w:t> </w:t>
            </w:r>
            <w:r>
              <w:rPr>
                <w:rFonts w:ascii="宋体" w:hAnsi="宋体" w:cs="宋体" w:eastAsia="宋体" w:hint="default"/>
                <w:sz w:val="18"/>
                <w:szCs w:val="18"/>
              </w:rPr>
              <w:t>构成直接或</w:t>
            </w:r>
            <w:r>
              <w:rPr>
                <w:rFonts w:ascii="宋体" w:hAnsi="宋体" w:cs="宋体" w:eastAsia="宋体" w:hint="default"/>
                <w:w w:val="101"/>
                <w:sz w:val="18"/>
                <w:szCs w:val="18"/>
              </w:rPr>
              <w:t> </w:t>
            </w:r>
            <w:r>
              <w:rPr>
                <w:rFonts w:ascii="宋体" w:hAnsi="宋体" w:cs="宋体" w:eastAsia="宋体" w:hint="default"/>
                <w:sz w:val="18"/>
                <w:szCs w:val="18"/>
              </w:rPr>
              <w:t>间接竞争关</w:t>
            </w:r>
            <w:r>
              <w:rPr>
                <w:rFonts w:ascii="宋体" w:hAnsi="宋体" w:cs="宋体" w:eastAsia="宋体" w:hint="default"/>
                <w:w w:val="101"/>
                <w:sz w:val="18"/>
                <w:szCs w:val="18"/>
              </w:rPr>
              <w:t> </w:t>
            </w:r>
            <w:r>
              <w:rPr>
                <w:rFonts w:ascii="宋体" w:hAnsi="宋体" w:cs="宋体" w:eastAsia="宋体" w:hint="default"/>
                <w:spacing w:val="-4"/>
                <w:sz w:val="18"/>
                <w:szCs w:val="18"/>
              </w:rPr>
              <w:t>系的业务，即</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不在任何时</w:t>
            </w:r>
            <w:r>
              <w:rPr>
                <w:rFonts w:ascii="宋体" w:hAnsi="宋体" w:cs="宋体" w:eastAsia="宋体" w:hint="default"/>
                <w:w w:val="101"/>
                <w:sz w:val="18"/>
                <w:szCs w:val="18"/>
              </w:rPr>
              <w:t> </w:t>
            </w:r>
            <w:r>
              <w:rPr>
                <w:rFonts w:ascii="宋体" w:hAnsi="宋体" w:cs="宋体" w:eastAsia="宋体" w:hint="default"/>
                <w:spacing w:val="-4"/>
                <w:sz w:val="18"/>
                <w:szCs w:val="18"/>
              </w:rPr>
              <w:t>间、任何地方</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以任何方式</w:t>
            </w:r>
          </w:p>
          <w:p>
            <w:pPr>
              <w:pStyle w:val="TableParagraph"/>
              <w:spacing w:line="316" w:lineRule="auto" w:before="19"/>
              <w:ind w:left="24" w:right="3"/>
              <w:jc w:val="left"/>
              <w:rPr>
                <w:rFonts w:ascii="宋体" w:hAnsi="宋体" w:cs="宋体" w:eastAsia="宋体" w:hint="default"/>
                <w:sz w:val="18"/>
                <w:szCs w:val="18"/>
              </w:rPr>
            </w:pPr>
            <w:r>
              <w:rPr>
                <w:rFonts w:ascii="宋体" w:hAnsi="宋体" w:cs="宋体" w:eastAsia="宋体" w:hint="default"/>
                <w:sz w:val="18"/>
                <w:szCs w:val="18"/>
              </w:rPr>
              <w:t>（包括但不</w:t>
            </w:r>
            <w:r>
              <w:rPr>
                <w:rFonts w:ascii="宋体" w:hAnsi="宋体" w:cs="宋体" w:eastAsia="宋体" w:hint="default"/>
                <w:w w:val="101"/>
                <w:sz w:val="18"/>
                <w:szCs w:val="18"/>
              </w:rPr>
              <w:t> </w:t>
            </w:r>
            <w:r>
              <w:rPr>
                <w:rFonts w:ascii="宋体" w:hAnsi="宋体" w:cs="宋体" w:eastAsia="宋体" w:hint="default"/>
                <w:spacing w:val="-4"/>
                <w:sz w:val="18"/>
                <w:szCs w:val="18"/>
              </w:rPr>
              <w:t>限于投资、收</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购、合营、联</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营、承包、租</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赁经营或其</w:t>
            </w:r>
            <w:r>
              <w:rPr>
                <w:rFonts w:ascii="宋体" w:hAnsi="宋体" w:cs="宋体" w:eastAsia="宋体" w:hint="default"/>
                <w:w w:val="101"/>
                <w:sz w:val="18"/>
                <w:szCs w:val="18"/>
              </w:rPr>
              <w:t> </w:t>
            </w:r>
            <w:r>
              <w:rPr>
                <w:rFonts w:ascii="宋体" w:hAnsi="宋体" w:cs="宋体" w:eastAsia="宋体" w:hint="default"/>
                <w:spacing w:val="-2"/>
                <w:sz w:val="18"/>
                <w:szCs w:val="18"/>
              </w:rPr>
              <w:t>他拥有股份、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
                <w:sz w:val="18"/>
                <w:szCs w:val="18"/>
              </w:rPr>
              <w:t>权益方式）从</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事对公司主</w:t>
            </w:r>
            <w:r>
              <w:rPr>
                <w:rFonts w:ascii="宋体" w:hAnsi="宋体" w:cs="宋体" w:eastAsia="宋体" w:hint="default"/>
                <w:w w:val="101"/>
                <w:sz w:val="18"/>
                <w:szCs w:val="18"/>
              </w:rPr>
              <w:t> </w:t>
            </w:r>
            <w:r>
              <w:rPr>
                <w:rFonts w:ascii="宋体" w:hAnsi="宋体" w:cs="宋体" w:eastAsia="宋体" w:hint="default"/>
                <w:sz w:val="18"/>
                <w:szCs w:val="18"/>
              </w:rPr>
              <w:t>营业务构成</w:t>
            </w:r>
            <w:r>
              <w:rPr>
                <w:rFonts w:ascii="宋体" w:hAnsi="宋体" w:cs="宋体" w:eastAsia="宋体" w:hint="default"/>
                <w:w w:val="101"/>
                <w:sz w:val="18"/>
                <w:szCs w:val="18"/>
              </w:rPr>
              <w:t> </w:t>
            </w:r>
            <w:r>
              <w:rPr>
                <w:rFonts w:ascii="宋体" w:hAnsi="宋体" w:cs="宋体" w:eastAsia="宋体" w:hint="default"/>
                <w:sz w:val="18"/>
                <w:szCs w:val="18"/>
              </w:rPr>
              <w:t>或可能构成</w:t>
            </w:r>
            <w:r>
              <w:rPr>
                <w:rFonts w:ascii="宋体" w:hAnsi="宋体" w:cs="宋体" w:eastAsia="宋体" w:hint="default"/>
                <w:w w:val="101"/>
                <w:sz w:val="18"/>
                <w:szCs w:val="18"/>
              </w:rPr>
              <w:t> </w:t>
            </w:r>
            <w:r>
              <w:rPr>
                <w:rFonts w:ascii="宋体" w:hAnsi="宋体" w:cs="宋体" w:eastAsia="宋体" w:hint="default"/>
                <w:sz w:val="18"/>
                <w:szCs w:val="18"/>
              </w:rPr>
              <w:t>直接或间接</w:t>
            </w:r>
            <w:r>
              <w:rPr>
                <w:rFonts w:ascii="宋体" w:hAnsi="宋体" w:cs="宋体" w:eastAsia="宋体" w:hint="default"/>
                <w:w w:val="101"/>
                <w:sz w:val="18"/>
                <w:szCs w:val="18"/>
              </w:rPr>
              <w:t> </w:t>
            </w:r>
            <w:r>
              <w:rPr>
                <w:rFonts w:ascii="宋体" w:hAnsi="宋体" w:cs="宋体" w:eastAsia="宋体" w:hint="default"/>
                <w:sz w:val="18"/>
                <w:szCs w:val="18"/>
              </w:rPr>
              <w:t>竞争关系的</w:t>
            </w:r>
            <w:r>
              <w:rPr>
                <w:rFonts w:ascii="宋体" w:hAnsi="宋体" w:cs="宋体" w:eastAsia="宋体" w:hint="default"/>
                <w:w w:val="101"/>
                <w:sz w:val="18"/>
                <w:szCs w:val="18"/>
              </w:rPr>
              <w:t> </w:t>
            </w:r>
            <w:r>
              <w:rPr>
                <w:rFonts w:ascii="宋体" w:hAnsi="宋体" w:cs="宋体" w:eastAsia="宋体" w:hint="default"/>
                <w:spacing w:val="-3"/>
                <w:sz w:val="18"/>
                <w:szCs w:val="18"/>
              </w:rPr>
              <w:t>业务；</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、承</w:t>
            </w:r>
            <w:r>
              <w:rPr>
                <w:rFonts w:ascii="宋体" w:hAnsi="宋体" w:cs="宋体" w:eastAsia="宋体" w:hint="default"/>
                <w:spacing w:val="-75"/>
                <w:sz w:val="18"/>
                <w:szCs w:val="18"/>
              </w:rPr>
              <w:t> </w:t>
            </w:r>
            <w:r>
              <w:rPr>
                <w:rFonts w:ascii="宋体" w:hAnsi="宋体" w:cs="宋体" w:eastAsia="宋体" w:hint="default"/>
                <w:sz w:val="18"/>
                <w:szCs w:val="18"/>
              </w:rPr>
              <w:t>诺方及其控</w:t>
            </w:r>
            <w:r>
              <w:rPr>
                <w:rFonts w:ascii="宋体" w:hAnsi="宋体" w:cs="宋体" w:eastAsia="宋体" w:hint="default"/>
                <w:w w:val="101"/>
                <w:sz w:val="18"/>
                <w:szCs w:val="18"/>
              </w:rPr>
              <w:t> </w:t>
            </w:r>
            <w:r>
              <w:rPr>
                <w:rFonts w:ascii="宋体" w:hAnsi="宋体" w:cs="宋体" w:eastAsia="宋体" w:hint="default"/>
                <w:spacing w:val="-4"/>
                <w:sz w:val="18"/>
                <w:szCs w:val="18"/>
              </w:rPr>
              <w:t>股、参股企业</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知悉其拟开</w:t>
            </w:r>
            <w:r>
              <w:rPr>
                <w:rFonts w:ascii="宋体" w:hAnsi="宋体" w:cs="宋体" w:eastAsia="宋体" w:hint="default"/>
                <w:w w:val="101"/>
                <w:sz w:val="18"/>
                <w:szCs w:val="18"/>
              </w:rPr>
              <w:t> </w:t>
            </w:r>
            <w:r>
              <w:rPr>
                <w:rFonts w:ascii="宋体" w:hAnsi="宋体" w:cs="宋体" w:eastAsia="宋体" w:hint="default"/>
                <w:sz w:val="18"/>
                <w:szCs w:val="18"/>
              </w:rPr>
              <w:t>展的某项业</w:t>
            </w:r>
            <w:r>
              <w:rPr>
                <w:rFonts w:ascii="宋体" w:hAnsi="宋体" w:cs="宋体" w:eastAsia="宋体" w:hint="default"/>
                <w:w w:val="101"/>
                <w:sz w:val="18"/>
                <w:szCs w:val="18"/>
              </w:rPr>
              <w:t> </w:t>
            </w:r>
            <w:r>
              <w:rPr>
                <w:rFonts w:ascii="宋体" w:hAnsi="宋体" w:cs="宋体" w:eastAsia="宋体" w:hint="default"/>
                <w:sz w:val="18"/>
                <w:szCs w:val="18"/>
              </w:rPr>
              <w:t>务中存在对</w:t>
            </w:r>
            <w:r>
              <w:rPr>
                <w:rFonts w:ascii="宋体" w:hAnsi="宋体" w:cs="宋体" w:eastAsia="宋体" w:hint="default"/>
                <w:w w:val="101"/>
                <w:sz w:val="18"/>
                <w:szCs w:val="18"/>
              </w:rPr>
              <w:t> </w:t>
            </w:r>
            <w:r>
              <w:rPr>
                <w:rFonts w:ascii="宋体" w:hAnsi="宋体" w:cs="宋体" w:eastAsia="宋体" w:hint="default"/>
                <w:sz w:val="18"/>
                <w:szCs w:val="18"/>
              </w:rPr>
              <w:t>公司主营业</w:t>
            </w:r>
            <w:r>
              <w:rPr>
                <w:rFonts w:ascii="宋体" w:hAnsi="宋体" w:cs="宋体" w:eastAsia="宋体" w:hint="default"/>
                <w:w w:val="101"/>
                <w:sz w:val="18"/>
                <w:szCs w:val="18"/>
              </w:rPr>
              <w:t> </w:t>
            </w:r>
            <w:r>
              <w:rPr>
                <w:rFonts w:ascii="宋体" w:hAnsi="宋体" w:cs="宋体" w:eastAsia="宋体" w:hint="default"/>
                <w:sz w:val="18"/>
                <w:szCs w:val="18"/>
              </w:rPr>
              <w:t>务构成或可</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6"/>
      </w:tblGrid>
      <w:tr>
        <w:trPr>
          <w:trHeight w:val="11907"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3"/>
              <w:jc w:val="left"/>
              <w:rPr>
                <w:rFonts w:ascii="宋体" w:hAnsi="宋体" w:cs="宋体" w:eastAsia="宋体" w:hint="default"/>
                <w:sz w:val="18"/>
                <w:szCs w:val="18"/>
              </w:rPr>
            </w:pPr>
            <w:r>
              <w:rPr>
                <w:rFonts w:ascii="宋体" w:hAnsi="宋体" w:cs="宋体" w:eastAsia="宋体" w:hint="default"/>
                <w:sz w:val="18"/>
                <w:szCs w:val="18"/>
              </w:rPr>
              <w:t>能构成直接</w:t>
            </w:r>
            <w:r>
              <w:rPr>
                <w:rFonts w:ascii="宋体" w:hAnsi="宋体" w:cs="宋体" w:eastAsia="宋体" w:hint="default"/>
                <w:w w:val="101"/>
                <w:sz w:val="18"/>
                <w:szCs w:val="18"/>
              </w:rPr>
              <w:t> </w:t>
            </w:r>
            <w:r>
              <w:rPr>
                <w:rFonts w:ascii="宋体" w:hAnsi="宋体" w:cs="宋体" w:eastAsia="宋体" w:hint="default"/>
                <w:sz w:val="18"/>
                <w:szCs w:val="18"/>
              </w:rPr>
              <w:t>或间接竞争</w:t>
            </w:r>
            <w:r>
              <w:rPr>
                <w:rFonts w:ascii="宋体" w:hAnsi="宋体" w:cs="宋体" w:eastAsia="宋体" w:hint="default"/>
                <w:w w:val="101"/>
                <w:sz w:val="18"/>
                <w:szCs w:val="18"/>
              </w:rPr>
              <w:t> </w:t>
            </w:r>
            <w:r>
              <w:rPr>
                <w:rFonts w:ascii="宋体" w:hAnsi="宋体" w:cs="宋体" w:eastAsia="宋体" w:hint="default"/>
                <w:spacing w:val="-4"/>
                <w:sz w:val="18"/>
                <w:szCs w:val="18"/>
              </w:rPr>
              <w:t>的情形，承诺</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方及其控股、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参股企业将</w:t>
            </w:r>
            <w:r>
              <w:rPr>
                <w:rFonts w:ascii="宋体" w:hAnsi="宋体" w:cs="宋体" w:eastAsia="宋体" w:hint="default"/>
                <w:w w:val="101"/>
                <w:sz w:val="18"/>
                <w:szCs w:val="18"/>
              </w:rPr>
              <w:t> </w:t>
            </w:r>
            <w:r>
              <w:rPr>
                <w:rFonts w:ascii="宋体" w:hAnsi="宋体" w:cs="宋体" w:eastAsia="宋体" w:hint="default"/>
                <w:sz w:val="18"/>
                <w:szCs w:val="18"/>
              </w:rPr>
              <w:t>立即并毫无</w:t>
            </w:r>
            <w:r>
              <w:rPr>
                <w:rFonts w:ascii="宋体" w:hAnsi="宋体" w:cs="宋体" w:eastAsia="宋体" w:hint="default"/>
                <w:w w:val="101"/>
                <w:sz w:val="18"/>
                <w:szCs w:val="18"/>
              </w:rPr>
              <w:t> </w:t>
            </w:r>
            <w:r>
              <w:rPr>
                <w:rFonts w:ascii="宋体" w:hAnsi="宋体" w:cs="宋体" w:eastAsia="宋体" w:hint="default"/>
                <w:sz w:val="18"/>
                <w:szCs w:val="18"/>
              </w:rPr>
              <w:t>保留的将该</w:t>
            </w:r>
            <w:r>
              <w:rPr>
                <w:rFonts w:ascii="宋体" w:hAnsi="宋体" w:cs="宋体" w:eastAsia="宋体" w:hint="default"/>
                <w:w w:val="101"/>
                <w:sz w:val="18"/>
                <w:szCs w:val="18"/>
              </w:rPr>
              <w:t> </w:t>
            </w:r>
            <w:r>
              <w:rPr>
                <w:rFonts w:ascii="宋体" w:hAnsi="宋体" w:cs="宋体" w:eastAsia="宋体" w:hint="default"/>
                <w:sz w:val="18"/>
                <w:szCs w:val="18"/>
              </w:rPr>
              <w:t>项业务情况</w:t>
            </w:r>
            <w:r>
              <w:rPr>
                <w:rFonts w:ascii="宋体" w:hAnsi="宋体" w:cs="宋体" w:eastAsia="宋体" w:hint="default"/>
                <w:w w:val="101"/>
                <w:sz w:val="18"/>
                <w:szCs w:val="18"/>
              </w:rPr>
              <w:t> </w:t>
            </w:r>
            <w:r>
              <w:rPr>
                <w:rFonts w:ascii="宋体" w:hAnsi="宋体" w:cs="宋体" w:eastAsia="宋体" w:hint="default"/>
                <w:sz w:val="18"/>
                <w:szCs w:val="18"/>
              </w:rPr>
              <w:t>书面通知公</w:t>
            </w:r>
            <w:r>
              <w:rPr>
                <w:rFonts w:ascii="宋体" w:hAnsi="宋体" w:cs="宋体" w:eastAsia="宋体" w:hint="default"/>
                <w:w w:val="101"/>
                <w:sz w:val="18"/>
                <w:szCs w:val="18"/>
              </w:rPr>
              <w:t> </w:t>
            </w:r>
            <w:r>
              <w:rPr>
                <w:rFonts w:ascii="宋体" w:hAnsi="宋体" w:cs="宋体" w:eastAsia="宋体" w:hint="default"/>
                <w:spacing w:val="-4"/>
                <w:sz w:val="18"/>
                <w:szCs w:val="18"/>
              </w:rPr>
              <w:t>司，同时尽力</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促使公司对</w:t>
            </w:r>
            <w:r>
              <w:rPr>
                <w:rFonts w:ascii="宋体" w:hAnsi="宋体" w:cs="宋体" w:eastAsia="宋体" w:hint="default"/>
                <w:w w:val="101"/>
                <w:sz w:val="18"/>
                <w:szCs w:val="18"/>
              </w:rPr>
              <w:t> </w:t>
            </w:r>
            <w:r>
              <w:rPr>
                <w:rFonts w:ascii="宋体" w:hAnsi="宋体" w:cs="宋体" w:eastAsia="宋体" w:hint="default"/>
                <w:sz w:val="18"/>
                <w:szCs w:val="18"/>
              </w:rPr>
              <w:t>该项业务拥</w:t>
            </w:r>
            <w:r>
              <w:rPr>
                <w:rFonts w:ascii="宋体" w:hAnsi="宋体" w:cs="宋体" w:eastAsia="宋体" w:hint="default"/>
                <w:w w:val="101"/>
                <w:sz w:val="18"/>
                <w:szCs w:val="18"/>
              </w:rPr>
              <w:t> </w:t>
            </w:r>
            <w:r>
              <w:rPr>
                <w:rFonts w:ascii="宋体" w:hAnsi="宋体" w:cs="宋体" w:eastAsia="宋体" w:hint="default"/>
                <w:spacing w:val="-4"/>
                <w:sz w:val="18"/>
                <w:szCs w:val="18"/>
              </w:rPr>
              <w:t>有优先权，除</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非公司明确</w:t>
            </w:r>
            <w:r>
              <w:rPr>
                <w:rFonts w:ascii="宋体" w:hAnsi="宋体" w:cs="宋体" w:eastAsia="宋体" w:hint="default"/>
                <w:w w:val="101"/>
                <w:sz w:val="18"/>
                <w:szCs w:val="18"/>
              </w:rPr>
              <w:t> </w:t>
            </w:r>
            <w:r>
              <w:rPr>
                <w:rFonts w:ascii="宋体" w:hAnsi="宋体" w:cs="宋体" w:eastAsia="宋体" w:hint="default"/>
                <w:sz w:val="18"/>
                <w:szCs w:val="18"/>
              </w:rPr>
              <w:t>表示放弃该</w:t>
            </w:r>
            <w:r>
              <w:rPr>
                <w:rFonts w:ascii="宋体" w:hAnsi="宋体" w:cs="宋体" w:eastAsia="宋体" w:hint="default"/>
                <w:w w:val="101"/>
                <w:sz w:val="18"/>
                <w:szCs w:val="18"/>
              </w:rPr>
              <w:t> </w:t>
            </w:r>
            <w:r>
              <w:rPr>
                <w:rFonts w:ascii="宋体" w:hAnsi="宋体" w:cs="宋体" w:eastAsia="宋体" w:hint="default"/>
                <w:sz w:val="18"/>
                <w:szCs w:val="18"/>
              </w:rPr>
              <w:t>项业务；</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spacing w:val="-87"/>
                <w:sz w:val="18"/>
                <w:szCs w:val="18"/>
              </w:rPr>
              <w:t> </w:t>
            </w:r>
            <w:r>
              <w:rPr>
                <w:rFonts w:ascii="宋体" w:hAnsi="宋体" w:cs="宋体" w:eastAsia="宋体" w:hint="default"/>
                <w:sz w:val="18"/>
                <w:szCs w:val="18"/>
              </w:rPr>
              <w:t>如出现承诺</w:t>
            </w:r>
            <w:r>
              <w:rPr>
                <w:rFonts w:ascii="宋体" w:hAnsi="宋体" w:cs="宋体" w:eastAsia="宋体" w:hint="default"/>
                <w:w w:val="101"/>
                <w:sz w:val="18"/>
                <w:szCs w:val="18"/>
              </w:rPr>
              <w:t> </w:t>
            </w:r>
            <w:r>
              <w:rPr>
                <w:rFonts w:ascii="宋体" w:hAnsi="宋体" w:cs="宋体" w:eastAsia="宋体" w:hint="default"/>
                <w:spacing w:val="-2"/>
                <w:sz w:val="18"/>
                <w:szCs w:val="18"/>
              </w:rPr>
              <w:t>方及其控股、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参股企业从</w:t>
            </w:r>
            <w:r>
              <w:rPr>
                <w:rFonts w:ascii="宋体" w:hAnsi="宋体" w:cs="宋体" w:eastAsia="宋体" w:hint="default"/>
                <w:w w:val="101"/>
                <w:sz w:val="18"/>
                <w:szCs w:val="18"/>
              </w:rPr>
              <w:t> </w:t>
            </w:r>
            <w:r>
              <w:rPr>
                <w:rFonts w:ascii="宋体" w:hAnsi="宋体" w:cs="宋体" w:eastAsia="宋体" w:hint="default"/>
                <w:spacing w:val="-4"/>
                <w:sz w:val="18"/>
                <w:szCs w:val="18"/>
              </w:rPr>
              <w:t>事、参与或投</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资与公司主</w:t>
            </w:r>
            <w:r>
              <w:rPr>
                <w:rFonts w:ascii="宋体" w:hAnsi="宋体" w:cs="宋体" w:eastAsia="宋体" w:hint="default"/>
                <w:w w:val="101"/>
                <w:sz w:val="18"/>
                <w:szCs w:val="18"/>
              </w:rPr>
              <w:t> </w:t>
            </w:r>
            <w:r>
              <w:rPr>
                <w:rFonts w:ascii="宋体" w:hAnsi="宋体" w:cs="宋体" w:eastAsia="宋体" w:hint="default"/>
                <w:sz w:val="18"/>
                <w:szCs w:val="18"/>
              </w:rPr>
              <w:t>营业务构成</w:t>
            </w:r>
            <w:r>
              <w:rPr>
                <w:rFonts w:ascii="宋体" w:hAnsi="宋体" w:cs="宋体" w:eastAsia="宋体" w:hint="default"/>
                <w:w w:val="101"/>
                <w:sz w:val="18"/>
                <w:szCs w:val="18"/>
              </w:rPr>
              <w:t> </w:t>
            </w:r>
            <w:r>
              <w:rPr>
                <w:rFonts w:ascii="宋体" w:hAnsi="宋体" w:cs="宋体" w:eastAsia="宋体" w:hint="default"/>
                <w:sz w:val="18"/>
                <w:szCs w:val="18"/>
              </w:rPr>
              <w:t>或可能构成</w:t>
            </w:r>
            <w:r>
              <w:rPr>
                <w:rFonts w:ascii="宋体" w:hAnsi="宋体" w:cs="宋体" w:eastAsia="宋体" w:hint="default"/>
                <w:w w:val="101"/>
                <w:sz w:val="18"/>
                <w:szCs w:val="18"/>
              </w:rPr>
              <w:t> </w:t>
            </w:r>
            <w:r>
              <w:rPr>
                <w:rFonts w:ascii="宋体" w:hAnsi="宋体" w:cs="宋体" w:eastAsia="宋体" w:hint="default"/>
                <w:sz w:val="18"/>
                <w:szCs w:val="18"/>
              </w:rPr>
              <w:t>直接或间接</w:t>
            </w:r>
            <w:r>
              <w:rPr>
                <w:rFonts w:ascii="宋体" w:hAnsi="宋体" w:cs="宋体" w:eastAsia="宋体" w:hint="default"/>
                <w:w w:val="101"/>
                <w:sz w:val="18"/>
                <w:szCs w:val="18"/>
              </w:rPr>
              <w:t> </w:t>
            </w:r>
            <w:r>
              <w:rPr>
                <w:rFonts w:ascii="宋体" w:hAnsi="宋体" w:cs="宋体" w:eastAsia="宋体" w:hint="default"/>
                <w:sz w:val="18"/>
                <w:szCs w:val="18"/>
              </w:rPr>
              <w:t>竞争关系的</w:t>
            </w:r>
            <w:r>
              <w:rPr>
                <w:rFonts w:ascii="宋体" w:hAnsi="宋体" w:cs="宋体" w:eastAsia="宋体" w:hint="default"/>
                <w:w w:val="101"/>
                <w:sz w:val="18"/>
                <w:szCs w:val="18"/>
              </w:rPr>
              <w:t> </w:t>
            </w:r>
            <w:r>
              <w:rPr>
                <w:rFonts w:ascii="宋体" w:hAnsi="宋体" w:cs="宋体" w:eastAsia="宋体" w:hint="default"/>
                <w:sz w:val="18"/>
                <w:szCs w:val="18"/>
              </w:rPr>
              <w:t>业务或项目</w:t>
            </w:r>
            <w:r>
              <w:rPr>
                <w:rFonts w:ascii="宋体" w:hAnsi="宋体" w:cs="宋体" w:eastAsia="宋体" w:hint="default"/>
                <w:w w:val="101"/>
                <w:sz w:val="18"/>
                <w:szCs w:val="18"/>
              </w:rPr>
              <w:t> </w:t>
            </w:r>
            <w:r>
              <w:rPr>
                <w:rFonts w:ascii="宋体" w:hAnsi="宋体" w:cs="宋体" w:eastAsia="宋体" w:hint="default"/>
                <w:spacing w:val="-4"/>
                <w:sz w:val="18"/>
                <w:szCs w:val="18"/>
              </w:rPr>
              <w:t>的情形，公司</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有权要求承</w:t>
            </w:r>
            <w:r>
              <w:rPr>
                <w:rFonts w:ascii="宋体" w:hAnsi="宋体" w:cs="宋体" w:eastAsia="宋体" w:hint="default"/>
                <w:w w:val="101"/>
                <w:sz w:val="18"/>
                <w:szCs w:val="18"/>
              </w:rPr>
              <w:t> </w:t>
            </w:r>
            <w:r>
              <w:rPr>
                <w:rFonts w:ascii="宋体" w:hAnsi="宋体" w:cs="宋体" w:eastAsia="宋体" w:hint="default"/>
                <w:sz w:val="18"/>
                <w:szCs w:val="18"/>
              </w:rPr>
              <w:t>诺方及其控</w:t>
            </w:r>
            <w:r>
              <w:rPr>
                <w:rFonts w:ascii="宋体" w:hAnsi="宋体" w:cs="宋体" w:eastAsia="宋体" w:hint="default"/>
                <w:w w:val="101"/>
                <w:sz w:val="18"/>
                <w:szCs w:val="18"/>
              </w:rPr>
              <w:t> </w:t>
            </w:r>
            <w:r>
              <w:rPr>
                <w:rFonts w:ascii="宋体" w:hAnsi="宋体" w:cs="宋体" w:eastAsia="宋体" w:hint="default"/>
                <w:spacing w:val="-4"/>
                <w:sz w:val="18"/>
                <w:szCs w:val="18"/>
              </w:rPr>
              <w:t>股、参股企业</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停止上述竞</w:t>
            </w:r>
            <w:r>
              <w:rPr>
                <w:rFonts w:ascii="宋体" w:hAnsi="宋体" w:cs="宋体" w:eastAsia="宋体" w:hint="default"/>
                <w:w w:val="101"/>
                <w:sz w:val="18"/>
                <w:szCs w:val="18"/>
              </w:rPr>
              <w:t> </w:t>
            </w:r>
            <w:r>
              <w:rPr>
                <w:rFonts w:ascii="宋体" w:hAnsi="宋体" w:cs="宋体" w:eastAsia="宋体" w:hint="default"/>
                <w:spacing w:val="-4"/>
                <w:sz w:val="18"/>
                <w:szCs w:val="18"/>
              </w:rPr>
              <w:t>争业务，或停</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止投资相关</w:t>
            </w:r>
            <w:r>
              <w:rPr>
                <w:rFonts w:ascii="宋体" w:hAnsi="宋体" w:cs="宋体" w:eastAsia="宋体" w:hint="default"/>
                <w:w w:val="101"/>
                <w:sz w:val="18"/>
                <w:szCs w:val="18"/>
              </w:rPr>
              <w:t> </w:t>
            </w:r>
            <w:r>
              <w:rPr>
                <w:rFonts w:ascii="宋体" w:hAnsi="宋体" w:cs="宋体" w:eastAsia="宋体" w:hint="default"/>
                <w:spacing w:val="-2"/>
                <w:sz w:val="18"/>
                <w:szCs w:val="18"/>
              </w:rPr>
              <w:t>企业或项目，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并有权优先</w:t>
            </w:r>
            <w:r>
              <w:rPr>
                <w:rFonts w:ascii="宋体" w:hAnsi="宋体" w:cs="宋体" w:eastAsia="宋体" w:hint="default"/>
                <w:w w:val="101"/>
                <w:sz w:val="18"/>
                <w:szCs w:val="18"/>
              </w:rPr>
              <w:t> </w:t>
            </w:r>
            <w:r>
              <w:rPr>
                <w:rFonts w:ascii="宋体" w:hAnsi="宋体" w:cs="宋体" w:eastAsia="宋体" w:hint="default"/>
                <w:sz w:val="18"/>
                <w:szCs w:val="18"/>
              </w:rPr>
              <w:t>收购相关业</w:t>
            </w:r>
            <w:r>
              <w:rPr>
                <w:rFonts w:ascii="宋体" w:hAnsi="宋体" w:cs="宋体" w:eastAsia="宋体" w:hint="default"/>
                <w:w w:val="101"/>
                <w:sz w:val="18"/>
                <w:szCs w:val="18"/>
              </w:rPr>
              <w:t> </w:t>
            </w:r>
            <w:r>
              <w:rPr>
                <w:rFonts w:ascii="宋体" w:hAnsi="宋体" w:cs="宋体" w:eastAsia="宋体" w:hint="default"/>
                <w:sz w:val="18"/>
                <w:szCs w:val="18"/>
              </w:rPr>
              <w:t>务或项目资</w:t>
            </w:r>
            <w:r>
              <w:rPr>
                <w:rFonts w:ascii="宋体" w:hAnsi="宋体" w:cs="宋体" w:eastAsia="宋体" w:hint="default"/>
                <w:w w:val="101"/>
                <w:sz w:val="18"/>
                <w:szCs w:val="18"/>
              </w:rPr>
              <w:t> </w:t>
            </w:r>
            <w:r>
              <w:rPr>
                <w:rFonts w:ascii="宋体" w:hAnsi="宋体" w:cs="宋体" w:eastAsia="宋体" w:hint="default"/>
                <w:spacing w:val="-4"/>
                <w:sz w:val="18"/>
                <w:szCs w:val="18"/>
              </w:rPr>
              <w:t>产、投资权益</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1925"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24" w:lineRule="auto"/>
              <w:ind w:left="23" w:right="185"/>
              <w:jc w:val="left"/>
              <w:rPr>
                <w:rFonts w:ascii="宋体" w:hAnsi="宋体" w:cs="宋体" w:eastAsia="宋体" w:hint="default"/>
                <w:sz w:val="18"/>
                <w:szCs w:val="18"/>
              </w:rPr>
            </w:pPr>
            <w:r>
              <w:rPr>
                <w:rFonts w:ascii="宋体" w:hAnsi="宋体" w:cs="宋体" w:eastAsia="宋体" w:hint="default"/>
                <w:spacing w:val="-2"/>
                <w:sz w:val="18"/>
                <w:szCs w:val="18"/>
              </w:rPr>
              <w:t>杭州磐源投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资有限公司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24" w:lineRule="auto"/>
              <w:ind w:left="23" w:right="190"/>
              <w:jc w:val="left"/>
              <w:rPr>
                <w:rFonts w:ascii="宋体" w:hAnsi="宋体" w:cs="宋体" w:eastAsia="宋体" w:hint="default"/>
                <w:sz w:val="18"/>
                <w:szCs w:val="18"/>
              </w:rPr>
            </w:pPr>
            <w:r>
              <w:rPr>
                <w:rFonts w:ascii="宋体" w:hAnsi="宋体" w:cs="宋体" w:eastAsia="宋体" w:hint="default"/>
                <w:spacing w:val="-2"/>
                <w:sz w:val="18"/>
                <w:szCs w:val="18"/>
              </w:rPr>
              <w:t>股份增持承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37"/>
              <w:jc w:val="both"/>
              <w:rPr>
                <w:rFonts w:ascii="宋体" w:hAnsi="宋体" w:cs="宋体" w:eastAsia="宋体" w:hint="default"/>
                <w:sz w:val="18"/>
                <w:szCs w:val="18"/>
              </w:rPr>
            </w:pPr>
            <w:r>
              <w:rPr>
                <w:rFonts w:ascii="宋体" w:hAnsi="宋体" w:cs="宋体" w:eastAsia="宋体" w:hint="default"/>
                <w:sz w:val="18"/>
                <w:szCs w:val="18"/>
              </w:rPr>
              <w:t>公司股票发</w:t>
            </w:r>
            <w:r>
              <w:rPr>
                <w:rFonts w:ascii="宋体" w:hAnsi="宋体" w:cs="宋体" w:eastAsia="宋体" w:hint="default"/>
                <w:w w:val="101"/>
                <w:sz w:val="18"/>
                <w:szCs w:val="18"/>
              </w:rPr>
              <w:t> </w:t>
            </w:r>
            <w:r>
              <w:rPr>
                <w:rFonts w:ascii="宋体" w:hAnsi="宋体" w:cs="宋体" w:eastAsia="宋体" w:hint="default"/>
                <w:sz w:val="18"/>
                <w:szCs w:val="18"/>
              </w:rPr>
              <w:t>行上市后三</w:t>
            </w:r>
            <w:r>
              <w:rPr>
                <w:rFonts w:ascii="宋体" w:hAnsi="宋体" w:cs="宋体" w:eastAsia="宋体" w:hint="default"/>
                <w:w w:val="101"/>
                <w:sz w:val="18"/>
                <w:szCs w:val="18"/>
              </w:rPr>
              <w:t> </w:t>
            </w:r>
            <w:r>
              <w:rPr>
                <w:rFonts w:ascii="宋体" w:hAnsi="宋体" w:cs="宋体" w:eastAsia="宋体" w:hint="default"/>
                <w:sz w:val="18"/>
                <w:szCs w:val="18"/>
              </w:rPr>
              <w:t>年内出现公</w:t>
            </w:r>
            <w:r>
              <w:rPr>
                <w:rFonts w:ascii="宋体" w:hAnsi="宋体" w:cs="宋体" w:eastAsia="宋体" w:hint="default"/>
                <w:w w:val="101"/>
                <w:sz w:val="18"/>
                <w:szCs w:val="18"/>
              </w:rPr>
              <w:t> </w:t>
            </w:r>
            <w:r>
              <w:rPr>
                <w:rFonts w:ascii="宋体" w:hAnsi="宋体" w:cs="宋体" w:eastAsia="宋体" w:hint="default"/>
                <w:sz w:val="18"/>
                <w:szCs w:val="18"/>
              </w:rPr>
              <w:t>司股票连续</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个交易日</w:t>
            </w:r>
            <w:r>
              <w:rPr>
                <w:rFonts w:ascii="宋体" w:hAnsi="宋体" w:cs="宋体" w:eastAsia="宋体" w:hint="default"/>
                <w:w w:val="101"/>
                <w:sz w:val="18"/>
                <w:szCs w:val="18"/>
              </w:rPr>
              <w:t> </w:t>
            </w:r>
            <w:r>
              <w:rPr>
                <w:rFonts w:ascii="宋体" w:hAnsi="宋体" w:cs="宋体" w:eastAsia="宋体" w:hint="default"/>
                <w:sz w:val="18"/>
                <w:szCs w:val="18"/>
              </w:rPr>
              <w:t>的收盘价低</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316"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4"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于最近一期</w:t>
            </w:r>
          </w:p>
        </w:tc>
        <w:tc>
          <w:tcPr>
            <w:tcW w:w="1129" w:type="dxa"/>
            <w:vMerge w:val="restart"/>
            <w:tcBorders>
              <w:top w:val="single" w:sz="4" w:space="0" w:color="000000"/>
              <w:left w:val="single" w:sz="4" w:space="0" w:color="000000"/>
              <w:right w:val="single" w:sz="4" w:space="0" w:color="000000"/>
            </w:tcBorders>
          </w:tcPr>
          <w:p>
            <w:pPr/>
          </w:p>
        </w:tc>
        <w:tc>
          <w:tcPr>
            <w:tcW w:w="1124" w:type="dxa"/>
            <w:vMerge w:val="restart"/>
            <w:tcBorders>
              <w:top w:val="single" w:sz="4" w:space="0" w:color="000000"/>
              <w:left w:val="single" w:sz="4" w:space="0" w:color="000000"/>
              <w:right w:val="single" w:sz="4" w:space="0" w:color="000000"/>
            </w:tcBorders>
          </w:tcPr>
          <w:p>
            <w:pPr/>
          </w:p>
        </w:tc>
        <w:tc>
          <w:tcPr>
            <w:tcW w:w="1104" w:type="dxa"/>
            <w:vMerge w:val="restart"/>
            <w:tcBorders>
              <w:top w:val="single" w:sz="4" w:space="0" w:color="000000"/>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每股净资产</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的情况，且满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足监管机构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对于回购、增</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持公司股份</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等行为的规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定，则触发公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司公司控股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股东履行稳</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定公司股价</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的义务（以下</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触发稳</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定股价义务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w w:val="101"/>
                <w:sz w:val="18"/>
                <w:szCs w:val="18"/>
              </w:rPr>
              <w:t>"</w:t>
            </w:r>
            <w:r>
              <w:rPr>
                <w:rFonts w:ascii="宋体" w:hAnsi="宋体" w:cs="宋体" w:eastAsia="宋体" w:hint="default"/>
                <w:spacing w:val="-92"/>
                <w:w w:val="101"/>
                <w:sz w:val="18"/>
                <w:szCs w:val="18"/>
              </w:rPr>
              <w:t>）</w:t>
            </w:r>
            <w:r>
              <w:rPr>
                <w:rFonts w:ascii="宋体" w:hAnsi="宋体" w:cs="宋体" w:eastAsia="宋体" w:hint="default"/>
                <w:w w:val="101"/>
                <w:sz w:val="18"/>
                <w:szCs w:val="18"/>
              </w:rPr>
              <w:t>。于</w:t>
            </w:r>
            <w:r>
              <w:rPr>
                <w:rFonts w:ascii="宋体" w:hAnsi="宋体" w:cs="宋体" w:eastAsia="宋体" w:hint="default"/>
                <w:spacing w:val="-5"/>
                <w:w w:val="101"/>
                <w:sz w:val="18"/>
                <w:szCs w:val="18"/>
              </w:rPr>
              <w:t>触</w:t>
            </w:r>
            <w:r>
              <w:rPr>
                <w:rFonts w:ascii="宋体" w:hAnsi="宋体" w:cs="宋体" w:eastAsia="宋体" w:hint="default"/>
                <w:w w:val="101"/>
                <w:sz w:val="18"/>
                <w:szCs w:val="18"/>
              </w:rPr>
              <w:t>发稳</w:t>
            </w:r>
            <w:r>
              <w:rPr>
                <w:rFonts w:ascii="宋体" w:hAnsi="宋体" w:cs="宋体" w:eastAsia="宋体" w:hint="default"/>
                <w:sz w:val="18"/>
                <w:szCs w:val="18"/>
              </w:rPr>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定股价义务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之日起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pacing w:val="-4"/>
                <w:sz w:val="18"/>
                <w:szCs w:val="18"/>
              </w:rPr>
              <w:t>交易日内，通</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过增持公司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股份的方式</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以稳定公司</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股价，并向公</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司送达增持</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公司股票书</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面通知，增持</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通知书应包</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括增持股份</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数量、增持价</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格、增持期</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限、增持目标</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及其他有关</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增持的内容。</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公司控股股</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东应于触发</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稳定股价义</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务之日起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月内以不少</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于人民币</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万元资</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金增持股份，</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2"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但股票收盘</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价连续</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07" w:hRule="exact"/>
        </w:trPr>
        <w:tc>
          <w:tcPr>
            <w:tcW w:w="2838" w:type="dxa"/>
            <w:vMerge/>
            <w:tcBorders>
              <w:left w:val="single" w:sz="4" w:space="0" w:color="000000"/>
              <w:right w:val="single" w:sz="4" w:space="0" w:color="000000"/>
            </w:tcBorders>
            <w:shd w:val="clear" w:color="auto" w:fill="D2D2D2"/>
          </w:tcPr>
          <w:p>
            <w:pPr/>
          </w:p>
        </w:tc>
        <w:tc>
          <w:tcPr>
            <w:tcW w:w="1124"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交易日高于</w:t>
            </w:r>
          </w:p>
        </w:tc>
        <w:tc>
          <w:tcPr>
            <w:tcW w:w="1129" w:type="dxa"/>
            <w:vMerge/>
            <w:tcBorders>
              <w:left w:val="single" w:sz="4" w:space="0" w:color="000000"/>
              <w:right w:val="single" w:sz="4" w:space="0" w:color="000000"/>
            </w:tcBorders>
          </w:tcPr>
          <w:p>
            <w:pPr/>
          </w:p>
        </w:tc>
        <w:tc>
          <w:tcPr>
            <w:tcW w:w="1124"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8"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最近一期经</w:t>
            </w:r>
          </w:p>
        </w:tc>
        <w:tc>
          <w:tcPr>
            <w:tcW w:w="1129" w:type="dxa"/>
            <w:vMerge/>
            <w:tcBorders>
              <w:left w:val="single" w:sz="4" w:space="0" w:color="000000"/>
              <w:bottom w:val="single" w:sz="4" w:space="0" w:color="000000"/>
              <w:right w:val="single" w:sz="4" w:space="0" w:color="000000"/>
            </w:tcBorders>
          </w:tcPr>
          <w:p>
            <w:pPr/>
          </w:p>
        </w:tc>
        <w:tc>
          <w:tcPr>
            <w:tcW w:w="1124" w:type="dxa"/>
            <w:vMerge/>
            <w:tcBorders>
              <w:left w:val="single" w:sz="4" w:space="0" w:color="000000"/>
              <w:bottom w:val="single" w:sz="4" w:space="0" w:color="000000"/>
              <w:right w:val="single" w:sz="4" w:space="0" w:color="000000"/>
            </w:tcBorders>
          </w:tcPr>
          <w:p>
            <w:pPr/>
          </w:p>
        </w:tc>
        <w:tc>
          <w:tcPr>
            <w:tcW w:w="1104"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6290"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4" w:right="12"/>
              <w:jc w:val="left"/>
              <w:rPr>
                <w:rFonts w:ascii="宋体" w:hAnsi="宋体" w:cs="宋体" w:eastAsia="宋体" w:hint="default"/>
                <w:sz w:val="18"/>
                <w:szCs w:val="18"/>
              </w:rPr>
            </w:pPr>
            <w:r>
              <w:rPr>
                <w:rFonts w:ascii="宋体" w:hAnsi="宋体" w:cs="宋体" w:eastAsia="宋体" w:hint="default"/>
                <w:sz w:val="18"/>
                <w:szCs w:val="18"/>
              </w:rPr>
              <w:t>审计的每股</w:t>
            </w:r>
            <w:r>
              <w:rPr>
                <w:rFonts w:ascii="宋体" w:hAnsi="宋体" w:cs="宋体" w:eastAsia="宋体" w:hint="default"/>
                <w:w w:val="101"/>
                <w:sz w:val="18"/>
                <w:szCs w:val="18"/>
              </w:rPr>
              <w:t> </w:t>
            </w:r>
            <w:r>
              <w:rPr>
                <w:rFonts w:ascii="宋体" w:hAnsi="宋体" w:cs="宋体" w:eastAsia="宋体" w:hint="default"/>
                <w:spacing w:val="-4"/>
                <w:sz w:val="18"/>
                <w:szCs w:val="18"/>
              </w:rPr>
              <w:t>净资产，则控</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股股东可中</w:t>
            </w:r>
            <w:r>
              <w:rPr>
                <w:rFonts w:ascii="宋体" w:hAnsi="宋体" w:cs="宋体" w:eastAsia="宋体" w:hint="default"/>
                <w:w w:val="101"/>
                <w:sz w:val="18"/>
                <w:szCs w:val="18"/>
              </w:rPr>
              <w:t> </w:t>
            </w:r>
            <w:r>
              <w:rPr>
                <w:rFonts w:ascii="宋体" w:hAnsi="宋体" w:cs="宋体" w:eastAsia="宋体" w:hint="default"/>
                <w:sz w:val="18"/>
                <w:szCs w:val="18"/>
              </w:rPr>
              <w:t>止实施增持</w:t>
            </w:r>
            <w:r>
              <w:rPr>
                <w:rFonts w:ascii="宋体" w:hAnsi="宋体" w:cs="宋体" w:eastAsia="宋体" w:hint="default"/>
                <w:w w:val="101"/>
                <w:sz w:val="18"/>
                <w:szCs w:val="18"/>
              </w:rPr>
              <w:t> </w:t>
            </w:r>
            <w:r>
              <w:rPr>
                <w:rFonts w:ascii="宋体" w:hAnsi="宋体" w:cs="宋体" w:eastAsia="宋体" w:hint="default"/>
                <w:spacing w:val="-4"/>
                <w:sz w:val="18"/>
                <w:szCs w:val="18"/>
              </w:rPr>
              <w:t>计划。公司股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票上市后每</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pacing w:val="-13"/>
                <w:sz w:val="18"/>
                <w:szCs w:val="18"/>
              </w:rPr>
              <w:t>个月内，公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司控股股东</w:t>
            </w:r>
            <w:r>
              <w:rPr>
                <w:rFonts w:ascii="宋体" w:hAnsi="宋体" w:cs="宋体" w:eastAsia="宋体" w:hint="default"/>
                <w:w w:val="101"/>
                <w:sz w:val="18"/>
                <w:szCs w:val="18"/>
              </w:rPr>
              <w:t> </w:t>
            </w:r>
            <w:r>
              <w:rPr>
                <w:rFonts w:ascii="宋体" w:hAnsi="宋体" w:cs="宋体" w:eastAsia="宋体" w:hint="default"/>
                <w:sz w:val="18"/>
                <w:szCs w:val="18"/>
              </w:rPr>
              <w:t>因</w:t>
            </w:r>
            <w:r>
              <w:rPr>
                <w:rFonts w:ascii="Times New Roman" w:hAnsi="Times New Roman" w:cs="Times New Roman" w:eastAsia="Times New Roman" w:hint="default"/>
                <w:sz w:val="18"/>
                <w:szCs w:val="18"/>
              </w:rPr>
              <w:t>"</w:t>
            </w:r>
            <w:r>
              <w:rPr>
                <w:rFonts w:ascii="宋体" w:hAnsi="宋体" w:cs="宋体" w:eastAsia="宋体" w:hint="default"/>
                <w:sz w:val="18"/>
                <w:szCs w:val="18"/>
              </w:rPr>
              <w:t>触发稳定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股价义务</w:t>
            </w:r>
            <w:r>
              <w:rPr>
                <w:rFonts w:ascii="Times New Roman" w:hAnsi="Times New Roman" w:cs="Times New Roman" w:eastAsia="Times New Roman" w:hint="default"/>
                <w:sz w:val="18"/>
                <w:szCs w:val="18"/>
              </w:rPr>
              <w:t>"</w:t>
            </w:r>
            <w:r>
              <w:rPr>
                <w:rFonts w:ascii="宋体" w:hAnsi="宋体" w:cs="宋体" w:eastAsia="宋体" w:hint="default"/>
                <w:sz w:val="18"/>
                <w:szCs w:val="18"/>
              </w:rPr>
              <w:t>而</w:t>
            </w:r>
            <w:r>
              <w:rPr>
                <w:rFonts w:ascii="宋体" w:hAnsi="宋体" w:cs="宋体" w:eastAsia="宋体" w:hint="default"/>
                <w:spacing w:val="-86"/>
                <w:sz w:val="18"/>
                <w:szCs w:val="18"/>
              </w:rPr>
              <w:t> </w:t>
            </w:r>
            <w:r>
              <w:rPr>
                <w:rFonts w:ascii="宋体" w:hAnsi="宋体" w:cs="宋体" w:eastAsia="宋体" w:hint="default"/>
                <w:sz w:val="18"/>
                <w:szCs w:val="18"/>
              </w:rPr>
              <w:t>增持公司股</w:t>
            </w:r>
            <w:r>
              <w:rPr>
                <w:rFonts w:ascii="宋体" w:hAnsi="宋体" w:cs="宋体" w:eastAsia="宋体" w:hint="default"/>
                <w:w w:val="101"/>
                <w:sz w:val="18"/>
                <w:szCs w:val="18"/>
              </w:rPr>
              <w:t> </w:t>
            </w:r>
            <w:r>
              <w:rPr>
                <w:rFonts w:ascii="宋体" w:hAnsi="宋体" w:cs="宋体" w:eastAsia="宋体" w:hint="default"/>
                <w:sz w:val="18"/>
                <w:szCs w:val="18"/>
              </w:rPr>
              <w:t>票的累计投</w:t>
            </w:r>
            <w:r>
              <w:rPr>
                <w:rFonts w:ascii="宋体" w:hAnsi="宋体" w:cs="宋体" w:eastAsia="宋体" w:hint="default"/>
                <w:w w:val="101"/>
                <w:sz w:val="18"/>
                <w:szCs w:val="18"/>
              </w:rPr>
              <w:t> </w:t>
            </w:r>
            <w:r>
              <w:rPr>
                <w:rFonts w:ascii="宋体" w:hAnsi="宋体" w:cs="宋体" w:eastAsia="宋体" w:hint="default"/>
                <w:sz w:val="18"/>
                <w:szCs w:val="18"/>
              </w:rPr>
              <w:t>入金额不超</w:t>
            </w:r>
            <w:r>
              <w:rPr>
                <w:rFonts w:ascii="宋体" w:hAnsi="宋体" w:cs="宋体" w:eastAsia="宋体" w:hint="default"/>
                <w:w w:val="101"/>
                <w:sz w:val="18"/>
                <w:szCs w:val="18"/>
              </w:rPr>
              <w:t> </w:t>
            </w:r>
            <w:r>
              <w:rPr>
                <w:rFonts w:ascii="宋体" w:hAnsi="宋体" w:cs="宋体" w:eastAsia="宋体" w:hint="default"/>
                <w:sz w:val="18"/>
                <w:szCs w:val="18"/>
              </w:rPr>
              <w:t>过人民币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2,000 </w:t>
            </w:r>
            <w:r>
              <w:rPr>
                <w:rFonts w:ascii="宋体" w:hAnsi="宋体" w:cs="宋体" w:eastAsia="宋体" w:hint="default"/>
                <w:sz w:val="18"/>
                <w:szCs w:val="18"/>
              </w:rPr>
              <w:t>万元。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控股股东因</w:t>
            </w:r>
            <w:r>
              <w:rPr>
                <w:rFonts w:ascii="宋体" w:hAnsi="宋体" w:cs="宋体" w:eastAsia="宋体" w:hint="default"/>
                <w:w w:val="101"/>
                <w:sz w:val="18"/>
                <w:szCs w:val="18"/>
              </w:rPr>
              <w:t> </w:t>
            </w:r>
            <w:r>
              <w:rPr>
                <w:rFonts w:ascii="宋体" w:hAnsi="宋体" w:cs="宋体" w:eastAsia="宋体" w:hint="default"/>
                <w:sz w:val="18"/>
                <w:szCs w:val="18"/>
              </w:rPr>
              <w:t>其他原因自</w:t>
            </w:r>
            <w:r>
              <w:rPr>
                <w:rFonts w:ascii="宋体" w:hAnsi="宋体" w:cs="宋体" w:eastAsia="宋体" w:hint="default"/>
                <w:w w:val="101"/>
                <w:sz w:val="18"/>
                <w:szCs w:val="18"/>
              </w:rPr>
              <w:t> </w:t>
            </w:r>
            <w:r>
              <w:rPr>
                <w:rFonts w:ascii="宋体" w:hAnsi="宋体" w:cs="宋体" w:eastAsia="宋体" w:hint="default"/>
                <w:sz w:val="18"/>
                <w:szCs w:val="18"/>
              </w:rPr>
              <w:t>愿增持公司</w:t>
            </w:r>
            <w:r>
              <w:rPr>
                <w:rFonts w:ascii="宋体" w:hAnsi="宋体" w:cs="宋体" w:eastAsia="宋体" w:hint="default"/>
                <w:w w:val="101"/>
                <w:sz w:val="18"/>
                <w:szCs w:val="18"/>
              </w:rPr>
              <w:t> </w:t>
            </w:r>
            <w:r>
              <w:rPr>
                <w:rFonts w:ascii="宋体" w:hAnsi="宋体" w:cs="宋体" w:eastAsia="宋体" w:hint="default"/>
                <w:spacing w:val="-4"/>
                <w:sz w:val="18"/>
                <w:szCs w:val="18"/>
              </w:rPr>
              <w:t>股票的，不受</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本条款限制</w:t>
            </w: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其他对公司中小股东所作承诺</w:t>
            </w: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102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99"/>
              <w:jc w:val="both"/>
              <w:rPr>
                <w:rFonts w:ascii="宋体" w:hAnsi="宋体" w:cs="宋体" w:eastAsia="宋体" w:hint="default"/>
                <w:sz w:val="18"/>
                <w:szCs w:val="18"/>
              </w:rPr>
            </w:pPr>
            <w:r>
              <w:rPr>
                <w:rFonts w:ascii="宋体" w:hAnsi="宋体" w:cs="宋体" w:eastAsia="宋体" w:hint="default"/>
                <w:spacing w:val="-3"/>
                <w:sz w:val="18"/>
                <w:szCs w:val="18"/>
              </w:rPr>
              <w:t>如承诺超期未履行完毕的，应当详</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细说明未完成履行的具体原因及下</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一步的工作计划</w:t>
            </w:r>
          </w:p>
        </w:tc>
        <w:tc>
          <w:tcPr>
            <w:tcW w:w="673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spacing w:line="240" w:lineRule="auto" w:before="10"/>
        <w:rPr>
          <w:rFonts w:ascii="Times New Roman" w:hAnsi="Times New Roman" w:cs="Times New Roman" w:eastAsia="Times New Roman" w:hint="default"/>
          <w:sz w:val="21"/>
          <w:szCs w:val="21"/>
        </w:rPr>
      </w:pPr>
    </w:p>
    <w:p>
      <w:pPr>
        <w:pStyle w:val="Heading4"/>
        <w:spacing w:line="256" w:lineRule="auto" w:before="36"/>
        <w:ind w:right="0"/>
        <w:jc w:val="left"/>
        <w:rPr>
          <w:b w:val="0"/>
          <w:bCs w:val="0"/>
        </w:rPr>
      </w:pPr>
      <w:bookmarkStart w:name="2、公司资产或项目存在盈利预测，且报告期仍处在盈利预测期间，公司就资产或项目达到" w:id="65"/>
      <w:bookmarkEnd w:id="65"/>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2"/>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三、控股股东及其关联方对上市公司的非经营性占用资金情况" w:id="66"/>
      <w:bookmarkEnd w:id="66"/>
      <w:r>
        <w:rPr>
          <w:b w:val="0"/>
          <w:bCs w:val="0"/>
        </w:rPr>
      </w:r>
      <w:r>
        <w:rPr/>
        <w:t>三、控股股东及其关联方对上市公司的非经营性占用资金情况</w:t>
      </w:r>
      <w:r>
        <w:rPr>
          <w:b w:val="0"/>
          <w:bCs w:val="0"/>
        </w:rPr>
      </w:r>
    </w:p>
    <w:p>
      <w:pPr>
        <w:spacing w:line="240" w:lineRule="auto" w:before="8"/>
        <w:rPr>
          <w:rFonts w:ascii="宋体" w:hAnsi="宋体" w:cs="宋体" w:eastAsia="宋体" w:hint="default"/>
          <w:b/>
          <w:bCs/>
          <w:sz w:val="27"/>
          <w:szCs w:val="27"/>
        </w:rPr>
      </w:pPr>
    </w:p>
    <w:p>
      <w:pPr>
        <w:pStyle w:val="BodyText"/>
        <w:spacing w:line="343" w:lineRule="auto"/>
        <w:ind w:right="5004"/>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公司报告期不存在控股股东及其关联方对上市公司的非经营性占用资金。</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四、董事会对最近一期“非标准审计报告”相关情况的说明" w:id="67"/>
      <w:bookmarkEnd w:id="67"/>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741" w:footer="979" w:top="1060" w:bottom="1160" w:left="980" w:right="0"/>
        </w:sectPr>
      </w:pPr>
    </w:p>
    <w:p>
      <w:pPr>
        <w:spacing w:line="240" w:lineRule="auto" w:before="5"/>
        <w:rPr>
          <w:rFonts w:ascii="宋体" w:hAnsi="宋体" w:cs="宋体" w:eastAsia="宋体" w:hint="default"/>
          <w:sz w:val="23"/>
          <w:szCs w:val="23"/>
        </w:rPr>
      </w:pPr>
    </w:p>
    <w:p>
      <w:pPr>
        <w:pStyle w:val="Heading2"/>
        <w:spacing w:line="240" w:lineRule="auto" w:before="26"/>
        <w:ind w:right="0"/>
        <w:jc w:val="left"/>
        <w:rPr>
          <w:b w:val="0"/>
          <w:bCs w:val="0"/>
        </w:rPr>
      </w:pPr>
      <w:bookmarkStart w:name="五、董事会、监事会、独立董事（如有）对会计师事务所本报告期“非标准审计报告”的说" w:id="68"/>
      <w:bookmarkEnd w:id="68"/>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3"/>
        <w:rPr>
          <w:rFonts w:ascii="宋体" w:hAnsi="宋体" w:cs="宋体" w:eastAsia="宋体" w:hint="default"/>
          <w:sz w:val="22"/>
          <w:szCs w:val="22"/>
        </w:rPr>
      </w:pPr>
    </w:p>
    <w:p>
      <w:pPr>
        <w:pStyle w:val="Heading2"/>
        <w:spacing w:line="240" w:lineRule="auto"/>
        <w:ind w:right="0"/>
        <w:jc w:val="left"/>
        <w:rPr>
          <w:b w:val="0"/>
          <w:bCs w:val="0"/>
        </w:rPr>
      </w:pPr>
      <w:bookmarkStart w:name="六、董事会关于报告期会计政策、会计估计变更或重大会计差错更正的说明" w:id="69"/>
      <w:bookmarkEnd w:id="69"/>
      <w:r>
        <w:rPr>
          <w:b w:val="0"/>
          <w:bCs w:val="0"/>
        </w:rPr>
      </w:r>
      <w:r>
        <w:rPr/>
        <w:t>六、董事会关于报告期会计政策、会计估计变更或重大会计差错更正的说明</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七、与上年度财务报告相比，合并报表范围发生变化的情况说明" w:id="70"/>
      <w:bookmarkEnd w:id="70"/>
      <w:r>
        <w:rPr>
          <w:b w:val="0"/>
          <w:bCs w:val="0"/>
        </w:rPr>
      </w:r>
      <w:r>
        <w:rPr/>
        <w:t>七、与上年度财务报告相比，合并报表范围发生变化的情况说明</w:t>
      </w:r>
      <w:r>
        <w:rPr>
          <w:b w:val="0"/>
          <w:bCs w:val="0"/>
        </w:rPr>
      </w:r>
    </w:p>
    <w:p>
      <w:pPr>
        <w:spacing w:line="240" w:lineRule="auto" w:before="8"/>
        <w:rPr>
          <w:rFonts w:ascii="宋体" w:hAnsi="宋体" w:cs="宋体" w:eastAsia="宋体" w:hint="default"/>
          <w:b/>
          <w:bCs/>
          <w:sz w:val="27"/>
          <w:szCs w:val="27"/>
        </w:rPr>
      </w:pPr>
    </w:p>
    <w:p>
      <w:pPr>
        <w:pStyle w:val="Heading5"/>
        <w:spacing w:line="292" w:lineRule="auto"/>
        <w:ind w:right="0"/>
        <w:jc w:val="left"/>
      </w:pPr>
      <w:r>
        <w:rPr>
          <w:rFonts w:ascii="Times New Roman" w:hAnsi="Times New Roman" w:cs="Times New Roman" w:eastAsia="Times New Roman" w:hint="default"/>
          <w:sz w:val="18"/>
          <w:szCs w:val="18"/>
        </w:rPr>
        <w:t>√ </w:t>
      </w:r>
      <w:r>
        <w:rPr>
          <w:spacing w:val="-3"/>
          <w:sz w:val="18"/>
          <w:szCs w:val="18"/>
        </w:rPr>
        <w:t>适用 </w:t>
      </w:r>
      <w:r>
        <w:rPr>
          <w:rFonts w:ascii="Times New Roman" w:hAnsi="Times New Roman" w:cs="Times New Roman" w:eastAsia="Times New Roman" w:hint="default"/>
          <w:sz w:val="18"/>
          <w:szCs w:val="18"/>
        </w:rPr>
        <w:t>□ </w:t>
      </w:r>
      <w:r>
        <w:rPr>
          <w:sz w:val="18"/>
          <w:szCs w:val="18"/>
        </w:rPr>
        <w:t>不适用</w:t>
      </w:r>
      <w:r>
        <w:rPr>
          <w:spacing w:val="-78"/>
          <w:sz w:val="18"/>
          <w:szCs w:val="18"/>
        </w:rPr>
        <w:t> </w:t>
      </w:r>
      <w:r>
        <w:rPr>
          <w:spacing w:val="-78"/>
          <w:sz w:val="18"/>
          <w:szCs w:val="18"/>
        </w:rPr>
      </w:r>
      <w:r>
        <w:rPr>
          <w:spacing w:val="-7"/>
        </w:rPr>
        <w:t>报告期内，公司纳入合并范围子公司发生变动，增加北京和仁公司，减少和仁云慧公司和黑龙江和仁公司。</w:t>
      </w:r>
      <w:r>
        <w:rPr>
          <w:spacing w:val="-3"/>
        </w:rPr>
        <w:t> </w:t>
      </w:r>
      <w:r>
        <w:rPr>
          <w:spacing w:val="-3"/>
        </w:rPr>
      </w:r>
      <w:r>
        <w:rPr/>
        <w:t>合并范围变更主体的具体信息详见本报告</w:t>
      </w:r>
      <w:r>
        <w:rPr>
          <w:rFonts w:ascii="Times New Roman" w:hAnsi="Times New Roman" w:cs="Times New Roman" w:eastAsia="Times New Roman" w:hint="default"/>
        </w:rPr>
        <w:t>“</w:t>
      </w:r>
      <w:r>
        <w:rPr/>
        <w:t>第十二节</w:t>
      </w:r>
      <w:r>
        <w:rPr>
          <w:spacing w:val="-23"/>
        </w:rPr>
        <w:t> </w:t>
      </w:r>
      <w:r>
        <w:rPr/>
        <w:t>财务报告</w:t>
      </w:r>
      <w:r>
        <w:rPr>
          <w:rFonts w:ascii="Times New Roman" w:hAnsi="Times New Roman" w:cs="Times New Roman" w:eastAsia="Times New Roman" w:hint="default"/>
        </w:rPr>
        <w:t>”</w:t>
      </w:r>
      <w:r>
        <w:rPr/>
        <w:t>中</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w:t>
      </w:r>
      <w:r>
        <w:rPr/>
        <w:t>。</w:t>
      </w:r>
    </w:p>
    <w:p>
      <w:pPr>
        <w:spacing w:line="240" w:lineRule="auto" w:before="7"/>
        <w:rPr>
          <w:rFonts w:ascii="宋体" w:hAnsi="宋体" w:cs="宋体" w:eastAsia="宋体" w:hint="default"/>
          <w:sz w:val="18"/>
          <w:szCs w:val="18"/>
        </w:rPr>
      </w:pPr>
    </w:p>
    <w:p>
      <w:pPr>
        <w:pStyle w:val="Heading2"/>
        <w:spacing w:line="240" w:lineRule="auto"/>
        <w:ind w:right="0"/>
        <w:jc w:val="left"/>
        <w:rPr>
          <w:b w:val="0"/>
          <w:bCs w:val="0"/>
        </w:rPr>
      </w:pPr>
      <w:bookmarkStart w:name="八、聘任、解聘会计师事务所情况" w:id="71"/>
      <w:bookmarkEnd w:id="71"/>
      <w:r>
        <w:rPr>
          <w:b w:val="0"/>
          <w:bCs w:val="0"/>
        </w:rPr>
      </w:r>
      <w:r>
        <w:rPr/>
        <w:t>八、聘任、解聘会计师事务所情况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left"/>
      </w:pPr>
      <w:r>
        <w:rPr>
          <w:spacing w:val="-3"/>
        </w:rPr>
        <w:t>现聘任的会计事务所</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92"/>
        <w:gridCol w:w="4777"/>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天健会计师事务所</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65</w:t>
            </w:r>
          </w:p>
        </w:tc>
      </w:tr>
      <w:tr>
        <w:trPr>
          <w:trHeight w:val="401"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r>
      <w:tr>
        <w:trPr>
          <w:trHeight w:val="401"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3"/>
                <w:sz w:val="18"/>
                <w:szCs w:val="18"/>
              </w:rPr>
              <w:t>吕安吉、吴传淼</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p>
        </w:tc>
      </w:tr>
    </w:tbl>
    <w:p>
      <w:pPr>
        <w:pStyle w:val="BodyText"/>
        <w:spacing w:line="240" w:lineRule="auto" w:before="53"/>
        <w:ind w:right="0"/>
        <w:jc w:val="left"/>
      </w:pPr>
      <w:r>
        <w:rPr/>
        <w:t>是否改聘会计师事务所</w:t>
      </w:r>
    </w:p>
    <w:p>
      <w:pPr>
        <w:pStyle w:val="BodyText"/>
        <w:spacing w:line="338" w:lineRule="auto" w:before="120"/>
        <w:ind w:right="6287"/>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3"/>
        </w:rPr>
        <w:t> </w:t>
      </w:r>
      <w:r>
        <w:rPr>
          <w:spacing w:val="-3"/>
        </w:rPr>
        <w:t>聘请内部控制审计会计师事务所、财务顾问或保荐人情况</w:t>
      </w:r>
    </w:p>
    <w:p>
      <w:pPr>
        <w:pStyle w:val="BodyText"/>
        <w:spacing w:line="240" w:lineRule="auto" w:before="41"/>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bookmarkStart w:name="九、年度报告披露后面临暂停上市和终止上市情况" w:id="72"/>
      <w:bookmarkEnd w:id="72"/>
      <w:r>
        <w:rPr>
          <w:b w:val="0"/>
          <w:bCs w:val="0"/>
        </w:rPr>
      </w:r>
      <w:r>
        <w:rPr/>
        <w:t>九、年度报告披露后面临暂停上市和终止上市情况</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十、破产重整相关事项" w:id="73"/>
      <w:bookmarkEnd w:id="73"/>
      <w:r>
        <w:rPr>
          <w:b w:val="0"/>
          <w:bCs w:val="0"/>
        </w:rPr>
      </w:r>
      <w:r>
        <w:rPr/>
        <w:t>十、破产重整相关事项</w:t>
      </w:r>
      <w:r>
        <w:rPr>
          <w:b w:val="0"/>
          <w:bCs w:val="0"/>
        </w:rPr>
      </w:r>
    </w:p>
    <w:p>
      <w:pPr>
        <w:spacing w:line="240" w:lineRule="auto" w:before="7"/>
        <w:rPr>
          <w:rFonts w:ascii="宋体" w:hAnsi="宋体" w:cs="宋体" w:eastAsia="宋体" w:hint="default"/>
          <w:b/>
          <w:bCs/>
          <w:sz w:val="27"/>
          <w:szCs w:val="27"/>
        </w:rPr>
      </w:pPr>
    </w:p>
    <w:p>
      <w:pPr>
        <w:pStyle w:val="BodyText"/>
        <w:spacing w:line="338" w:lineRule="auto"/>
        <w:ind w:right="727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公司报告期未发生破产重整相关事项。</w:t>
      </w:r>
    </w:p>
    <w:p>
      <w:pPr>
        <w:spacing w:line="240" w:lineRule="auto" w:before="9"/>
        <w:rPr>
          <w:rFonts w:ascii="宋体" w:hAnsi="宋体" w:cs="宋体" w:eastAsia="宋体" w:hint="default"/>
          <w:sz w:val="18"/>
          <w:szCs w:val="18"/>
        </w:rPr>
      </w:pPr>
    </w:p>
    <w:p>
      <w:pPr>
        <w:pStyle w:val="Heading2"/>
        <w:spacing w:line="240" w:lineRule="auto"/>
        <w:ind w:right="0"/>
        <w:jc w:val="left"/>
        <w:rPr>
          <w:b w:val="0"/>
          <w:bCs w:val="0"/>
        </w:rPr>
      </w:pPr>
      <w:bookmarkStart w:name="十一、重大诉讼、仲裁事项" w:id="74"/>
      <w:bookmarkEnd w:id="74"/>
      <w:r>
        <w:rPr>
          <w:b w:val="0"/>
          <w:bCs w:val="0"/>
        </w:rPr>
      </w:r>
      <w:r>
        <w:rPr/>
        <w:t>十一、重大诉讼、仲裁事项</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450"/>
        <w:gridCol w:w="1090"/>
        <w:gridCol w:w="1263"/>
        <w:gridCol w:w="956"/>
        <w:gridCol w:w="1392"/>
        <w:gridCol w:w="1263"/>
        <w:gridCol w:w="1080"/>
        <w:gridCol w:w="1080"/>
      </w:tblGrid>
      <w:tr>
        <w:trPr>
          <w:trHeight w:val="716" w:hRule="exact"/>
        </w:trPr>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633" w:right="21" w:hanging="600"/>
              <w:jc w:val="left"/>
              <w:rPr>
                <w:rFonts w:ascii="宋体" w:hAnsi="宋体" w:cs="宋体" w:eastAsia="宋体" w:hint="default"/>
                <w:sz w:val="18"/>
                <w:szCs w:val="18"/>
              </w:rPr>
            </w:pPr>
            <w:r>
              <w:rPr>
                <w:rFonts w:ascii="宋体" w:hAnsi="宋体" w:cs="宋体" w:eastAsia="宋体" w:hint="default"/>
                <w:spacing w:val="-2"/>
                <w:sz w:val="18"/>
                <w:szCs w:val="18"/>
              </w:rPr>
              <w:t>诉讼</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仲裁</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基本情</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况</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359" w:right="17" w:hanging="336"/>
              <w:jc w:val="left"/>
              <w:rPr>
                <w:rFonts w:ascii="宋体" w:hAnsi="宋体" w:cs="宋体" w:eastAsia="宋体" w:hint="default"/>
                <w:sz w:val="18"/>
                <w:szCs w:val="18"/>
              </w:rPr>
            </w:pPr>
            <w:r>
              <w:rPr>
                <w:rFonts w:ascii="宋体" w:hAnsi="宋体" w:cs="宋体" w:eastAsia="宋体" w:hint="default"/>
                <w:spacing w:val="-10"/>
                <w:sz w:val="18"/>
                <w:szCs w:val="18"/>
              </w:rPr>
              <w:t>涉案金额（万</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元）</w:t>
            </w:r>
          </w:p>
        </w:tc>
        <w:tc>
          <w:tcPr>
            <w:tcW w:w="1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446" w:right="80" w:hanging="360"/>
              <w:jc w:val="left"/>
              <w:rPr>
                <w:rFonts w:ascii="宋体" w:hAnsi="宋体" w:cs="宋体" w:eastAsia="宋体" w:hint="default"/>
                <w:sz w:val="18"/>
                <w:szCs w:val="18"/>
              </w:rPr>
            </w:pPr>
            <w:r>
              <w:rPr>
                <w:rFonts w:ascii="宋体" w:hAnsi="宋体" w:cs="宋体" w:eastAsia="宋体" w:hint="default"/>
                <w:spacing w:val="-2"/>
                <w:sz w:val="18"/>
                <w:szCs w:val="18"/>
              </w:rPr>
              <w:t>是否形成预计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负债</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292" w:right="47"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进展</w:t>
            </w:r>
          </w:p>
        </w:tc>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244" w:right="84" w:hanging="154"/>
              <w:jc w:val="left"/>
              <w:rPr>
                <w:rFonts w:ascii="宋体" w:hAnsi="宋体" w:cs="宋体" w:eastAsia="宋体" w:hint="default"/>
                <w:sz w:val="18"/>
                <w:szCs w:val="18"/>
              </w:rPr>
            </w:pPr>
            <w:r>
              <w:rPr>
                <w:rFonts w:ascii="宋体" w:hAnsi="宋体" w:cs="宋体" w:eastAsia="宋体" w:hint="default"/>
                <w:spacing w:val="-2"/>
                <w:sz w:val="18"/>
                <w:szCs w:val="18"/>
              </w:rPr>
              <w:t>诉讼</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仲裁</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审理</w:t>
            </w:r>
            <w:r>
              <w:rPr>
                <w:rFonts w:ascii="宋体" w:hAnsi="宋体" w:cs="宋体" w:eastAsia="宋体" w:hint="default"/>
                <w:spacing w:val="-71"/>
                <w:sz w:val="18"/>
                <w:szCs w:val="18"/>
              </w:rPr>
              <w:t> </w:t>
            </w:r>
            <w:r>
              <w:rPr>
                <w:rFonts w:ascii="宋体" w:hAnsi="宋体" w:cs="宋体" w:eastAsia="宋体" w:hint="default"/>
                <w:sz w:val="18"/>
                <w:szCs w:val="18"/>
              </w:rPr>
              <w:t>结果及影响</w:t>
            </w:r>
          </w:p>
        </w:tc>
        <w:tc>
          <w:tcPr>
            <w:tcW w:w="1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268" w:right="17" w:hanging="240"/>
              <w:jc w:val="left"/>
              <w:rPr>
                <w:rFonts w:ascii="宋体" w:hAnsi="宋体" w:cs="宋体" w:eastAsia="宋体" w:hint="default"/>
                <w:sz w:val="18"/>
                <w:szCs w:val="18"/>
              </w:rPr>
            </w:pPr>
            <w:r>
              <w:rPr>
                <w:rFonts w:ascii="宋体" w:hAnsi="宋体" w:cs="宋体" w:eastAsia="宋体" w:hint="default"/>
                <w:spacing w:val="-2"/>
                <w:sz w:val="18"/>
                <w:szCs w:val="18"/>
              </w:rPr>
              <w:t>诉讼</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仲裁</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判决</w:t>
            </w:r>
            <w:r>
              <w:rPr>
                <w:rFonts w:ascii="宋体" w:hAnsi="宋体" w:cs="宋体" w:eastAsia="宋体" w:hint="default"/>
                <w:spacing w:val="-71"/>
                <w:sz w:val="18"/>
                <w:szCs w:val="18"/>
              </w:rPr>
              <w:t> </w:t>
            </w:r>
            <w:r>
              <w:rPr>
                <w:rFonts w:ascii="宋体" w:hAnsi="宋体" w:cs="宋体" w:eastAsia="宋体" w:hint="default"/>
                <w:sz w:val="18"/>
                <w:szCs w:val="18"/>
              </w:rPr>
              <w:t>执行情况</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98"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pacing w:val="-8"/>
                <w:sz w:val="18"/>
                <w:szCs w:val="18"/>
              </w:rPr>
              <w:t>原告神州数码（中</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61" w:right="0"/>
              <w:jc w:val="left"/>
              <w:rPr>
                <w:rFonts w:ascii="Times New Roman" w:hAnsi="Times New Roman" w:cs="Times New Roman" w:eastAsia="Times New Roman" w:hint="default"/>
                <w:sz w:val="18"/>
                <w:szCs w:val="18"/>
              </w:rPr>
            </w:pPr>
            <w:r>
              <w:rPr>
                <w:rFonts w:ascii="Times New Roman"/>
                <w:sz w:val="18"/>
              </w:rPr>
              <w:t>234.65</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结案</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pacing w:val="-3"/>
                <w:sz w:val="18"/>
                <w:szCs w:val="18"/>
              </w:rPr>
              <w:t>案外和解付清欠</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案外和解付清</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50"/>
        <w:gridCol w:w="1090"/>
        <w:gridCol w:w="1263"/>
        <w:gridCol w:w="956"/>
        <w:gridCol w:w="1392"/>
        <w:gridCol w:w="1263"/>
        <w:gridCol w:w="1080"/>
        <w:gridCol w:w="1080"/>
      </w:tblGrid>
      <w:tr>
        <w:trPr>
          <w:trHeight w:val="2233"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4" w:right="12"/>
              <w:jc w:val="left"/>
              <w:rPr>
                <w:rFonts w:ascii="宋体" w:hAnsi="宋体" w:cs="宋体" w:eastAsia="宋体" w:hint="default"/>
                <w:sz w:val="18"/>
                <w:szCs w:val="18"/>
              </w:rPr>
            </w:pPr>
            <w:r>
              <w:rPr>
                <w:rFonts w:ascii="宋体" w:hAnsi="宋体" w:cs="宋体" w:eastAsia="宋体" w:hint="default"/>
                <w:spacing w:val="-8"/>
                <w:sz w:val="18"/>
                <w:szCs w:val="18"/>
              </w:rPr>
              <w:t>国）有限公司诉和</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3"/>
                <w:sz w:val="18"/>
                <w:szCs w:val="18"/>
              </w:rPr>
              <w:t>仁科技买卖合同</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纠纷案件由杭州</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市滨江区人民法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院于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86"/>
                <w:sz w:val="18"/>
                <w:szCs w:val="18"/>
              </w:rPr>
              <w:t> </w:t>
            </w:r>
            <w:r>
              <w:rPr>
                <w:rFonts w:ascii="宋体" w:hAnsi="宋体" w:cs="宋体" w:eastAsia="宋体" w:hint="default"/>
                <w:spacing w:val="-8"/>
                <w:sz w:val="18"/>
                <w:szCs w:val="18"/>
              </w:rPr>
              <w:t>立案，要求和仁科</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技提货、付款。</w:t>
            </w:r>
          </w:p>
        </w:tc>
        <w:tc>
          <w:tcPr>
            <w:tcW w:w="1090"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款，撤诉</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欠款，撤诉</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212"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
              <w:jc w:val="left"/>
              <w:rPr>
                <w:rFonts w:ascii="宋体" w:hAnsi="宋体" w:cs="宋体" w:eastAsia="宋体" w:hint="default"/>
                <w:sz w:val="18"/>
                <w:szCs w:val="18"/>
              </w:rPr>
            </w:pPr>
            <w:r>
              <w:rPr>
                <w:rFonts w:ascii="宋体" w:hAnsi="宋体" w:cs="宋体" w:eastAsia="宋体" w:hint="default"/>
                <w:spacing w:val="-3"/>
                <w:sz w:val="18"/>
                <w:szCs w:val="18"/>
              </w:rPr>
              <w:t>原告和仁科技诉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北京城建北方设</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备安装有限责任</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公司工程合同纠</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8"/>
                <w:sz w:val="18"/>
                <w:szCs w:val="18"/>
              </w:rPr>
              <w:t>纷案件，由北京市</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3"/>
                <w:sz w:val="18"/>
                <w:szCs w:val="18"/>
              </w:rPr>
              <w:t>海淀区人民法院</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pacing w:val="-5"/>
                <w:sz w:val="18"/>
                <w:szCs w:val="18"/>
              </w:rPr>
              <w:t>月立</w:t>
            </w:r>
            <w:r>
              <w:rPr>
                <w:rFonts w:ascii="宋体" w:hAnsi="宋体" w:cs="宋体" w:eastAsia="宋体" w:hint="default"/>
                <w:spacing w:val="-86"/>
                <w:sz w:val="18"/>
                <w:szCs w:val="18"/>
              </w:rPr>
              <w:t> </w:t>
            </w:r>
            <w:r>
              <w:rPr>
                <w:rFonts w:ascii="宋体" w:hAnsi="宋体" w:cs="宋体" w:eastAsia="宋体" w:hint="default"/>
                <w:spacing w:val="-8"/>
                <w:sz w:val="18"/>
                <w:szCs w:val="18"/>
              </w:rPr>
              <w:t>案，要求被告支付</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3"/>
                <w:sz w:val="18"/>
                <w:szCs w:val="18"/>
              </w:rPr>
              <w:t>工程尾款和迟延</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付款利息。</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37.97</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结案</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21" w:lineRule="auto"/>
              <w:ind w:left="24" w:right="94"/>
              <w:jc w:val="left"/>
              <w:rPr>
                <w:rFonts w:ascii="宋体" w:hAnsi="宋体" w:cs="宋体" w:eastAsia="宋体" w:hint="default"/>
                <w:sz w:val="18"/>
                <w:szCs w:val="18"/>
              </w:rPr>
            </w:pPr>
            <w:r>
              <w:rPr>
                <w:rFonts w:ascii="宋体" w:hAnsi="宋体" w:cs="宋体" w:eastAsia="宋体" w:hint="default"/>
                <w:spacing w:val="-3"/>
                <w:sz w:val="18"/>
                <w:szCs w:val="18"/>
              </w:rPr>
              <w:t>案外和解付清欠</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款，撤诉</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21" w:lineRule="auto"/>
              <w:ind w:left="24" w:right="142"/>
              <w:jc w:val="left"/>
              <w:rPr>
                <w:rFonts w:ascii="宋体" w:hAnsi="宋体" w:cs="宋体" w:eastAsia="宋体" w:hint="default"/>
                <w:sz w:val="18"/>
                <w:szCs w:val="18"/>
              </w:rPr>
            </w:pPr>
            <w:r>
              <w:rPr>
                <w:rFonts w:ascii="宋体" w:hAnsi="宋体" w:cs="宋体" w:eastAsia="宋体" w:hint="default"/>
                <w:spacing w:val="-2"/>
                <w:sz w:val="18"/>
                <w:szCs w:val="18"/>
              </w:rPr>
              <w:t>案外和解付清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欠款，撤诉</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2588"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2"/>
              <w:jc w:val="left"/>
              <w:rPr>
                <w:rFonts w:ascii="宋体" w:hAnsi="宋体" w:cs="宋体" w:eastAsia="宋体" w:hint="default"/>
                <w:sz w:val="18"/>
                <w:szCs w:val="18"/>
              </w:rPr>
            </w:pPr>
            <w:r>
              <w:rPr>
                <w:rFonts w:ascii="宋体" w:hAnsi="宋体" w:cs="宋体" w:eastAsia="宋体" w:hint="default"/>
                <w:spacing w:val="-3"/>
                <w:sz w:val="18"/>
                <w:szCs w:val="18"/>
              </w:rPr>
              <w:t>原告徐德林诉和</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8"/>
                <w:sz w:val="18"/>
                <w:szCs w:val="18"/>
              </w:rPr>
              <w:t>仁科技、杨一兵股</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3"/>
                <w:sz w:val="18"/>
                <w:szCs w:val="18"/>
              </w:rPr>
              <w:t>权转让合同纠纷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8"/>
                <w:sz w:val="18"/>
                <w:szCs w:val="18"/>
              </w:rPr>
              <w:t>案，杭州市西湖区</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8"/>
                <w:sz w:val="18"/>
                <w:szCs w:val="18"/>
              </w:rPr>
              <w:t>人民法院受理。原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8"/>
                <w:sz w:val="18"/>
                <w:szCs w:val="18"/>
              </w:rPr>
              <w:t>告要求杨一兵、和</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仁科技给付股票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或赔偿损失。</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7"/>
              <w:jc w:val="right"/>
              <w:rPr>
                <w:rFonts w:ascii="Times New Roman" w:hAnsi="Times New Roman" w:cs="Times New Roman" w:eastAsia="Times New Roman" w:hint="default"/>
                <w:sz w:val="18"/>
                <w:szCs w:val="18"/>
              </w:rPr>
            </w:pPr>
            <w:r>
              <w:rPr>
                <w:rFonts w:ascii="Times New Roman"/>
                <w:sz w:val="18"/>
              </w:rPr>
              <w:t>30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结案</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21" w:lineRule="auto"/>
              <w:ind w:left="24" w:right="94"/>
              <w:jc w:val="left"/>
              <w:rPr>
                <w:rFonts w:ascii="宋体" w:hAnsi="宋体" w:cs="宋体" w:eastAsia="宋体" w:hint="default"/>
                <w:sz w:val="18"/>
                <w:szCs w:val="18"/>
              </w:rPr>
            </w:pPr>
            <w:r>
              <w:rPr>
                <w:rFonts w:ascii="宋体" w:hAnsi="宋体" w:cs="宋体" w:eastAsia="宋体" w:hint="default"/>
                <w:spacing w:val="-3"/>
                <w:sz w:val="18"/>
                <w:szCs w:val="18"/>
              </w:rPr>
              <w:t>诉请无证据而不</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成立</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21" w:lineRule="auto"/>
              <w:ind w:left="24" w:right="142"/>
              <w:jc w:val="left"/>
              <w:rPr>
                <w:rFonts w:ascii="宋体" w:hAnsi="宋体" w:cs="宋体" w:eastAsia="宋体" w:hint="default"/>
                <w:sz w:val="18"/>
                <w:szCs w:val="18"/>
              </w:rPr>
            </w:pPr>
            <w:r>
              <w:rPr>
                <w:rFonts w:ascii="宋体" w:hAnsi="宋体" w:cs="宋体" w:eastAsia="宋体" w:hint="default"/>
                <w:spacing w:val="-2"/>
                <w:sz w:val="18"/>
                <w:szCs w:val="18"/>
              </w:rPr>
              <w:t>原告放弃诉请</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撤诉</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2"/>
              <w:jc w:val="left"/>
              <w:rPr>
                <w:rFonts w:ascii="宋体" w:hAnsi="宋体" w:cs="宋体" w:eastAsia="宋体" w:hint="default"/>
                <w:sz w:val="18"/>
                <w:szCs w:val="18"/>
              </w:rPr>
            </w:pPr>
            <w:r>
              <w:rPr>
                <w:rFonts w:ascii="宋体" w:hAnsi="宋体" w:cs="宋体" w:eastAsia="宋体" w:hint="default"/>
                <w:spacing w:val="-3"/>
                <w:sz w:val="18"/>
                <w:szCs w:val="18"/>
              </w:rPr>
              <w:t>原告侯代斌诉浙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8"/>
                <w:sz w:val="18"/>
                <w:szCs w:val="18"/>
              </w:rPr>
              <w:t>江医院、和仁科技</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8"/>
                <w:sz w:val="18"/>
                <w:szCs w:val="18"/>
              </w:rPr>
              <w:t>股份公司、姜军等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8"/>
                <w:sz w:val="18"/>
                <w:szCs w:val="18"/>
              </w:rPr>
              <w:t>健康权纠纷，要求</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3"/>
                <w:sz w:val="18"/>
                <w:szCs w:val="18"/>
              </w:rPr>
              <w:t>三被告共同赔偿</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医疗费等</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310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结案</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4" w:right="94"/>
              <w:jc w:val="both"/>
              <w:rPr>
                <w:rFonts w:ascii="宋体" w:hAnsi="宋体" w:cs="宋体" w:eastAsia="宋体" w:hint="default"/>
                <w:sz w:val="18"/>
                <w:szCs w:val="18"/>
              </w:rPr>
            </w:pPr>
            <w:r>
              <w:rPr>
                <w:rFonts w:ascii="宋体" w:hAnsi="宋体" w:cs="宋体" w:eastAsia="宋体" w:hint="default"/>
                <w:spacing w:val="-3"/>
                <w:sz w:val="18"/>
                <w:szCs w:val="18"/>
              </w:rPr>
              <w:t>人民调解委员会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调解结案撤诉，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和仁科技垫付医</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疗费后再行向责</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任方追偿</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2"/>
              <w:jc w:val="left"/>
              <w:rPr>
                <w:rFonts w:ascii="宋体" w:hAnsi="宋体" w:cs="宋体" w:eastAsia="宋体" w:hint="default"/>
                <w:sz w:val="18"/>
                <w:szCs w:val="18"/>
              </w:rPr>
            </w:pPr>
            <w:r>
              <w:rPr>
                <w:rFonts w:ascii="宋体" w:hAnsi="宋体" w:cs="宋体" w:eastAsia="宋体" w:hint="default"/>
                <w:sz w:val="18"/>
                <w:szCs w:val="18"/>
              </w:rPr>
              <w:t>人民调解委员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会调解结案撤</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9"/>
                <w:sz w:val="18"/>
                <w:szCs w:val="18"/>
              </w:rPr>
              <w:t>诉，和仁科技垫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付医疗费后再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行向责任方追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偿</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831"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29"/>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原告和仁科技诉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被告江苏晓山信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息产业股份有限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8"/>
                <w:sz w:val="18"/>
                <w:szCs w:val="18"/>
              </w:rPr>
              <w:t>公司、锡山区重点</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工程办公室等建</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设工程合同纠纷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案无锡市锡山区</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人民法院（</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w:t>
            </w:r>
            <w:r>
              <w:rPr>
                <w:rFonts w:ascii="宋体" w:hAnsi="宋体" w:cs="宋体" w:eastAsia="宋体" w:hint="default"/>
                <w:spacing w:val="-67"/>
                <w:sz w:val="18"/>
                <w:szCs w:val="18"/>
              </w:rPr>
              <w:t> </w:t>
            </w:r>
            <w:r>
              <w:rPr>
                <w:rFonts w:ascii="宋体" w:hAnsi="宋体" w:cs="宋体" w:eastAsia="宋体" w:hint="default"/>
                <w:sz w:val="18"/>
                <w:szCs w:val="18"/>
              </w:rPr>
              <w:t>苏</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0205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民初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5266</w:t>
            </w:r>
          </w:p>
          <w:p>
            <w:pPr>
              <w:pStyle w:val="TableParagraph"/>
              <w:spacing w:line="312" w:lineRule="auto" w:before="1"/>
              <w:ind w:left="24" w:right="12"/>
              <w:jc w:val="left"/>
              <w:rPr>
                <w:rFonts w:ascii="宋体" w:hAnsi="宋体" w:cs="宋体" w:eastAsia="宋体" w:hint="default"/>
                <w:sz w:val="18"/>
                <w:szCs w:val="18"/>
              </w:rPr>
            </w:pPr>
            <w:r>
              <w:rPr>
                <w:rFonts w:ascii="宋体" w:hAnsi="宋体" w:cs="宋体" w:eastAsia="宋体" w:hint="default"/>
                <w:spacing w:val="-8"/>
                <w:sz w:val="18"/>
                <w:szCs w:val="18"/>
              </w:rPr>
              <w:t>号审理，要求被告</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支付工程款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1031</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宋体" w:hAnsi="宋体" w:cs="宋体" w:eastAsia="宋体" w:hint="default"/>
                <w:sz w:val="18"/>
                <w:szCs w:val="18"/>
              </w:rPr>
              <w:t>万元及利息。</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7"/>
              <w:jc w:val="right"/>
              <w:rPr>
                <w:rFonts w:ascii="Times New Roman" w:hAnsi="Times New Roman" w:cs="Times New Roman" w:eastAsia="Times New Roman" w:hint="default"/>
                <w:sz w:val="18"/>
                <w:szCs w:val="18"/>
              </w:rPr>
            </w:pPr>
            <w:r>
              <w:rPr>
                <w:rFonts w:ascii="Times New Roman"/>
                <w:spacing w:val="-1"/>
                <w:sz w:val="18"/>
              </w:rPr>
              <w:t>1,031</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23" w:right="195"/>
              <w:jc w:val="left"/>
              <w:rPr>
                <w:rFonts w:ascii="宋体" w:hAnsi="宋体" w:cs="宋体" w:eastAsia="宋体" w:hint="default"/>
                <w:sz w:val="18"/>
                <w:szCs w:val="18"/>
              </w:rPr>
            </w:pPr>
            <w:r>
              <w:rPr>
                <w:rFonts w:ascii="宋体" w:hAnsi="宋体" w:cs="宋体" w:eastAsia="宋体" w:hint="default"/>
                <w:sz w:val="18"/>
                <w:szCs w:val="18"/>
              </w:rPr>
              <w:t>工程造价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鉴定中</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9" w:lineRule="auto"/>
              <w:ind w:left="24" w:right="94"/>
              <w:jc w:val="both"/>
              <w:rPr>
                <w:rFonts w:ascii="宋体" w:hAnsi="宋体" w:cs="宋体" w:eastAsia="宋体" w:hint="default"/>
                <w:sz w:val="18"/>
                <w:szCs w:val="18"/>
              </w:rPr>
            </w:pPr>
            <w:r>
              <w:rPr>
                <w:rFonts w:ascii="宋体" w:hAnsi="宋体" w:cs="宋体" w:eastAsia="宋体" w:hint="default"/>
                <w:spacing w:val="-3"/>
                <w:sz w:val="18"/>
                <w:szCs w:val="18"/>
              </w:rPr>
              <w:t>和仁科技预计可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收回实际应收工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程款</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4" w:right="0"/>
              <w:jc w:val="left"/>
              <w:rPr>
                <w:rFonts w:ascii="宋体" w:hAnsi="宋体" w:cs="宋体" w:eastAsia="宋体" w:hint="default"/>
                <w:sz w:val="18"/>
                <w:szCs w:val="18"/>
              </w:rPr>
            </w:pPr>
            <w:r>
              <w:rPr>
                <w:rFonts w:ascii="宋体" w:hAnsi="宋体" w:cs="宋体" w:eastAsia="宋体" w:hint="default"/>
                <w:sz w:val="18"/>
                <w:szCs w:val="18"/>
              </w:rPr>
              <w:t>审理中</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7"/>
          <w:szCs w:val="27"/>
        </w:rPr>
      </w:pPr>
    </w:p>
    <w:p>
      <w:pPr>
        <w:pStyle w:val="Heading2"/>
        <w:spacing w:line="240" w:lineRule="auto" w:before="26"/>
        <w:ind w:right="0"/>
        <w:jc w:val="left"/>
        <w:rPr>
          <w:b w:val="0"/>
          <w:bCs w:val="0"/>
        </w:rPr>
      </w:pPr>
      <w:bookmarkStart w:name="十二、处罚及整改情况" w:id="75"/>
      <w:bookmarkEnd w:id="75"/>
      <w:r>
        <w:rPr>
          <w:b w:val="0"/>
          <w:bCs w:val="0"/>
        </w:rPr>
      </w:r>
      <w:r>
        <w:rPr/>
        <w:t>十二、处罚及整改情况</w:t>
      </w:r>
      <w:r>
        <w:rPr>
          <w:b w:val="0"/>
          <w:bCs w:val="0"/>
        </w:rPr>
      </w:r>
    </w:p>
    <w:p>
      <w:pPr>
        <w:spacing w:line="240" w:lineRule="auto" w:before="3"/>
        <w:rPr>
          <w:rFonts w:ascii="宋体" w:hAnsi="宋体" w:cs="宋体" w:eastAsia="宋体" w:hint="default"/>
          <w:b/>
          <w:bCs/>
          <w:sz w:val="27"/>
          <w:szCs w:val="27"/>
        </w:rPr>
      </w:pPr>
    </w:p>
    <w:p>
      <w:pPr>
        <w:pStyle w:val="BodyText"/>
        <w:spacing w:line="338" w:lineRule="auto"/>
        <w:ind w:right="727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公司报告期不存在处罚及整改情况。</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十三、公司及其控股股东、实际控制人的诚信状况" w:id="76"/>
      <w:bookmarkEnd w:id="76"/>
      <w:r>
        <w:rPr>
          <w:b w:val="0"/>
          <w:bCs w:val="0"/>
        </w:rPr>
      </w:r>
      <w:r>
        <w:rPr/>
        <w:t>十三、公司及其控股股东、实际控制人的诚信状况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bookmarkStart w:name="十四、公司股权激励计划、员工持股计划或其他员工激励措施的实施情况" w:id="77"/>
      <w:bookmarkEnd w:id="77"/>
      <w:r>
        <w:rPr>
          <w:b w:val="0"/>
          <w:bCs w:val="0"/>
        </w:rPr>
      </w:r>
      <w:r>
        <w:rPr/>
        <w:t>十四、公司股权激励计划、员工持股计划或其他员工激励措施的实施情况</w:t>
      </w:r>
      <w:r>
        <w:rPr>
          <w:b w:val="0"/>
          <w:bCs w:val="0"/>
        </w:rPr>
      </w:r>
    </w:p>
    <w:p>
      <w:pPr>
        <w:spacing w:line="240" w:lineRule="auto" w:before="7"/>
        <w:rPr>
          <w:rFonts w:ascii="宋体" w:hAnsi="宋体" w:cs="宋体" w:eastAsia="宋体" w:hint="default"/>
          <w:b/>
          <w:bCs/>
          <w:sz w:val="27"/>
          <w:szCs w:val="27"/>
        </w:rPr>
      </w:pPr>
    </w:p>
    <w:p>
      <w:pPr>
        <w:pStyle w:val="BodyText"/>
        <w:spacing w:line="309" w:lineRule="auto"/>
        <w:ind w:right="103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13</w:t>
      </w:r>
      <w:r>
        <w:rPr>
          <w:spacing w:val="-3"/>
        </w:rPr>
        <w:t>日，公司召开第二届董事会第五次会议，审议通过了《关于公司</w:t>
      </w:r>
      <w:r>
        <w:rPr>
          <w:rFonts w:ascii="Times New Roman" w:hAnsi="Times New Roman" w:cs="Times New Roman" w:eastAsia="Times New Roman" w:hint="default"/>
          <w:spacing w:val="-3"/>
        </w:rPr>
        <w:t>2017</w:t>
      </w:r>
      <w:r>
        <w:rPr>
          <w:spacing w:val="-3"/>
        </w:rPr>
        <w:t>年限制性股票激励计划（草案）及其</w:t>
      </w:r>
      <w:r>
        <w:rPr>
          <w:spacing w:val="6"/>
        </w:rPr>
        <w:t> </w:t>
      </w:r>
      <w:r>
        <w:rPr>
          <w:spacing w:val="6"/>
        </w:rPr>
      </w:r>
      <w:r>
        <w:rPr>
          <w:spacing w:val="-4"/>
        </w:rPr>
        <w:t>摘要的议案》、《关于公司</w:t>
      </w:r>
      <w:r>
        <w:rPr>
          <w:rFonts w:ascii="Times New Roman" w:hAnsi="Times New Roman" w:cs="Times New Roman" w:eastAsia="Times New Roman" w:hint="default"/>
          <w:spacing w:val="-4"/>
        </w:rPr>
        <w:t>2017</w:t>
      </w:r>
      <w:r>
        <w:rPr>
          <w:spacing w:val="-4"/>
        </w:rPr>
        <w:t>年限制性股票激励计划实施考核管理办法的议案》、《关于提请股东大会授权董事会办理股</w:t>
      </w:r>
      <w:r>
        <w:rPr>
          <w:spacing w:val="49"/>
        </w:rPr>
        <w:t> </w:t>
      </w:r>
      <w:r>
        <w:rPr>
          <w:spacing w:val="49"/>
        </w:rPr>
      </w:r>
      <w:r>
        <w:rPr>
          <w:spacing w:val="-3"/>
        </w:rPr>
        <w:t>权激励相关事宜的议案》，公司独立董事对本次激励计划及其他相关议案发表了独立意见。</w:t>
      </w:r>
      <w:r>
        <w:rPr>
          <w:spacing w:val="27"/>
        </w:rPr>
        <w:t> </w:t>
      </w:r>
      <w:r>
        <w:rPr>
          <w:spacing w:val="27"/>
        </w:rPr>
      </w: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13</w:t>
      </w:r>
      <w:r>
        <w:rPr>
          <w:spacing w:val="-3"/>
        </w:rPr>
        <w:t>日，公司召开第二届监事会第五次会议，审议通过了《关于公司</w:t>
      </w:r>
      <w:r>
        <w:rPr>
          <w:rFonts w:ascii="Times New Roman" w:hAnsi="Times New Roman" w:cs="Times New Roman" w:eastAsia="Times New Roman" w:hint="default"/>
          <w:spacing w:val="-3"/>
        </w:rPr>
        <w:t>2017</w:t>
      </w:r>
      <w:r>
        <w:rPr>
          <w:spacing w:val="-3"/>
        </w:rPr>
        <w:t>年限制性股票激励计划（草案）及其</w:t>
      </w:r>
      <w:r>
        <w:rPr>
          <w:spacing w:val="6"/>
        </w:rPr>
        <w:t> </w:t>
      </w:r>
      <w:r>
        <w:rPr>
          <w:spacing w:val="6"/>
        </w:rPr>
      </w:r>
      <w:r>
        <w:rPr>
          <w:spacing w:val="-4"/>
        </w:rPr>
        <w:t>摘要的议案》、《关于公司</w:t>
      </w:r>
      <w:r>
        <w:rPr>
          <w:rFonts w:ascii="Times New Roman" w:hAnsi="Times New Roman" w:cs="Times New Roman" w:eastAsia="Times New Roman" w:hint="default"/>
          <w:spacing w:val="-4"/>
        </w:rPr>
        <w:t>2017</w:t>
      </w:r>
      <w:r>
        <w:rPr>
          <w:spacing w:val="-4"/>
        </w:rPr>
        <w:t>年限制性股票激励计划实施考核管理办法的议案》、《关于核实公司</w:t>
      </w:r>
      <w:r>
        <w:rPr>
          <w:rFonts w:ascii="Times New Roman" w:hAnsi="Times New Roman" w:cs="Times New Roman" w:eastAsia="Times New Roman" w:hint="default"/>
          <w:spacing w:val="-4"/>
        </w:rPr>
        <w:t>2017</w:t>
      </w:r>
      <w:r>
        <w:rPr>
          <w:spacing w:val="-4"/>
        </w:rPr>
        <w:t>年限制性股票激励</w:t>
      </w:r>
      <w:r>
        <w:rPr>
          <w:spacing w:val="58"/>
        </w:rPr>
        <w:t> </w:t>
      </w:r>
      <w:r>
        <w:rPr>
          <w:spacing w:val="58"/>
        </w:rPr>
      </w:r>
      <w:r>
        <w:rPr>
          <w:spacing w:val="-3"/>
        </w:rPr>
        <w:t>计划激励对象名单的议案》。</w:t>
      </w:r>
      <w:r>
        <w:rPr>
          <w:spacing w:val="-50"/>
        </w:rPr>
        <w:t> </w:t>
      </w:r>
      <w:r>
        <w:rPr>
          <w:spacing w:val="-50"/>
        </w:rPr>
      </w: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14</w:t>
      </w:r>
      <w:r>
        <w:rPr>
          <w:spacing w:val="-3"/>
        </w:rPr>
        <w:t>日至</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24</w:t>
      </w:r>
      <w:r>
        <w:rPr>
          <w:spacing w:val="-3"/>
        </w:rPr>
        <w:t>日，公司对授予的激励对象名单的姓名和职务在公司内部网站上进行了公示，在公示期</w:t>
      </w:r>
    </w:p>
    <w:p>
      <w:pPr>
        <w:pStyle w:val="BodyText"/>
        <w:spacing w:line="304" w:lineRule="auto" w:before="5"/>
        <w:ind w:right="0"/>
        <w:jc w:val="left"/>
      </w:pPr>
      <w:r>
        <w:rPr>
          <w:spacing w:val="-4"/>
        </w:rPr>
        <w:t>内，公司监事会未接到与激励计划拟激励对象有关的任何异议。</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25</w:t>
      </w:r>
      <w:r>
        <w:rPr>
          <w:spacing w:val="-4"/>
        </w:rPr>
        <w:t>日，公司监事会发表了《监事会关于公司</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28"/>
        </w:rPr>
        <w:t> </w:t>
      </w:r>
      <w:r>
        <w:rPr>
          <w:spacing w:val="-3"/>
        </w:rPr>
        <w:t>年限制性股票激励计划激励对象名单的审核意见及公示情况说明》。 </w:t>
      </w:r>
      <w:r>
        <w:rPr>
          <w:rFonts w:ascii="Times New Roman" w:hAnsi="Times New Roman" w:cs="Times New Roman" w:eastAsia="Times New Roman" w:hint="default"/>
          <w:spacing w:val="-3"/>
        </w:rPr>
        <w:t>4</w:t>
      </w:r>
      <w:r>
        <w:rPr>
          <w:spacing w:val="-3"/>
        </w:rPr>
        <w:t>、</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4</w:t>
      </w:r>
      <w:r>
        <w:rPr>
          <w:spacing w:val="-3"/>
        </w:rPr>
        <w:t>日，公司召开</w:t>
      </w:r>
      <w:r>
        <w:rPr>
          <w:rFonts w:ascii="Times New Roman" w:hAnsi="Times New Roman" w:cs="Times New Roman" w:eastAsia="Times New Roman" w:hint="default"/>
          <w:spacing w:val="-3"/>
        </w:rPr>
        <w:t>2017</w:t>
      </w:r>
      <w:r>
        <w:rPr>
          <w:spacing w:val="-3"/>
        </w:rPr>
        <w:t>年第二次临时股东大会，审议通过了《关于公司</w:t>
      </w:r>
      <w:r>
        <w:rPr>
          <w:rFonts w:ascii="Times New Roman" w:hAnsi="Times New Roman" w:cs="Times New Roman" w:eastAsia="Times New Roman" w:hint="default"/>
          <w:spacing w:val="-3"/>
        </w:rPr>
        <w:t>2017</w:t>
      </w:r>
      <w:r>
        <w:rPr>
          <w:spacing w:val="-3"/>
        </w:rPr>
        <w:t>年限制性股票激励计划（草案）及其</w:t>
      </w:r>
      <w:r>
        <w:rPr>
          <w:spacing w:val="8"/>
        </w:rPr>
        <w:t> </w:t>
      </w:r>
      <w:r>
        <w:rPr>
          <w:spacing w:val="8"/>
        </w:rPr>
      </w:r>
      <w:r>
        <w:rPr>
          <w:spacing w:val="-4"/>
        </w:rPr>
        <w:t>摘要的议案》、《关于公司</w:t>
      </w:r>
      <w:r>
        <w:rPr>
          <w:rFonts w:ascii="Times New Roman" w:hAnsi="Times New Roman" w:cs="Times New Roman" w:eastAsia="Times New Roman" w:hint="default"/>
          <w:spacing w:val="-4"/>
        </w:rPr>
        <w:t>2017</w:t>
      </w:r>
      <w:r>
        <w:rPr>
          <w:spacing w:val="-4"/>
        </w:rPr>
        <w:t>年限制性股票激励计划实施考核管理办法的议案》及《关于提请股东大会授权董事会办理公</w:t>
      </w:r>
      <w:r>
        <w:rPr>
          <w:spacing w:val="49"/>
        </w:rPr>
        <w:t> </w:t>
      </w:r>
      <w:r>
        <w:rPr>
          <w:spacing w:val="49"/>
        </w:rPr>
      </w:r>
      <w:r>
        <w:rPr>
          <w:spacing w:val="-4"/>
        </w:rPr>
        <w:t>司股权激励相关事宜的议案》，并披露了《关于公司</w:t>
      </w:r>
      <w:r>
        <w:rPr>
          <w:rFonts w:ascii="Times New Roman" w:hAnsi="Times New Roman" w:cs="Times New Roman" w:eastAsia="Times New Roman" w:hint="default"/>
          <w:spacing w:val="-4"/>
        </w:rPr>
        <w:t>2017</w:t>
      </w:r>
      <w:r>
        <w:rPr>
          <w:spacing w:val="-4"/>
        </w:rPr>
        <w:t>年限制性股票激励计划内幕信息知情人及激励对象买卖公司股票情</w:t>
      </w:r>
      <w:r>
        <w:rPr>
          <w:spacing w:val="46"/>
        </w:rPr>
        <w:t> </w:t>
      </w:r>
      <w:r>
        <w:rPr>
          <w:spacing w:val="46"/>
        </w:rPr>
      </w:r>
      <w:r>
        <w:rPr/>
        <w:t>况的自查报告》。</w:t>
      </w:r>
      <w:r>
        <w:rPr>
          <w:spacing w:val="-86"/>
        </w:rPr>
        <w:t> </w:t>
      </w:r>
      <w:r>
        <w:rPr>
          <w:spacing w:val="-86"/>
        </w:rPr>
      </w:r>
      <w:r>
        <w:rPr>
          <w:rFonts w:ascii="Times New Roman" w:hAnsi="Times New Roman" w:cs="Times New Roman" w:eastAsia="Times New Roman" w:hint="default"/>
          <w:spacing w:val="-4"/>
        </w:rPr>
        <w:t>5</w:t>
      </w:r>
      <w:r>
        <w:rPr>
          <w:spacing w:val="-4"/>
        </w:rPr>
        <w:t>、</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31</w:t>
      </w:r>
      <w:r>
        <w:rPr>
          <w:spacing w:val="-4"/>
        </w:rPr>
        <w:t>日，公司召开了第二届董事会第六次会议和第二届监事会第六次会议，审议通过《关于向首次授予的激励对</w:t>
      </w:r>
      <w:r>
        <w:rPr>
          <w:spacing w:val="56"/>
        </w:rPr>
        <w:t> </w:t>
      </w:r>
      <w:r>
        <w:rPr>
          <w:spacing w:val="56"/>
        </w:rPr>
      </w:r>
      <w:r>
        <w:rPr>
          <w:spacing w:val="-3"/>
        </w:rPr>
        <w:t>象授予限制性股票的议案》，确定</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31</w:t>
      </w:r>
      <w:r>
        <w:rPr>
          <w:spacing w:val="-3"/>
        </w:rPr>
        <w:t>日为首次授予的授予日。公司独立董事对相关事项发表了独立意见，监事会 对本次授予限制性股票的激励对象名单进行了核实。</w:t>
      </w:r>
      <w:r>
        <w:rPr>
          <w:spacing w:val="-21"/>
        </w:rPr>
        <w:t> </w:t>
      </w:r>
      <w:r>
        <w:rPr>
          <w:spacing w:val="-21"/>
        </w:rPr>
      </w:r>
      <w:r>
        <w:rPr>
          <w:rFonts w:ascii="Times New Roman" w:hAnsi="Times New Roman" w:cs="Times New Roman" w:eastAsia="Times New Roman" w:hint="default"/>
          <w:spacing w:val="-3"/>
        </w:rPr>
        <w:t>6</w:t>
      </w:r>
      <w:r>
        <w:rPr>
          <w:spacing w:val="-3"/>
        </w:rPr>
        <w:t>、</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9</w:t>
      </w:r>
      <w:r>
        <w:rPr>
          <w:spacing w:val="-3"/>
        </w:rPr>
        <w:t>日，公司召开了第二届董事会第七次会议和第二届监事会第七次会议，审议通过《关于调整</w:t>
      </w:r>
      <w:r>
        <w:rPr>
          <w:rFonts w:ascii="Times New Roman" w:hAnsi="Times New Roman" w:cs="Times New Roman" w:eastAsia="Times New Roman" w:hint="default"/>
          <w:spacing w:val="-3"/>
        </w:rPr>
        <w:t>2017</w:t>
      </w:r>
      <w:r>
        <w:rPr>
          <w:spacing w:val="-3"/>
        </w:rPr>
        <w:t>年限制性股</w:t>
      </w:r>
      <w:r>
        <w:rPr>
          <w:spacing w:val="3"/>
        </w:rPr>
        <w:t> </w:t>
      </w:r>
      <w:r>
        <w:rPr>
          <w:spacing w:val="3"/>
        </w:rPr>
      </w:r>
      <w:r>
        <w:rPr>
          <w:spacing w:val="-4"/>
        </w:rPr>
        <w:t>票激励计划授予名单和数量的议案》，公司独立董事对股权激励调整事项发表了同意的独立意见，公司监事会对调整后的限</w:t>
      </w:r>
      <w:r>
        <w:rPr>
          <w:spacing w:val="43"/>
        </w:rPr>
        <w:t> </w:t>
      </w:r>
      <w:r>
        <w:rPr>
          <w:spacing w:val="43"/>
        </w:rPr>
      </w:r>
      <w:r>
        <w:rPr>
          <w:spacing w:val="-3"/>
        </w:rPr>
        <w:t>制性股票授予名单进行了核实。</w:t>
      </w:r>
      <w:r>
        <w:rPr>
          <w:spacing w:val="-45"/>
        </w:rPr>
        <w:t> </w:t>
      </w:r>
      <w:r>
        <w:rPr>
          <w:spacing w:val="-45"/>
        </w:rPr>
      </w:r>
      <w:r>
        <w:rPr>
          <w:rFonts w:ascii="Times New Roman" w:hAnsi="Times New Roman" w:cs="Times New Roman" w:eastAsia="Times New Roman" w:hint="default"/>
          <w:spacing w:val="-4"/>
        </w:rPr>
        <w:t>7</w:t>
      </w:r>
      <w:r>
        <w:rPr>
          <w:spacing w:val="-4"/>
        </w:rPr>
        <w:t>、根据股东大会的授权，公司办理了限制性股票的首次授予登记工作，限制性股票授予日为</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31</w:t>
      </w:r>
      <w:r>
        <w:rPr>
          <w:spacing w:val="-4"/>
        </w:rPr>
        <w:t>日，授予股份的上</w:t>
      </w:r>
      <w:r>
        <w:rPr>
          <w:spacing w:val="57"/>
        </w:rPr>
        <w:t> </w:t>
      </w:r>
      <w:r>
        <w:rPr>
          <w:spacing w:val="57"/>
        </w:rPr>
      </w:r>
      <w:r>
        <w:rPr>
          <w:spacing w:val="-3"/>
        </w:rPr>
        <w:t>市日期为</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21</w:t>
      </w:r>
      <w:r>
        <w:rPr>
          <w:spacing w:val="-3"/>
        </w:rPr>
        <w:t>日。</w:t>
      </w:r>
      <w:r>
        <w:rPr>
          <w:spacing w:val="-49"/>
        </w:rPr>
        <w:t> </w:t>
      </w:r>
      <w:r>
        <w:rPr>
          <w:rFonts w:ascii="Times New Roman" w:hAnsi="Times New Roman" w:cs="Times New Roman" w:eastAsia="Times New Roman" w:hint="default"/>
          <w:spacing w:val="-4"/>
        </w:rPr>
        <w:t>8</w:t>
      </w:r>
      <w:r>
        <w:rPr>
          <w:spacing w:val="-4"/>
        </w:rPr>
        <w:t>、经公司</w:t>
      </w:r>
      <w:r>
        <w:rPr>
          <w:rFonts w:ascii="Times New Roman" w:hAnsi="Times New Roman" w:cs="Times New Roman" w:eastAsia="Times New Roman" w:hint="default"/>
          <w:spacing w:val="-4"/>
        </w:rPr>
        <w:t>2017</w:t>
      </w:r>
      <w:r>
        <w:rPr>
          <w:spacing w:val="-4"/>
        </w:rPr>
        <w:t>年年度股东大会审议通过，公司</w:t>
      </w:r>
      <w:r>
        <w:rPr>
          <w:rFonts w:ascii="Times New Roman" w:hAnsi="Times New Roman" w:cs="Times New Roman" w:eastAsia="Times New Roman" w:hint="default"/>
          <w:spacing w:val="-4"/>
        </w:rPr>
        <w:t>2017</w:t>
      </w:r>
      <w:r>
        <w:rPr>
          <w:spacing w:val="-4"/>
        </w:rPr>
        <w:t>年度的权益分派方案为：以公司现有总股本</w:t>
      </w:r>
      <w:r>
        <w:rPr>
          <w:rFonts w:ascii="Times New Roman" w:hAnsi="Times New Roman" w:cs="Times New Roman" w:eastAsia="Times New Roman" w:hint="default"/>
          <w:spacing w:val="-4"/>
        </w:rPr>
        <w:t>83,220,000</w:t>
      </w:r>
      <w:r>
        <w:rPr>
          <w:spacing w:val="-4"/>
        </w:rPr>
        <w:t>股为基数，向全体</w:t>
      </w:r>
      <w:r>
        <w:rPr>
          <w:spacing w:val="79"/>
        </w:rPr>
        <w:t> </w:t>
      </w:r>
      <w:r>
        <w:rPr>
          <w:spacing w:val="79"/>
        </w:rPr>
      </w:r>
      <w:r>
        <w:rPr>
          <w:spacing w:val="-2"/>
        </w:rPr>
        <w:t>股东每</w:t>
      </w:r>
      <w:r>
        <w:rPr>
          <w:rFonts w:ascii="Times New Roman" w:hAnsi="Times New Roman" w:cs="Times New Roman" w:eastAsia="Times New Roman" w:hint="default"/>
          <w:spacing w:val="-2"/>
        </w:rPr>
        <w:t>10</w:t>
      </w:r>
      <w:r>
        <w:rPr>
          <w:spacing w:val="-2"/>
        </w:rPr>
        <w:t>股派</w:t>
      </w:r>
      <w:r>
        <w:rPr>
          <w:rFonts w:ascii="Times New Roman" w:hAnsi="Times New Roman" w:cs="Times New Roman" w:eastAsia="Times New Roman" w:hint="default"/>
          <w:spacing w:val="-2"/>
        </w:rPr>
        <w:t>0.600000</w:t>
      </w:r>
      <w:r>
        <w:rPr>
          <w:spacing w:val="-2"/>
        </w:rPr>
        <w:t>（含税）元人民币现金。本次权益分派已经于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12</w:t>
      </w:r>
      <w:r>
        <w:rPr>
          <w:spacing w:val="-2"/>
        </w:rPr>
        <w:t>日办理完毕。</w:t>
      </w:r>
      <w:r>
        <w:rPr>
          <w:spacing w:val="8"/>
        </w:rPr>
        <w:t> </w:t>
      </w:r>
      <w:r>
        <w:rPr>
          <w:spacing w:val="8"/>
        </w:rPr>
      </w:r>
      <w:r>
        <w:rPr>
          <w:rFonts w:ascii="Times New Roman" w:hAnsi="Times New Roman" w:cs="Times New Roman" w:eastAsia="Times New Roman" w:hint="default"/>
          <w:spacing w:val="-4"/>
        </w:rPr>
        <w:t>9</w:t>
      </w:r>
      <w:r>
        <w:rPr>
          <w:spacing w:val="-4"/>
        </w:rPr>
        <w:t>、公司于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8</w:t>
      </w:r>
      <w:r>
        <w:rPr>
          <w:spacing w:val="-4"/>
        </w:rPr>
        <w:t>月</w:t>
      </w:r>
      <w:r>
        <w:rPr>
          <w:rFonts w:ascii="Times New Roman" w:hAnsi="Times New Roman" w:cs="Times New Roman" w:eastAsia="Times New Roman" w:hint="default"/>
          <w:spacing w:val="-4"/>
        </w:rPr>
        <w:t>28</w:t>
      </w:r>
      <w:r>
        <w:rPr>
          <w:spacing w:val="-4"/>
        </w:rPr>
        <w:t>日召开第二届董事会第十次会议，审议通过《关于回购注销部分激励对象已获授但尚未解锁的限制性</w:t>
      </w:r>
      <w:r>
        <w:rPr>
          <w:spacing w:val="59"/>
        </w:rPr>
        <w:t> </w:t>
      </w:r>
      <w:r>
        <w:rPr>
          <w:spacing w:val="59"/>
        </w:rPr>
      </w:r>
      <w:r>
        <w:rPr>
          <w:spacing w:val="-3"/>
        </w:rPr>
        <w:t>股票的议案》</w:t>
      </w:r>
      <w:r>
        <w:rPr>
          <w:rFonts w:ascii="Times New Roman" w:hAnsi="Times New Roman" w:cs="Times New Roman" w:eastAsia="Times New Roman" w:hint="default"/>
          <w:spacing w:val="-3"/>
        </w:rPr>
        <w:t>,</w:t>
      </w:r>
      <w:r>
        <w:rPr>
          <w:spacing w:val="-3"/>
        </w:rPr>
        <w:t>公司监事会于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28</w:t>
      </w:r>
      <w:r>
        <w:rPr>
          <w:spacing w:val="-3"/>
        </w:rPr>
        <w:t>日召开第二届监事会第九次会议审议通过《关于回购注销部分激励对象已获授但尚</w:t>
      </w:r>
      <w:r>
        <w:rPr>
          <w:spacing w:val="40"/>
        </w:rPr>
        <w:t> </w:t>
      </w:r>
      <w:r>
        <w:rPr>
          <w:spacing w:val="40"/>
        </w:rPr>
      </w:r>
      <w:r>
        <w:rPr>
          <w:spacing w:val="-8"/>
        </w:rPr>
        <w:t>未解锁的限制性股票的议案》，因激励对象胡连升、邵培申（</w:t>
      </w:r>
      <w:r>
        <w:rPr>
          <w:rFonts w:ascii="Times New Roman" w:hAnsi="Times New Roman" w:cs="Times New Roman" w:eastAsia="Times New Roman" w:hint="default"/>
          <w:spacing w:val="-8"/>
        </w:rPr>
        <w:t>Peishen </w:t>
      </w:r>
      <w:r>
        <w:rPr>
          <w:rFonts w:ascii="Times New Roman" w:hAnsi="Times New Roman" w:cs="Times New Roman" w:eastAsia="Times New Roman" w:hint="default"/>
          <w:spacing w:val="-9"/>
        </w:rPr>
        <w:t>Shao</w:t>
      </w:r>
      <w:r>
        <w:rPr>
          <w:spacing w:val="-9"/>
        </w:rPr>
        <w:t>）离职，同意公司对胡连升、邵培申（</w:t>
      </w:r>
      <w:r>
        <w:rPr>
          <w:rFonts w:ascii="Times New Roman" w:hAnsi="Times New Roman" w:cs="Times New Roman" w:eastAsia="Times New Roman" w:hint="default"/>
          <w:spacing w:val="-9"/>
        </w:rPr>
        <w:t>Peishen </w:t>
      </w:r>
      <w:r>
        <w:rPr>
          <w:rFonts w:ascii="Times New Roman" w:hAnsi="Times New Roman" w:cs="Times New Roman" w:eastAsia="Times New Roman" w:hint="default"/>
          <w:spacing w:val="-3"/>
        </w:rPr>
        <w:t>Shao</w:t>
      </w:r>
      <w:r>
        <w:rPr>
          <w:spacing w:val="-3"/>
        </w:rPr>
        <w:t>）</w:t>
      </w:r>
      <w:r>
        <w:rPr>
          <w:spacing w:val="-48"/>
        </w:rPr>
        <w:t> </w:t>
      </w:r>
      <w:r>
        <w:rPr>
          <w:spacing w:val="-3"/>
        </w:rPr>
        <w:t>已获授但尚未解锁的</w:t>
      </w:r>
      <w:r>
        <w:rPr>
          <w:rFonts w:ascii="Times New Roman" w:hAnsi="Times New Roman" w:cs="Times New Roman" w:eastAsia="Times New Roman" w:hint="default"/>
          <w:spacing w:val="-3"/>
        </w:rPr>
        <w:t>130,000</w:t>
      </w:r>
      <w:r>
        <w:rPr>
          <w:spacing w:val="-3"/>
        </w:rPr>
        <w:t>股限制性股票进行回购注销。</w:t>
      </w:r>
      <w:r>
        <w:rPr>
          <w:spacing w:val="-1"/>
        </w:rPr>
        <w:t> </w:t>
      </w:r>
      <w:r>
        <w:rPr>
          <w:spacing w:val="-1"/>
        </w:rPr>
      </w:r>
      <w:r>
        <w:rPr>
          <w:rFonts w:ascii="Times New Roman" w:hAnsi="Times New Roman" w:cs="Times New Roman" w:eastAsia="Times New Roman" w:hint="default"/>
          <w:spacing w:val="-7"/>
          <w:w w:val="101"/>
        </w:rPr>
        <w:t>10</w:t>
      </w:r>
      <w:r>
        <w:rPr>
          <w:spacing w:val="-7"/>
          <w:w w:val="101"/>
        </w:rPr>
        <w:t>、公司于</w:t>
      </w:r>
      <w:r>
        <w:rPr>
          <w:rFonts w:ascii="Times New Roman" w:hAnsi="Times New Roman" w:cs="Times New Roman" w:eastAsia="Times New Roman" w:hint="default"/>
          <w:spacing w:val="-7"/>
          <w:w w:val="101"/>
        </w:rPr>
        <w:t>2019</w:t>
      </w:r>
      <w:r>
        <w:rPr>
          <w:spacing w:val="-7"/>
          <w:w w:val="101"/>
        </w:rPr>
        <w:t>年</w:t>
      </w:r>
      <w:r>
        <w:rPr>
          <w:rFonts w:ascii="Times New Roman" w:hAnsi="Times New Roman" w:cs="Times New Roman" w:eastAsia="Times New Roman" w:hint="default"/>
          <w:spacing w:val="-7"/>
          <w:w w:val="101"/>
        </w:rPr>
        <w:t>1</w:t>
      </w:r>
      <w:r>
        <w:rPr>
          <w:spacing w:val="-7"/>
          <w:w w:val="101"/>
        </w:rPr>
        <w:t>月</w:t>
      </w:r>
      <w:r>
        <w:rPr>
          <w:rFonts w:ascii="Times New Roman" w:hAnsi="Times New Roman" w:cs="Times New Roman" w:eastAsia="Times New Roman" w:hint="default"/>
          <w:spacing w:val="-7"/>
          <w:w w:val="101"/>
        </w:rPr>
        <w:t>3</w:t>
      </w:r>
      <w:r>
        <w:rPr>
          <w:spacing w:val="-7"/>
          <w:w w:val="101"/>
        </w:rPr>
        <w:t>日召开第二届董事会第十四次会议，审议通过《关于向激励对象授予</w:t>
      </w:r>
      <w:r>
        <w:rPr>
          <w:rFonts w:ascii="Times New Roman" w:hAnsi="Times New Roman" w:cs="Times New Roman" w:eastAsia="Times New Roman" w:hint="default"/>
          <w:spacing w:val="-7"/>
          <w:w w:val="101"/>
        </w:rPr>
        <w:t>2017</w:t>
      </w:r>
      <w:r>
        <w:rPr>
          <w:spacing w:val="-7"/>
          <w:w w:val="101"/>
        </w:rPr>
        <w:t>年预留限制性股票的议案》，</w:t>
      </w:r>
      <w:r>
        <w:rPr>
          <w:spacing w:val="-61"/>
          <w:w w:val="101"/>
        </w:rPr>
        <w:t> </w:t>
      </w:r>
      <w:r>
        <w:rPr>
          <w:spacing w:val="-61"/>
          <w:w w:val="101"/>
        </w:rPr>
      </w:r>
      <w:r>
        <w:rPr>
          <w:spacing w:val="-4"/>
        </w:rPr>
        <w:t>公司监事会于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3</w:t>
      </w:r>
      <w:r>
        <w:rPr>
          <w:spacing w:val="-4"/>
        </w:rPr>
        <w:t>日审议通过《关于向激励对象授予</w:t>
      </w:r>
      <w:r>
        <w:rPr>
          <w:rFonts w:ascii="Times New Roman" w:hAnsi="Times New Roman" w:cs="Times New Roman" w:eastAsia="Times New Roman" w:hint="default"/>
          <w:spacing w:val="-4"/>
        </w:rPr>
        <w:t>2017</w:t>
      </w:r>
      <w:r>
        <w:rPr>
          <w:spacing w:val="-4"/>
        </w:rPr>
        <w:t>年预留限制性股票的议案》，确定</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3</w:t>
      </w:r>
      <w:r>
        <w:rPr>
          <w:spacing w:val="-4"/>
        </w:rPr>
        <w:t>日为</w:t>
      </w:r>
      <w:r>
        <w:rPr>
          <w:rFonts w:ascii="Times New Roman" w:hAnsi="Times New Roman" w:cs="Times New Roman" w:eastAsia="Times New Roman" w:hint="default"/>
          <w:spacing w:val="-4"/>
        </w:rPr>
        <w:t>2017</w:t>
      </w:r>
      <w:r>
        <w:rPr>
          <w:spacing w:val="-4"/>
        </w:rPr>
        <w:t>年预</w:t>
      </w:r>
      <w:r>
        <w:rPr>
          <w:spacing w:val="-3"/>
        </w:rPr>
        <w:t> 留限制性股票的授予日，向</w:t>
      </w:r>
      <w:r>
        <w:rPr>
          <w:rFonts w:ascii="Times New Roman" w:hAnsi="Times New Roman" w:cs="Times New Roman" w:eastAsia="Times New Roman" w:hint="default"/>
          <w:spacing w:val="-3"/>
        </w:rPr>
        <w:t>9</w:t>
      </w:r>
      <w:r>
        <w:rPr>
          <w:spacing w:val="-3"/>
        </w:rPr>
        <w:t>名激励对象授予</w:t>
      </w:r>
      <w:r>
        <w:rPr>
          <w:rFonts w:ascii="Times New Roman" w:hAnsi="Times New Roman" w:cs="Times New Roman" w:eastAsia="Times New Roman" w:hint="default"/>
          <w:spacing w:val="-3"/>
        </w:rPr>
        <w:t>70</w:t>
      </w:r>
      <w:r>
        <w:rPr>
          <w:spacing w:val="-3"/>
        </w:rPr>
        <w:t>万股限制性股票。公司独立董事对相关事项发表了独立意见，监事会对本次</w:t>
      </w:r>
      <w:r>
        <w:rPr>
          <w:spacing w:val="78"/>
        </w:rPr>
        <w:t> </w:t>
      </w:r>
      <w:r>
        <w:rPr>
          <w:spacing w:val="78"/>
        </w:rPr>
      </w:r>
      <w:r>
        <w:rPr>
          <w:spacing w:val="-3"/>
        </w:rPr>
        <w:t>授予限制性股票的激励对象名单进行了核实。上述预留授予的限制性股票于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5</w:t>
      </w:r>
      <w:r>
        <w:rPr>
          <w:spacing w:val="-3"/>
        </w:rPr>
        <w:t>日上市。</w:t>
      </w:r>
      <w:r>
        <w:rPr>
          <w:spacing w:val="41"/>
        </w:rPr>
        <w:t> </w:t>
      </w:r>
      <w:r>
        <w:rPr>
          <w:spacing w:val="41"/>
        </w:rPr>
      </w:r>
      <w:r>
        <w:rPr>
          <w:rFonts w:ascii="Times New Roman" w:hAnsi="Times New Roman" w:cs="Times New Roman" w:eastAsia="Times New Roman" w:hint="default"/>
          <w:spacing w:val="-3"/>
        </w:rPr>
        <w:t>11</w:t>
      </w:r>
      <w:r>
        <w:rPr>
          <w:spacing w:val="-3"/>
        </w:rPr>
        <w:t>、公司于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14</w:t>
      </w:r>
      <w:r>
        <w:rPr>
          <w:spacing w:val="-3"/>
        </w:rPr>
        <w:t>日召开第二届董事会第十五次会议，审议通过《关于回购注销部分激励对象已获授但尚未解锁的限</w:t>
      </w:r>
    </w:p>
    <w:p>
      <w:pPr>
        <w:spacing w:after="0" w:line="304"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00" w:lineRule="auto" w:before="46"/>
        <w:ind w:right="1126"/>
        <w:jc w:val="both"/>
      </w:pPr>
      <w:r>
        <w:rPr>
          <w:spacing w:val="-3"/>
        </w:rPr>
        <w:t>制性股票的议案》，公司监事会于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14</w:t>
      </w:r>
      <w:r>
        <w:rPr>
          <w:spacing w:val="-3"/>
        </w:rPr>
        <w:t>日审议通过《关于回购注销部分激励对象已获授但尚未解锁的限制性股票的 议案》，因原激励对象王进亮、曾川离职，公司回购注销其已获授但尚未解锁的</w:t>
      </w:r>
      <w:r>
        <w:rPr>
          <w:rFonts w:ascii="Times New Roman" w:hAnsi="Times New Roman" w:cs="Times New Roman" w:eastAsia="Times New Roman" w:hint="default"/>
          <w:spacing w:val="-3"/>
        </w:rPr>
        <w:t>60,000</w:t>
      </w:r>
      <w:r>
        <w:rPr>
          <w:spacing w:val="-3"/>
        </w:rPr>
        <w:t>股限制性股票。该议案提交公司</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4"/>
        </w:rPr>
      </w:r>
      <w:r>
        <w:rPr>
          <w:spacing w:val="-3"/>
        </w:rPr>
        <w:t>年第一次临时股东大会审议通过。</w:t>
      </w:r>
    </w:p>
    <w:p>
      <w:pPr>
        <w:pStyle w:val="BodyText"/>
        <w:spacing w:line="300" w:lineRule="auto" w:before="32"/>
        <w:ind w:right="1122"/>
        <w:jc w:val="both"/>
      </w:pPr>
      <w:r>
        <w:rPr>
          <w:rFonts w:ascii="Times New Roman" w:hAnsi="Times New Roman" w:cs="Times New Roman" w:eastAsia="Times New Roman" w:hint="default"/>
        </w:rPr>
        <w:t>12</w:t>
      </w: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日召开第二届董事会第十九次会议，审议通过《关于公司 </w:t>
      </w:r>
      <w:r>
        <w:rPr>
          <w:rFonts w:ascii="Times New Roman" w:hAnsi="Times New Roman" w:cs="Times New Roman" w:eastAsia="Times New Roman" w:hint="default"/>
        </w:rPr>
        <w:t>2017 </w:t>
      </w:r>
      <w:r>
        <w:rPr/>
        <w:t>年限制性股票激励计划首次授予部</w:t>
      </w:r>
      <w:r>
        <w:rPr>
          <w:spacing w:val="-85"/>
        </w:rPr>
        <w:t> </w:t>
      </w:r>
      <w:r>
        <w:rPr>
          <w:spacing w:val="-85"/>
        </w:rPr>
      </w:r>
      <w:r>
        <w:rPr>
          <w:spacing w:val="-2"/>
        </w:rPr>
        <w:t>分的第一个解锁期解锁条件成就可解锁的议案》，公司</w:t>
      </w:r>
      <w:r>
        <w:rPr/>
        <w:t> </w:t>
      </w:r>
      <w:r>
        <w:rPr>
          <w:rFonts w:ascii="Times New Roman" w:hAnsi="Times New Roman" w:cs="Times New Roman" w:eastAsia="Times New Roman" w:hint="default"/>
          <w:spacing w:val="-2"/>
        </w:rPr>
        <w:t>2017</w:t>
      </w:r>
      <w:r>
        <w:rPr>
          <w:spacing w:val="-2"/>
        </w:rPr>
        <w:t>年限制性股票激励计划首次授予的限制性股票第一个解锁期解</w:t>
      </w:r>
      <w:r>
        <w:rPr>
          <w:spacing w:val="-60"/>
        </w:rPr>
        <w:t> </w:t>
      </w:r>
      <w:r>
        <w:rPr>
          <w:spacing w:val="-60"/>
        </w:rPr>
      </w:r>
      <w:r>
        <w:rPr>
          <w:spacing w:val="-2"/>
        </w:rPr>
        <w:t>锁条件已经满足，根据《</w:t>
      </w:r>
      <w:r>
        <w:rPr>
          <w:rFonts w:ascii="Times New Roman" w:hAnsi="Times New Roman" w:cs="Times New Roman" w:eastAsia="Times New Roman" w:hint="default"/>
          <w:spacing w:val="-2"/>
        </w:rPr>
        <w:t>2017</w:t>
      </w:r>
      <w:r>
        <w:rPr>
          <w:rFonts w:ascii="Times New Roman" w:hAnsi="Times New Roman" w:cs="Times New Roman" w:eastAsia="Times New Roman" w:hint="default"/>
        </w:rPr>
        <w:t> </w:t>
      </w:r>
      <w:r>
        <w:rPr>
          <w:spacing w:val="-2"/>
        </w:rPr>
        <w:t>年限制性股票激励计划》（以下简称</w:t>
      </w:r>
      <w:r>
        <w:rPr>
          <w:rFonts w:ascii="Times New Roman" w:hAnsi="Times New Roman" w:cs="Times New Roman" w:eastAsia="Times New Roman" w:hint="default"/>
          <w:spacing w:val="-2"/>
        </w:rPr>
        <w:t>“</w:t>
      </w:r>
      <w:r>
        <w:rPr>
          <w:spacing w:val="-2"/>
        </w:rPr>
        <w:t>激励计划</w:t>
      </w:r>
      <w:r>
        <w:rPr>
          <w:rFonts w:ascii="Times New Roman" w:hAnsi="Times New Roman" w:cs="Times New Roman" w:eastAsia="Times New Roman" w:hint="default"/>
          <w:spacing w:val="-2"/>
        </w:rPr>
        <w:t>”</w:t>
      </w:r>
      <w:r>
        <w:rPr>
          <w:spacing w:val="-2"/>
        </w:rPr>
        <w:t>）的相关规定，公司将按照规定办理首次授</w:t>
      </w:r>
      <w:r>
        <w:rPr>
          <w:spacing w:val="-40"/>
        </w:rPr>
        <w:t> </w:t>
      </w:r>
      <w:r>
        <w:rPr>
          <w:spacing w:val="-40"/>
        </w:rPr>
      </w:r>
      <w:r>
        <w:rPr>
          <w:spacing w:val="-2"/>
        </w:rPr>
        <w:t>予部分的第一个解锁期所涉及限制性股票总额的</w:t>
      </w:r>
      <w:r>
        <w:rPr>
          <w:rFonts w:ascii="Times New Roman" w:hAnsi="Times New Roman" w:cs="Times New Roman" w:eastAsia="Times New Roman" w:hint="default"/>
          <w:spacing w:val="-2"/>
        </w:rPr>
        <w:t>25%</w:t>
      </w:r>
      <w:r>
        <w:rPr>
          <w:spacing w:val="-2"/>
        </w:rPr>
        <w:t>的解锁相关事宜。解锁事项已经于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30</w:t>
      </w:r>
      <w:r>
        <w:rPr>
          <w:spacing w:val="-2"/>
        </w:rPr>
        <w:t>日办理完毕。详见巨潮</w:t>
      </w:r>
      <w:r>
        <w:rPr>
          <w:spacing w:val="61"/>
        </w:rPr>
        <w:t> </w:t>
      </w:r>
      <w:r>
        <w:rPr>
          <w:spacing w:val="61"/>
        </w:rPr>
      </w:r>
      <w:r>
        <w:rPr>
          <w:spacing w:val="-2"/>
        </w:rPr>
        <w:t>资讯网（</w:t>
      </w:r>
      <w:hyperlink r:id="rId11">
        <w:r>
          <w:rPr>
            <w:rFonts w:ascii="Times New Roman" w:hAnsi="Times New Roman" w:cs="Times New Roman" w:eastAsia="Times New Roman" w:hint="default"/>
            <w:spacing w:val="-2"/>
          </w:rPr>
          <w:t>http://www.cninfo.com.cn</w:t>
        </w:r>
      </w:hyperlink>
      <w:r>
        <w:rPr>
          <w:spacing w:val="-2"/>
        </w:rPr>
        <w:t>）的公告《关于</w:t>
      </w:r>
      <w:r>
        <w:rPr>
          <w:rFonts w:ascii="Times New Roman" w:hAnsi="Times New Roman" w:cs="Times New Roman" w:eastAsia="Times New Roman" w:hint="default"/>
          <w:spacing w:val="-2"/>
        </w:rPr>
        <w:t>2017</w:t>
      </w:r>
      <w:r>
        <w:rPr>
          <w:spacing w:val="-2"/>
        </w:rPr>
        <w:t>年限制性股票激励计划首次授予部分的第一个解锁期解锁条件成就可</w:t>
      </w:r>
      <w:r>
        <w:rPr>
          <w:spacing w:val="42"/>
        </w:rPr>
        <w:t> </w:t>
      </w:r>
      <w:r>
        <w:rPr>
          <w:spacing w:val="42"/>
        </w:rPr>
      </w:r>
      <w:r>
        <w:rPr/>
        <w:t>解锁的公告》</w:t>
      </w:r>
    </w:p>
    <w:p>
      <w:pPr>
        <w:pStyle w:val="BodyText"/>
        <w:spacing w:line="240" w:lineRule="auto" w:before="32"/>
        <w:ind w:right="0"/>
        <w:jc w:val="both"/>
      </w:pPr>
      <w:r>
        <w:rPr>
          <w:rFonts w:ascii="Times New Roman" w:hAnsi="Times New Roman" w:cs="Times New Roman" w:eastAsia="Times New Roman" w:hint="default"/>
          <w:spacing w:val="-4"/>
        </w:rPr>
        <w:t>13</w:t>
      </w:r>
      <w:r>
        <w:rPr>
          <w:spacing w:val="-4"/>
        </w:rPr>
        <w:t>、经公司</w:t>
      </w:r>
      <w:r>
        <w:rPr>
          <w:rFonts w:ascii="Times New Roman" w:hAnsi="Times New Roman" w:cs="Times New Roman" w:eastAsia="Times New Roman" w:hint="default"/>
          <w:spacing w:val="-4"/>
        </w:rPr>
        <w:t>2018</w:t>
      </w:r>
      <w:r>
        <w:rPr>
          <w:spacing w:val="-4"/>
        </w:rPr>
        <w:t>年年度股东大会同意，</w:t>
      </w:r>
      <w:r>
        <w:rPr>
          <w:rFonts w:ascii="Times New Roman" w:hAnsi="Times New Roman" w:cs="Times New Roman" w:eastAsia="Times New Roman" w:hint="default"/>
          <w:spacing w:val="-4"/>
        </w:rPr>
        <w:t>2018</w:t>
      </w:r>
      <w:r>
        <w:rPr>
          <w:spacing w:val="-4"/>
        </w:rPr>
        <w:t>年的利润分配方案为以实施  </w:t>
      </w:r>
      <w:r>
        <w:rPr>
          <w:rFonts w:ascii="Times New Roman" w:hAnsi="Times New Roman" w:cs="Times New Roman" w:eastAsia="Times New Roman" w:hint="default"/>
        </w:rPr>
        <w:t>2018 </w:t>
      </w:r>
      <w:r>
        <w:rPr>
          <w:rFonts w:ascii="Times New Roman" w:hAnsi="Times New Roman" w:cs="Times New Roman" w:eastAsia="Times New Roman" w:hint="default"/>
          <w:spacing w:val="39"/>
        </w:rPr>
        <w:t> </w:t>
      </w:r>
      <w:r>
        <w:rPr>
          <w:spacing w:val="-3"/>
        </w:rPr>
        <w:t>年年度权益分配方案时股权登记日享有利润分</w:t>
      </w:r>
    </w:p>
    <w:p>
      <w:pPr>
        <w:pStyle w:val="BodyText"/>
        <w:spacing w:line="240" w:lineRule="auto" w:before="63"/>
        <w:ind w:right="0"/>
        <w:jc w:val="both"/>
      </w:pPr>
      <w:r>
        <w:rPr/>
        <w:t>配、公积金转增股本权利的总股本为基数，向全体股东每 </w:t>
      </w:r>
      <w:r>
        <w:rPr>
          <w:rFonts w:ascii="Times New Roman" w:hAnsi="Times New Roman" w:cs="Times New Roman" w:eastAsia="Times New Roman" w:hint="default"/>
        </w:rPr>
        <w:t>10  </w:t>
      </w:r>
      <w:r>
        <w:rPr/>
        <w:t>股派发现金红利 </w:t>
      </w:r>
      <w:r>
        <w:rPr>
          <w:rFonts w:ascii="Times New Roman" w:hAnsi="Times New Roman" w:cs="Times New Roman" w:eastAsia="Times New Roman" w:hint="default"/>
        </w:rPr>
        <w:t>0.75  </w:t>
      </w:r>
      <w:r>
        <w:rPr/>
        <w:t>元（含税）、以资本公积金每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spacing w:val="-5"/>
        </w:rPr>
        <w:t>股转</w:t>
      </w:r>
      <w:r>
        <w:rPr/>
      </w:r>
    </w:p>
    <w:p>
      <w:pPr>
        <w:pStyle w:val="BodyText"/>
        <w:spacing w:line="300" w:lineRule="auto" w:before="63"/>
        <w:ind w:right="0"/>
        <w:jc w:val="left"/>
      </w:pPr>
      <w:r>
        <w:rPr/>
        <w:t>增 </w:t>
      </w:r>
      <w:r>
        <w:rPr>
          <w:rFonts w:ascii="Times New Roman" w:hAnsi="Times New Roman" w:cs="Times New Roman" w:eastAsia="Times New Roman" w:hint="default"/>
        </w:rPr>
        <w:t>4 </w:t>
      </w:r>
      <w:r>
        <w:rPr>
          <w:spacing w:val="-3"/>
        </w:rPr>
        <w:t>股、不送红股。权益分派方案已经于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17</w:t>
      </w:r>
      <w:r>
        <w:rPr>
          <w:spacing w:val="-3"/>
        </w:rPr>
        <w:t>日实施完毕，公司总股本增加至</w:t>
      </w:r>
      <w:r>
        <w:rPr>
          <w:rFonts w:ascii="Times New Roman" w:hAnsi="Times New Roman" w:cs="Times New Roman" w:eastAsia="Times New Roman" w:hint="default"/>
          <w:spacing w:val="-3"/>
        </w:rPr>
        <w:t>117,306,000</w:t>
      </w:r>
      <w:r>
        <w:rPr>
          <w:spacing w:val="-3"/>
        </w:rPr>
        <w:t>股。</w:t>
      </w:r>
      <w:r>
        <w:rPr>
          <w:spacing w:val="29"/>
        </w:rPr>
        <w:t> </w:t>
      </w:r>
      <w:r>
        <w:rPr>
          <w:rFonts w:ascii="Times New Roman" w:hAnsi="Times New Roman" w:cs="Times New Roman" w:eastAsia="Times New Roman" w:hint="default"/>
          <w:spacing w:val="-4"/>
        </w:rPr>
        <w:t>14</w:t>
      </w:r>
      <w:r>
        <w:rPr>
          <w:spacing w:val="-4"/>
        </w:rPr>
        <w:t>、公司于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26</w:t>
      </w:r>
      <w:r>
        <w:rPr>
          <w:spacing w:val="-4"/>
        </w:rPr>
        <w:t>日召开第二届董事会第二十三次会议，审议通过《关于调整限制性股票回购价格及回购注销数量的</w:t>
      </w:r>
      <w:r>
        <w:rPr>
          <w:spacing w:val="63"/>
        </w:rPr>
        <w:t> </w:t>
      </w:r>
      <w:r>
        <w:rPr>
          <w:spacing w:val="63"/>
        </w:rPr>
      </w:r>
      <w:r>
        <w:rPr>
          <w:spacing w:val="-3"/>
        </w:rPr>
        <w:t>议案》、《关于回购注销部分限制性股票的议案》。因公司</w:t>
      </w:r>
      <w:r>
        <w:rPr>
          <w:rFonts w:ascii="Times New Roman" w:hAnsi="Times New Roman" w:cs="Times New Roman" w:eastAsia="Times New Roman" w:hint="default"/>
          <w:spacing w:val="-3"/>
        </w:rPr>
        <w:t>2018</w:t>
      </w:r>
      <w:r>
        <w:rPr>
          <w:spacing w:val="-3"/>
        </w:rPr>
        <w:t>年年度权益分派、资本公积转增股本方案于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17</w:t>
      </w:r>
      <w:r>
        <w:rPr>
          <w:spacing w:val="-3"/>
        </w:rPr>
        <w:t>日</w:t>
      </w:r>
      <w:r>
        <w:rPr>
          <w:spacing w:val="4"/>
        </w:rPr>
        <w:t> </w:t>
      </w:r>
      <w:r>
        <w:rPr>
          <w:spacing w:val="-4"/>
        </w:rPr>
        <w:t>实施完毕，根据公司</w:t>
      </w:r>
      <w:r>
        <w:rPr>
          <w:rFonts w:ascii="Times New Roman" w:hAnsi="Times New Roman" w:cs="Times New Roman" w:eastAsia="Times New Roman" w:hint="default"/>
          <w:spacing w:val="-4"/>
        </w:rPr>
        <w:t>2017</w:t>
      </w:r>
      <w:r>
        <w:rPr>
          <w:spacing w:val="-4"/>
        </w:rPr>
        <w:t>年限制性股票激励计划相关规定，应对限制性股票回购价格及回购注销数量进行相应的调整，同时</w:t>
      </w:r>
      <w:r>
        <w:rPr>
          <w:spacing w:val="51"/>
        </w:rPr>
        <w:t> </w:t>
      </w:r>
      <w:r>
        <w:rPr>
          <w:spacing w:val="51"/>
        </w:rPr>
      </w:r>
      <w:r>
        <w:rPr>
          <w:spacing w:val="-4"/>
        </w:rPr>
        <w:t>对部分限制性股票进行回购注销。上述两项事项提交公司</w:t>
      </w:r>
      <w:r>
        <w:rPr>
          <w:rFonts w:ascii="Times New Roman" w:hAnsi="Times New Roman" w:cs="Times New Roman" w:eastAsia="Times New Roman" w:hint="default"/>
          <w:spacing w:val="-4"/>
        </w:rPr>
        <w:t>2019</w:t>
      </w:r>
      <w:r>
        <w:rPr>
          <w:spacing w:val="-4"/>
        </w:rPr>
        <w:t>年第五次临时股东大会审议通过。经中国证券登记结算有限责</w:t>
      </w:r>
      <w:r>
        <w:rPr>
          <w:spacing w:val="52"/>
        </w:rPr>
        <w:t> </w:t>
      </w:r>
      <w:r>
        <w:rPr>
          <w:spacing w:val="52"/>
        </w:rPr>
      </w:r>
      <w:r>
        <w:rPr>
          <w:spacing w:val="-3"/>
        </w:rPr>
        <w:t>任公司深圳分公司审核确认，公司本次部分限制性股票回购注销事宜已于</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11</w:t>
      </w:r>
      <w:r>
        <w:rPr>
          <w:spacing w:val="-3"/>
        </w:rPr>
        <w:t>日办理完成。回购完成后，公司股份</w:t>
      </w:r>
      <w:r>
        <w:rPr>
          <w:spacing w:val="-2"/>
        </w:rPr>
        <w:t> </w:t>
      </w:r>
      <w:r>
        <w:rPr>
          <w:spacing w:val="-2"/>
        </w:rPr>
      </w:r>
      <w:r>
        <w:rPr/>
        <w:t>总数由</w:t>
      </w:r>
      <w:r>
        <w:rPr>
          <w:rFonts w:ascii="Times New Roman" w:hAnsi="Times New Roman" w:cs="Times New Roman" w:eastAsia="Times New Roman" w:hint="default"/>
        </w:rPr>
        <w:t>117,306,000</w:t>
      </w:r>
      <w:r>
        <w:rPr/>
        <w:t>股减少为</w:t>
      </w:r>
      <w:r>
        <w:rPr>
          <w:rFonts w:ascii="Times New Roman" w:hAnsi="Times New Roman" w:cs="Times New Roman" w:eastAsia="Times New Roman" w:hint="default"/>
        </w:rPr>
        <w:t>117,190,500</w:t>
      </w:r>
      <w:r>
        <w:rPr/>
        <w:t>股。</w:t>
      </w:r>
    </w:p>
    <w:p>
      <w:pPr>
        <w:spacing w:line="240" w:lineRule="auto" w:before="0"/>
        <w:rPr>
          <w:rFonts w:ascii="宋体" w:hAnsi="宋体" w:cs="宋体" w:eastAsia="宋体" w:hint="default"/>
          <w:sz w:val="18"/>
          <w:szCs w:val="18"/>
        </w:rPr>
      </w:pPr>
    </w:p>
    <w:p>
      <w:pPr>
        <w:pStyle w:val="BodyText"/>
        <w:spacing w:line="240" w:lineRule="auto" w:before="133"/>
        <w:ind w:right="0"/>
        <w:jc w:val="both"/>
      </w:pPr>
      <w:r>
        <w:rPr>
          <w:spacing w:val="-3"/>
        </w:rPr>
        <w:t>公司需遵守《深圳证券交易所行业信息披露指引第 </w:t>
      </w:r>
      <w:r>
        <w:rPr>
          <w:rFonts w:ascii="Times New Roman" w:hAnsi="Times New Roman" w:cs="Times New Roman" w:eastAsia="Times New Roman" w:hint="default"/>
        </w:rPr>
        <w:t>12  </w:t>
      </w:r>
      <w:r>
        <w:rPr>
          <w:rFonts w:ascii="Times New Roman" w:hAnsi="Times New Roman" w:cs="Times New Roman" w:eastAsia="Times New Roman" w:hint="default"/>
          <w:spacing w:val="11"/>
        </w:rPr>
        <w:t> </w:t>
      </w:r>
      <w:r>
        <w:rPr>
          <w:spacing w:val="-3"/>
        </w:rPr>
        <w:t>号</w:t>
      </w:r>
      <w:r>
        <w:rPr>
          <w:rFonts w:ascii="Times New Roman" w:hAnsi="Times New Roman" w:cs="Times New Roman" w:eastAsia="Times New Roman" w:hint="default"/>
          <w:spacing w:val="-3"/>
        </w:rPr>
        <w:t>——</w:t>
      </w:r>
      <w:r>
        <w:rPr>
          <w:spacing w:val="-3"/>
        </w:rPr>
        <w:t>上市公司从事软件与信息技术服务业务》的披露要求</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6"/>
          <w:szCs w:val="16"/>
        </w:rPr>
      </w:pPr>
    </w:p>
    <w:p>
      <w:pPr>
        <w:pStyle w:val="BodyText"/>
        <w:spacing w:line="240" w:lineRule="auto"/>
        <w:ind w:right="0"/>
        <w:jc w:val="both"/>
        <w:rPr>
          <w:rFonts w:ascii="Times New Roman" w:hAnsi="Times New Roman" w:cs="Times New Roman" w:eastAsia="Times New Roman" w:hint="default"/>
        </w:rPr>
      </w:pPr>
      <w:r>
        <w:rPr>
          <w:spacing w:val="-3"/>
        </w:rPr>
        <w:t>本报告期计提股权激励费用 </w:t>
      </w:r>
      <w:r>
        <w:rPr>
          <w:rFonts w:ascii="Times New Roman" w:hAnsi="Times New Roman" w:cs="Times New Roman" w:eastAsia="Times New Roman" w:hint="default"/>
        </w:rPr>
        <w:t>2,151.62 </w:t>
      </w:r>
      <w:r>
        <w:rPr/>
        <w:t>万元，对净利润的影响为</w:t>
      </w:r>
      <w:r>
        <w:rPr>
          <w:rFonts w:ascii="Times New Roman" w:hAnsi="Times New Roman" w:cs="Times New Roman" w:eastAsia="Times New Roman" w:hint="default"/>
        </w:rPr>
        <w:t>-1,828.88  </w:t>
      </w:r>
      <w:r>
        <w:rPr>
          <w:spacing w:val="-3"/>
        </w:rPr>
        <w:t>万元。其中核心技术人员的股权激励费用为</w:t>
      </w:r>
      <w:r>
        <w:rPr>
          <w:spacing w:val="-46"/>
        </w:rPr>
        <w:t> </w:t>
      </w:r>
      <w:r>
        <w:rPr>
          <w:rFonts w:ascii="Times New Roman" w:hAnsi="Times New Roman" w:cs="Times New Roman" w:eastAsia="Times New Roman" w:hint="default"/>
        </w:rPr>
        <w:t>243.85</w:t>
      </w:r>
    </w:p>
    <w:p>
      <w:pPr>
        <w:pStyle w:val="BodyText"/>
        <w:spacing w:line="240" w:lineRule="auto" w:before="67"/>
        <w:ind w:right="0"/>
        <w:jc w:val="both"/>
      </w:pPr>
      <w:r>
        <w:rPr/>
        <w:t>万元，占公司当期股权激励费用的</w:t>
      </w:r>
      <w:r>
        <w:rPr>
          <w:spacing w:val="-32"/>
        </w:rPr>
        <w:t> </w:t>
      </w:r>
      <w:r>
        <w:rPr>
          <w:rFonts w:ascii="Times New Roman" w:hAnsi="Times New Roman" w:cs="Times New Roman" w:eastAsia="Times New Roman" w:hint="default"/>
          <w:spacing w:val="-3"/>
        </w:rPr>
        <w:t>11.33%</w:t>
      </w:r>
      <w:r>
        <w:rPr>
          <w:spacing w:val="-3"/>
        </w:rPr>
        <w:t>。</w:t>
      </w:r>
    </w:p>
    <w:p>
      <w:pPr>
        <w:spacing w:line="240" w:lineRule="auto" w:before="12"/>
        <w:rPr>
          <w:rFonts w:ascii="宋体" w:hAnsi="宋体" w:cs="宋体" w:eastAsia="宋体" w:hint="default"/>
          <w:sz w:val="22"/>
          <w:szCs w:val="22"/>
        </w:rPr>
      </w:pPr>
    </w:p>
    <w:p>
      <w:pPr>
        <w:pStyle w:val="Heading2"/>
        <w:spacing w:line="240" w:lineRule="auto"/>
        <w:ind w:right="0"/>
        <w:jc w:val="both"/>
        <w:rPr>
          <w:b w:val="0"/>
          <w:bCs w:val="0"/>
        </w:rPr>
      </w:pPr>
      <w:bookmarkStart w:name="十五、重大关联交易" w:id="78"/>
      <w:bookmarkEnd w:id="78"/>
      <w:r>
        <w:rPr>
          <w:b w:val="0"/>
          <w:bCs w:val="0"/>
        </w:rPr>
      </w:r>
      <w:r>
        <w:rPr/>
        <w:t>十五、重大关联交易</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0"/>
        <w:jc w:val="both"/>
        <w:rPr>
          <w:b w:val="0"/>
          <w:bCs w:val="0"/>
        </w:rPr>
      </w:pPr>
      <w:bookmarkStart w:name="1、与日常经营相关的关联交易" w:id="79"/>
      <w:bookmarkEnd w:id="79"/>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628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公司报告期未发生与日常经营相关的关联交易。</w:t>
      </w:r>
    </w:p>
    <w:p>
      <w:pPr>
        <w:spacing w:line="240" w:lineRule="auto" w:before="1"/>
        <w:rPr>
          <w:rFonts w:ascii="宋体" w:hAnsi="宋体" w:cs="宋体" w:eastAsia="宋体" w:hint="default"/>
          <w:sz w:val="21"/>
          <w:szCs w:val="21"/>
        </w:rPr>
      </w:pPr>
    </w:p>
    <w:p>
      <w:pPr>
        <w:pStyle w:val="Heading4"/>
        <w:spacing w:line="240" w:lineRule="auto"/>
        <w:ind w:right="0"/>
        <w:jc w:val="both"/>
        <w:rPr>
          <w:b w:val="0"/>
          <w:bCs w:val="0"/>
        </w:rPr>
      </w:pPr>
      <w:bookmarkStart w:name="2、资产或股权收购、出售发生的关联交易" w:id="80"/>
      <w:bookmarkEnd w:id="80"/>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628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公司报告期未发生资产或股权收购、出售的关联交易。</w:t>
      </w:r>
    </w:p>
    <w:p>
      <w:pPr>
        <w:spacing w:line="240" w:lineRule="auto" w:before="9"/>
        <w:rPr>
          <w:rFonts w:ascii="宋体" w:hAnsi="宋体" w:cs="宋体" w:eastAsia="宋体" w:hint="default"/>
          <w:sz w:val="20"/>
          <w:szCs w:val="20"/>
        </w:rPr>
      </w:pPr>
    </w:p>
    <w:p>
      <w:pPr>
        <w:pStyle w:val="Heading4"/>
        <w:spacing w:line="240" w:lineRule="auto"/>
        <w:ind w:right="0"/>
        <w:jc w:val="both"/>
        <w:rPr>
          <w:b w:val="0"/>
          <w:bCs w:val="0"/>
        </w:rPr>
      </w:pPr>
      <w:bookmarkStart w:name="3、共同对外投资的关联交易" w:id="81"/>
      <w:bookmarkEnd w:id="81"/>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1"/>
        <w:rPr>
          <w:rFonts w:ascii="宋体" w:hAnsi="宋体" w:cs="宋体" w:eastAsia="宋体" w:hint="default"/>
          <w:b/>
          <w:bCs/>
          <w:sz w:val="27"/>
          <w:szCs w:val="27"/>
        </w:rPr>
      </w:pPr>
    </w:p>
    <w:p>
      <w:pPr>
        <w:pStyle w:val="BodyText"/>
        <w:spacing w:line="343" w:lineRule="auto"/>
        <w:ind w:right="628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公司报告期未发生共同对外投资的关联交易。</w:t>
      </w:r>
    </w:p>
    <w:p>
      <w:pPr>
        <w:spacing w:line="240" w:lineRule="auto" w:before="5"/>
        <w:rPr>
          <w:rFonts w:ascii="宋体" w:hAnsi="宋体" w:cs="宋体" w:eastAsia="宋体" w:hint="default"/>
          <w:sz w:val="20"/>
          <w:szCs w:val="20"/>
        </w:rPr>
      </w:pPr>
    </w:p>
    <w:p>
      <w:pPr>
        <w:pStyle w:val="Heading4"/>
        <w:spacing w:line="240" w:lineRule="auto"/>
        <w:ind w:right="0"/>
        <w:jc w:val="both"/>
        <w:rPr>
          <w:b w:val="0"/>
          <w:bCs w:val="0"/>
        </w:rPr>
      </w:pPr>
      <w:bookmarkStart w:name="4、关联债权债务往来" w:id="82"/>
      <w:bookmarkEnd w:id="82"/>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both"/>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both"/>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pStyle w:val="BodyText"/>
        <w:spacing w:line="240" w:lineRule="auto" w:before="46"/>
        <w:ind w:right="0"/>
        <w:jc w:val="left"/>
      </w:pPr>
      <w:r>
        <w:rPr>
          <w:spacing w:val="-3"/>
        </w:rPr>
        <w:t>公司报告期不存在关联债权债务往来。</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5、其他重大关联交易" w:id="83"/>
      <w:bookmarkEnd w:id="83"/>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1"/>
        <w:rPr>
          <w:rFonts w:ascii="宋体" w:hAnsi="宋体" w:cs="宋体" w:eastAsia="宋体" w:hint="default"/>
          <w:b/>
          <w:bCs/>
          <w:sz w:val="27"/>
          <w:szCs w:val="27"/>
        </w:rPr>
      </w:pPr>
    </w:p>
    <w:p>
      <w:pPr>
        <w:pStyle w:val="BodyText"/>
        <w:spacing w:line="343" w:lineRule="auto"/>
        <w:ind w:right="795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公司报告期无其他重大关联交易。</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十六、重大合同及其履行情况" w:id="84"/>
      <w:bookmarkEnd w:id="84"/>
      <w:r>
        <w:rPr>
          <w:b w:val="0"/>
          <w:bCs w:val="0"/>
        </w:rPr>
      </w:r>
      <w:r>
        <w:rPr/>
        <w:t>十六、重大合同及其履行情况</w:t>
      </w:r>
      <w:r>
        <w:rPr>
          <w:b w:val="0"/>
          <w:bCs w:val="0"/>
        </w:rPr>
      </w:r>
    </w:p>
    <w:p>
      <w:pPr>
        <w:spacing w:line="240" w:lineRule="auto" w:before="4"/>
        <w:rPr>
          <w:rFonts w:ascii="宋体" w:hAnsi="宋体" w:cs="宋体" w:eastAsia="宋体" w:hint="default"/>
          <w:b/>
          <w:bCs/>
          <w:sz w:val="25"/>
          <w:szCs w:val="25"/>
        </w:rPr>
      </w:pPr>
    </w:p>
    <w:p>
      <w:pPr>
        <w:pStyle w:val="Heading4"/>
        <w:spacing w:line="240" w:lineRule="auto"/>
        <w:ind w:right="0"/>
        <w:jc w:val="left"/>
        <w:rPr>
          <w:b w:val="0"/>
          <w:bCs w:val="0"/>
        </w:rPr>
      </w:pPr>
      <w:bookmarkStart w:name="1、托管、承包、租赁事项情况" w:id="85"/>
      <w:bookmarkEnd w:id="85"/>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托管情况" w:id="86"/>
      <w:bookmarkEnd w:id="86"/>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9"/>
        <w:rPr>
          <w:rFonts w:ascii="宋体" w:hAnsi="宋体" w:cs="宋体" w:eastAsia="宋体" w:hint="default"/>
          <w:b/>
          <w:bCs/>
          <w:sz w:val="26"/>
          <w:szCs w:val="26"/>
        </w:rPr>
      </w:pPr>
    </w:p>
    <w:p>
      <w:pPr>
        <w:pStyle w:val="BodyText"/>
        <w:spacing w:line="343" w:lineRule="auto"/>
        <w:ind w:right="795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公司报告期不存在托管情况。</w:t>
      </w:r>
    </w:p>
    <w:p>
      <w:pPr>
        <w:spacing w:line="240" w:lineRule="auto" w:before="5"/>
        <w:rPr>
          <w:rFonts w:ascii="宋体" w:hAnsi="宋体" w:cs="宋体" w:eastAsia="宋体" w:hint="default"/>
          <w:sz w:val="20"/>
          <w:szCs w:val="20"/>
        </w:rPr>
      </w:pPr>
    </w:p>
    <w:p>
      <w:pPr>
        <w:pStyle w:val="Heading4"/>
        <w:spacing w:line="240" w:lineRule="auto"/>
        <w:ind w:right="0"/>
        <w:jc w:val="left"/>
        <w:rPr>
          <w:b w:val="0"/>
          <w:bCs w:val="0"/>
        </w:rPr>
      </w:pPr>
      <w:bookmarkStart w:name="（2）承包情况" w:id="87"/>
      <w:bookmarkEnd w:id="87"/>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795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公司报告期不存在承包情况。</w:t>
      </w:r>
    </w:p>
    <w:p>
      <w:pPr>
        <w:spacing w:line="240" w:lineRule="auto" w:before="0"/>
        <w:rPr>
          <w:rFonts w:ascii="宋体" w:hAnsi="宋体" w:cs="宋体" w:eastAsia="宋体" w:hint="default"/>
          <w:sz w:val="21"/>
          <w:szCs w:val="21"/>
        </w:rPr>
      </w:pPr>
    </w:p>
    <w:p>
      <w:pPr>
        <w:pStyle w:val="Heading4"/>
        <w:spacing w:line="240" w:lineRule="auto"/>
        <w:ind w:right="0"/>
        <w:jc w:val="left"/>
        <w:rPr>
          <w:b w:val="0"/>
          <w:bCs w:val="0"/>
        </w:rPr>
      </w:pPr>
      <w:bookmarkStart w:name="（3）租赁情况" w:id="88"/>
      <w:bookmarkEnd w:id="88"/>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848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w:t>
      </w:r>
      <w:r>
        <w:rPr>
          <w:w w:val="101"/>
        </w:rPr>
        <w:t> </w:t>
      </w:r>
      <w:r>
        <w:rPr/>
        <w:t>租赁情况说明</w:t>
      </w:r>
    </w:p>
    <w:p>
      <w:pPr>
        <w:pStyle w:val="BodyText"/>
        <w:spacing w:line="343" w:lineRule="auto" w:before="36"/>
        <w:ind w:right="3109"/>
        <w:jc w:val="left"/>
      </w:pPr>
      <w:r>
        <w:rPr>
          <w:spacing w:val="-3"/>
        </w:rPr>
        <w:t>本报告期，公司将位于杭州市滨江区新联路</w:t>
      </w:r>
      <w:r>
        <w:rPr>
          <w:rFonts w:ascii="Times New Roman" w:hAnsi="Times New Roman" w:cs="Times New Roman" w:eastAsia="Times New Roman" w:hint="default"/>
          <w:spacing w:val="-3"/>
        </w:rPr>
        <w:t>625</w:t>
      </w:r>
      <w:r>
        <w:rPr>
          <w:spacing w:val="-3"/>
        </w:rPr>
        <w:t>号的部分房产用于出租。</w:t>
      </w:r>
      <w:r>
        <w:rPr>
          <w:spacing w:val="10"/>
        </w:rPr>
        <w:t> </w:t>
      </w:r>
      <w:r>
        <w:rPr>
          <w:spacing w:val="10"/>
        </w:rPr>
      </w:r>
      <w:r>
        <w:rPr>
          <w:spacing w:val="-3"/>
        </w:rPr>
        <w:t>为公司带来的损益达到公司报告期利润总额</w:t>
      </w:r>
      <w:r>
        <w:rPr>
          <w:spacing w:val="37"/>
        </w:rPr>
        <w:t> </w:t>
      </w:r>
      <w:r>
        <w:rPr>
          <w:rFonts w:ascii="Times New Roman" w:hAnsi="Times New Roman" w:cs="Times New Roman" w:eastAsia="Times New Roman" w:hint="default"/>
          <w:spacing w:val="-3"/>
        </w:rPr>
        <w:t>10%</w:t>
      </w:r>
      <w:r>
        <w:rPr>
          <w:spacing w:val="-3"/>
        </w:rPr>
        <w:t>以上的项目</w:t>
      </w:r>
    </w:p>
    <w:p>
      <w:pPr>
        <w:pStyle w:val="BodyText"/>
        <w:spacing w:line="240" w:lineRule="auto" w:before="20"/>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right="0"/>
        <w:jc w:val="left"/>
      </w:pPr>
      <w:r>
        <w:rPr>
          <w:spacing w:val="-3"/>
        </w:rPr>
        <w:t>公司报告期不存在为公司带来的损益达到公司报告期利润总额</w:t>
      </w:r>
      <w:r>
        <w:rPr>
          <w:spacing w:val="39"/>
        </w:rPr>
        <w:t> </w:t>
      </w:r>
      <w:r>
        <w:rPr>
          <w:rFonts w:ascii="Times New Roman" w:hAnsi="Times New Roman" w:cs="Times New Roman" w:eastAsia="Times New Roman" w:hint="default"/>
        </w:rPr>
        <w:t>10%</w:t>
      </w:r>
      <w:r>
        <w:rPr/>
        <w:t>以上的租赁项目。</w:t>
      </w:r>
    </w:p>
    <w:p>
      <w:pPr>
        <w:spacing w:line="240" w:lineRule="auto" w:before="8"/>
        <w:rPr>
          <w:rFonts w:ascii="宋体" w:hAnsi="宋体" w:cs="宋体" w:eastAsia="宋体" w:hint="default"/>
          <w:sz w:val="25"/>
          <w:szCs w:val="25"/>
        </w:rPr>
      </w:pPr>
    </w:p>
    <w:p>
      <w:pPr>
        <w:pStyle w:val="Heading4"/>
        <w:spacing w:line="240" w:lineRule="auto"/>
        <w:ind w:right="0"/>
        <w:jc w:val="left"/>
        <w:rPr>
          <w:b w:val="0"/>
          <w:bCs w:val="0"/>
        </w:rPr>
      </w:pPr>
      <w:bookmarkStart w:name="2、重大担保" w:id="89"/>
      <w:bookmarkEnd w:id="89"/>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795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公司报告期不存在担保情况。</w:t>
      </w:r>
    </w:p>
    <w:p>
      <w:pPr>
        <w:spacing w:line="240" w:lineRule="auto" w:before="9"/>
        <w:rPr>
          <w:rFonts w:ascii="宋体" w:hAnsi="宋体" w:cs="宋体" w:eastAsia="宋体" w:hint="default"/>
          <w:sz w:val="20"/>
          <w:szCs w:val="20"/>
        </w:rPr>
      </w:pPr>
    </w:p>
    <w:p>
      <w:pPr>
        <w:pStyle w:val="Heading4"/>
        <w:spacing w:line="240" w:lineRule="auto"/>
        <w:ind w:right="0"/>
        <w:jc w:val="left"/>
        <w:rPr>
          <w:b w:val="0"/>
          <w:bCs w:val="0"/>
        </w:rPr>
      </w:pPr>
      <w:bookmarkStart w:name="3、委托他人进行现金资产管理情况" w:id="90"/>
      <w:bookmarkEnd w:id="90"/>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委托理财情况" w:id="91"/>
      <w:bookmarkEnd w:id="91"/>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pStyle w:val="BodyText"/>
        <w:spacing w:line="338"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2"/>
        </w:rPr>
        <w:t>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0"/>
          <w:cols w:num="2" w:equalWidth="0">
            <w:col w:w="1959" w:space="6785"/>
            <w:col w:w="2186"/>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870"/>
        <w:gridCol w:w="1962"/>
        <w:gridCol w:w="1983"/>
        <w:gridCol w:w="1909"/>
        <w:gridCol w:w="1846"/>
      </w:tblGrid>
      <w:tr>
        <w:trPr>
          <w:trHeight w:val="403" w:hRule="exact"/>
        </w:trPr>
        <w:tc>
          <w:tcPr>
            <w:tcW w:w="1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1"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6" w:right="0"/>
              <w:jc w:val="left"/>
              <w:rPr>
                <w:rFonts w:ascii="宋体" w:hAnsi="宋体" w:cs="宋体" w:eastAsia="宋体" w:hint="default"/>
                <w:sz w:val="18"/>
                <w:szCs w:val="18"/>
              </w:rPr>
            </w:pPr>
            <w:r>
              <w:rPr>
                <w:rFonts w:ascii="宋体" w:hAnsi="宋体" w:cs="宋体" w:eastAsia="宋体" w:hint="default"/>
                <w:spacing w:val="-3"/>
                <w:sz w:val="18"/>
                <w:szCs w:val="18"/>
              </w:rPr>
              <w:t>委托理财的资金来源</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55" w:right="0"/>
              <w:jc w:val="left"/>
              <w:rPr>
                <w:rFonts w:ascii="宋体" w:hAnsi="宋体" w:cs="宋体" w:eastAsia="宋体" w:hint="default"/>
                <w:sz w:val="18"/>
                <w:szCs w:val="18"/>
              </w:rPr>
            </w:pPr>
            <w:r>
              <w:rPr>
                <w:rFonts w:ascii="宋体" w:hAnsi="宋体" w:cs="宋体" w:eastAsia="宋体" w:hint="default"/>
                <w:spacing w:val="-3"/>
                <w:sz w:val="18"/>
                <w:szCs w:val="18"/>
              </w:rPr>
              <w:t>委托理财发生额</w:t>
            </w:r>
          </w:p>
        </w:tc>
        <w:tc>
          <w:tcPr>
            <w:tcW w:w="1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3"/>
        <w:gridCol w:w="1906"/>
        <w:gridCol w:w="1848"/>
      </w:tblGrid>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15,500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8"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3,000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4" w:hRule="exact"/>
        </w:trPr>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18,500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pStyle w:val="BodyText"/>
        <w:spacing w:line="240" w:lineRule="auto" w:before="53"/>
        <w:ind w:right="0"/>
        <w:jc w:val="left"/>
      </w:pPr>
      <w:r>
        <w:rPr>
          <w:spacing w:val="-3"/>
        </w:rPr>
        <w:t>单项金额重大或安全性较低、流动性较差、不保本的高风险委托理财具体情况</w:t>
      </w:r>
    </w:p>
    <w:p>
      <w:pPr>
        <w:pStyle w:val="BodyText"/>
        <w:spacing w:line="338" w:lineRule="auto" w:before="119"/>
        <w:ind w:right="5004"/>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委托理财出现预期无法收回本金或存在其他可能导致减值的情形</w:t>
      </w: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bookmarkStart w:name="（2）委托贷款情况" w:id="92"/>
      <w:bookmarkEnd w:id="92"/>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795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公司报告期不存在委托贷款。</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4、其他重大合同" w:id="93"/>
      <w:bookmarkEnd w:id="93"/>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795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公司报告期不存在其他重大合同。</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bookmarkStart w:name="十七、社会责任情况" w:id="94"/>
      <w:bookmarkEnd w:id="94"/>
      <w:r>
        <w:rPr>
          <w:b w:val="0"/>
          <w:bCs w:val="0"/>
        </w:rPr>
      </w:r>
      <w:r>
        <w:rPr/>
        <w:t>十七、社会责任情况</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0"/>
        <w:jc w:val="left"/>
        <w:rPr>
          <w:b w:val="0"/>
          <w:bCs w:val="0"/>
        </w:rPr>
      </w:pPr>
      <w:bookmarkStart w:name="1、履行社会责任情况" w:id="95"/>
      <w:bookmarkEnd w:id="95"/>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2"/>
        <w:rPr>
          <w:rFonts w:ascii="宋体" w:hAnsi="宋体" w:cs="宋体" w:eastAsia="宋体" w:hint="default"/>
          <w:b/>
          <w:bCs/>
          <w:sz w:val="25"/>
          <w:szCs w:val="25"/>
        </w:rPr>
      </w:pPr>
    </w:p>
    <w:p>
      <w:pPr>
        <w:pStyle w:val="Heading3"/>
        <w:spacing w:line="312" w:lineRule="exact"/>
        <w:ind w:right="1133" w:firstLine="388"/>
        <w:jc w:val="both"/>
      </w:pPr>
      <w:r>
        <w:rPr>
          <w:spacing w:val="-3"/>
        </w:rPr>
        <w:t>公司在四川广元承接了</w:t>
      </w:r>
      <w:r>
        <w:rPr>
          <w:rFonts w:ascii="Times New Roman" w:hAnsi="Times New Roman" w:cs="Times New Roman" w:eastAsia="Times New Roman" w:hint="default"/>
          <w:spacing w:val="-3"/>
        </w:rPr>
        <w:t>“</w:t>
      </w:r>
      <w:r>
        <w:rPr>
          <w:spacing w:val="-3"/>
        </w:rPr>
        <w:t>智慧广元</w:t>
      </w:r>
      <w:r>
        <w:rPr>
          <w:rFonts w:ascii="Times New Roman" w:hAnsi="Times New Roman" w:cs="Times New Roman" w:eastAsia="Times New Roman" w:hint="default"/>
          <w:spacing w:val="-3"/>
        </w:rPr>
        <w:t>”</w:t>
      </w:r>
      <w:r>
        <w:rPr>
          <w:spacing w:val="-3"/>
        </w:rPr>
        <w:t>人口健康信息化建设项目，在项目建设的同时，积极履</w:t>
      </w:r>
      <w:r>
        <w:rPr/>
        <w:t> 行社会责任，项目组成员到贫困户家中开展扶贫慰问活动，向青川县瓦砾乡柴王村的三家因 病致贫、因病致困的家庭发放慰问金。</w:t>
      </w:r>
    </w:p>
    <w:p>
      <w:pPr>
        <w:spacing w:line="240" w:lineRule="auto" w:before="9"/>
        <w:rPr>
          <w:rFonts w:ascii="宋体" w:hAnsi="宋体" w:cs="宋体" w:eastAsia="宋体" w:hint="default"/>
          <w:sz w:val="22"/>
          <w:szCs w:val="22"/>
        </w:rPr>
      </w:pPr>
    </w:p>
    <w:p>
      <w:pPr>
        <w:pStyle w:val="Heading4"/>
        <w:spacing w:line="240" w:lineRule="auto"/>
        <w:ind w:right="0"/>
        <w:jc w:val="left"/>
        <w:rPr>
          <w:b w:val="0"/>
          <w:bCs w:val="0"/>
        </w:rPr>
      </w:pPr>
      <w:bookmarkStart w:name="2、履行精准扶贫社会责任情况" w:id="96"/>
      <w:bookmarkEnd w:id="96"/>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1）精准扶贫规划" w:id="97"/>
      <w:bookmarkEnd w:id="97"/>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2）年度精准扶贫概要" w:id="98"/>
      <w:bookmarkEnd w:id="98"/>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3）精准扶贫成效" w:id="99"/>
      <w:bookmarkEnd w:id="99"/>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626"/>
        <w:gridCol w:w="1556"/>
        <w:gridCol w:w="4389"/>
      </w:tblGrid>
      <w:tr>
        <w:trPr>
          <w:trHeight w:val="401" w:hRule="exact"/>
        </w:trPr>
        <w:tc>
          <w:tcPr>
            <w:tcW w:w="3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指标</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3" w:hRule="exact"/>
        </w:trPr>
        <w:tc>
          <w:tcPr>
            <w:tcW w:w="3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3626"/>
        <w:gridCol w:w="1556"/>
        <w:gridCol w:w="4389"/>
      </w:tblGrid>
      <w:tr>
        <w:trPr>
          <w:trHeight w:val="403" w:hRule="exact"/>
        </w:trPr>
        <w:tc>
          <w:tcPr>
            <w:tcW w:w="3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三、所获奖项（内容、级别）</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5"/>
        <w:rPr>
          <w:rFonts w:ascii="宋体" w:hAnsi="宋体" w:cs="宋体" w:eastAsia="宋体" w:hint="default"/>
          <w:b/>
          <w:bCs/>
          <w:sz w:val="19"/>
          <w:szCs w:val="19"/>
        </w:rPr>
      </w:pPr>
    </w:p>
    <w:p>
      <w:pPr>
        <w:pStyle w:val="Heading4"/>
        <w:spacing w:line="240" w:lineRule="auto" w:before="36"/>
        <w:ind w:right="0"/>
        <w:jc w:val="left"/>
        <w:rPr>
          <w:b w:val="0"/>
          <w:bCs w:val="0"/>
        </w:rPr>
      </w:pPr>
      <w:bookmarkStart w:name="（4）后续精准扶贫计划" w:id="100"/>
      <w:bookmarkEnd w:id="100"/>
      <w:r>
        <w:rPr>
          <w:b w:val="0"/>
          <w:bCs w:val="0"/>
        </w:rPr>
      </w:r>
      <w:r>
        <w:rPr/>
        <w:t>（</w:t>
      </w:r>
      <w:r>
        <w:rPr>
          <w:rFonts w:ascii="Times New Roman" w:hAnsi="Times New Roman" w:cs="Times New Roman" w:eastAsia="Times New Roman" w:hint="default"/>
        </w:rPr>
        <w:t>4</w:t>
      </w:r>
      <w:r>
        <w:rPr/>
        <w:t>）后续精准扶贫计划</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3、环境保护相关的情况" w:id="101"/>
      <w:bookmarkEnd w:id="101"/>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1"/>
        <w:rPr>
          <w:rFonts w:ascii="宋体" w:hAnsi="宋体" w:cs="宋体" w:eastAsia="宋体" w:hint="default"/>
          <w:b/>
          <w:bCs/>
          <w:sz w:val="27"/>
          <w:szCs w:val="27"/>
        </w:rPr>
      </w:pPr>
    </w:p>
    <w:p>
      <w:pPr>
        <w:pStyle w:val="BodyText"/>
        <w:spacing w:line="357" w:lineRule="auto"/>
        <w:ind w:right="5772"/>
        <w:jc w:val="left"/>
      </w:pPr>
      <w:r>
        <w:rPr>
          <w:spacing w:val="-3"/>
        </w:rPr>
        <w:t>上市公司及其子公司是否属于环境保护部门公布的重点排污单位</w:t>
      </w:r>
      <w:r>
        <w:rPr>
          <w:spacing w:val="-9"/>
        </w:rPr>
        <w:t> </w:t>
      </w:r>
      <w:r>
        <w:rPr>
          <w:spacing w:val="-9"/>
        </w:rPr>
      </w:r>
      <w:r>
        <w:rPr/>
        <w:t>否</w:t>
      </w:r>
    </w:p>
    <w:p>
      <w:pPr>
        <w:pStyle w:val="BodyText"/>
        <w:spacing w:line="240" w:lineRule="auto" w:before="22"/>
        <w:ind w:right="0"/>
        <w:jc w:val="left"/>
      </w:pPr>
      <w:r>
        <w:rPr>
          <w:spacing w:val="-3"/>
        </w:rPr>
        <w:t>公司及下属子公司不属于环境保护部门公布的重点排污单位</w:t>
      </w:r>
    </w:p>
    <w:p>
      <w:pPr>
        <w:spacing w:line="240" w:lineRule="auto" w:before="9"/>
        <w:rPr>
          <w:rFonts w:ascii="宋体" w:hAnsi="宋体" w:cs="宋体" w:eastAsia="宋体" w:hint="default"/>
          <w:sz w:val="24"/>
          <w:szCs w:val="24"/>
        </w:rPr>
      </w:pPr>
    </w:p>
    <w:p>
      <w:pPr>
        <w:pStyle w:val="Heading2"/>
        <w:spacing w:line="240" w:lineRule="auto"/>
        <w:ind w:right="0"/>
        <w:jc w:val="left"/>
        <w:rPr>
          <w:b w:val="0"/>
          <w:bCs w:val="0"/>
        </w:rPr>
      </w:pPr>
      <w:bookmarkStart w:name="十八、其他重大事项的说明" w:id="102"/>
      <w:bookmarkEnd w:id="102"/>
      <w:r>
        <w:rPr>
          <w:b w:val="0"/>
          <w:bCs w:val="0"/>
        </w:rPr>
      </w:r>
      <w:r>
        <w:rPr/>
        <w:t>十八、其他重大事项的说明</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6"/>
          <w:szCs w:val="6"/>
        </w:rPr>
      </w:pPr>
    </w:p>
    <w:tbl>
      <w:tblPr>
        <w:tblW w:w="0" w:type="auto"/>
        <w:jc w:val="left"/>
        <w:tblInd w:w="1276" w:type="dxa"/>
        <w:tblLayout w:type="fixed"/>
        <w:tblCellMar>
          <w:top w:w="0" w:type="dxa"/>
          <w:left w:w="0" w:type="dxa"/>
          <w:bottom w:w="0" w:type="dxa"/>
          <w:right w:w="0" w:type="dxa"/>
        </w:tblCellMar>
        <w:tblLook w:val="01E0"/>
      </w:tblPr>
      <w:tblGrid>
        <w:gridCol w:w="994"/>
        <w:gridCol w:w="2833"/>
        <w:gridCol w:w="3549"/>
      </w:tblGrid>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8"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4" w:right="0"/>
              <w:jc w:val="center"/>
              <w:rPr>
                <w:rFonts w:ascii="宋体" w:hAnsi="宋体" w:cs="宋体" w:eastAsia="宋体" w:hint="default"/>
                <w:sz w:val="18"/>
                <w:szCs w:val="18"/>
              </w:rPr>
            </w:pPr>
            <w:r>
              <w:rPr>
                <w:rFonts w:ascii="宋体" w:hAnsi="宋体" w:cs="宋体" w:eastAsia="宋体" w:hint="default"/>
                <w:b/>
                <w:bCs/>
                <w:sz w:val="18"/>
                <w:szCs w:val="18"/>
              </w:rPr>
              <w:t>日期</w:t>
            </w:r>
            <w:r>
              <w:rPr>
                <w:rFonts w:ascii="宋体" w:hAnsi="宋体" w:cs="宋体" w:eastAsia="宋体" w:hint="default"/>
                <w:sz w:val="18"/>
                <w:szCs w:val="18"/>
              </w:rPr>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b/>
                <w:bCs/>
                <w:sz w:val="18"/>
                <w:szCs w:val="18"/>
              </w:rPr>
              <w:t>公告名称</w:t>
            </w:r>
            <w:r>
              <w:rPr>
                <w:rFonts w:ascii="宋体" w:hAnsi="宋体" w:cs="宋体" w:eastAsia="宋体" w:hint="default"/>
                <w:sz w:val="18"/>
                <w:szCs w:val="18"/>
              </w:rPr>
            </w:r>
          </w:p>
        </w:tc>
      </w:tr>
      <w:tr>
        <w:trPr>
          <w:trHeight w:val="65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2019/1/3</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spacing w:val="-6"/>
                <w:w w:val="101"/>
                <w:sz w:val="18"/>
                <w:szCs w:val="18"/>
              </w:rPr>
              <w:t>和仁科技：第二届董事会第十四次会议决议公</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告</w:t>
            </w:r>
          </w:p>
        </w:tc>
      </w:tr>
      <w:tr>
        <w:trPr>
          <w:trHeight w:val="663"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2019/1/3</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5"/>
              <w:ind w:left="4" w:right="-5"/>
              <w:jc w:val="left"/>
              <w:rPr>
                <w:rFonts w:ascii="宋体" w:hAnsi="宋体" w:cs="宋体" w:eastAsia="宋体" w:hint="default"/>
                <w:sz w:val="18"/>
                <w:szCs w:val="18"/>
              </w:rPr>
            </w:pPr>
            <w:r>
              <w:rPr>
                <w:rFonts w:ascii="宋体" w:hAnsi="宋体" w:cs="宋体" w:eastAsia="宋体" w:hint="default"/>
                <w:spacing w:val="-6"/>
                <w:w w:val="101"/>
                <w:sz w:val="18"/>
                <w:szCs w:val="18"/>
              </w:rPr>
              <w:t>和仁科技：监事会关于</w:t>
            </w:r>
            <w:r>
              <w:rPr>
                <w:rFonts w:ascii="Times New Roman" w:hAnsi="Times New Roman" w:cs="Times New Roman" w:eastAsia="Times New Roman" w:hint="default"/>
                <w:spacing w:val="-6"/>
                <w:w w:val="101"/>
                <w:sz w:val="18"/>
                <w:szCs w:val="18"/>
              </w:rPr>
              <w:t>2017</w:t>
            </w:r>
            <w:r>
              <w:rPr>
                <w:rFonts w:ascii="宋体" w:hAnsi="宋体" w:cs="宋体" w:eastAsia="宋体" w:hint="default"/>
                <w:spacing w:val="-6"/>
                <w:w w:val="101"/>
                <w:sz w:val="18"/>
                <w:szCs w:val="18"/>
              </w:rPr>
              <w:t>年限制性股票激励</w:t>
            </w:r>
            <w:r>
              <w:rPr>
                <w:rFonts w:ascii="宋体" w:hAnsi="宋体" w:cs="宋体" w:eastAsia="宋体" w:hint="default"/>
                <w:spacing w:val="-78"/>
                <w:w w:val="101"/>
                <w:sz w:val="18"/>
                <w:szCs w:val="18"/>
              </w:rPr>
              <w:t> </w:t>
            </w:r>
            <w:r>
              <w:rPr>
                <w:rFonts w:ascii="宋体" w:hAnsi="宋体" w:cs="宋体" w:eastAsia="宋体" w:hint="default"/>
                <w:spacing w:val="-78"/>
                <w:w w:val="101"/>
                <w:sz w:val="18"/>
                <w:szCs w:val="18"/>
              </w:rPr>
            </w:r>
            <w:r>
              <w:rPr>
                <w:rFonts w:ascii="宋体" w:hAnsi="宋体" w:cs="宋体" w:eastAsia="宋体" w:hint="default"/>
                <w:spacing w:val="-3"/>
                <w:sz w:val="18"/>
                <w:szCs w:val="18"/>
              </w:rPr>
              <w:t>计划预留授予部分激励对象名单的核实意见</w:t>
            </w:r>
          </w:p>
        </w:tc>
      </w:tr>
      <w:tr>
        <w:trPr>
          <w:trHeight w:val="65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2019/1/3</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5"/>
              <w:jc w:val="left"/>
              <w:rPr>
                <w:rFonts w:ascii="宋体" w:hAnsi="宋体" w:cs="宋体" w:eastAsia="宋体" w:hint="default"/>
                <w:sz w:val="18"/>
                <w:szCs w:val="18"/>
              </w:rPr>
            </w:pPr>
            <w:r>
              <w:rPr>
                <w:rFonts w:ascii="宋体" w:hAnsi="宋体" w:cs="宋体" w:eastAsia="宋体" w:hint="default"/>
                <w:spacing w:val="-6"/>
                <w:sz w:val="18"/>
                <w:szCs w:val="18"/>
              </w:rPr>
              <w:t>和仁科技：</w:t>
            </w:r>
            <w:r>
              <w:rPr>
                <w:rFonts w:ascii="Times New Roman" w:hAnsi="Times New Roman" w:cs="Times New Roman" w:eastAsia="Times New Roman" w:hint="default"/>
                <w:spacing w:val="-6"/>
                <w:sz w:val="18"/>
                <w:szCs w:val="18"/>
              </w:rPr>
              <w:t>2017</w:t>
            </w:r>
            <w:r>
              <w:rPr>
                <w:rFonts w:ascii="宋体" w:hAnsi="宋体" w:cs="宋体" w:eastAsia="宋体" w:hint="default"/>
                <w:spacing w:val="-6"/>
                <w:sz w:val="18"/>
                <w:szCs w:val="18"/>
              </w:rPr>
              <w:t>年限制性股票激励计划预留授</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pacing w:val="-3"/>
                <w:sz w:val="18"/>
                <w:szCs w:val="18"/>
              </w:rPr>
              <w:t>予部分激励对象名单</w:t>
            </w:r>
          </w:p>
        </w:tc>
      </w:tr>
      <w:tr>
        <w:trPr>
          <w:trHeight w:val="65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2019/1/3</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spacing w:val="-6"/>
                <w:w w:val="101"/>
                <w:sz w:val="18"/>
                <w:szCs w:val="18"/>
              </w:rPr>
              <w:t>和仁科技：浙江天册律师事务所关于公司预留</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3"/>
                <w:sz w:val="18"/>
                <w:szCs w:val="18"/>
              </w:rPr>
              <w:t>限制性股票授予相关事项的法律意见书</w:t>
            </w:r>
          </w:p>
        </w:tc>
      </w:tr>
      <w:tr>
        <w:trPr>
          <w:trHeight w:val="663"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2019/1/3</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5"/>
              <w:ind w:left="4" w:right="-4"/>
              <w:jc w:val="left"/>
              <w:rPr>
                <w:rFonts w:ascii="宋体" w:hAnsi="宋体" w:cs="宋体" w:eastAsia="宋体" w:hint="default"/>
                <w:sz w:val="18"/>
                <w:szCs w:val="18"/>
              </w:rPr>
            </w:pPr>
            <w:r>
              <w:rPr>
                <w:rFonts w:ascii="宋体" w:hAnsi="宋体" w:cs="宋体" w:eastAsia="宋体" w:hint="default"/>
                <w:spacing w:val="-6"/>
                <w:w w:val="101"/>
                <w:sz w:val="18"/>
                <w:szCs w:val="18"/>
              </w:rPr>
              <w:t>和仁科技：独立董事关于第二届董事会第十四</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3"/>
                <w:sz w:val="18"/>
                <w:szCs w:val="18"/>
              </w:rPr>
              <w:t>次会议相关事项的独立意见</w:t>
            </w:r>
          </w:p>
        </w:tc>
      </w:tr>
      <w:tr>
        <w:trPr>
          <w:trHeight w:val="65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2019/1/3</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spacing w:val="-6"/>
                <w:w w:val="101"/>
                <w:sz w:val="18"/>
                <w:szCs w:val="18"/>
              </w:rPr>
              <w:t>和仁科技：关于向激励对象授予预留限制性股</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票的公告</w:t>
            </w:r>
          </w:p>
        </w:tc>
      </w:tr>
      <w:tr>
        <w:trPr>
          <w:trHeight w:val="65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2019/1/3</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spacing w:val="-6"/>
                <w:w w:val="101"/>
                <w:sz w:val="18"/>
                <w:szCs w:val="18"/>
              </w:rPr>
              <w:t>和仁科技：第二届监事会第十二次会议决议公</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告</w:t>
            </w:r>
          </w:p>
        </w:tc>
      </w:tr>
      <w:tr>
        <w:trPr>
          <w:trHeight w:val="662"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2019/1/15</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5"/>
              <w:jc w:val="left"/>
              <w:rPr>
                <w:rFonts w:ascii="宋体" w:hAnsi="宋体" w:cs="宋体" w:eastAsia="宋体" w:hint="default"/>
                <w:sz w:val="18"/>
                <w:szCs w:val="18"/>
              </w:rPr>
            </w:pPr>
            <w:r>
              <w:rPr>
                <w:rFonts w:ascii="宋体" w:hAnsi="宋体" w:cs="宋体" w:eastAsia="宋体" w:hint="default"/>
                <w:spacing w:val="-6"/>
                <w:w w:val="101"/>
                <w:sz w:val="18"/>
                <w:szCs w:val="18"/>
              </w:rPr>
              <w:t>和仁科技：关于召开</w:t>
            </w:r>
            <w:r>
              <w:rPr>
                <w:rFonts w:ascii="Times New Roman" w:hAnsi="Times New Roman" w:cs="Times New Roman" w:eastAsia="Times New Roman" w:hint="default"/>
                <w:spacing w:val="-6"/>
                <w:w w:val="101"/>
                <w:sz w:val="18"/>
                <w:szCs w:val="18"/>
              </w:rPr>
              <w:t>2019</w:t>
            </w:r>
            <w:r>
              <w:rPr>
                <w:rFonts w:ascii="宋体" w:hAnsi="宋体" w:cs="宋体" w:eastAsia="宋体" w:hint="default"/>
                <w:spacing w:val="-6"/>
                <w:w w:val="101"/>
                <w:sz w:val="18"/>
                <w:szCs w:val="18"/>
              </w:rPr>
              <w:t>年第一次临时股东大</w:t>
            </w:r>
            <w:r>
              <w:rPr>
                <w:rFonts w:ascii="宋体" w:hAnsi="宋体" w:cs="宋体" w:eastAsia="宋体" w:hint="default"/>
                <w:spacing w:val="-79"/>
                <w:w w:val="101"/>
                <w:sz w:val="18"/>
                <w:szCs w:val="18"/>
              </w:rPr>
              <w:t> </w:t>
            </w:r>
            <w:r>
              <w:rPr>
                <w:rFonts w:ascii="宋体" w:hAnsi="宋体" w:cs="宋体" w:eastAsia="宋体" w:hint="default"/>
                <w:spacing w:val="-79"/>
                <w:w w:val="101"/>
                <w:sz w:val="18"/>
                <w:szCs w:val="18"/>
              </w:rPr>
            </w:r>
            <w:r>
              <w:rPr>
                <w:rFonts w:ascii="宋体" w:hAnsi="宋体" w:cs="宋体" w:eastAsia="宋体" w:hint="default"/>
                <w:sz w:val="18"/>
                <w:szCs w:val="18"/>
              </w:rPr>
              <w:t>会的通知</w:t>
            </w:r>
          </w:p>
        </w:tc>
      </w:tr>
      <w:tr>
        <w:trPr>
          <w:trHeight w:val="65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2019/1/15</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spacing w:val="-6"/>
                <w:w w:val="101"/>
                <w:sz w:val="18"/>
                <w:szCs w:val="18"/>
              </w:rPr>
              <w:t>和仁科技：第二届董事会第十五次会议决议公</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告</w:t>
            </w:r>
          </w:p>
        </w:tc>
      </w:tr>
      <w:tr>
        <w:trPr>
          <w:trHeight w:val="65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10</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2019/1/15</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4"/>
              <w:jc w:val="left"/>
              <w:rPr>
                <w:rFonts w:ascii="宋体" w:hAnsi="宋体" w:cs="宋体" w:eastAsia="宋体" w:hint="default"/>
                <w:sz w:val="18"/>
                <w:szCs w:val="18"/>
              </w:rPr>
            </w:pPr>
            <w:r>
              <w:rPr>
                <w:rFonts w:ascii="宋体" w:hAnsi="宋体" w:cs="宋体" w:eastAsia="宋体" w:hint="default"/>
                <w:spacing w:val="-6"/>
                <w:w w:val="101"/>
                <w:sz w:val="18"/>
                <w:szCs w:val="18"/>
              </w:rPr>
              <w:t>和仁科技：关于回购注销部分激励对象已获授</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3"/>
                <w:sz w:val="18"/>
                <w:szCs w:val="18"/>
              </w:rPr>
              <w:t>但尚未解锁的限制性股票的公告</w:t>
            </w:r>
          </w:p>
        </w:tc>
      </w:tr>
      <w:tr>
        <w:trPr>
          <w:trHeight w:val="65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11</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2019/1/15</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spacing w:val="-6"/>
                <w:w w:val="101"/>
                <w:sz w:val="18"/>
                <w:szCs w:val="18"/>
              </w:rPr>
              <w:t>和仁科技：第二届监事会第十三次会议决议公</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告</w:t>
            </w:r>
          </w:p>
        </w:tc>
      </w:tr>
    </w:tbl>
    <w:p>
      <w:pPr>
        <w:spacing w:after="0" w:line="316"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276" w:type="dxa"/>
        <w:tblLayout w:type="fixed"/>
        <w:tblCellMar>
          <w:top w:w="0" w:type="dxa"/>
          <w:left w:w="0" w:type="dxa"/>
          <w:bottom w:w="0" w:type="dxa"/>
          <w:right w:w="0" w:type="dxa"/>
        </w:tblCellMar>
        <w:tblLook w:val="01E0"/>
      </w:tblPr>
      <w:tblGrid>
        <w:gridCol w:w="994"/>
        <w:gridCol w:w="2833"/>
        <w:gridCol w:w="3549"/>
      </w:tblGrid>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8" w:right="0"/>
              <w:jc w:val="center"/>
              <w:rPr>
                <w:rFonts w:ascii="Times New Roman" w:hAnsi="Times New Roman" w:cs="Times New Roman" w:eastAsia="Times New Roman" w:hint="default"/>
                <w:sz w:val="18"/>
                <w:szCs w:val="18"/>
              </w:rPr>
            </w:pPr>
            <w:r>
              <w:rPr>
                <w:rFonts w:ascii="Times New Roman"/>
                <w:sz w:val="18"/>
              </w:rPr>
              <w:t>12</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 w:right="0"/>
              <w:jc w:val="center"/>
              <w:rPr>
                <w:rFonts w:ascii="Times New Roman" w:hAnsi="Times New Roman" w:cs="Times New Roman" w:eastAsia="Times New Roman" w:hint="default"/>
                <w:sz w:val="18"/>
                <w:szCs w:val="18"/>
              </w:rPr>
            </w:pPr>
            <w:r>
              <w:rPr>
                <w:rFonts w:ascii="Times New Roman"/>
                <w:sz w:val="18"/>
              </w:rPr>
              <w:t>2019/1/15</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和仁科技：关于修改公司章程的公告</w:t>
            </w:r>
          </w:p>
        </w:tc>
      </w:tr>
      <w:tr>
        <w:trPr>
          <w:trHeight w:val="975"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13</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2019/1/15</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4"/>
              <w:jc w:val="left"/>
              <w:rPr>
                <w:rFonts w:ascii="宋体" w:hAnsi="宋体" w:cs="宋体" w:eastAsia="宋体" w:hint="default"/>
                <w:sz w:val="18"/>
                <w:szCs w:val="18"/>
              </w:rPr>
            </w:pPr>
            <w:r>
              <w:rPr>
                <w:rFonts w:ascii="宋体" w:hAnsi="宋体" w:cs="宋体" w:eastAsia="宋体" w:hint="default"/>
                <w:spacing w:val="-6"/>
                <w:w w:val="101"/>
                <w:sz w:val="18"/>
                <w:szCs w:val="18"/>
              </w:rPr>
              <w:t>和仁科技：浙江天册律师事务所关于公司回购</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3"/>
                <w:sz w:val="18"/>
                <w:szCs w:val="18"/>
              </w:rPr>
              <w:t>注销部分激励对象已获授但尚未解锁的限制</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性股票之法律意见书</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8" w:right="0"/>
              <w:jc w:val="center"/>
              <w:rPr>
                <w:rFonts w:ascii="Times New Roman" w:hAnsi="Times New Roman" w:cs="Times New Roman" w:eastAsia="Times New Roman" w:hint="default"/>
                <w:sz w:val="18"/>
                <w:szCs w:val="18"/>
              </w:rPr>
            </w:pPr>
            <w:r>
              <w:rPr>
                <w:rFonts w:ascii="Times New Roman"/>
                <w:sz w:val="18"/>
              </w:rPr>
              <w:t>14</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 w:right="0"/>
              <w:jc w:val="center"/>
              <w:rPr>
                <w:rFonts w:ascii="Times New Roman" w:hAnsi="Times New Roman" w:cs="Times New Roman" w:eastAsia="Times New Roman" w:hint="default"/>
                <w:sz w:val="18"/>
                <w:szCs w:val="18"/>
              </w:rPr>
            </w:pPr>
            <w:r>
              <w:rPr>
                <w:rFonts w:ascii="Times New Roman"/>
                <w:sz w:val="18"/>
              </w:rPr>
              <w:t>2019/1/15</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和仁科技：公司章程（</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月）</w:t>
            </w:r>
            <w:r>
              <w:rPr>
                <w:rFonts w:ascii="宋体" w:hAnsi="宋体" w:cs="宋体" w:eastAsia="宋体" w:hint="default"/>
                <w:sz w:val="18"/>
                <w:szCs w:val="18"/>
              </w:rPr>
            </w:r>
          </w:p>
        </w:tc>
      </w:tr>
      <w:tr>
        <w:trPr>
          <w:trHeight w:val="65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15</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2019/1/15</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spacing w:val="-6"/>
                <w:w w:val="101"/>
                <w:sz w:val="18"/>
                <w:szCs w:val="18"/>
              </w:rPr>
              <w:t>和仁科技：独立董事关于第二届董事会第十五</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3"/>
                <w:sz w:val="18"/>
                <w:szCs w:val="18"/>
              </w:rPr>
              <w:t>次会议相关事项的独立意见</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8" w:right="0"/>
              <w:jc w:val="center"/>
              <w:rPr>
                <w:rFonts w:ascii="Times New Roman" w:hAnsi="Times New Roman" w:cs="Times New Roman" w:eastAsia="Times New Roman" w:hint="default"/>
                <w:sz w:val="18"/>
                <w:szCs w:val="18"/>
              </w:rPr>
            </w:pPr>
            <w:r>
              <w:rPr>
                <w:rFonts w:ascii="Times New Roman"/>
                <w:sz w:val="18"/>
              </w:rPr>
              <w:t>16</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 w:right="0"/>
              <w:jc w:val="center"/>
              <w:rPr>
                <w:rFonts w:ascii="Times New Roman" w:hAnsi="Times New Roman" w:cs="Times New Roman" w:eastAsia="Times New Roman" w:hint="default"/>
                <w:sz w:val="18"/>
                <w:szCs w:val="18"/>
              </w:rPr>
            </w:pPr>
            <w:r>
              <w:rPr>
                <w:rFonts w:ascii="Times New Roman"/>
                <w:sz w:val="18"/>
              </w:rPr>
              <w:t>2019/1/16</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和仁科技：</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年年度业绩预告</w:t>
            </w:r>
          </w:p>
        </w:tc>
      </w:tr>
      <w:tr>
        <w:trPr>
          <w:trHeight w:val="663"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17</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2019/1/18</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5"/>
              <w:ind w:left="4" w:right="-4"/>
              <w:jc w:val="left"/>
              <w:rPr>
                <w:rFonts w:ascii="宋体" w:hAnsi="宋体" w:cs="宋体" w:eastAsia="宋体" w:hint="default"/>
                <w:sz w:val="18"/>
                <w:szCs w:val="18"/>
              </w:rPr>
            </w:pPr>
            <w:r>
              <w:rPr>
                <w:rFonts w:ascii="宋体" w:hAnsi="宋体" w:cs="宋体" w:eastAsia="宋体" w:hint="default"/>
                <w:spacing w:val="-6"/>
                <w:w w:val="101"/>
                <w:sz w:val="18"/>
                <w:szCs w:val="18"/>
              </w:rPr>
              <w:t>和仁科技：关于已披露重大合同签订正式合同</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的进展公告</w:t>
            </w:r>
          </w:p>
        </w:tc>
      </w:tr>
      <w:tr>
        <w:trPr>
          <w:trHeight w:val="65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18</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2019/1/18</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41"/>
              <w:jc w:val="left"/>
              <w:rPr>
                <w:rFonts w:ascii="宋体" w:hAnsi="宋体" w:cs="宋体" w:eastAsia="宋体" w:hint="default"/>
                <w:sz w:val="18"/>
                <w:szCs w:val="18"/>
              </w:rPr>
            </w:pPr>
            <w:r>
              <w:rPr>
                <w:rFonts w:ascii="宋体" w:hAnsi="宋体" w:cs="宋体" w:eastAsia="宋体" w:hint="default"/>
                <w:spacing w:val="-3"/>
                <w:sz w:val="18"/>
                <w:szCs w:val="18"/>
              </w:rPr>
              <w:t>和仁科技：持股</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以上股东减持计划预披露</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z w:val="18"/>
                <w:szCs w:val="18"/>
              </w:rPr>
              <w:t>公告</w:t>
            </w:r>
          </w:p>
        </w:tc>
      </w:tr>
      <w:tr>
        <w:trPr>
          <w:trHeight w:val="65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19</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2019/1/30</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5"/>
              <w:jc w:val="left"/>
              <w:rPr>
                <w:rFonts w:ascii="宋体" w:hAnsi="宋体" w:cs="宋体" w:eastAsia="宋体" w:hint="default"/>
                <w:sz w:val="18"/>
                <w:szCs w:val="18"/>
              </w:rPr>
            </w:pPr>
            <w:r>
              <w:rPr>
                <w:rFonts w:ascii="宋体" w:hAnsi="宋体" w:cs="宋体" w:eastAsia="宋体" w:hint="default"/>
                <w:spacing w:val="-6"/>
                <w:sz w:val="18"/>
                <w:szCs w:val="18"/>
              </w:rPr>
              <w:t>和仁科技：</w:t>
            </w:r>
            <w:r>
              <w:rPr>
                <w:rFonts w:ascii="Times New Roman" w:hAnsi="Times New Roman" w:cs="Times New Roman" w:eastAsia="Times New Roman" w:hint="default"/>
                <w:spacing w:val="-6"/>
                <w:sz w:val="18"/>
                <w:szCs w:val="18"/>
              </w:rPr>
              <w:t>2019</w:t>
            </w:r>
            <w:r>
              <w:rPr>
                <w:rFonts w:ascii="宋体" w:hAnsi="宋体" w:cs="宋体" w:eastAsia="宋体" w:hint="default"/>
                <w:spacing w:val="-6"/>
                <w:sz w:val="18"/>
                <w:szCs w:val="18"/>
              </w:rPr>
              <w:t>年第一次临时股东大会决议公</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z w:val="18"/>
                <w:szCs w:val="18"/>
              </w:rPr>
              <w:t>告</w:t>
            </w:r>
          </w:p>
        </w:tc>
      </w:tr>
      <w:tr>
        <w:trPr>
          <w:trHeight w:val="662"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20</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2019/1/30</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5"/>
              <w:ind w:left="4" w:right="-5"/>
              <w:jc w:val="left"/>
              <w:rPr>
                <w:rFonts w:ascii="宋体" w:hAnsi="宋体" w:cs="宋体" w:eastAsia="宋体" w:hint="default"/>
                <w:sz w:val="18"/>
                <w:szCs w:val="18"/>
              </w:rPr>
            </w:pPr>
            <w:r>
              <w:rPr>
                <w:rFonts w:ascii="宋体" w:hAnsi="宋体" w:cs="宋体" w:eastAsia="宋体" w:hint="default"/>
                <w:spacing w:val="-6"/>
                <w:sz w:val="18"/>
                <w:szCs w:val="18"/>
              </w:rPr>
              <w:t>和仁科技：</w:t>
            </w:r>
            <w:r>
              <w:rPr>
                <w:rFonts w:ascii="Times New Roman" w:hAnsi="Times New Roman" w:cs="Times New Roman" w:eastAsia="Times New Roman" w:hint="default"/>
                <w:spacing w:val="-6"/>
                <w:sz w:val="18"/>
                <w:szCs w:val="18"/>
              </w:rPr>
              <w:t>2019</w:t>
            </w:r>
            <w:r>
              <w:rPr>
                <w:rFonts w:ascii="宋体" w:hAnsi="宋体" w:cs="宋体" w:eastAsia="宋体" w:hint="default"/>
                <w:spacing w:val="-6"/>
                <w:sz w:val="18"/>
                <w:szCs w:val="18"/>
              </w:rPr>
              <w:t>年第一次临时股东大会的法律</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z w:val="18"/>
                <w:szCs w:val="18"/>
              </w:rPr>
              <w:t>意见书</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8" w:right="0"/>
              <w:jc w:val="center"/>
              <w:rPr>
                <w:rFonts w:ascii="Times New Roman" w:hAnsi="Times New Roman" w:cs="Times New Roman" w:eastAsia="Times New Roman" w:hint="default"/>
                <w:sz w:val="18"/>
                <w:szCs w:val="18"/>
              </w:rPr>
            </w:pPr>
            <w:r>
              <w:rPr>
                <w:rFonts w:ascii="Times New Roman"/>
                <w:sz w:val="18"/>
              </w:rPr>
              <w:t>21</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 w:right="0"/>
              <w:jc w:val="center"/>
              <w:rPr>
                <w:rFonts w:ascii="Times New Roman" w:hAnsi="Times New Roman" w:cs="Times New Roman" w:eastAsia="Times New Roman" w:hint="default"/>
                <w:sz w:val="18"/>
                <w:szCs w:val="18"/>
              </w:rPr>
            </w:pPr>
            <w:r>
              <w:rPr>
                <w:rFonts w:ascii="Times New Roman"/>
                <w:sz w:val="18"/>
              </w:rPr>
              <w:t>2019/2/25</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和仁科技：</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年度业绩快报</w:t>
            </w:r>
          </w:p>
        </w:tc>
      </w:tr>
      <w:tr>
        <w:trPr>
          <w:trHeight w:val="65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22</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2019/3/4</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4"/>
              <w:jc w:val="left"/>
              <w:rPr>
                <w:rFonts w:ascii="宋体" w:hAnsi="宋体" w:cs="宋体" w:eastAsia="宋体" w:hint="default"/>
                <w:sz w:val="18"/>
                <w:szCs w:val="18"/>
              </w:rPr>
            </w:pPr>
            <w:r>
              <w:rPr>
                <w:rFonts w:ascii="宋体" w:hAnsi="宋体" w:cs="宋体" w:eastAsia="宋体" w:hint="default"/>
                <w:spacing w:val="-6"/>
                <w:w w:val="101"/>
                <w:sz w:val="18"/>
                <w:szCs w:val="18"/>
              </w:rPr>
              <w:t>和仁科技：关于预留限制性股票授予完成的公</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告</w:t>
            </w:r>
          </w:p>
        </w:tc>
      </w:tr>
      <w:tr>
        <w:trPr>
          <w:trHeight w:val="65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23</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2019/3/9</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41"/>
              <w:jc w:val="left"/>
              <w:rPr>
                <w:rFonts w:ascii="宋体" w:hAnsi="宋体" w:cs="宋体" w:eastAsia="宋体" w:hint="default"/>
                <w:sz w:val="18"/>
                <w:szCs w:val="18"/>
              </w:rPr>
            </w:pPr>
            <w:r>
              <w:rPr>
                <w:rFonts w:ascii="宋体" w:hAnsi="宋体" w:cs="宋体" w:eastAsia="宋体" w:hint="default"/>
                <w:spacing w:val="-3"/>
                <w:sz w:val="18"/>
                <w:szCs w:val="18"/>
              </w:rPr>
              <w:t>和仁科技：关于持股</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以上股东权益变动的</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z w:val="18"/>
                <w:szCs w:val="18"/>
              </w:rPr>
              <w:t>提示性公告</w:t>
            </w:r>
          </w:p>
        </w:tc>
      </w:tr>
      <w:tr>
        <w:trPr>
          <w:trHeight w:val="350"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18" w:right="0"/>
              <w:jc w:val="center"/>
              <w:rPr>
                <w:rFonts w:ascii="Times New Roman" w:hAnsi="Times New Roman" w:cs="Times New Roman" w:eastAsia="Times New Roman" w:hint="default"/>
                <w:sz w:val="18"/>
                <w:szCs w:val="18"/>
              </w:rPr>
            </w:pPr>
            <w:r>
              <w:rPr>
                <w:rFonts w:ascii="Times New Roman"/>
                <w:sz w:val="18"/>
              </w:rPr>
              <w:t>24</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13" w:right="0"/>
              <w:jc w:val="center"/>
              <w:rPr>
                <w:rFonts w:ascii="Times New Roman" w:hAnsi="Times New Roman" w:cs="Times New Roman" w:eastAsia="Times New Roman" w:hint="default"/>
                <w:sz w:val="18"/>
                <w:szCs w:val="18"/>
              </w:rPr>
            </w:pPr>
            <w:r>
              <w:rPr>
                <w:rFonts w:ascii="Times New Roman"/>
                <w:sz w:val="18"/>
              </w:rPr>
              <w:t>2019/3/9</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和仁科技：简式权益变动报告书</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8" w:right="0"/>
              <w:jc w:val="center"/>
              <w:rPr>
                <w:rFonts w:ascii="Times New Roman" w:hAnsi="Times New Roman" w:cs="Times New Roman" w:eastAsia="Times New Roman" w:hint="default"/>
                <w:sz w:val="18"/>
                <w:szCs w:val="18"/>
              </w:rPr>
            </w:pPr>
            <w:r>
              <w:rPr>
                <w:rFonts w:ascii="Times New Roman"/>
                <w:sz w:val="18"/>
              </w:rPr>
              <w:t>25</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 w:right="0"/>
              <w:jc w:val="center"/>
              <w:rPr>
                <w:rFonts w:ascii="Times New Roman" w:hAnsi="Times New Roman" w:cs="Times New Roman" w:eastAsia="Times New Roman" w:hint="default"/>
                <w:sz w:val="18"/>
                <w:szCs w:val="18"/>
              </w:rPr>
            </w:pPr>
            <w:r>
              <w:rPr>
                <w:rFonts w:ascii="Times New Roman"/>
                <w:sz w:val="18"/>
              </w:rPr>
              <w:t>2019/3/11</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和仁科技：</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年一季度业绩预告</w:t>
            </w:r>
          </w:p>
        </w:tc>
      </w:tr>
      <w:tr>
        <w:trPr>
          <w:trHeight w:val="65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26</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2019/3/19</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spacing w:val="-6"/>
                <w:w w:val="101"/>
                <w:sz w:val="18"/>
                <w:szCs w:val="18"/>
              </w:rPr>
              <w:t>和仁科技：关于公司通过高新技术企业重新认</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定的公告</w:t>
            </w:r>
          </w:p>
        </w:tc>
      </w:tr>
      <w:tr>
        <w:trPr>
          <w:trHeight w:val="350"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18" w:right="0"/>
              <w:jc w:val="center"/>
              <w:rPr>
                <w:rFonts w:ascii="Times New Roman" w:hAnsi="Times New Roman" w:cs="Times New Roman" w:eastAsia="Times New Roman" w:hint="default"/>
                <w:sz w:val="18"/>
                <w:szCs w:val="18"/>
              </w:rPr>
            </w:pPr>
            <w:r>
              <w:rPr>
                <w:rFonts w:ascii="Times New Roman"/>
                <w:sz w:val="18"/>
              </w:rPr>
              <w:t>27</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8" w:right="0"/>
              <w:jc w:val="center"/>
              <w:rPr>
                <w:rFonts w:ascii="Times New Roman" w:hAnsi="Times New Roman" w:cs="Times New Roman" w:eastAsia="Times New Roman" w:hint="default"/>
                <w:sz w:val="18"/>
                <w:szCs w:val="18"/>
              </w:rPr>
            </w:pPr>
            <w:r>
              <w:rPr>
                <w:rFonts w:ascii="Times New Roman"/>
                <w:sz w:val="18"/>
              </w:rPr>
              <w:t>2019/3/28</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和仁科技：关于获得政府补助的公告</w:t>
            </w:r>
          </w:p>
        </w:tc>
      </w:tr>
      <w:tr>
        <w:trPr>
          <w:trHeight w:val="65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28</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2019/3/30</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spacing w:val="-6"/>
                <w:w w:val="101"/>
                <w:sz w:val="18"/>
                <w:szCs w:val="18"/>
              </w:rPr>
              <w:t>和仁科技：第二届董事会第十六次会议决议公</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告</w:t>
            </w:r>
          </w:p>
        </w:tc>
      </w:tr>
      <w:tr>
        <w:trPr>
          <w:trHeight w:val="65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29</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2019/3/30</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5"/>
              <w:jc w:val="left"/>
              <w:rPr>
                <w:rFonts w:ascii="宋体" w:hAnsi="宋体" w:cs="宋体" w:eastAsia="宋体" w:hint="default"/>
                <w:sz w:val="18"/>
                <w:szCs w:val="18"/>
              </w:rPr>
            </w:pPr>
            <w:r>
              <w:rPr>
                <w:rFonts w:ascii="宋体" w:hAnsi="宋体" w:cs="宋体" w:eastAsia="宋体" w:hint="default"/>
                <w:spacing w:val="-6"/>
                <w:w w:val="101"/>
                <w:sz w:val="18"/>
                <w:szCs w:val="18"/>
              </w:rPr>
              <w:t>和仁科技：关于召开</w:t>
            </w:r>
            <w:r>
              <w:rPr>
                <w:rFonts w:ascii="Times New Roman" w:hAnsi="Times New Roman" w:cs="Times New Roman" w:eastAsia="Times New Roman" w:hint="default"/>
                <w:spacing w:val="-6"/>
                <w:w w:val="101"/>
                <w:sz w:val="18"/>
                <w:szCs w:val="18"/>
              </w:rPr>
              <w:t>2019</w:t>
            </w:r>
            <w:r>
              <w:rPr>
                <w:rFonts w:ascii="宋体" w:hAnsi="宋体" w:cs="宋体" w:eastAsia="宋体" w:hint="default"/>
                <w:spacing w:val="-6"/>
                <w:w w:val="101"/>
                <w:sz w:val="18"/>
                <w:szCs w:val="18"/>
              </w:rPr>
              <w:t>年第二次临时股东大</w:t>
            </w:r>
            <w:r>
              <w:rPr>
                <w:rFonts w:ascii="宋体" w:hAnsi="宋体" w:cs="宋体" w:eastAsia="宋体" w:hint="default"/>
                <w:spacing w:val="-79"/>
                <w:w w:val="101"/>
                <w:sz w:val="18"/>
                <w:szCs w:val="18"/>
              </w:rPr>
              <w:t> </w:t>
            </w:r>
            <w:r>
              <w:rPr>
                <w:rFonts w:ascii="宋体" w:hAnsi="宋体" w:cs="宋体" w:eastAsia="宋体" w:hint="default"/>
                <w:spacing w:val="-79"/>
                <w:w w:val="101"/>
                <w:sz w:val="18"/>
                <w:szCs w:val="18"/>
              </w:rPr>
            </w:r>
            <w:r>
              <w:rPr>
                <w:rFonts w:ascii="宋体" w:hAnsi="宋体" w:cs="宋体" w:eastAsia="宋体" w:hint="default"/>
                <w:sz w:val="18"/>
                <w:szCs w:val="18"/>
              </w:rPr>
              <w:t>会的通知</w:t>
            </w:r>
          </w:p>
        </w:tc>
      </w:tr>
      <w:tr>
        <w:trPr>
          <w:trHeight w:val="662"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30</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2019/3/30</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spacing w:val="-6"/>
                <w:sz w:val="18"/>
                <w:szCs w:val="18"/>
              </w:rPr>
              <w:t>和仁科技：关于增加注册资本、修改公司章程</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的公告</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8" w:right="0"/>
              <w:jc w:val="center"/>
              <w:rPr>
                <w:rFonts w:ascii="Times New Roman" w:hAnsi="Times New Roman" w:cs="Times New Roman" w:eastAsia="Times New Roman" w:hint="default"/>
                <w:sz w:val="18"/>
                <w:szCs w:val="18"/>
              </w:rPr>
            </w:pPr>
            <w:r>
              <w:rPr>
                <w:rFonts w:ascii="Times New Roman"/>
                <w:sz w:val="18"/>
              </w:rPr>
              <w:t>31</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 w:right="0"/>
              <w:jc w:val="center"/>
              <w:rPr>
                <w:rFonts w:ascii="Times New Roman" w:hAnsi="Times New Roman" w:cs="Times New Roman" w:eastAsia="Times New Roman" w:hint="default"/>
                <w:sz w:val="18"/>
                <w:szCs w:val="18"/>
              </w:rPr>
            </w:pPr>
            <w:r>
              <w:rPr>
                <w:rFonts w:ascii="Times New Roman"/>
                <w:sz w:val="18"/>
              </w:rPr>
              <w:t>2019/3/30</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和仁科技：公司章程（</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月）</w:t>
            </w:r>
            <w:r>
              <w:rPr>
                <w:rFonts w:ascii="宋体" w:hAnsi="宋体" w:cs="宋体" w:eastAsia="宋体" w:hint="default"/>
                <w:sz w:val="18"/>
                <w:szCs w:val="18"/>
              </w:rPr>
            </w:r>
          </w:p>
        </w:tc>
      </w:tr>
      <w:tr>
        <w:trPr>
          <w:trHeight w:val="65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32</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2019/4/8</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spacing w:val="-6"/>
                <w:sz w:val="18"/>
                <w:szCs w:val="18"/>
              </w:rPr>
              <w:t>和仁科技：关于董事、高级管理人员辞职的公</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告</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8" w:right="0"/>
              <w:jc w:val="center"/>
              <w:rPr>
                <w:rFonts w:ascii="Times New Roman" w:hAnsi="Times New Roman" w:cs="Times New Roman" w:eastAsia="Times New Roman" w:hint="default"/>
                <w:sz w:val="18"/>
                <w:szCs w:val="18"/>
              </w:rPr>
            </w:pPr>
            <w:r>
              <w:rPr>
                <w:rFonts w:ascii="Times New Roman"/>
                <w:sz w:val="18"/>
              </w:rPr>
              <w:t>33</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3" w:right="0"/>
              <w:jc w:val="center"/>
              <w:rPr>
                <w:rFonts w:ascii="Times New Roman" w:hAnsi="Times New Roman" w:cs="Times New Roman" w:eastAsia="Times New Roman" w:hint="default"/>
                <w:sz w:val="18"/>
                <w:szCs w:val="18"/>
              </w:rPr>
            </w:pPr>
            <w:r>
              <w:rPr>
                <w:rFonts w:ascii="Times New Roman"/>
                <w:sz w:val="18"/>
              </w:rPr>
              <w:t>2019/4/9</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和仁科技：关于签订战略合作协议的公告</w:t>
            </w:r>
          </w:p>
        </w:tc>
      </w:tr>
      <w:tr>
        <w:trPr>
          <w:trHeight w:val="662"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34</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2019/4/16</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5"/>
              <w:ind w:left="4" w:right="-4"/>
              <w:jc w:val="left"/>
              <w:rPr>
                <w:rFonts w:ascii="宋体" w:hAnsi="宋体" w:cs="宋体" w:eastAsia="宋体" w:hint="default"/>
                <w:sz w:val="18"/>
                <w:szCs w:val="18"/>
              </w:rPr>
            </w:pPr>
            <w:r>
              <w:rPr>
                <w:rFonts w:ascii="宋体" w:hAnsi="宋体" w:cs="宋体" w:eastAsia="宋体" w:hint="default"/>
                <w:spacing w:val="-6"/>
                <w:w w:val="101"/>
                <w:sz w:val="18"/>
                <w:szCs w:val="18"/>
              </w:rPr>
              <w:t>和仁科技：第二届董事会第十七次会议决议公</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告</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8" w:right="0"/>
              <w:jc w:val="center"/>
              <w:rPr>
                <w:rFonts w:ascii="Times New Roman" w:hAnsi="Times New Roman" w:cs="Times New Roman" w:eastAsia="Times New Roman" w:hint="default"/>
                <w:sz w:val="18"/>
                <w:szCs w:val="18"/>
              </w:rPr>
            </w:pPr>
            <w:r>
              <w:rPr>
                <w:rFonts w:ascii="Times New Roman"/>
                <w:sz w:val="18"/>
              </w:rPr>
              <w:t>35</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8" w:right="0"/>
              <w:jc w:val="center"/>
              <w:rPr>
                <w:rFonts w:ascii="Times New Roman" w:hAnsi="Times New Roman" w:cs="Times New Roman" w:eastAsia="Times New Roman" w:hint="default"/>
                <w:sz w:val="18"/>
                <w:szCs w:val="18"/>
              </w:rPr>
            </w:pPr>
            <w:r>
              <w:rPr>
                <w:rFonts w:ascii="Times New Roman"/>
                <w:sz w:val="18"/>
              </w:rPr>
              <w:t>2019/4/16</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和仁科技：关于变更总经理的公告</w:t>
            </w:r>
          </w:p>
        </w:tc>
      </w:tr>
      <w:tr>
        <w:trPr>
          <w:trHeight w:val="65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36</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2019/4/16</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spacing w:val="-6"/>
                <w:w w:val="101"/>
                <w:sz w:val="18"/>
                <w:szCs w:val="18"/>
              </w:rPr>
              <w:t>和仁科技：独立董事关于第二届董事会第十七</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3"/>
                <w:sz w:val="18"/>
                <w:szCs w:val="18"/>
              </w:rPr>
              <w:t>次会议相关事项的独立意见</w:t>
            </w:r>
          </w:p>
        </w:tc>
      </w:tr>
    </w:tbl>
    <w:p>
      <w:pPr>
        <w:spacing w:after="0" w:line="316"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276" w:type="dxa"/>
        <w:tblLayout w:type="fixed"/>
        <w:tblCellMar>
          <w:top w:w="0" w:type="dxa"/>
          <w:left w:w="0" w:type="dxa"/>
          <w:bottom w:w="0" w:type="dxa"/>
          <w:right w:w="0" w:type="dxa"/>
        </w:tblCellMar>
        <w:tblLook w:val="01E0"/>
      </w:tblPr>
      <w:tblGrid>
        <w:gridCol w:w="994"/>
        <w:gridCol w:w="2833"/>
        <w:gridCol w:w="3549"/>
      </w:tblGrid>
      <w:tr>
        <w:trPr>
          <w:trHeight w:val="65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37</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2019/4/16</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5"/>
              <w:jc w:val="left"/>
              <w:rPr>
                <w:rFonts w:ascii="宋体" w:hAnsi="宋体" w:cs="宋体" w:eastAsia="宋体" w:hint="default"/>
                <w:sz w:val="18"/>
                <w:szCs w:val="18"/>
              </w:rPr>
            </w:pPr>
            <w:r>
              <w:rPr>
                <w:rFonts w:ascii="宋体" w:hAnsi="宋体" w:cs="宋体" w:eastAsia="宋体" w:hint="default"/>
                <w:spacing w:val="-6"/>
                <w:sz w:val="18"/>
                <w:szCs w:val="18"/>
              </w:rPr>
              <w:t>和仁科技：</w:t>
            </w:r>
            <w:r>
              <w:rPr>
                <w:rFonts w:ascii="Times New Roman" w:hAnsi="Times New Roman" w:cs="Times New Roman" w:eastAsia="Times New Roman" w:hint="default"/>
                <w:spacing w:val="-6"/>
                <w:sz w:val="18"/>
                <w:szCs w:val="18"/>
              </w:rPr>
              <w:t>2019</w:t>
            </w:r>
            <w:r>
              <w:rPr>
                <w:rFonts w:ascii="宋体" w:hAnsi="宋体" w:cs="宋体" w:eastAsia="宋体" w:hint="default"/>
                <w:spacing w:val="-6"/>
                <w:sz w:val="18"/>
                <w:szCs w:val="18"/>
              </w:rPr>
              <w:t>年第二次临时股东大会决议公</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z w:val="18"/>
                <w:szCs w:val="18"/>
              </w:rPr>
              <w:t>告</w:t>
            </w:r>
          </w:p>
        </w:tc>
      </w:tr>
      <w:tr>
        <w:trPr>
          <w:trHeight w:val="663"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38</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2019/4/16</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5"/>
              <w:jc w:val="left"/>
              <w:rPr>
                <w:rFonts w:ascii="宋体" w:hAnsi="宋体" w:cs="宋体" w:eastAsia="宋体" w:hint="default"/>
                <w:sz w:val="18"/>
                <w:szCs w:val="18"/>
              </w:rPr>
            </w:pPr>
            <w:r>
              <w:rPr>
                <w:rFonts w:ascii="宋体" w:hAnsi="宋体" w:cs="宋体" w:eastAsia="宋体" w:hint="default"/>
                <w:spacing w:val="-6"/>
                <w:sz w:val="18"/>
                <w:szCs w:val="18"/>
              </w:rPr>
              <w:t>和仁科技：</w:t>
            </w:r>
            <w:r>
              <w:rPr>
                <w:rFonts w:ascii="Times New Roman" w:hAnsi="Times New Roman" w:cs="Times New Roman" w:eastAsia="Times New Roman" w:hint="default"/>
                <w:spacing w:val="-6"/>
                <w:sz w:val="18"/>
                <w:szCs w:val="18"/>
              </w:rPr>
              <w:t>2019</w:t>
            </w:r>
            <w:r>
              <w:rPr>
                <w:rFonts w:ascii="宋体" w:hAnsi="宋体" w:cs="宋体" w:eastAsia="宋体" w:hint="default"/>
                <w:spacing w:val="-6"/>
                <w:sz w:val="18"/>
                <w:szCs w:val="18"/>
              </w:rPr>
              <w:t>年第二次临时股东大会的法律</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z w:val="18"/>
                <w:szCs w:val="18"/>
              </w:rPr>
              <w:t>意见书</w:t>
            </w:r>
          </w:p>
        </w:tc>
      </w:tr>
      <w:tr>
        <w:trPr>
          <w:trHeight w:val="65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39</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2019/4/26</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5"/>
              <w:jc w:val="left"/>
              <w:rPr>
                <w:rFonts w:ascii="宋体" w:hAnsi="宋体" w:cs="宋体" w:eastAsia="宋体" w:hint="default"/>
                <w:sz w:val="18"/>
                <w:szCs w:val="18"/>
              </w:rPr>
            </w:pPr>
            <w:r>
              <w:rPr>
                <w:rFonts w:ascii="宋体" w:hAnsi="宋体" w:cs="宋体" w:eastAsia="宋体" w:hint="default"/>
                <w:spacing w:val="-6"/>
                <w:sz w:val="18"/>
                <w:szCs w:val="18"/>
              </w:rPr>
              <w:t>和仁科技：</w:t>
            </w:r>
            <w:r>
              <w:rPr>
                <w:rFonts w:ascii="Times New Roman" w:hAnsi="Times New Roman" w:cs="Times New Roman" w:eastAsia="Times New Roman" w:hint="default"/>
                <w:spacing w:val="-6"/>
                <w:sz w:val="18"/>
                <w:szCs w:val="18"/>
              </w:rPr>
              <w:t>2019</w:t>
            </w:r>
            <w:r>
              <w:rPr>
                <w:rFonts w:ascii="宋体" w:hAnsi="宋体" w:cs="宋体" w:eastAsia="宋体" w:hint="default"/>
                <w:spacing w:val="-6"/>
                <w:sz w:val="18"/>
                <w:szCs w:val="18"/>
              </w:rPr>
              <w:t>年第一季度报告披露提示性公</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z w:val="18"/>
                <w:szCs w:val="18"/>
              </w:rPr>
              <w:t>告</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8" w:right="0"/>
              <w:jc w:val="center"/>
              <w:rPr>
                <w:rFonts w:ascii="Times New Roman" w:hAnsi="Times New Roman" w:cs="Times New Roman" w:eastAsia="Times New Roman" w:hint="default"/>
                <w:sz w:val="18"/>
                <w:szCs w:val="18"/>
              </w:rPr>
            </w:pPr>
            <w:r>
              <w:rPr>
                <w:rFonts w:ascii="Times New Roman"/>
                <w:sz w:val="18"/>
              </w:rPr>
              <w:t>40</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 w:right="0"/>
              <w:jc w:val="center"/>
              <w:rPr>
                <w:rFonts w:ascii="Times New Roman" w:hAnsi="Times New Roman" w:cs="Times New Roman" w:eastAsia="Times New Roman" w:hint="default"/>
                <w:sz w:val="18"/>
                <w:szCs w:val="18"/>
              </w:rPr>
            </w:pPr>
            <w:r>
              <w:rPr>
                <w:rFonts w:ascii="Times New Roman"/>
                <w:sz w:val="18"/>
              </w:rPr>
              <w:t>2019/4/26</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和仁科技：</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年年度报告披露提示性公告</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8" w:right="0"/>
              <w:jc w:val="center"/>
              <w:rPr>
                <w:rFonts w:ascii="Times New Roman" w:hAnsi="Times New Roman" w:cs="Times New Roman" w:eastAsia="Times New Roman" w:hint="default"/>
                <w:sz w:val="18"/>
                <w:szCs w:val="18"/>
              </w:rPr>
            </w:pPr>
            <w:r>
              <w:rPr>
                <w:rFonts w:ascii="Times New Roman"/>
                <w:sz w:val="18"/>
              </w:rPr>
              <w:t>41</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 w:right="0"/>
              <w:jc w:val="center"/>
              <w:rPr>
                <w:rFonts w:ascii="Times New Roman" w:hAnsi="Times New Roman" w:cs="Times New Roman" w:eastAsia="Times New Roman" w:hint="default"/>
                <w:sz w:val="18"/>
                <w:szCs w:val="18"/>
              </w:rPr>
            </w:pPr>
            <w:r>
              <w:rPr>
                <w:rFonts w:ascii="Times New Roman"/>
                <w:sz w:val="18"/>
              </w:rPr>
              <w:t>2019/4/26</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和仁科技：</w:t>
            </w:r>
            <w:r>
              <w:rPr>
                <w:rFonts w:ascii="Times New Roman" w:hAnsi="Times New Roman" w:cs="Times New Roman" w:eastAsia="Times New Roman" w:hint="default"/>
                <w:sz w:val="18"/>
                <w:szCs w:val="18"/>
              </w:rPr>
              <w:t>2019</w:t>
            </w:r>
            <w:r>
              <w:rPr>
                <w:rFonts w:ascii="宋体" w:hAnsi="宋体" w:cs="宋体" w:eastAsia="宋体" w:hint="default"/>
                <w:sz w:val="18"/>
                <w:szCs w:val="18"/>
              </w:rPr>
              <w:t>年第一季度报告全文</w:t>
            </w:r>
          </w:p>
        </w:tc>
      </w:tr>
      <w:tr>
        <w:trPr>
          <w:trHeight w:val="351"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18" w:right="0"/>
              <w:jc w:val="center"/>
              <w:rPr>
                <w:rFonts w:ascii="Times New Roman" w:hAnsi="Times New Roman" w:cs="Times New Roman" w:eastAsia="Times New Roman" w:hint="default"/>
                <w:sz w:val="18"/>
                <w:szCs w:val="18"/>
              </w:rPr>
            </w:pPr>
            <w:r>
              <w:rPr>
                <w:rFonts w:ascii="Times New Roman"/>
                <w:sz w:val="18"/>
              </w:rPr>
              <w:t>42</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8" w:right="0"/>
              <w:jc w:val="center"/>
              <w:rPr>
                <w:rFonts w:ascii="Times New Roman" w:hAnsi="Times New Roman" w:cs="Times New Roman" w:eastAsia="Times New Roman" w:hint="default"/>
                <w:sz w:val="18"/>
                <w:szCs w:val="18"/>
              </w:rPr>
            </w:pPr>
            <w:r>
              <w:rPr>
                <w:rFonts w:ascii="Times New Roman"/>
                <w:sz w:val="18"/>
              </w:rPr>
              <w:t>2019/4/26</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和仁科技：</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年年度报告</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8" w:right="0"/>
              <w:jc w:val="center"/>
              <w:rPr>
                <w:rFonts w:ascii="Times New Roman" w:hAnsi="Times New Roman" w:cs="Times New Roman" w:eastAsia="Times New Roman" w:hint="default"/>
                <w:sz w:val="18"/>
                <w:szCs w:val="18"/>
              </w:rPr>
            </w:pPr>
            <w:r>
              <w:rPr>
                <w:rFonts w:ascii="Times New Roman"/>
                <w:sz w:val="18"/>
              </w:rPr>
              <w:t>43</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 w:right="0"/>
              <w:jc w:val="center"/>
              <w:rPr>
                <w:rFonts w:ascii="Times New Roman" w:hAnsi="Times New Roman" w:cs="Times New Roman" w:eastAsia="Times New Roman" w:hint="default"/>
                <w:sz w:val="18"/>
                <w:szCs w:val="18"/>
              </w:rPr>
            </w:pPr>
            <w:r>
              <w:rPr>
                <w:rFonts w:ascii="Times New Roman"/>
                <w:sz w:val="18"/>
              </w:rPr>
              <w:t>2019/4/26</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和仁科技：</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年度利润分配预案的公告</w:t>
            </w:r>
          </w:p>
        </w:tc>
      </w:tr>
      <w:tr>
        <w:trPr>
          <w:trHeight w:val="65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44</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2019/4/26</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5"/>
              <w:jc w:val="left"/>
              <w:rPr>
                <w:rFonts w:ascii="宋体" w:hAnsi="宋体" w:cs="宋体" w:eastAsia="宋体" w:hint="default"/>
                <w:sz w:val="18"/>
                <w:szCs w:val="18"/>
              </w:rPr>
            </w:pPr>
            <w:r>
              <w:rPr>
                <w:rFonts w:ascii="宋体" w:hAnsi="宋体" w:cs="宋体" w:eastAsia="宋体" w:hint="default"/>
                <w:spacing w:val="-6"/>
                <w:w w:val="101"/>
                <w:sz w:val="18"/>
                <w:szCs w:val="18"/>
              </w:rPr>
              <w:t>和仁科技：关于召开</w:t>
            </w:r>
            <w:r>
              <w:rPr>
                <w:rFonts w:ascii="Times New Roman" w:hAnsi="Times New Roman" w:cs="Times New Roman" w:eastAsia="Times New Roman" w:hint="default"/>
                <w:spacing w:val="-6"/>
                <w:w w:val="101"/>
                <w:sz w:val="18"/>
                <w:szCs w:val="18"/>
              </w:rPr>
              <w:t>2018</w:t>
            </w:r>
            <w:r>
              <w:rPr>
                <w:rFonts w:ascii="宋体" w:hAnsi="宋体" w:cs="宋体" w:eastAsia="宋体" w:hint="default"/>
                <w:spacing w:val="-6"/>
                <w:w w:val="101"/>
                <w:sz w:val="18"/>
                <w:szCs w:val="18"/>
              </w:rPr>
              <w:t>年年度股东大会的通</w:t>
            </w:r>
            <w:r>
              <w:rPr>
                <w:rFonts w:ascii="宋体" w:hAnsi="宋体" w:cs="宋体" w:eastAsia="宋体" w:hint="default"/>
                <w:spacing w:val="-79"/>
                <w:w w:val="101"/>
                <w:sz w:val="18"/>
                <w:szCs w:val="18"/>
              </w:rPr>
              <w:t> </w:t>
            </w:r>
            <w:r>
              <w:rPr>
                <w:rFonts w:ascii="宋体" w:hAnsi="宋体" w:cs="宋体" w:eastAsia="宋体" w:hint="default"/>
                <w:spacing w:val="-79"/>
                <w:w w:val="101"/>
                <w:sz w:val="18"/>
                <w:szCs w:val="18"/>
              </w:rPr>
            </w:r>
            <w:r>
              <w:rPr>
                <w:rFonts w:ascii="宋体" w:hAnsi="宋体" w:cs="宋体" w:eastAsia="宋体" w:hint="default"/>
                <w:sz w:val="18"/>
                <w:szCs w:val="18"/>
              </w:rPr>
              <w:t>知</w:t>
            </w:r>
          </w:p>
        </w:tc>
      </w:tr>
      <w:tr>
        <w:trPr>
          <w:trHeight w:val="663"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45</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2019/4/26</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5"/>
              <w:ind w:left="4" w:right="-4"/>
              <w:jc w:val="left"/>
              <w:rPr>
                <w:rFonts w:ascii="宋体" w:hAnsi="宋体" w:cs="宋体" w:eastAsia="宋体" w:hint="default"/>
                <w:sz w:val="18"/>
                <w:szCs w:val="18"/>
              </w:rPr>
            </w:pPr>
            <w:r>
              <w:rPr>
                <w:rFonts w:ascii="宋体" w:hAnsi="宋体" w:cs="宋体" w:eastAsia="宋体" w:hint="default"/>
                <w:spacing w:val="-6"/>
                <w:w w:val="101"/>
                <w:sz w:val="18"/>
                <w:szCs w:val="18"/>
              </w:rPr>
              <w:t>和仁科技：第二届董事会第十八次会议决议公</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告</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8" w:right="0"/>
              <w:jc w:val="center"/>
              <w:rPr>
                <w:rFonts w:ascii="Times New Roman" w:hAnsi="Times New Roman" w:cs="Times New Roman" w:eastAsia="Times New Roman" w:hint="default"/>
                <w:sz w:val="18"/>
                <w:szCs w:val="18"/>
              </w:rPr>
            </w:pPr>
            <w:r>
              <w:rPr>
                <w:rFonts w:ascii="Times New Roman"/>
                <w:sz w:val="18"/>
              </w:rPr>
              <w:t>46</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 w:right="0"/>
              <w:jc w:val="center"/>
              <w:rPr>
                <w:rFonts w:ascii="Times New Roman" w:hAnsi="Times New Roman" w:cs="Times New Roman" w:eastAsia="Times New Roman" w:hint="default"/>
                <w:sz w:val="18"/>
                <w:szCs w:val="18"/>
              </w:rPr>
            </w:pPr>
            <w:r>
              <w:rPr>
                <w:rFonts w:ascii="Times New Roman"/>
                <w:sz w:val="18"/>
              </w:rPr>
              <w:t>2019/4/26</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和仁科技：</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年年度报告摘要</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8" w:right="0"/>
              <w:jc w:val="center"/>
              <w:rPr>
                <w:rFonts w:ascii="Times New Roman" w:hAnsi="Times New Roman" w:cs="Times New Roman" w:eastAsia="Times New Roman" w:hint="default"/>
                <w:sz w:val="18"/>
                <w:szCs w:val="18"/>
              </w:rPr>
            </w:pPr>
            <w:r>
              <w:rPr>
                <w:rFonts w:ascii="Times New Roman"/>
                <w:sz w:val="18"/>
              </w:rPr>
              <w:t>47</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 w:right="0"/>
              <w:jc w:val="center"/>
              <w:rPr>
                <w:rFonts w:ascii="Times New Roman" w:hAnsi="Times New Roman" w:cs="Times New Roman" w:eastAsia="Times New Roman" w:hint="default"/>
                <w:sz w:val="18"/>
                <w:szCs w:val="18"/>
              </w:rPr>
            </w:pPr>
            <w:r>
              <w:rPr>
                <w:rFonts w:ascii="Times New Roman"/>
                <w:sz w:val="18"/>
              </w:rPr>
              <w:t>2019/4/26</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和仁科技：</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年度公司监事会工作报告</w:t>
            </w:r>
          </w:p>
        </w:tc>
      </w:tr>
      <w:tr>
        <w:trPr>
          <w:trHeight w:val="65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48</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2019/4/26</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spacing w:val="-6"/>
                <w:w w:val="101"/>
                <w:sz w:val="18"/>
                <w:szCs w:val="18"/>
              </w:rPr>
              <w:t>和仁科技：第二届监事会第十四次会议决议公</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告</w:t>
            </w:r>
          </w:p>
        </w:tc>
      </w:tr>
      <w:tr>
        <w:trPr>
          <w:trHeight w:val="351"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18" w:right="0"/>
              <w:jc w:val="center"/>
              <w:rPr>
                <w:rFonts w:ascii="Times New Roman" w:hAnsi="Times New Roman" w:cs="Times New Roman" w:eastAsia="Times New Roman" w:hint="default"/>
                <w:sz w:val="18"/>
                <w:szCs w:val="18"/>
              </w:rPr>
            </w:pPr>
            <w:r>
              <w:rPr>
                <w:rFonts w:ascii="Times New Roman"/>
                <w:sz w:val="18"/>
              </w:rPr>
              <w:t>49</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8" w:right="0"/>
              <w:jc w:val="center"/>
              <w:rPr>
                <w:rFonts w:ascii="Times New Roman" w:hAnsi="Times New Roman" w:cs="Times New Roman" w:eastAsia="Times New Roman" w:hint="default"/>
                <w:sz w:val="18"/>
                <w:szCs w:val="18"/>
              </w:rPr>
            </w:pPr>
            <w:r>
              <w:rPr>
                <w:rFonts w:ascii="Times New Roman"/>
                <w:sz w:val="18"/>
              </w:rPr>
              <w:t>2019/4/26</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和仁科技：关于拟对外出租资产的公告</w:t>
            </w:r>
          </w:p>
        </w:tc>
      </w:tr>
      <w:tr>
        <w:trPr>
          <w:trHeight w:val="65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50</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2019/4/26</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spacing w:val="-6"/>
                <w:w w:val="101"/>
                <w:sz w:val="18"/>
                <w:szCs w:val="18"/>
              </w:rPr>
              <w:t>和仁科技：关于使用闲置自有资金购买理财产</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品的公告</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8" w:right="0"/>
              <w:jc w:val="center"/>
              <w:rPr>
                <w:rFonts w:ascii="Times New Roman" w:hAnsi="Times New Roman" w:cs="Times New Roman" w:eastAsia="Times New Roman" w:hint="default"/>
                <w:sz w:val="18"/>
                <w:szCs w:val="18"/>
              </w:rPr>
            </w:pPr>
            <w:r>
              <w:rPr>
                <w:rFonts w:ascii="Times New Roman"/>
                <w:sz w:val="18"/>
              </w:rPr>
              <w:t>51</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 w:right="0"/>
              <w:jc w:val="center"/>
              <w:rPr>
                <w:rFonts w:ascii="Times New Roman" w:hAnsi="Times New Roman" w:cs="Times New Roman" w:eastAsia="Times New Roman" w:hint="default"/>
                <w:sz w:val="18"/>
                <w:szCs w:val="18"/>
              </w:rPr>
            </w:pPr>
            <w:r>
              <w:rPr>
                <w:rFonts w:ascii="Times New Roman"/>
                <w:sz w:val="18"/>
              </w:rPr>
              <w:t>2019/4/26</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和仁科技：关于会计政策变更的公告</w:t>
            </w:r>
          </w:p>
        </w:tc>
      </w:tr>
      <w:tr>
        <w:trPr>
          <w:trHeight w:val="350"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18" w:right="0"/>
              <w:jc w:val="center"/>
              <w:rPr>
                <w:rFonts w:ascii="Times New Roman" w:hAnsi="Times New Roman" w:cs="Times New Roman" w:eastAsia="Times New Roman" w:hint="default"/>
                <w:sz w:val="18"/>
                <w:szCs w:val="18"/>
              </w:rPr>
            </w:pPr>
            <w:r>
              <w:rPr>
                <w:rFonts w:ascii="Times New Roman"/>
                <w:sz w:val="18"/>
              </w:rPr>
              <w:t>52</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8" w:right="0"/>
              <w:jc w:val="center"/>
              <w:rPr>
                <w:rFonts w:ascii="Times New Roman" w:hAnsi="Times New Roman" w:cs="Times New Roman" w:eastAsia="Times New Roman" w:hint="default"/>
                <w:sz w:val="18"/>
                <w:szCs w:val="18"/>
              </w:rPr>
            </w:pPr>
            <w:r>
              <w:rPr>
                <w:rFonts w:ascii="Times New Roman"/>
                <w:sz w:val="18"/>
              </w:rPr>
              <w:t>2019/4/26</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和仁科技：关于变更募集资金用途的公告</w:t>
            </w:r>
          </w:p>
        </w:tc>
      </w:tr>
      <w:tr>
        <w:trPr>
          <w:trHeight w:val="65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53</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2019/4/26</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spacing w:val="-6"/>
                <w:w w:val="101"/>
                <w:sz w:val="18"/>
                <w:szCs w:val="18"/>
              </w:rPr>
              <w:t>和仁科技：关于募集资金投资项目结项并将结</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3"/>
                <w:sz w:val="18"/>
                <w:szCs w:val="18"/>
              </w:rPr>
              <w:t>余募集资金永久补充流动资金的公告</w:t>
            </w:r>
          </w:p>
        </w:tc>
      </w:tr>
      <w:tr>
        <w:trPr>
          <w:trHeight w:val="65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54</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2019/4/26</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spacing w:val="-6"/>
                <w:w w:val="101"/>
                <w:sz w:val="18"/>
                <w:szCs w:val="18"/>
              </w:rPr>
              <w:t>和仁科技：监事会对公司内部控制评价报告的</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意见</w:t>
            </w:r>
          </w:p>
        </w:tc>
      </w:tr>
      <w:tr>
        <w:trPr>
          <w:trHeight w:val="350"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8" w:right="0"/>
              <w:jc w:val="center"/>
              <w:rPr>
                <w:rFonts w:ascii="Times New Roman" w:hAnsi="Times New Roman" w:cs="Times New Roman" w:eastAsia="Times New Roman" w:hint="default"/>
                <w:sz w:val="18"/>
                <w:szCs w:val="18"/>
              </w:rPr>
            </w:pPr>
            <w:r>
              <w:rPr>
                <w:rFonts w:ascii="Times New Roman"/>
                <w:sz w:val="18"/>
              </w:rPr>
              <w:t>55</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 w:right="0"/>
              <w:jc w:val="center"/>
              <w:rPr>
                <w:rFonts w:ascii="Times New Roman" w:hAnsi="Times New Roman" w:cs="Times New Roman" w:eastAsia="Times New Roman" w:hint="default"/>
                <w:sz w:val="18"/>
                <w:szCs w:val="18"/>
              </w:rPr>
            </w:pPr>
            <w:r>
              <w:rPr>
                <w:rFonts w:ascii="Times New Roman"/>
                <w:sz w:val="18"/>
              </w:rPr>
              <w:t>2019/4/26</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和仁科技：</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年度财务决算报告</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8" w:right="0"/>
              <w:jc w:val="center"/>
              <w:rPr>
                <w:rFonts w:ascii="Times New Roman" w:hAnsi="Times New Roman" w:cs="Times New Roman" w:eastAsia="Times New Roman" w:hint="default"/>
                <w:sz w:val="18"/>
                <w:szCs w:val="18"/>
              </w:rPr>
            </w:pPr>
            <w:r>
              <w:rPr>
                <w:rFonts w:ascii="Times New Roman"/>
                <w:sz w:val="18"/>
              </w:rPr>
              <w:t>56</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8" w:right="0"/>
              <w:jc w:val="center"/>
              <w:rPr>
                <w:rFonts w:ascii="Times New Roman" w:hAnsi="Times New Roman" w:cs="Times New Roman" w:eastAsia="Times New Roman" w:hint="default"/>
                <w:sz w:val="18"/>
                <w:szCs w:val="18"/>
              </w:rPr>
            </w:pPr>
            <w:r>
              <w:rPr>
                <w:rFonts w:ascii="Times New Roman"/>
                <w:sz w:val="18"/>
              </w:rPr>
              <w:t>2019/4/26</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和仁科技：</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年度内部控制评价报告</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8" w:right="0"/>
              <w:jc w:val="center"/>
              <w:rPr>
                <w:rFonts w:ascii="Times New Roman" w:hAnsi="Times New Roman" w:cs="Times New Roman" w:eastAsia="Times New Roman" w:hint="default"/>
                <w:sz w:val="18"/>
                <w:szCs w:val="18"/>
              </w:rPr>
            </w:pPr>
            <w:r>
              <w:rPr>
                <w:rFonts w:ascii="Times New Roman"/>
                <w:sz w:val="18"/>
              </w:rPr>
              <w:t>57</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 w:right="0"/>
              <w:jc w:val="center"/>
              <w:rPr>
                <w:rFonts w:ascii="Times New Roman" w:hAnsi="Times New Roman" w:cs="Times New Roman" w:eastAsia="Times New Roman" w:hint="default"/>
                <w:sz w:val="18"/>
                <w:szCs w:val="18"/>
              </w:rPr>
            </w:pPr>
            <w:r>
              <w:rPr>
                <w:rFonts w:ascii="Times New Roman"/>
                <w:sz w:val="18"/>
              </w:rPr>
              <w:t>2019/4/26</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和仁科技：</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年度董事会工作报告</w:t>
            </w:r>
          </w:p>
        </w:tc>
      </w:tr>
      <w:tr>
        <w:trPr>
          <w:trHeight w:val="65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58</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2019/4/26</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5"/>
              <w:jc w:val="left"/>
              <w:rPr>
                <w:rFonts w:ascii="宋体" w:hAnsi="宋体" w:cs="宋体" w:eastAsia="宋体" w:hint="default"/>
                <w:sz w:val="18"/>
                <w:szCs w:val="18"/>
              </w:rPr>
            </w:pPr>
            <w:r>
              <w:rPr>
                <w:rFonts w:ascii="宋体" w:hAnsi="宋体" w:cs="宋体" w:eastAsia="宋体" w:hint="default"/>
                <w:spacing w:val="-6"/>
                <w:w w:val="101"/>
                <w:sz w:val="18"/>
                <w:szCs w:val="18"/>
              </w:rPr>
              <w:t>和仁科技：关于募集资金</w:t>
            </w:r>
            <w:r>
              <w:rPr>
                <w:rFonts w:ascii="Times New Roman" w:hAnsi="Times New Roman" w:cs="Times New Roman" w:eastAsia="Times New Roman" w:hint="default"/>
                <w:spacing w:val="-6"/>
                <w:w w:val="101"/>
                <w:sz w:val="18"/>
                <w:szCs w:val="18"/>
              </w:rPr>
              <w:t>2018</w:t>
            </w:r>
            <w:r>
              <w:rPr>
                <w:rFonts w:ascii="宋体" w:hAnsi="宋体" w:cs="宋体" w:eastAsia="宋体" w:hint="default"/>
                <w:spacing w:val="-6"/>
                <w:w w:val="101"/>
                <w:sz w:val="18"/>
                <w:szCs w:val="18"/>
              </w:rPr>
              <w:t>年度存放与使用</w:t>
            </w:r>
            <w:r>
              <w:rPr>
                <w:rFonts w:ascii="宋体" w:hAnsi="宋体" w:cs="宋体" w:eastAsia="宋体" w:hint="default"/>
                <w:spacing w:val="-78"/>
                <w:w w:val="101"/>
                <w:sz w:val="18"/>
                <w:szCs w:val="18"/>
              </w:rPr>
              <w:t> </w:t>
            </w:r>
            <w:r>
              <w:rPr>
                <w:rFonts w:ascii="宋体" w:hAnsi="宋体" w:cs="宋体" w:eastAsia="宋体" w:hint="default"/>
                <w:spacing w:val="-78"/>
                <w:w w:val="101"/>
                <w:sz w:val="18"/>
                <w:szCs w:val="18"/>
              </w:rPr>
            </w:r>
            <w:r>
              <w:rPr>
                <w:rFonts w:ascii="宋体" w:hAnsi="宋体" w:cs="宋体" w:eastAsia="宋体" w:hint="default"/>
                <w:spacing w:val="-3"/>
                <w:sz w:val="18"/>
                <w:szCs w:val="18"/>
              </w:rPr>
              <w:t>情况的专项报告</w:t>
            </w:r>
          </w:p>
        </w:tc>
      </w:tr>
      <w:tr>
        <w:trPr>
          <w:trHeight w:val="350"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18" w:right="0"/>
              <w:jc w:val="center"/>
              <w:rPr>
                <w:rFonts w:ascii="Times New Roman" w:hAnsi="Times New Roman" w:cs="Times New Roman" w:eastAsia="Times New Roman" w:hint="default"/>
                <w:sz w:val="18"/>
                <w:szCs w:val="18"/>
              </w:rPr>
            </w:pPr>
            <w:r>
              <w:rPr>
                <w:rFonts w:ascii="Times New Roman"/>
                <w:sz w:val="18"/>
              </w:rPr>
              <w:t>59</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8" w:right="0"/>
              <w:jc w:val="center"/>
              <w:rPr>
                <w:rFonts w:ascii="Times New Roman" w:hAnsi="Times New Roman" w:cs="Times New Roman" w:eastAsia="Times New Roman" w:hint="default"/>
                <w:sz w:val="18"/>
                <w:szCs w:val="18"/>
              </w:rPr>
            </w:pPr>
            <w:r>
              <w:rPr>
                <w:rFonts w:ascii="Times New Roman"/>
                <w:sz w:val="18"/>
              </w:rPr>
              <w:t>2019/4/26</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和仁科技：关于计提资产减值准备的公告</w:t>
            </w:r>
          </w:p>
        </w:tc>
      </w:tr>
      <w:tr>
        <w:trPr>
          <w:trHeight w:val="65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60</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2019/4/26</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5"/>
              <w:jc w:val="left"/>
              <w:rPr>
                <w:rFonts w:ascii="宋体" w:hAnsi="宋体" w:cs="宋体" w:eastAsia="宋体" w:hint="default"/>
                <w:sz w:val="18"/>
                <w:szCs w:val="18"/>
              </w:rPr>
            </w:pPr>
            <w:r>
              <w:rPr>
                <w:rFonts w:ascii="宋体" w:hAnsi="宋体" w:cs="宋体" w:eastAsia="宋体" w:hint="default"/>
                <w:spacing w:val="-6"/>
                <w:w w:val="101"/>
                <w:sz w:val="18"/>
                <w:szCs w:val="18"/>
              </w:rPr>
              <w:t>和仁科技：关于举行网上</w:t>
            </w:r>
            <w:r>
              <w:rPr>
                <w:rFonts w:ascii="Times New Roman" w:hAnsi="Times New Roman" w:cs="Times New Roman" w:eastAsia="Times New Roman" w:hint="default"/>
                <w:spacing w:val="-6"/>
                <w:w w:val="101"/>
                <w:sz w:val="18"/>
                <w:szCs w:val="18"/>
              </w:rPr>
              <w:t>2018</w:t>
            </w:r>
            <w:r>
              <w:rPr>
                <w:rFonts w:ascii="宋体" w:hAnsi="宋体" w:cs="宋体" w:eastAsia="宋体" w:hint="default"/>
                <w:spacing w:val="-6"/>
                <w:w w:val="101"/>
                <w:sz w:val="18"/>
                <w:szCs w:val="18"/>
              </w:rPr>
              <w:t>年度报告说明会</w:t>
            </w:r>
            <w:r>
              <w:rPr>
                <w:rFonts w:ascii="宋体" w:hAnsi="宋体" w:cs="宋体" w:eastAsia="宋体" w:hint="default"/>
                <w:spacing w:val="-78"/>
                <w:w w:val="101"/>
                <w:sz w:val="18"/>
                <w:szCs w:val="18"/>
              </w:rPr>
              <w:t> </w:t>
            </w:r>
            <w:r>
              <w:rPr>
                <w:rFonts w:ascii="宋体" w:hAnsi="宋体" w:cs="宋体" w:eastAsia="宋体" w:hint="default"/>
                <w:spacing w:val="-78"/>
                <w:w w:val="101"/>
                <w:sz w:val="18"/>
                <w:szCs w:val="18"/>
              </w:rPr>
            </w:r>
            <w:r>
              <w:rPr>
                <w:rFonts w:ascii="宋体" w:hAnsi="宋体" w:cs="宋体" w:eastAsia="宋体" w:hint="default"/>
                <w:sz w:val="18"/>
                <w:szCs w:val="18"/>
              </w:rPr>
              <w:t>的通知</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8" w:right="0"/>
              <w:jc w:val="center"/>
              <w:rPr>
                <w:rFonts w:ascii="Times New Roman" w:hAnsi="Times New Roman" w:cs="Times New Roman" w:eastAsia="Times New Roman" w:hint="default"/>
                <w:sz w:val="18"/>
                <w:szCs w:val="18"/>
              </w:rPr>
            </w:pPr>
            <w:r>
              <w:rPr>
                <w:rFonts w:ascii="Times New Roman"/>
                <w:sz w:val="18"/>
              </w:rPr>
              <w:t>61</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 w:right="0"/>
              <w:jc w:val="center"/>
              <w:rPr>
                <w:rFonts w:ascii="Times New Roman" w:hAnsi="Times New Roman" w:cs="Times New Roman" w:eastAsia="Times New Roman" w:hint="default"/>
                <w:sz w:val="18"/>
                <w:szCs w:val="18"/>
              </w:rPr>
            </w:pPr>
            <w:r>
              <w:rPr>
                <w:rFonts w:ascii="Times New Roman"/>
                <w:sz w:val="18"/>
              </w:rPr>
              <w:t>2019/4/26</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和仁科技：</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年年度审计报告</w:t>
            </w:r>
          </w:p>
        </w:tc>
      </w:tr>
      <w:tr>
        <w:trPr>
          <w:trHeight w:val="662"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62</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2019/4/26</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和仁科技：中信证券股份有限公司关于公司</w:t>
            </w:r>
          </w:p>
          <w:p>
            <w:pPr>
              <w:pStyle w:val="TableParagraph"/>
              <w:spacing w:line="240" w:lineRule="auto" w:before="7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年度跟踪报告</w:t>
            </w:r>
          </w:p>
        </w:tc>
      </w:tr>
      <w:tr>
        <w:trPr>
          <w:trHeight w:val="65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63</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2019/4/26</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和仁科技：中信证券股份有限公司关于公司</w:t>
            </w:r>
          </w:p>
          <w:p>
            <w:pPr>
              <w:pStyle w:val="TableParagraph"/>
              <w:spacing w:line="240" w:lineRule="auto" w:before="76"/>
              <w:ind w:left="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年度内部控制自我评价报告的核查意见</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8" w:right="0"/>
              <w:jc w:val="center"/>
              <w:rPr>
                <w:rFonts w:ascii="Times New Roman" w:hAnsi="Times New Roman" w:cs="Times New Roman" w:eastAsia="Times New Roman" w:hint="default"/>
                <w:sz w:val="18"/>
                <w:szCs w:val="18"/>
              </w:rPr>
            </w:pPr>
            <w:r>
              <w:rPr>
                <w:rFonts w:ascii="Times New Roman"/>
                <w:sz w:val="18"/>
              </w:rPr>
              <w:t>64</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 w:right="0"/>
              <w:jc w:val="center"/>
              <w:rPr>
                <w:rFonts w:ascii="Times New Roman" w:hAnsi="Times New Roman" w:cs="Times New Roman" w:eastAsia="Times New Roman" w:hint="default"/>
                <w:sz w:val="18"/>
                <w:szCs w:val="18"/>
              </w:rPr>
            </w:pPr>
            <w:r>
              <w:rPr>
                <w:rFonts w:ascii="Times New Roman"/>
                <w:sz w:val="18"/>
              </w:rPr>
              <w:t>2019/4/26</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4"/>
              <w:jc w:val="left"/>
              <w:rPr>
                <w:rFonts w:ascii="宋体" w:hAnsi="宋体" w:cs="宋体" w:eastAsia="宋体" w:hint="default"/>
                <w:sz w:val="18"/>
                <w:szCs w:val="18"/>
              </w:rPr>
            </w:pPr>
            <w:r>
              <w:rPr>
                <w:rFonts w:ascii="宋体" w:hAnsi="宋体" w:cs="宋体" w:eastAsia="宋体" w:hint="default"/>
                <w:w w:val="101"/>
                <w:sz w:val="18"/>
                <w:szCs w:val="18"/>
              </w:rPr>
              <w:t>和</w:t>
            </w:r>
            <w:r>
              <w:rPr>
                <w:rFonts w:ascii="宋体" w:hAnsi="宋体" w:cs="宋体" w:eastAsia="宋体" w:hint="default"/>
                <w:spacing w:val="-5"/>
                <w:w w:val="101"/>
                <w:sz w:val="18"/>
                <w:szCs w:val="18"/>
              </w:rPr>
              <w:t>仁</w:t>
            </w:r>
            <w:r>
              <w:rPr>
                <w:rFonts w:ascii="宋体" w:hAnsi="宋体" w:cs="宋体" w:eastAsia="宋体" w:hint="default"/>
                <w:w w:val="101"/>
                <w:sz w:val="18"/>
                <w:szCs w:val="18"/>
              </w:rPr>
              <w:t>科</w:t>
            </w:r>
            <w:r>
              <w:rPr>
                <w:rFonts w:ascii="宋体" w:hAnsi="宋体" w:cs="宋体" w:eastAsia="宋体" w:hint="default"/>
                <w:spacing w:val="-5"/>
                <w:w w:val="101"/>
                <w:sz w:val="18"/>
                <w:szCs w:val="18"/>
              </w:rPr>
              <w:t>技</w:t>
            </w:r>
            <w:r>
              <w:rPr>
                <w:rFonts w:ascii="宋体" w:hAnsi="宋体" w:cs="宋体" w:eastAsia="宋体" w:hint="default"/>
                <w:spacing w:val="-73"/>
                <w:w w:val="101"/>
                <w:sz w:val="18"/>
                <w:szCs w:val="18"/>
              </w:rPr>
              <w:t>：</w:t>
            </w:r>
            <w:r>
              <w:rPr>
                <w:rFonts w:ascii="宋体" w:hAnsi="宋体" w:cs="宋体" w:eastAsia="宋体" w:hint="default"/>
                <w:spacing w:val="-5"/>
                <w:w w:val="101"/>
                <w:sz w:val="18"/>
                <w:szCs w:val="18"/>
              </w:rPr>
              <w:t>中</w:t>
            </w:r>
            <w:r>
              <w:rPr>
                <w:rFonts w:ascii="宋体" w:hAnsi="宋体" w:cs="宋体" w:eastAsia="宋体" w:hint="default"/>
                <w:w w:val="101"/>
                <w:sz w:val="18"/>
                <w:szCs w:val="18"/>
              </w:rPr>
              <w:t>信</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股</w:t>
            </w:r>
            <w:r>
              <w:rPr>
                <w:rFonts w:ascii="宋体" w:hAnsi="宋体" w:cs="宋体" w:eastAsia="宋体" w:hint="default"/>
                <w:w w:val="101"/>
                <w:sz w:val="18"/>
                <w:szCs w:val="18"/>
              </w:rPr>
              <w:t>份</w:t>
            </w:r>
            <w:r>
              <w:rPr>
                <w:rFonts w:ascii="宋体" w:hAnsi="宋体" w:cs="宋体" w:eastAsia="宋体" w:hint="default"/>
                <w:spacing w:val="-5"/>
                <w:w w:val="101"/>
                <w:sz w:val="18"/>
                <w:szCs w:val="18"/>
              </w:rPr>
              <w:t>有</w:t>
            </w:r>
            <w:r>
              <w:rPr>
                <w:rFonts w:ascii="宋体" w:hAnsi="宋体" w:cs="宋体" w:eastAsia="宋体" w:hint="default"/>
                <w:w w:val="101"/>
                <w:sz w:val="18"/>
                <w:szCs w:val="18"/>
              </w:rPr>
              <w:t>限</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关</w:t>
            </w:r>
            <w:r>
              <w:rPr>
                <w:rFonts w:ascii="宋体" w:hAnsi="宋体" w:cs="宋体" w:eastAsia="宋体" w:hint="default"/>
                <w:w w:val="101"/>
                <w:sz w:val="18"/>
                <w:szCs w:val="18"/>
              </w:rPr>
              <w:t>于</w:t>
            </w:r>
            <w:r>
              <w:rPr>
                <w:rFonts w:ascii="宋体" w:hAnsi="宋体" w:cs="宋体" w:eastAsia="宋体" w:hint="default"/>
                <w:spacing w:val="-5"/>
                <w:w w:val="101"/>
                <w:sz w:val="18"/>
                <w:szCs w:val="18"/>
              </w:rPr>
              <w:t>公</w:t>
            </w:r>
            <w:r>
              <w:rPr>
                <w:rFonts w:ascii="宋体" w:hAnsi="宋体" w:cs="宋体" w:eastAsia="宋体" w:hint="default"/>
                <w:w w:val="101"/>
                <w:sz w:val="18"/>
                <w:szCs w:val="18"/>
              </w:rPr>
              <w:t>司变</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276" w:type="dxa"/>
        <w:tblLayout w:type="fixed"/>
        <w:tblCellMar>
          <w:top w:w="0" w:type="dxa"/>
          <w:left w:w="0" w:type="dxa"/>
          <w:bottom w:w="0" w:type="dxa"/>
          <w:right w:w="0" w:type="dxa"/>
        </w:tblCellMar>
        <w:tblLook w:val="01E0"/>
      </w:tblPr>
      <w:tblGrid>
        <w:gridCol w:w="994"/>
        <w:gridCol w:w="2833"/>
        <w:gridCol w:w="3549"/>
      </w:tblGrid>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
        </w:tc>
        <w:tc>
          <w:tcPr>
            <w:tcW w:w="2833" w:type="dxa"/>
            <w:tcBorders>
              <w:top w:val="single" w:sz="6" w:space="0" w:color="000000"/>
              <w:left w:val="single" w:sz="6" w:space="0" w:color="000000"/>
              <w:bottom w:val="single" w:sz="6" w:space="0" w:color="000000"/>
              <w:right w:val="single" w:sz="6" w:space="0" w:color="000000"/>
            </w:tcBorders>
          </w:tcPr>
          <w:p>
            <w:pP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更募集资金用途的核查意见</w:t>
            </w:r>
          </w:p>
        </w:tc>
      </w:tr>
      <w:tr>
        <w:trPr>
          <w:trHeight w:val="975"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65</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2019/4/26</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4"/>
              <w:jc w:val="left"/>
              <w:rPr>
                <w:rFonts w:ascii="宋体" w:hAnsi="宋体" w:cs="宋体" w:eastAsia="宋体" w:hint="default"/>
                <w:sz w:val="18"/>
                <w:szCs w:val="18"/>
              </w:rPr>
            </w:pPr>
            <w:r>
              <w:rPr>
                <w:rFonts w:ascii="宋体" w:hAnsi="宋体" w:cs="宋体" w:eastAsia="宋体" w:hint="default"/>
                <w:spacing w:val="-6"/>
                <w:w w:val="101"/>
                <w:sz w:val="18"/>
                <w:szCs w:val="18"/>
              </w:rPr>
              <w:t>和仁科技：中信证券股份有限公司关于公司部</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3"/>
                <w:sz w:val="18"/>
                <w:szCs w:val="18"/>
              </w:rPr>
              <w:t>分募投项目结项并使用结余募集资金及利息</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永久补充流动资金的核查意见</w:t>
            </w:r>
          </w:p>
        </w:tc>
      </w:tr>
      <w:tr>
        <w:trPr>
          <w:trHeight w:val="65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66</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2019/4/26</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spacing w:val="-6"/>
                <w:w w:val="101"/>
                <w:sz w:val="18"/>
                <w:szCs w:val="18"/>
              </w:rPr>
              <w:t>和仁科技：中信证券股份有限公司关于公司使</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3"/>
                <w:sz w:val="18"/>
                <w:szCs w:val="18"/>
              </w:rPr>
              <w:t>用闲置自有资金购买理财产品的核查意见</w:t>
            </w:r>
          </w:p>
        </w:tc>
      </w:tr>
      <w:tr>
        <w:trPr>
          <w:trHeight w:val="970"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67</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2019/4/26</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4" w:right="104"/>
              <w:jc w:val="both"/>
              <w:rPr>
                <w:rFonts w:ascii="宋体" w:hAnsi="宋体" w:cs="宋体" w:eastAsia="宋体" w:hint="default"/>
                <w:sz w:val="18"/>
                <w:szCs w:val="18"/>
              </w:rPr>
            </w:pPr>
            <w:r>
              <w:rPr>
                <w:rFonts w:ascii="宋体" w:hAnsi="宋体" w:cs="宋体" w:eastAsia="宋体" w:hint="default"/>
                <w:spacing w:val="-3"/>
                <w:sz w:val="18"/>
                <w:szCs w:val="18"/>
              </w:rPr>
              <w:t>和仁科技：中信证券股份有限公司关于公司</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年度募集资金存放与使用情况的专项核</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查报告</w:t>
            </w:r>
          </w:p>
        </w:tc>
      </w:tr>
      <w:tr>
        <w:trPr>
          <w:trHeight w:val="65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68</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2019/4/26</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spacing w:val="-6"/>
                <w:w w:val="101"/>
                <w:sz w:val="18"/>
                <w:szCs w:val="18"/>
              </w:rPr>
              <w:t>和仁科技：募集资金年度存放与使用情况鉴证</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报告</w:t>
            </w:r>
          </w:p>
        </w:tc>
      </w:tr>
      <w:tr>
        <w:trPr>
          <w:trHeight w:val="662"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69</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2019/4/26</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5"/>
              <w:ind w:left="4" w:right="-4"/>
              <w:jc w:val="left"/>
              <w:rPr>
                <w:rFonts w:ascii="宋体" w:hAnsi="宋体" w:cs="宋体" w:eastAsia="宋体" w:hint="default"/>
                <w:sz w:val="18"/>
                <w:szCs w:val="18"/>
              </w:rPr>
            </w:pPr>
            <w:r>
              <w:rPr>
                <w:rFonts w:ascii="宋体" w:hAnsi="宋体" w:cs="宋体" w:eastAsia="宋体" w:hint="default"/>
                <w:spacing w:val="-6"/>
                <w:w w:val="101"/>
                <w:sz w:val="18"/>
                <w:szCs w:val="18"/>
              </w:rPr>
              <w:t>和仁科技：非经营性资金占用及其他关联资金</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3"/>
                <w:sz w:val="18"/>
                <w:szCs w:val="18"/>
              </w:rPr>
              <w:t>往来情况的专项审计说明</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8" w:right="0"/>
              <w:jc w:val="center"/>
              <w:rPr>
                <w:rFonts w:ascii="Times New Roman" w:hAnsi="Times New Roman" w:cs="Times New Roman" w:eastAsia="Times New Roman" w:hint="default"/>
                <w:sz w:val="18"/>
                <w:szCs w:val="18"/>
              </w:rPr>
            </w:pPr>
            <w:r>
              <w:rPr>
                <w:rFonts w:ascii="Times New Roman"/>
                <w:sz w:val="18"/>
              </w:rPr>
              <w:t>70</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8" w:right="0"/>
              <w:jc w:val="center"/>
              <w:rPr>
                <w:rFonts w:ascii="Times New Roman" w:hAnsi="Times New Roman" w:cs="Times New Roman" w:eastAsia="Times New Roman" w:hint="default"/>
                <w:sz w:val="18"/>
                <w:szCs w:val="18"/>
              </w:rPr>
            </w:pPr>
            <w:r>
              <w:rPr>
                <w:rFonts w:ascii="Times New Roman"/>
                <w:sz w:val="18"/>
              </w:rPr>
              <w:t>2019/4/26</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w w:val="101"/>
                <w:sz w:val="18"/>
                <w:szCs w:val="18"/>
              </w:rPr>
              <w:t>和</w:t>
            </w:r>
            <w:r>
              <w:rPr>
                <w:rFonts w:ascii="宋体" w:hAnsi="宋体" w:cs="宋体" w:eastAsia="宋体" w:hint="default"/>
                <w:spacing w:val="-5"/>
                <w:w w:val="101"/>
                <w:sz w:val="18"/>
                <w:szCs w:val="18"/>
              </w:rPr>
              <w:t>仁</w:t>
            </w:r>
            <w:r>
              <w:rPr>
                <w:rFonts w:ascii="宋体" w:hAnsi="宋体" w:cs="宋体" w:eastAsia="宋体" w:hint="default"/>
                <w:w w:val="101"/>
                <w:sz w:val="18"/>
                <w:szCs w:val="18"/>
              </w:rPr>
              <w:t>科</w:t>
            </w:r>
            <w:r>
              <w:rPr>
                <w:rFonts w:ascii="宋体" w:hAnsi="宋体" w:cs="宋体" w:eastAsia="宋体" w:hint="default"/>
                <w:spacing w:val="-5"/>
                <w:w w:val="101"/>
                <w:sz w:val="18"/>
                <w:szCs w:val="18"/>
              </w:rPr>
              <w:t>技</w:t>
            </w:r>
            <w:r>
              <w:rPr>
                <w:rFonts w:ascii="宋体" w:hAnsi="宋体" w:cs="宋体" w:eastAsia="宋体" w:hint="default"/>
                <w:spacing w:val="-82"/>
                <w:w w:val="101"/>
                <w:sz w:val="18"/>
                <w:szCs w:val="18"/>
              </w:rPr>
              <w:t>：</w:t>
            </w:r>
            <w:r>
              <w:rPr>
                <w:rFonts w:ascii="Times New Roman" w:hAnsi="Times New Roman" w:cs="Times New Roman" w:eastAsia="Times New Roman" w:hint="default"/>
                <w:w w:val="101"/>
                <w:sz w:val="18"/>
                <w:szCs w:val="18"/>
              </w:rPr>
              <w:t>20</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w w:val="101"/>
                <w:sz w:val="18"/>
                <w:szCs w:val="18"/>
              </w:rPr>
              <w:t>8</w:t>
            </w:r>
            <w:r>
              <w:rPr>
                <w:rFonts w:ascii="宋体" w:hAnsi="宋体" w:cs="宋体" w:eastAsia="宋体" w:hint="default"/>
                <w:spacing w:val="-5"/>
                <w:w w:val="101"/>
                <w:sz w:val="18"/>
                <w:szCs w:val="18"/>
              </w:rPr>
              <w:t>年</w:t>
            </w:r>
            <w:r>
              <w:rPr>
                <w:rFonts w:ascii="宋体" w:hAnsi="宋体" w:cs="宋体" w:eastAsia="宋体" w:hint="default"/>
                <w:w w:val="101"/>
                <w:sz w:val="18"/>
                <w:szCs w:val="18"/>
              </w:rPr>
              <w:t>度</w:t>
            </w:r>
            <w:r>
              <w:rPr>
                <w:rFonts w:ascii="宋体" w:hAnsi="宋体" w:cs="宋体" w:eastAsia="宋体" w:hint="default"/>
                <w:spacing w:val="-5"/>
                <w:w w:val="101"/>
                <w:sz w:val="18"/>
                <w:szCs w:val="18"/>
              </w:rPr>
              <w:t>独</w:t>
            </w:r>
            <w:r>
              <w:rPr>
                <w:rFonts w:ascii="宋体" w:hAnsi="宋体" w:cs="宋体" w:eastAsia="宋体" w:hint="default"/>
                <w:w w:val="101"/>
                <w:sz w:val="18"/>
                <w:szCs w:val="18"/>
              </w:rPr>
              <w:t>立</w:t>
            </w:r>
            <w:r>
              <w:rPr>
                <w:rFonts w:ascii="宋体" w:hAnsi="宋体" w:cs="宋体" w:eastAsia="宋体" w:hint="default"/>
                <w:spacing w:val="-5"/>
                <w:w w:val="101"/>
                <w:sz w:val="18"/>
                <w:szCs w:val="18"/>
              </w:rPr>
              <w:t>董</w:t>
            </w:r>
            <w:r>
              <w:rPr>
                <w:rFonts w:ascii="宋体" w:hAnsi="宋体" w:cs="宋体" w:eastAsia="宋体" w:hint="default"/>
                <w:w w:val="101"/>
                <w:sz w:val="18"/>
                <w:szCs w:val="18"/>
              </w:rPr>
              <w:t>事</w:t>
            </w:r>
            <w:r>
              <w:rPr>
                <w:rFonts w:ascii="宋体" w:hAnsi="宋体" w:cs="宋体" w:eastAsia="宋体" w:hint="default"/>
                <w:spacing w:val="-5"/>
                <w:w w:val="101"/>
                <w:sz w:val="18"/>
                <w:szCs w:val="18"/>
              </w:rPr>
              <w:t>述</w:t>
            </w:r>
            <w:r>
              <w:rPr>
                <w:rFonts w:ascii="宋体" w:hAnsi="宋体" w:cs="宋体" w:eastAsia="宋体" w:hint="default"/>
                <w:w w:val="101"/>
                <w:sz w:val="18"/>
                <w:szCs w:val="18"/>
              </w:rPr>
              <w:t>职</w:t>
            </w:r>
            <w:r>
              <w:rPr>
                <w:rFonts w:ascii="宋体" w:hAnsi="宋体" w:cs="宋体" w:eastAsia="宋体" w:hint="default"/>
                <w:spacing w:val="-5"/>
                <w:w w:val="101"/>
                <w:sz w:val="18"/>
                <w:szCs w:val="18"/>
              </w:rPr>
              <w:t>报</w:t>
            </w:r>
            <w:r>
              <w:rPr>
                <w:rFonts w:ascii="宋体" w:hAnsi="宋体" w:cs="宋体" w:eastAsia="宋体" w:hint="default"/>
                <w:spacing w:val="-82"/>
                <w:w w:val="101"/>
                <w:sz w:val="18"/>
                <w:szCs w:val="18"/>
              </w:rPr>
              <w:t>告</w:t>
            </w:r>
            <w:r>
              <w:rPr>
                <w:rFonts w:ascii="宋体" w:hAnsi="宋体" w:cs="宋体" w:eastAsia="宋体" w:hint="default"/>
                <w:spacing w:val="-5"/>
                <w:w w:val="101"/>
                <w:sz w:val="18"/>
                <w:szCs w:val="18"/>
              </w:rPr>
              <w:t>（</w:t>
            </w:r>
            <w:r>
              <w:rPr>
                <w:rFonts w:ascii="宋体" w:hAnsi="宋体" w:cs="宋体" w:eastAsia="宋体" w:hint="default"/>
                <w:w w:val="101"/>
                <w:sz w:val="18"/>
                <w:szCs w:val="18"/>
              </w:rPr>
              <w:t>沈红</w:t>
            </w:r>
            <w:r>
              <w:rPr>
                <w:rFonts w:ascii="宋体" w:hAnsi="宋体" w:cs="宋体" w:eastAsia="宋体" w:hint="default"/>
                <w:sz w:val="18"/>
                <w:szCs w:val="18"/>
              </w:rPr>
            </w:r>
          </w:p>
        </w:tc>
      </w:tr>
      <w:tr>
        <w:trPr>
          <w:trHeight w:val="65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71</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2019/4/26</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5"/>
              <w:jc w:val="left"/>
              <w:rPr>
                <w:rFonts w:ascii="宋体" w:hAnsi="宋体" w:cs="宋体" w:eastAsia="宋体" w:hint="default"/>
                <w:sz w:val="18"/>
                <w:szCs w:val="18"/>
              </w:rPr>
            </w:pPr>
            <w:r>
              <w:rPr>
                <w:rFonts w:ascii="宋体" w:hAnsi="宋体" w:cs="宋体" w:eastAsia="宋体" w:hint="default"/>
                <w:spacing w:val="-6"/>
                <w:sz w:val="18"/>
                <w:szCs w:val="18"/>
              </w:rPr>
              <w:t>和仁科技：</w:t>
            </w:r>
            <w:r>
              <w:rPr>
                <w:rFonts w:ascii="Times New Roman" w:hAnsi="Times New Roman" w:cs="Times New Roman" w:eastAsia="Times New Roman" w:hint="default"/>
                <w:spacing w:val="-6"/>
                <w:sz w:val="18"/>
                <w:szCs w:val="18"/>
              </w:rPr>
              <w:t>2018</w:t>
            </w:r>
            <w:r>
              <w:rPr>
                <w:rFonts w:ascii="宋体" w:hAnsi="宋体" w:cs="宋体" w:eastAsia="宋体" w:hint="default"/>
                <w:spacing w:val="-6"/>
                <w:sz w:val="18"/>
                <w:szCs w:val="18"/>
              </w:rPr>
              <w:t>年度独立董事述职报告（冯忆</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z w:val="18"/>
                <w:szCs w:val="18"/>
              </w:rPr>
              <w:t>文）</w:t>
            </w:r>
          </w:p>
        </w:tc>
      </w:tr>
      <w:tr>
        <w:trPr>
          <w:trHeight w:val="350"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18" w:right="0"/>
              <w:jc w:val="center"/>
              <w:rPr>
                <w:rFonts w:ascii="Times New Roman" w:hAnsi="Times New Roman" w:cs="Times New Roman" w:eastAsia="Times New Roman" w:hint="default"/>
                <w:sz w:val="18"/>
                <w:szCs w:val="18"/>
              </w:rPr>
            </w:pPr>
            <w:r>
              <w:rPr>
                <w:rFonts w:ascii="Times New Roman"/>
                <w:sz w:val="18"/>
              </w:rPr>
              <w:t>72</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8" w:right="0"/>
              <w:jc w:val="center"/>
              <w:rPr>
                <w:rFonts w:ascii="Times New Roman" w:hAnsi="Times New Roman" w:cs="Times New Roman" w:eastAsia="Times New Roman" w:hint="default"/>
                <w:sz w:val="18"/>
                <w:szCs w:val="18"/>
              </w:rPr>
            </w:pPr>
            <w:r>
              <w:rPr>
                <w:rFonts w:ascii="Times New Roman"/>
                <w:sz w:val="18"/>
              </w:rPr>
              <w:t>2019/4/26</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w w:val="101"/>
                <w:sz w:val="18"/>
                <w:szCs w:val="18"/>
              </w:rPr>
              <w:t>和</w:t>
            </w:r>
            <w:r>
              <w:rPr>
                <w:rFonts w:ascii="宋体" w:hAnsi="宋体" w:cs="宋体" w:eastAsia="宋体" w:hint="default"/>
                <w:spacing w:val="-5"/>
                <w:w w:val="101"/>
                <w:sz w:val="18"/>
                <w:szCs w:val="18"/>
              </w:rPr>
              <w:t>仁</w:t>
            </w:r>
            <w:r>
              <w:rPr>
                <w:rFonts w:ascii="宋体" w:hAnsi="宋体" w:cs="宋体" w:eastAsia="宋体" w:hint="default"/>
                <w:w w:val="101"/>
                <w:sz w:val="18"/>
                <w:szCs w:val="18"/>
              </w:rPr>
              <w:t>科</w:t>
            </w:r>
            <w:r>
              <w:rPr>
                <w:rFonts w:ascii="宋体" w:hAnsi="宋体" w:cs="宋体" w:eastAsia="宋体" w:hint="default"/>
                <w:spacing w:val="-5"/>
                <w:w w:val="101"/>
                <w:sz w:val="18"/>
                <w:szCs w:val="18"/>
              </w:rPr>
              <w:t>技</w:t>
            </w:r>
            <w:r>
              <w:rPr>
                <w:rFonts w:ascii="宋体" w:hAnsi="宋体" w:cs="宋体" w:eastAsia="宋体" w:hint="default"/>
                <w:spacing w:val="-82"/>
                <w:w w:val="101"/>
                <w:sz w:val="18"/>
                <w:szCs w:val="18"/>
              </w:rPr>
              <w:t>：</w:t>
            </w:r>
            <w:r>
              <w:rPr>
                <w:rFonts w:ascii="Times New Roman" w:hAnsi="Times New Roman" w:cs="Times New Roman" w:eastAsia="Times New Roman" w:hint="default"/>
                <w:w w:val="101"/>
                <w:sz w:val="18"/>
                <w:szCs w:val="18"/>
              </w:rPr>
              <w:t>20</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w w:val="101"/>
                <w:sz w:val="18"/>
                <w:szCs w:val="18"/>
              </w:rPr>
              <w:t>8</w:t>
            </w:r>
            <w:r>
              <w:rPr>
                <w:rFonts w:ascii="宋体" w:hAnsi="宋体" w:cs="宋体" w:eastAsia="宋体" w:hint="default"/>
                <w:spacing w:val="-5"/>
                <w:w w:val="101"/>
                <w:sz w:val="18"/>
                <w:szCs w:val="18"/>
              </w:rPr>
              <w:t>年</w:t>
            </w:r>
            <w:r>
              <w:rPr>
                <w:rFonts w:ascii="宋体" w:hAnsi="宋体" w:cs="宋体" w:eastAsia="宋体" w:hint="default"/>
                <w:w w:val="101"/>
                <w:sz w:val="18"/>
                <w:szCs w:val="18"/>
              </w:rPr>
              <w:t>度</w:t>
            </w:r>
            <w:r>
              <w:rPr>
                <w:rFonts w:ascii="宋体" w:hAnsi="宋体" w:cs="宋体" w:eastAsia="宋体" w:hint="default"/>
                <w:spacing w:val="-5"/>
                <w:w w:val="101"/>
                <w:sz w:val="18"/>
                <w:szCs w:val="18"/>
              </w:rPr>
              <w:t>独</w:t>
            </w:r>
            <w:r>
              <w:rPr>
                <w:rFonts w:ascii="宋体" w:hAnsi="宋体" w:cs="宋体" w:eastAsia="宋体" w:hint="default"/>
                <w:w w:val="101"/>
                <w:sz w:val="18"/>
                <w:szCs w:val="18"/>
              </w:rPr>
              <w:t>立</w:t>
            </w:r>
            <w:r>
              <w:rPr>
                <w:rFonts w:ascii="宋体" w:hAnsi="宋体" w:cs="宋体" w:eastAsia="宋体" w:hint="default"/>
                <w:spacing w:val="-5"/>
                <w:w w:val="101"/>
                <w:sz w:val="18"/>
                <w:szCs w:val="18"/>
              </w:rPr>
              <w:t>董</w:t>
            </w:r>
            <w:r>
              <w:rPr>
                <w:rFonts w:ascii="宋体" w:hAnsi="宋体" w:cs="宋体" w:eastAsia="宋体" w:hint="default"/>
                <w:w w:val="101"/>
                <w:sz w:val="18"/>
                <w:szCs w:val="18"/>
              </w:rPr>
              <w:t>事</w:t>
            </w:r>
            <w:r>
              <w:rPr>
                <w:rFonts w:ascii="宋体" w:hAnsi="宋体" w:cs="宋体" w:eastAsia="宋体" w:hint="default"/>
                <w:spacing w:val="-5"/>
                <w:w w:val="101"/>
                <w:sz w:val="18"/>
                <w:szCs w:val="18"/>
              </w:rPr>
              <w:t>述</w:t>
            </w:r>
            <w:r>
              <w:rPr>
                <w:rFonts w:ascii="宋体" w:hAnsi="宋体" w:cs="宋体" w:eastAsia="宋体" w:hint="default"/>
                <w:w w:val="101"/>
                <w:sz w:val="18"/>
                <w:szCs w:val="18"/>
              </w:rPr>
              <w:t>职</w:t>
            </w:r>
            <w:r>
              <w:rPr>
                <w:rFonts w:ascii="宋体" w:hAnsi="宋体" w:cs="宋体" w:eastAsia="宋体" w:hint="default"/>
                <w:spacing w:val="-5"/>
                <w:w w:val="101"/>
                <w:sz w:val="18"/>
                <w:szCs w:val="18"/>
              </w:rPr>
              <w:t>报</w:t>
            </w:r>
            <w:r>
              <w:rPr>
                <w:rFonts w:ascii="宋体" w:hAnsi="宋体" w:cs="宋体" w:eastAsia="宋体" w:hint="default"/>
                <w:spacing w:val="-82"/>
                <w:w w:val="101"/>
                <w:sz w:val="18"/>
                <w:szCs w:val="18"/>
              </w:rPr>
              <w:t>告</w:t>
            </w:r>
            <w:r>
              <w:rPr>
                <w:rFonts w:ascii="宋体" w:hAnsi="宋体" w:cs="宋体" w:eastAsia="宋体" w:hint="default"/>
                <w:spacing w:val="-5"/>
                <w:w w:val="101"/>
                <w:sz w:val="18"/>
                <w:szCs w:val="18"/>
              </w:rPr>
              <w:t>（</w:t>
            </w:r>
            <w:r>
              <w:rPr>
                <w:rFonts w:ascii="宋体" w:hAnsi="宋体" w:cs="宋体" w:eastAsia="宋体" w:hint="default"/>
                <w:w w:val="101"/>
                <w:sz w:val="18"/>
                <w:szCs w:val="18"/>
              </w:rPr>
              <w:t>曹健</w:t>
            </w:r>
            <w:r>
              <w:rPr>
                <w:rFonts w:ascii="宋体" w:hAnsi="宋体" w:cs="宋体" w:eastAsia="宋体" w:hint="default"/>
                <w:sz w:val="18"/>
                <w:szCs w:val="18"/>
              </w:rPr>
            </w:r>
          </w:p>
        </w:tc>
      </w:tr>
      <w:tr>
        <w:trPr>
          <w:trHeight w:val="65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73</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2019/4/26</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4"/>
              <w:jc w:val="left"/>
              <w:rPr>
                <w:rFonts w:ascii="宋体" w:hAnsi="宋体" w:cs="宋体" w:eastAsia="宋体" w:hint="default"/>
                <w:sz w:val="18"/>
                <w:szCs w:val="18"/>
              </w:rPr>
            </w:pPr>
            <w:r>
              <w:rPr>
                <w:rFonts w:ascii="宋体" w:hAnsi="宋体" w:cs="宋体" w:eastAsia="宋体" w:hint="default"/>
                <w:spacing w:val="-6"/>
                <w:w w:val="101"/>
                <w:sz w:val="18"/>
                <w:szCs w:val="18"/>
              </w:rPr>
              <w:t>和仁科技：独立董事关于第二届董事会第十八</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3"/>
                <w:sz w:val="18"/>
                <w:szCs w:val="18"/>
              </w:rPr>
              <w:t>次会议相关事项的独立意见</w:t>
            </w:r>
          </w:p>
        </w:tc>
      </w:tr>
      <w:tr>
        <w:trPr>
          <w:trHeight w:val="65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74</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2019/4/26</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spacing w:val="-6"/>
                <w:w w:val="101"/>
                <w:sz w:val="18"/>
                <w:szCs w:val="18"/>
              </w:rPr>
              <w:t>和仁科技：独立董事关于第二届董事会第十八</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3"/>
                <w:sz w:val="18"/>
                <w:szCs w:val="18"/>
              </w:rPr>
              <w:t>会议相关事项的事前认可意见</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8" w:right="0"/>
              <w:jc w:val="center"/>
              <w:rPr>
                <w:rFonts w:ascii="Times New Roman" w:hAnsi="Times New Roman" w:cs="Times New Roman" w:eastAsia="Times New Roman" w:hint="default"/>
                <w:sz w:val="18"/>
                <w:szCs w:val="18"/>
              </w:rPr>
            </w:pPr>
            <w:r>
              <w:rPr>
                <w:rFonts w:ascii="Times New Roman"/>
                <w:sz w:val="18"/>
              </w:rPr>
              <w:t>75</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 w:right="0"/>
              <w:jc w:val="center"/>
              <w:rPr>
                <w:rFonts w:ascii="Times New Roman" w:hAnsi="Times New Roman" w:cs="Times New Roman" w:eastAsia="Times New Roman" w:hint="default"/>
                <w:sz w:val="18"/>
                <w:szCs w:val="18"/>
              </w:rPr>
            </w:pPr>
            <w:r>
              <w:rPr>
                <w:rFonts w:ascii="Times New Roman"/>
                <w:sz w:val="18"/>
              </w:rPr>
              <w:t>2019/4/26</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和仁科技：关于完成工商变更登记的公告</w:t>
            </w:r>
          </w:p>
        </w:tc>
      </w:tr>
      <w:tr>
        <w:trPr>
          <w:trHeight w:val="350"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18" w:right="0"/>
              <w:jc w:val="center"/>
              <w:rPr>
                <w:rFonts w:ascii="Times New Roman" w:hAnsi="Times New Roman" w:cs="Times New Roman" w:eastAsia="Times New Roman" w:hint="default"/>
                <w:sz w:val="18"/>
                <w:szCs w:val="18"/>
              </w:rPr>
            </w:pPr>
            <w:r>
              <w:rPr>
                <w:rFonts w:ascii="Times New Roman"/>
                <w:sz w:val="18"/>
              </w:rPr>
              <w:t>76</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8" w:right="0"/>
              <w:jc w:val="center"/>
              <w:rPr>
                <w:rFonts w:ascii="Times New Roman" w:hAnsi="Times New Roman" w:cs="Times New Roman" w:eastAsia="Times New Roman" w:hint="default"/>
                <w:sz w:val="18"/>
                <w:szCs w:val="18"/>
              </w:rPr>
            </w:pPr>
            <w:r>
              <w:rPr>
                <w:rFonts w:ascii="Times New Roman"/>
                <w:sz w:val="18"/>
              </w:rPr>
              <w:t>2019/4/29</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和仁科技：关于收到中标通知书的公告</w:t>
            </w:r>
          </w:p>
        </w:tc>
      </w:tr>
      <w:tr>
        <w:trPr>
          <w:trHeight w:val="65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77</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2019/4/29</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56" w:firstLine="48"/>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和仁科技：</w:t>
            </w:r>
            <w:r>
              <w:rPr>
                <w:rFonts w:ascii="Times New Roman" w:hAnsi="Times New Roman" w:cs="Times New Roman" w:eastAsia="Times New Roman" w:hint="default"/>
                <w:spacing w:val="-3"/>
                <w:sz w:val="18"/>
                <w:szCs w:val="18"/>
              </w:rPr>
              <w:t>300550</w:t>
            </w:r>
            <w:r>
              <w:rPr>
                <w:rFonts w:ascii="宋体" w:hAnsi="宋体" w:cs="宋体" w:eastAsia="宋体" w:hint="default"/>
                <w:spacing w:val="-3"/>
                <w:sz w:val="18"/>
                <w:szCs w:val="18"/>
              </w:rPr>
              <w:t>和仁科技投资者关系管理</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制度</w:t>
            </w:r>
            <w:r>
              <w:rPr>
                <w:rFonts w:ascii="Times New Roman" w:hAnsi="Times New Roman" w:cs="Times New Roman" w:eastAsia="Times New Roman" w:hint="default"/>
                <w:sz w:val="18"/>
                <w:szCs w:val="18"/>
              </w:rPr>
              <w:t>20190429</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8" w:right="0"/>
              <w:jc w:val="center"/>
              <w:rPr>
                <w:rFonts w:ascii="Times New Roman" w:hAnsi="Times New Roman" w:cs="Times New Roman" w:eastAsia="Times New Roman" w:hint="default"/>
                <w:sz w:val="18"/>
                <w:szCs w:val="18"/>
              </w:rPr>
            </w:pPr>
            <w:r>
              <w:rPr>
                <w:rFonts w:ascii="Times New Roman"/>
                <w:sz w:val="18"/>
              </w:rPr>
              <w:t>78</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3" w:right="0"/>
              <w:jc w:val="center"/>
              <w:rPr>
                <w:rFonts w:ascii="Times New Roman" w:hAnsi="Times New Roman" w:cs="Times New Roman" w:eastAsia="Times New Roman" w:hint="default"/>
                <w:sz w:val="18"/>
                <w:szCs w:val="18"/>
              </w:rPr>
            </w:pPr>
            <w:r>
              <w:rPr>
                <w:rFonts w:ascii="Times New Roman"/>
                <w:sz w:val="18"/>
              </w:rPr>
              <w:t>2019/5/9</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和仁科技：股票交易异常波动公告</w:t>
            </w:r>
          </w:p>
        </w:tc>
      </w:tr>
      <w:tr>
        <w:trPr>
          <w:trHeight w:val="350"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18" w:right="0"/>
              <w:jc w:val="center"/>
              <w:rPr>
                <w:rFonts w:ascii="Times New Roman" w:hAnsi="Times New Roman" w:cs="Times New Roman" w:eastAsia="Times New Roman" w:hint="default"/>
                <w:sz w:val="18"/>
                <w:szCs w:val="18"/>
              </w:rPr>
            </w:pPr>
            <w:r>
              <w:rPr>
                <w:rFonts w:ascii="Times New Roman"/>
                <w:sz w:val="18"/>
              </w:rPr>
              <w:t>79</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8" w:right="0"/>
              <w:jc w:val="center"/>
              <w:rPr>
                <w:rFonts w:ascii="Times New Roman" w:hAnsi="Times New Roman" w:cs="Times New Roman" w:eastAsia="Times New Roman" w:hint="default"/>
                <w:sz w:val="18"/>
                <w:szCs w:val="18"/>
              </w:rPr>
            </w:pPr>
            <w:r>
              <w:rPr>
                <w:rFonts w:ascii="Times New Roman"/>
                <w:sz w:val="18"/>
              </w:rPr>
              <w:t>2019/5/17</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和仁科技：</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年度股东大会决议公告</w:t>
            </w:r>
          </w:p>
        </w:tc>
      </w:tr>
      <w:tr>
        <w:trPr>
          <w:trHeight w:val="65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80</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2019/5/17</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4"/>
              <w:jc w:val="left"/>
              <w:rPr>
                <w:rFonts w:ascii="宋体" w:hAnsi="宋体" w:cs="宋体" w:eastAsia="宋体" w:hint="default"/>
                <w:sz w:val="18"/>
                <w:szCs w:val="18"/>
              </w:rPr>
            </w:pPr>
            <w:r>
              <w:rPr>
                <w:rFonts w:ascii="宋体" w:hAnsi="宋体" w:cs="宋体" w:eastAsia="宋体" w:hint="default"/>
                <w:spacing w:val="-6"/>
                <w:w w:val="101"/>
                <w:sz w:val="18"/>
                <w:szCs w:val="18"/>
              </w:rPr>
              <w:t>和仁科技：第二届董事会第十九次会议决议公</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告</w:t>
            </w:r>
          </w:p>
        </w:tc>
      </w:tr>
      <w:tr>
        <w:trPr>
          <w:trHeight w:val="65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81</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2019/5/17</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spacing w:val="-6"/>
                <w:w w:val="101"/>
                <w:sz w:val="18"/>
                <w:szCs w:val="18"/>
              </w:rPr>
              <w:t>和仁科技：第二届监事会第十五次会议决议公</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告</w:t>
            </w:r>
          </w:p>
        </w:tc>
      </w:tr>
      <w:tr>
        <w:trPr>
          <w:trHeight w:val="975"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82</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2019/5/17</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4" w:right="-5"/>
              <w:jc w:val="left"/>
              <w:rPr>
                <w:rFonts w:ascii="宋体" w:hAnsi="宋体" w:cs="宋体" w:eastAsia="宋体" w:hint="default"/>
                <w:sz w:val="18"/>
                <w:szCs w:val="18"/>
              </w:rPr>
            </w:pPr>
            <w:r>
              <w:rPr>
                <w:rFonts w:ascii="宋体" w:hAnsi="宋体" w:cs="宋体" w:eastAsia="宋体" w:hint="default"/>
                <w:spacing w:val="-6"/>
                <w:w w:val="101"/>
                <w:sz w:val="18"/>
                <w:szCs w:val="18"/>
              </w:rPr>
              <w:t>和仁科技：关于</w:t>
            </w:r>
            <w:r>
              <w:rPr>
                <w:rFonts w:ascii="Times New Roman" w:hAnsi="Times New Roman" w:cs="Times New Roman" w:eastAsia="Times New Roman" w:hint="default"/>
                <w:spacing w:val="-6"/>
                <w:w w:val="101"/>
                <w:sz w:val="18"/>
                <w:szCs w:val="18"/>
              </w:rPr>
              <w:t>2017</w:t>
            </w:r>
            <w:r>
              <w:rPr>
                <w:rFonts w:ascii="宋体" w:hAnsi="宋体" w:cs="宋体" w:eastAsia="宋体" w:hint="default"/>
                <w:spacing w:val="-6"/>
                <w:w w:val="101"/>
                <w:sz w:val="18"/>
                <w:szCs w:val="18"/>
              </w:rPr>
              <w:t>年限制性股票激励计划首</w:t>
            </w:r>
            <w:r>
              <w:rPr>
                <w:rFonts w:ascii="宋体" w:hAnsi="宋体" w:cs="宋体" w:eastAsia="宋体" w:hint="default"/>
                <w:spacing w:val="-79"/>
                <w:w w:val="101"/>
                <w:sz w:val="18"/>
                <w:szCs w:val="18"/>
              </w:rPr>
              <w:t> </w:t>
            </w:r>
            <w:r>
              <w:rPr>
                <w:rFonts w:ascii="宋体" w:hAnsi="宋体" w:cs="宋体" w:eastAsia="宋体" w:hint="default"/>
                <w:spacing w:val="-79"/>
                <w:w w:val="101"/>
                <w:sz w:val="18"/>
                <w:szCs w:val="18"/>
              </w:rPr>
            </w:r>
            <w:r>
              <w:rPr>
                <w:rFonts w:ascii="宋体" w:hAnsi="宋体" w:cs="宋体" w:eastAsia="宋体" w:hint="default"/>
                <w:spacing w:val="-3"/>
                <w:sz w:val="18"/>
                <w:szCs w:val="18"/>
              </w:rPr>
              <w:t>次授予部分的第一个解锁期解锁条件成就可</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解锁的公告</w:t>
            </w:r>
          </w:p>
        </w:tc>
      </w:tr>
      <w:tr>
        <w:trPr>
          <w:trHeight w:val="65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83</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2019/5/17</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5"/>
              <w:jc w:val="left"/>
              <w:rPr>
                <w:rFonts w:ascii="宋体" w:hAnsi="宋体" w:cs="宋体" w:eastAsia="宋体" w:hint="default"/>
                <w:sz w:val="18"/>
                <w:szCs w:val="18"/>
              </w:rPr>
            </w:pPr>
            <w:r>
              <w:rPr>
                <w:rFonts w:ascii="宋体" w:hAnsi="宋体" w:cs="宋体" w:eastAsia="宋体" w:hint="default"/>
                <w:spacing w:val="-6"/>
                <w:sz w:val="18"/>
                <w:szCs w:val="18"/>
              </w:rPr>
              <w:t>和仁科技：</w:t>
            </w:r>
            <w:r>
              <w:rPr>
                <w:rFonts w:ascii="Times New Roman" w:hAnsi="Times New Roman" w:cs="Times New Roman" w:eastAsia="Times New Roman" w:hint="default"/>
                <w:spacing w:val="-6"/>
                <w:sz w:val="18"/>
                <w:szCs w:val="18"/>
              </w:rPr>
              <w:t>2017</w:t>
            </w:r>
            <w:r>
              <w:rPr>
                <w:rFonts w:ascii="宋体" w:hAnsi="宋体" w:cs="宋体" w:eastAsia="宋体" w:hint="default"/>
                <w:spacing w:val="-6"/>
                <w:sz w:val="18"/>
                <w:szCs w:val="18"/>
              </w:rPr>
              <w:t>年限制性股票激励计划首次授</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pacing w:val="-3"/>
                <w:sz w:val="18"/>
                <w:szCs w:val="18"/>
              </w:rPr>
              <w:t>予部分第一个解锁期可解锁激励对象名单</w:t>
            </w:r>
          </w:p>
        </w:tc>
      </w:tr>
      <w:tr>
        <w:trPr>
          <w:trHeight w:val="65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84</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2019/5/17</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spacing w:val="-6"/>
                <w:w w:val="101"/>
                <w:sz w:val="18"/>
                <w:szCs w:val="18"/>
              </w:rPr>
              <w:t>和仁科技：监事会关于限制性股票激励计划第</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3"/>
                <w:sz w:val="18"/>
                <w:szCs w:val="18"/>
              </w:rPr>
              <w:t>一个解锁期可解锁激励对象名单的核查意见</w:t>
            </w:r>
          </w:p>
        </w:tc>
      </w:tr>
      <w:tr>
        <w:trPr>
          <w:trHeight w:val="1287"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18" w:right="0"/>
              <w:jc w:val="center"/>
              <w:rPr>
                <w:rFonts w:ascii="Times New Roman" w:hAnsi="Times New Roman" w:cs="Times New Roman" w:eastAsia="Times New Roman" w:hint="default"/>
                <w:sz w:val="18"/>
                <w:szCs w:val="18"/>
              </w:rPr>
            </w:pPr>
            <w:r>
              <w:rPr>
                <w:rFonts w:ascii="Times New Roman"/>
                <w:sz w:val="18"/>
              </w:rPr>
              <w:t>85</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8" w:right="0"/>
              <w:jc w:val="center"/>
              <w:rPr>
                <w:rFonts w:ascii="Times New Roman" w:hAnsi="Times New Roman" w:cs="Times New Roman" w:eastAsia="Times New Roman" w:hint="default"/>
                <w:sz w:val="18"/>
                <w:szCs w:val="18"/>
              </w:rPr>
            </w:pPr>
            <w:r>
              <w:rPr>
                <w:rFonts w:ascii="Times New Roman"/>
                <w:sz w:val="18"/>
              </w:rPr>
              <w:t>2019/5/17</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0"/>
              <w:ind w:left="4" w:right="104"/>
              <w:jc w:val="both"/>
              <w:rPr>
                <w:rFonts w:ascii="宋体" w:hAnsi="宋体" w:cs="宋体" w:eastAsia="宋体" w:hint="default"/>
                <w:sz w:val="18"/>
                <w:szCs w:val="18"/>
              </w:rPr>
            </w:pPr>
            <w:r>
              <w:rPr>
                <w:rFonts w:ascii="宋体" w:hAnsi="宋体" w:cs="宋体" w:eastAsia="宋体" w:hint="default"/>
                <w:spacing w:val="-3"/>
                <w:sz w:val="18"/>
                <w:szCs w:val="18"/>
              </w:rPr>
              <w:t>和仁科技：中信证券股份有限公司关于公司</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Times New Roman" w:hAnsi="Times New Roman" w:cs="Times New Roman" w:eastAsia="Times New Roman" w:hint="default"/>
                <w:spacing w:val="-3"/>
                <w:sz w:val="18"/>
                <w:szCs w:val="18"/>
              </w:rPr>
              <w:t>2017</w:t>
            </w:r>
            <w:r>
              <w:rPr>
                <w:rFonts w:ascii="宋体" w:hAnsi="宋体" w:cs="宋体" w:eastAsia="宋体" w:hint="default"/>
                <w:spacing w:val="-3"/>
                <w:sz w:val="18"/>
                <w:szCs w:val="18"/>
              </w:rPr>
              <w:t>年限制性股票激励计划首次授予部分的</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第一个解锁期解锁条件成就可解锁的核查意</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见</w:t>
            </w:r>
          </w:p>
        </w:tc>
      </w:tr>
    </w:tbl>
    <w:p>
      <w:pPr>
        <w:spacing w:after="0" w:line="312" w:lineRule="auto"/>
        <w:jc w:val="both"/>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276" w:type="dxa"/>
        <w:tblLayout w:type="fixed"/>
        <w:tblCellMar>
          <w:top w:w="0" w:type="dxa"/>
          <w:left w:w="0" w:type="dxa"/>
          <w:bottom w:w="0" w:type="dxa"/>
          <w:right w:w="0" w:type="dxa"/>
        </w:tblCellMar>
        <w:tblLook w:val="01E0"/>
      </w:tblPr>
      <w:tblGrid>
        <w:gridCol w:w="994"/>
        <w:gridCol w:w="2833"/>
        <w:gridCol w:w="3549"/>
      </w:tblGrid>
      <w:tr>
        <w:trPr>
          <w:trHeight w:val="970"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86</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2019/5/17</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4" w:right="-5"/>
              <w:jc w:val="left"/>
              <w:rPr>
                <w:rFonts w:ascii="宋体" w:hAnsi="宋体" w:cs="宋体" w:eastAsia="宋体" w:hint="default"/>
                <w:sz w:val="18"/>
                <w:szCs w:val="18"/>
              </w:rPr>
            </w:pPr>
            <w:r>
              <w:rPr>
                <w:rFonts w:ascii="宋体" w:hAnsi="宋体" w:cs="宋体" w:eastAsia="宋体" w:hint="default"/>
                <w:spacing w:val="-6"/>
                <w:w w:val="101"/>
                <w:sz w:val="18"/>
                <w:szCs w:val="18"/>
              </w:rPr>
              <w:t>和仁科技：浙江天册律师事务所关于公司</w:t>
            </w:r>
            <w:r>
              <w:rPr>
                <w:rFonts w:ascii="Times New Roman" w:hAnsi="Times New Roman" w:cs="Times New Roman" w:eastAsia="Times New Roman" w:hint="default"/>
                <w:spacing w:val="-6"/>
                <w:w w:val="101"/>
                <w:sz w:val="18"/>
                <w:szCs w:val="18"/>
              </w:rPr>
              <w:t>2017</w:t>
            </w:r>
            <w:r>
              <w:rPr>
                <w:rFonts w:ascii="Times New Roman" w:hAnsi="Times New Roman" w:cs="Times New Roman" w:eastAsia="Times New Roman" w:hint="default"/>
                <w:spacing w:val="-32"/>
                <w:w w:val="101"/>
                <w:sz w:val="18"/>
                <w:szCs w:val="18"/>
              </w:rPr>
              <w:t> </w:t>
            </w:r>
            <w:r>
              <w:rPr>
                <w:rFonts w:ascii="宋体" w:hAnsi="宋体" w:cs="宋体" w:eastAsia="宋体" w:hint="default"/>
                <w:spacing w:val="-3"/>
                <w:sz w:val="18"/>
                <w:szCs w:val="18"/>
              </w:rPr>
              <w:t>年度限制性股票激励计划第一个解锁期解锁</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事宜的法律意见书</w:t>
            </w:r>
          </w:p>
        </w:tc>
      </w:tr>
      <w:tr>
        <w:trPr>
          <w:trHeight w:val="351"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8" w:right="0"/>
              <w:jc w:val="center"/>
              <w:rPr>
                <w:rFonts w:ascii="Times New Roman" w:hAnsi="Times New Roman" w:cs="Times New Roman" w:eastAsia="Times New Roman" w:hint="default"/>
                <w:sz w:val="18"/>
                <w:szCs w:val="18"/>
              </w:rPr>
            </w:pPr>
            <w:r>
              <w:rPr>
                <w:rFonts w:ascii="Times New Roman"/>
                <w:sz w:val="18"/>
              </w:rPr>
              <w:t>87</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8" w:right="0"/>
              <w:jc w:val="center"/>
              <w:rPr>
                <w:rFonts w:ascii="Times New Roman" w:hAnsi="Times New Roman" w:cs="Times New Roman" w:eastAsia="Times New Roman" w:hint="default"/>
                <w:sz w:val="18"/>
                <w:szCs w:val="18"/>
              </w:rPr>
            </w:pPr>
            <w:r>
              <w:rPr>
                <w:rFonts w:ascii="Times New Roman"/>
                <w:sz w:val="18"/>
              </w:rPr>
              <w:t>2019/5/17</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和仁科技：</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年度股东大会的法律意见书</w:t>
            </w:r>
          </w:p>
        </w:tc>
      </w:tr>
      <w:tr>
        <w:trPr>
          <w:trHeight w:val="65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88</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2019/5/17</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spacing w:val="-6"/>
                <w:w w:val="101"/>
                <w:sz w:val="18"/>
                <w:szCs w:val="18"/>
              </w:rPr>
              <w:t>和仁科技：独立董事关于第二届董事会第十九</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3"/>
                <w:sz w:val="18"/>
                <w:szCs w:val="18"/>
              </w:rPr>
              <w:t>次会议相关事项的独立意见</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8" w:right="0"/>
              <w:jc w:val="center"/>
              <w:rPr>
                <w:rFonts w:ascii="Times New Roman" w:hAnsi="Times New Roman" w:cs="Times New Roman" w:eastAsia="Times New Roman" w:hint="default"/>
                <w:sz w:val="18"/>
                <w:szCs w:val="18"/>
              </w:rPr>
            </w:pPr>
            <w:r>
              <w:rPr>
                <w:rFonts w:ascii="Times New Roman"/>
                <w:sz w:val="18"/>
              </w:rPr>
              <w:t>89</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 w:right="0"/>
              <w:jc w:val="center"/>
              <w:rPr>
                <w:rFonts w:ascii="Times New Roman" w:hAnsi="Times New Roman" w:cs="Times New Roman" w:eastAsia="Times New Roman" w:hint="default"/>
                <w:sz w:val="18"/>
                <w:szCs w:val="18"/>
              </w:rPr>
            </w:pPr>
            <w:r>
              <w:rPr>
                <w:rFonts w:ascii="Times New Roman"/>
                <w:sz w:val="18"/>
              </w:rPr>
              <w:t>2019/5/20</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4"/>
              <w:jc w:val="left"/>
              <w:rPr>
                <w:rFonts w:ascii="宋体" w:hAnsi="宋体" w:cs="宋体" w:eastAsia="宋体" w:hint="default"/>
                <w:sz w:val="18"/>
                <w:szCs w:val="18"/>
              </w:rPr>
            </w:pPr>
            <w:r>
              <w:rPr>
                <w:rFonts w:ascii="宋体" w:hAnsi="宋体" w:cs="宋体" w:eastAsia="宋体" w:hint="default"/>
                <w:w w:val="101"/>
                <w:sz w:val="18"/>
                <w:szCs w:val="18"/>
              </w:rPr>
              <w:t>和</w:t>
            </w:r>
            <w:r>
              <w:rPr>
                <w:rFonts w:ascii="宋体" w:hAnsi="宋体" w:cs="宋体" w:eastAsia="宋体" w:hint="default"/>
                <w:spacing w:val="-5"/>
                <w:w w:val="101"/>
                <w:sz w:val="18"/>
                <w:szCs w:val="18"/>
              </w:rPr>
              <w:t>仁</w:t>
            </w:r>
            <w:r>
              <w:rPr>
                <w:rFonts w:ascii="宋体" w:hAnsi="宋体" w:cs="宋体" w:eastAsia="宋体" w:hint="default"/>
                <w:w w:val="101"/>
                <w:sz w:val="18"/>
                <w:szCs w:val="18"/>
              </w:rPr>
              <w:t>科</w:t>
            </w:r>
            <w:r>
              <w:rPr>
                <w:rFonts w:ascii="宋体" w:hAnsi="宋体" w:cs="宋体" w:eastAsia="宋体" w:hint="default"/>
                <w:spacing w:val="-5"/>
                <w:w w:val="101"/>
                <w:sz w:val="18"/>
                <w:szCs w:val="18"/>
              </w:rPr>
              <w:t>技</w:t>
            </w:r>
            <w:r>
              <w:rPr>
                <w:rFonts w:ascii="宋体" w:hAnsi="宋体" w:cs="宋体" w:eastAsia="宋体" w:hint="default"/>
                <w:spacing w:val="-73"/>
                <w:w w:val="101"/>
                <w:sz w:val="18"/>
                <w:szCs w:val="18"/>
              </w:rPr>
              <w:t>：</w:t>
            </w:r>
            <w:r>
              <w:rPr>
                <w:rFonts w:ascii="宋体" w:hAnsi="宋体" w:cs="宋体" w:eastAsia="宋体" w:hint="default"/>
                <w:spacing w:val="-5"/>
                <w:w w:val="101"/>
                <w:sz w:val="18"/>
                <w:szCs w:val="18"/>
              </w:rPr>
              <w:t>股</w:t>
            </w:r>
            <w:r>
              <w:rPr>
                <w:rFonts w:ascii="宋体" w:hAnsi="宋体" w:cs="宋体" w:eastAsia="宋体" w:hint="default"/>
                <w:w w:val="101"/>
                <w:sz w:val="18"/>
                <w:szCs w:val="18"/>
              </w:rPr>
              <w:t>东</w:t>
            </w:r>
            <w:r>
              <w:rPr>
                <w:rFonts w:ascii="宋体" w:hAnsi="宋体" w:cs="宋体" w:eastAsia="宋体" w:hint="default"/>
                <w:spacing w:val="-5"/>
                <w:w w:val="101"/>
                <w:sz w:val="18"/>
                <w:szCs w:val="18"/>
              </w:rPr>
              <w:t>减</w:t>
            </w:r>
            <w:r>
              <w:rPr>
                <w:rFonts w:ascii="宋体" w:hAnsi="宋体" w:cs="宋体" w:eastAsia="宋体" w:hint="default"/>
                <w:w w:val="101"/>
                <w:sz w:val="18"/>
                <w:szCs w:val="18"/>
              </w:rPr>
              <w:t>持</w:t>
            </w:r>
            <w:r>
              <w:rPr>
                <w:rFonts w:ascii="宋体" w:hAnsi="宋体" w:cs="宋体" w:eastAsia="宋体" w:hint="default"/>
                <w:spacing w:val="-5"/>
                <w:w w:val="101"/>
                <w:sz w:val="18"/>
                <w:szCs w:val="18"/>
              </w:rPr>
              <w:t>计</w:t>
            </w:r>
            <w:r>
              <w:rPr>
                <w:rFonts w:ascii="宋体" w:hAnsi="宋体" w:cs="宋体" w:eastAsia="宋体" w:hint="default"/>
                <w:w w:val="101"/>
                <w:sz w:val="18"/>
                <w:szCs w:val="18"/>
              </w:rPr>
              <w:t>划</w:t>
            </w:r>
            <w:r>
              <w:rPr>
                <w:rFonts w:ascii="宋体" w:hAnsi="宋体" w:cs="宋体" w:eastAsia="宋体" w:hint="default"/>
                <w:spacing w:val="-5"/>
                <w:w w:val="101"/>
                <w:sz w:val="18"/>
                <w:szCs w:val="18"/>
              </w:rPr>
              <w:t>时</w:t>
            </w:r>
            <w:r>
              <w:rPr>
                <w:rFonts w:ascii="宋体" w:hAnsi="宋体" w:cs="宋体" w:eastAsia="宋体" w:hint="default"/>
                <w:w w:val="101"/>
                <w:sz w:val="18"/>
                <w:szCs w:val="18"/>
              </w:rPr>
              <w:t>间</w:t>
            </w:r>
            <w:r>
              <w:rPr>
                <w:rFonts w:ascii="宋体" w:hAnsi="宋体" w:cs="宋体" w:eastAsia="宋体" w:hint="default"/>
                <w:spacing w:val="-5"/>
                <w:w w:val="101"/>
                <w:sz w:val="18"/>
                <w:szCs w:val="18"/>
              </w:rPr>
              <w:t>过</w:t>
            </w:r>
            <w:r>
              <w:rPr>
                <w:rFonts w:ascii="宋体" w:hAnsi="宋体" w:cs="宋体" w:eastAsia="宋体" w:hint="default"/>
                <w:w w:val="101"/>
                <w:sz w:val="18"/>
                <w:szCs w:val="18"/>
              </w:rPr>
              <w:t>半</w:t>
            </w:r>
            <w:r>
              <w:rPr>
                <w:rFonts w:ascii="宋体" w:hAnsi="宋体" w:cs="宋体" w:eastAsia="宋体" w:hint="default"/>
                <w:spacing w:val="-5"/>
                <w:w w:val="101"/>
                <w:sz w:val="18"/>
                <w:szCs w:val="18"/>
              </w:rPr>
              <w:t>的</w:t>
            </w:r>
            <w:r>
              <w:rPr>
                <w:rFonts w:ascii="宋体" w:hAnsi="宋体" w:cs="宋体" w:eastAsia="宋体" w:hint="default"/>
                <w:w w:val="101"/>
                <w:sz w:val="18"/>
                <w:szCs w:val="18"/>
              </w:rPr>
              <w:t>进</w:t>
            </w:r>
            <w:r>
              <w:rPr>
                <w:rFonts w:ascii="宋体" w:hAnsi="宋体" w:cs="宋体" w:eastAsia="宋体" w:hint="default"/>
                <w:spacing w:val="-5"/>
                <w:w w:val="101"/>
                <w:sz w:val="18"/>
                <w:szCs w:val="18"/>
              </w:rPr>
              <w:t>展</w:t>
            </w:r>
            <w:r>
              <w:rPr>
                <w:rFonts w:ascii="宋体" w:hAnsi="宋体" w:cs="宋体" w:eastAsia="宋体" w:hint="default"/>
                <w:w w:val="101"/>
                <w:sz w:val="18"/>
                <w:szCs w:val="18"/>
              </w:rPr>
              <w:t>公告</w:t>
            </w:r>
            <w:r>
              <w:rPr>
                <w:rFonts w:ascii="宋体" w:hAnsi="宋体" w:cs="宋体" w:eastAsia="宋体" w:hint="default"/>
                <w:sz w:val="18"/>
                <w:szCs w:val="18"/>
              </w:rPr>
            </w:r>
          </w:p>
        </w:tc>
      </w:tr>
      <w:tr>
        <w:trPr>
          <w:trHeight w:val="970"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90</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2019/5/27</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4" w:right="-5"/>
              <w:jc w:val="left"/>
              <w:rPr>
                <w:rFonts w:ascii="宋体" w:hAnsi="宋体" w:cs="宋体" w:eastAsia="宋体" w:hint="default"/>
                <w:sz w:val="18"/>
                <w:szCs w:val="18"/>
              </w:rPr>
            </w:pPr>
            <w:r>
              <w:rPr>
                <w:rFonts w:ascii="宋体" w:hAnsi="宋体" w:cs="宋体" w:eastAsia="宋体" w:hint="default"/>
                <w:spacing w:val="-6"/>
                <w:w w:val="101"/>
                <w:sz w:val="18"/>
                <w:szCs w:val="18"/>
              </w:rPr>
              <w:t>和仁科技：关于</w:t>
            </w:r>
            <w:r>
              <w:rPr>
                <w:rFonts w:ascii="Times New Roman" w:hAnsi="Times New Roman" w:cs="Times New Roman" w:eastAsia="Times New Roman" w:hint="default"/>
                <w:spacing w:val="-6"/>
                <w:w w:val="101"/>
                <w:sz w:val="18"/>
                <w:szCs w:val="18"/>
              </w:rPr>
              <w:t>2017</w:t>
            </w:r>
            <w:r>
              <w:rPr>
                <w:rFonts w:ascii="宋体" w:hAnsi="宋体" w:cs="宋体" w:eastAsia="宋体" w:hint="default"/>
                <w:spacing w:val="-6"/>
                <w:w w:val="101"/>
                <w:sz w:val="18"/>
                <w:szCs w:val="18"/>
              </w:rPr>
              <w:t>年限制性股票激励计划首</w:t>
            </w:r>
            <w:r>
              <w:rPr>
                <w:rFonts w:ascii="宋体" w:hAnsi="宋体" w:cs="宋体" w:eastAsia="宋体" w:hint="default"/>
                <w:spacing w:val="-79"/>
                <w:w w:val="101"/>
                <w:sz w:val="18"/>
                <w:szCs w:val="18"/>
              </w:rPr>
              <w:t> </w:t>
            </w:r>
            <w:r>
              <w:rPr>
                <w:rFonts w:ascii="宋体" w:hAnsi="宋体" w:cs="宋体" w:eastAsia="宋体" w:hint="default"/>
                <w:spacing w:val="-79"/>
                <w:w w:val="101"/>
                <w:sz w:val="18"/>
                <w:szCs w:val="18"/>
              </w:rPr>
            </w:r>
            <w:r>
              <w:rPr>
                <w:rFonts w:ascii="宋体" w:hAnsi="宋体" w:cs="宋体" w:eastAsia="宋体" w:hint="default"/>
                <w:spacing w:val="-3"/>
                <w:sz w:val="18"/>
                <w:szCs w:val="18"/>
              </w:rPr>
              <w:t>次授予部分的第一个解锁期解锁股份上市流</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通的提示性公告</w:t>
            </w:r>
          </w:p>
        </w:tc>
      </w:tr>
      <w:tr>
        <w:trPr>
          <w:trHeight w:val="974"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91</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2019/5/27</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5"/>
              <w:ind w:left="4" w:right="-5"/>
              <w:jc w:val="left"/>
              <w:rPr>
                <w:rFonts w:ascii="宋体" w:hAnsi="宋体" w:cs="宋体" w:eastAsia="宋体" w:hint="default"/>
                <w:sz w:val="18"/>
                <w:szCs w:val="18"/>
              </w:rPr>
            </w:pPr>
            <w:r>
              <w:rPr>
                <w:rFonts w:ascii="宋体" w:hAnsi="宋体" w:cs="宋体" w:eastAsia="宋体" w:hint="default"/>
                <w:spacing w:val="-6"/>
                <w:w w:val="101"/>
                <w:sz w:val="18"/>
                <w:szCs w:val="18"/>
              </w:rPr>
              <w:t>和仁科技：关于</w:t>
            </w:r>
            <w:r>
              <w:rPr>
                <w:rFonts w:ascii="Times New Roman" w:hAnsi="Times New Roman" w:cs="Times New Roman" w:eastAsia="Times New Roman" w:hint="default"/>
                <w:spacing w:val="-6"/>
                <w:w w:val="101"/>
                <w:sz w:val="18"/>
                <w:szCs w:val="18"/>
              </w:rPr>
              <w:t>2017</w:t>
            </w:r>
            <w:r>
              <w:rPr>
                <w:rFonts w:ascii="宋体" w:hAnsi="宋体" w:cs="宋体" w:eastAsia="宋体" w:hint="default"/>
                <w:spacing w:val="-6"/>
                <w:w w:val="101"/>
                <w:sz w:val="18"/>
                <w:szCs w:val="18"/>
              </w:rPr>
              <w:t>年限制性股票激励计划首</w:t>
            </w:r>
            <w:r>
              <w:rPr>
                <w:rFonts w:ascii="宋体" w:hAnsi="宋体" w:cs="宋体" w:eastAsia="宋体" w:hint="default"/>
                <w:spacing w:val="-79"/>
                <w:w w:val="101"/>
                <w:sz w:val="18"/>
                <w:szCs w:val="18"/>
              </w:rPr>
              <w:t> </w:t>
            </w:r>
            <w:r>
              <w:rPr>
                <w:rFonts w:ascii="宋体" w:hAnsi="宋体" w:cs="宋体" w:eastAsia="宋体" w:hint="default"/>
                <w:spacing w:val="-79"/>
                <w:w w:val="101"/>
                <w:sz w:val="18"/>
                <w:szCs w:val="18"/>
              </w:rPr>
            </w:r>
            <w:r>
              <w:rPr>
                <w:rFonts w:ascii="宋体" w:hAnsi="宋体" w:cs="宋体" w:eastAsia="宋体" w:hint="default"/>
                <w:spacing w:val="-3"/>
                <w:sz w:val="18"/>
                <w:szCs w:val="18"/>
              </w:rPr>
              <w:t>次授予部分的第一个解锁期解锁股份上市流</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通的提示性公告的更正公告</w:t>
            </w:r>
          </w:p>
        </w:tc>
      </w:tr>
      <w:tr>
        <w:trPr>
          <w:trHeight w:val="65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92</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2019/6/4</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spacing w:val="-6"/>
                <w:w w:val="101"/>
                <w:sz w:val="18"/>
                <w:szCs w:val="18"/>
              </w:rPr>
              <w:t>和仁科技：关于已披露重大合同签订正式合同</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的进展公告</w:t>
            </w:r>
          </w:p>
        </w:tc>
      </w:tr>
      <w:tr>
        <w:trPr>
          <w:trHeight w:val="970"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93</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2019/6/4</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spacing w:val="-6"/>
                <w:w w:val="101"/>
                <w:sz w:val="18"/>
                <w:szCs w:val="18"/>
              </w:rPr>
              <w:t>和仁科技：关于结余募集资金补充流动资金完</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3"/>
                <w:sz w:val="18"/>
                <w:szCs w:val="18"/>
              </w:rPr>
              <w:t>成以及变更募集资金用途完成暨募集资金账</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户注销的公告</w:t>
            </w:r>
          </w:p>
        </w:tc>
      </w:tr>
      <w:tr>
        <w:trPr>
          <w:trHeight w:val="351"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18" w:right="0"/>
              <w:jc w:val="center"/>
              <w:rPr>
                <w:rFonts w:ascii="Times New Roman" w:hAnsi="Times New Roman" w:cs="Times New Roman" w:eastAsia="Times New Roman" w:hint="default"/>
                <w:sz w:val="18"/>
                <w:szCs w:val="18"/>
              </w:rPr>
            </w:pPr>
            <w:r>
              <w:rPr>
                <w:rFonts w:ascii="Times New Roman"/>
                <w:sz w:val="18"/>
              </w:rPr>
              <w:t>94</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8" w:right="0"/>
              <w:jc w:val="center"/>
              <w:rPr>
                <w:rFonts w:ascii="Times New Roman" w:hAnsi="Times New Roman" w:cs="Times New Roman" w:eastAsia="Times New Roman" w:hint="default"/>
                <w:sz w:val="18"/>
                <w:szCs w:val="18"/>
              </w:rPr>
            </w:pPr>
            <w:r>
              <w:rPr>
                <w:rFonts w:ascii="Times New Roman"/>
                <w:sz w:val="18"/>
              </w:rPr>
              <w:t>2019/6/11</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和仁科技：</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年年度权益分派实施公告</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8" w:right="0"/>
              <w:jc w:val="center"/>
              <w:rPr>
                <w:rFonts w:ascii="Times New Roman" w:hAnsi="Times New Roman" w:cs="Times New Roman" w:eastAsia="Times New Roman" w:hint="default"/>
                <w:sz w:val="18"/>
                <w:szCs w:val="18"/>
              </w:rPr>
            </w:pPr>
            <w:r>
              <w:rPr>
                <w:rFonts w:ascii="Times New Roman"/>
                <w:sz w:val="18"/>
              </w:rPr>
              <w:t>95</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 w:right="0"/>
              <w:jc w:val="center"/>
              <w:rPr>
                <w:rFonts w:ascii="Times New Roman" w:hAnsi="Times New Roman" w:cs="Times New Roman" w:eastAsia="Times New Roman" w:hint="default"/>
                <w:sz w:val="18"/>
                <w:szCs w:val="18"/>
              </w:rPr>
            </w:pPr>
            <w:r>
              <w:rPr>
                <w:rFonts w:ascii="Times New Roman"/>
                <w:sz w:val="18"/>
              </w:rPr>
              <w:t>2019/6/13</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和仁科技：关于董事辞职的公告</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8" w:right="0"/>
              <w:jc w:val="center"/>
              <w:rPr>
                <w:rFonts w:ascii="Times New Roman" w:hAnsi="Times New Roman" w:cs="Times New Roman" w:eastAsia="Times New Roman" w:hint="default"/>
                <w:sz w:val="18"/>
                <w:szCs w:val="18"/>
              </w:rPr>
            </w:pPr>
            <w:r>
              <w:rPr>
                <w:rFonts w:ascii="Times New Roman"/>
                <w:sz w:val="18"/>
              </w:rPr>
              <w:t>96</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 w:right="0"/>
              <w:jc w:val="center"/>
              <w:rPr>
                <w:rFonts w:ascii="Times New Roman" w:hAnsi="Times New Roman" w:cs="Times New Roman" w:eastAsia="Times New Roman" w:hint="default"/>
                <w:sz w:val="18"/>
                <w:szCs w:val="18"/>
              </w:rPr>
            </w:pPr>
            <w:r>
              <w:rPr>
                <w:rFonts w:ascii="Times New Roman"/>
                <w:sz w:val="18"/>
              </w:rPr>
              <w:t>2019/6/17</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和仁科技：关于签订合作框架协议的公告</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8" w:right="0"/>
              <w:jc w:val="center"/>
              <w:rPr>
                <w:rFonts w:ascii="Times New Roman" w:hAnsi="Times New Roman" w:cs="Times New Roman" w:eastAsia="Times New Roman" w:hint="default"/>
                <w:sz w:val="18"/>
                <w:szCs w:val="18"/>
              </w:rPr>
            </w:pPr>
            <w:r>
              <w:rPr>
                <w:rFonts w:ascii="Times New Roman"/>
                <w:sz w:val="18"/>
              </w:rPr>
              <w:t>97</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 w:right="0"/>
              <w:jc w:val="center"/>
              <w:rPr>
                <w:rFonts w:ascii="Times New Roman" w:hAnsi="Times New Roman" w:cs="Times New Roman" w:eastAsia="Times New Roman" w:hint="default"/>
                <w:sz w:val="18"/>
                <w:szCs w:val="18"/>
              </w:rPr>
            </w:pPr>
            <w:r>
              <w:rPr>
                <w:rFonts w:ascii="Times New Roman"/>
                <w:sz w:val="18"/>
              </w:rPr>
              <w:t>2019/7/12</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和仁科技：</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年半年度业绩预告</w:t>
            </w:r>
          </w:p>
        </w:tc>
      </w:tr>
      <w:tr>
        <w:trPr>
          <w:trHeight w:val="975"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5"/>
                <w:szCs w:val="15"/>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98</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5"/>
                <w:szCs w:val="15"/>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2019/8/15</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5"/>
              <w:ind w:left="4" w:right="-5"/>
              <w:jc w:val="left"/>
              <w:rPr>
                <w:rFonts w:ascii="宋体" w:hAnsi="宋体" w:cs="宋体" w:eastAsia="宋体" w:hint="default"/>
                <w:sz w:val="18"/>
                <w:szCs w:val="18"/>
              </w:rPr>
            </w:pPr>
            <w:r>
              <w:rPr>
                <w:rFonts w:ascii="宋体" w:hAnsi="宋体" w:cs="宋体" w:eastAsia="宋体" w:hint="default"/>
                <w:spacing w:val="-6"/>
                <w:w w:val="101"/>
                <w:sz w:val="18"/>
                <w:szCs w:val="18"/>
              </w:rPr>
              <w:t>和仁科技：关于公司取得</w:t>
            </w:r>
            <w:r>
              <w:rPr>
                <w:rFonts w:ascii="Times New Roman" w:hAnsi="Times New Roman" w:cs="Times New Roman" w:eastAsia="Times New Roman" w:hint="default"/>
                <w:spacing w:val="-6"/>
                <w:w w:val="101"/>
                <w:sz w:val="18"/>
                <w:szCs w:val="18"/>
              </w:rPr>
              <w:t>2018</w:t>
            </w:r>
            <w:r>
              <w:rPr>
                <w:rFonts w:ascii="宋体" w:hAnsi="宋体" w:cs="宋体" w:eastAsia="宋体" w:hint="default"/>
                <w:spacing w:val="-6"/>
                <w:w w:val="101"/>
                <w:sz w:val="18"/>
                <w:szCs w:val="18"/>
              </w:rPr>
              <w:t>年国家规划布局</w:t>
            </w:r>
            <w:r>
              <w:rPr>
                <w:rFonts w:ascii="宋体" w:hAnsi="宋体" w:cs="宋体" w:eastAsia="宋体" w:hint="default"/>
                <w:spacing w:val="-78"/>
                <w:w w:val="101"/>
                <w:sz w:val="18"/>
                <w:szCs w:val="18"/>
              </w:rPr>
              <w:t> </w:t>
            </w:r>
            <w:r>
              <w:rPr>
                <w:rFonts w:ascii="宋体" w:hAnsi="宋体" w:cs="宋体" w:eastAsia="宋体" w:hint="default"/>
                <w:spacing w:val="-78"/>
                <w:w w:val="101"/>
                <w:sz w:val="18"/>
                <w:szCs w:val="18"/>
              </w:rPr>
            </w:r>
            <w:r>
              <w:rPr>
                <w:rFonts w:ascii="宋体" w:hAnsi="宋体" w:cs="宋体" w:eastAsia="宋体" w:hint="default"/>
                <w:spacing w:val="-3"/>
                <w:sz w:val="18"/>
                <w:szCs w:val="18"/>
              </w:rPr>
              <w:t>内重点软件和集成电路设计企业所得税优惠</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政策核查结果的公示的公告</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8" w:right="0"/>
              <w:jc w:val="center"/>
              <w:rPr>
                <w:rFonts w:ascii="Times New Roman" w:hAnsi="Times New Roman" w:cs="Times New Roman" w:eastAsia="Times New Roman" w:hint="default"/>
                <w:sz w:val="18"/>
                <w:szCs w:val="18"/>
              </w:rPr>
            </w:pPr>
            <w:r>
              <w:rPr>
                <w:rFonts w:ascii="Times New Roman"/>
                <w:sz w:val="18"/>
              </w:rPr>
              <w:t>99</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 w:right="0"/>
              <w:jc w:val="center"/>
              <w:rPr>
                <w:rFonts w:ascii="Times New Roman" w:hAnsi="Times New Roman" w:cs="Times New Roman" w:eastAsia="Times New Roman" w:hint="default"/>
                <w:sz w:val="18"/>
                <w:szCs w:val="18"/>
              </w:rPr>
            </w:pPr>
            <w:r>
              <w:rPr>
                <w:rFonts w:ascii="Times New Roman"/>
                <w:sz w:val="18"/>
              </w:rPr>
              <w:t>2019/8/19</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和仁科技：关于股东减持计划届满的公告</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4" w:right="0"/>
              <w:jc w:val="center"/>
              <w:rPr>
                <w:rFonts w:ascii="Times New Roman" w:hAnsi="Times New Roman" w:cs="Times New Roman" w:eastAsia="Times New Roman" w:hint="default"/>
                <w:sz w:val="18"/>
                <w:szCs w:val="18"/>
              </w:rPr>
            </w:pPr>
            <w:r>
              <w:rPr>
                <w:rFonts w:ascii="Times New Roman"/>
                <w:sz w:val="18"/>
              </w:rPr>
              <w:t>100</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 w:right="0"/>
              <w:jc w:val="center"/>
              <w:rPr>
                <w:rFonts w:ascii="Times New Roman" w:hAnsi="Times New Roman" w:cs="Times New Roman" w:eastAsia="Times New Roman" w:hint="default"/>
                <w:sz w:val="18"/>
                <w:szCs w:val="18"/>
              </w:rPr>
            </w:pPr>
            <w:r>
              <w:rPr>
                <w:rFonts w:ascii="Times New Roman"/>
                <w:sz w:val="18"/>
              </w:rPr>
              <w:t>2019/8/30</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和仁科技：</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年半年度报告</w:t>
            </w:r>
          </w:p>
        </w:tc>
      </w:tr>
      <w:tr>
        <w:trPr>
          <w:trHeight w:val="350"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14" w:right="0"/>
              <w:jc w:val="center"/>
              <w:rPr>
                <w:rFonts w:ascii="Times New Roman" w:hAnsi="Times New Roman" w:cs="Times New Roman" w:eastAsia="Times New Roman" w:hint="default"/>
                <w:sz w:val="18"/>
                <w:szCs w:val="18"/>
              </w:rPr>
            </w:pPr>
            <w:r>
              <w:rPr>
                <w:rFonts w:ascii="Times New Roman"/>
                <w:sz w:val="18"/>
              </w:rPr>
              <w:t>101</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8" w:right="0"/>
              <w:jc w:val="center"/>
              <w:rPr>
                <w:rFonts w:ascii="Times New Roman" w:hAnsi="Times New Roman" w:cs="Times New Roman" w:eastAsia="Times New Roman" w:hint="default"/>
                <w:sz w:val="18"/>
                <w:szCs w:val="18"/>
              </w:rPr>
            </w:pPr>
            <w:r>
              <w:rPr>
                <w:rFonts w:ascii="Times New Roman"/>
                <w:sz w:val="18"/>
              </w:rPr>
              <w:t>2019/8/30</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和仁科技：股东减持计划预披露公告</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4" w:right="0"/>
              <w:jc w:val="center"/>
              <w:rPr>
                <w:rFonts w:ascii="Times New Roman" w:hAnsi="Times New Roman" w:cs="Times New Roman" w:eastAsia="Times New Roman" w:hint="default"/>
                <w:sz w:val="18"/>
                <w:szCs w:val="18"/>
              </w:rPr>
            </w:pPr>
            <w:r>
              <w:rPr>
                <w:rFonts w:ascii="Times New Roman"/>
                <w:sz w:val="18"/>
              </w:rPr>
              <w:t>102</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8" w:right="0"/>
              <w:jc w:val="center"/>
              <w:rPr>
                <w:rFonts w:ascii="Times New Roman" w:hAnsi="Times New Roman" w:cs="Times New Roman" w:eastAsia="Times New Roman" w:hint="default"/>
                <w:sz w:val="18"/>
                <w:szCs w:val="18"/>
              </w:rPr>
            </w:pPr>
            <w:r>
              <w:rPr>
                <w:rFonts w:ascii="Times New Roman"/>
                <w:sz w:val="18"/>
              </w:rPr>
              <w:t>2019/8/30</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和仁科技：</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年半年度报告摘要</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4" w:right="0"/>
              <w:jc w:val="center"/>
              <w:rPr>
                <w:rFonts w:ascii="Times New Roman" w:hAnsi="Times New Roman" w:cs="Times New Roman" w:eastAsia="Times New Roman" w:hint="default"/>
                <w:sz w:val="18"/>
                <w:szCs w:val="18"/>
              </w:rPr>
            </w:pPr>
            <w:r>
              <w:rPr>
                <w:rFonts w:ascii="Times New Roman"/>
                <w:sz w:val="18"/>
              </w:rPr>
              <w:t>103</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 w:right="0"/>
              <w:jc w:val="center"/>
              <w:rPr>
                <w:rFonts w:ascii="Times New Roman" w:hAnsi="Times New Roman" w:cs="Times New Roman" w:eastAsia="Times New Roman" w:hint="default"/>
                <w:sz w:val="18"/>
                <w:szCs w:val="18"/>
              </w:rPr>
            </w:pPr>
            <w:r>
              <w:rPr>
                <w:rFonts w:ascii="Times New Roman"/>
                <w:sz w:val="18"/>
              </w:rPr>
              <w:t>2019/8/30</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5"/>
              <w:jc w:val="left"/>
              <w:rPr>
                <w:rFonts w:ascii="宋体" w:hAnsi="宋体" w:cs="宋体" w:eastAsia="宋体" w:hint="default"/>
                <w:sz w:val="18"/>
                <w:szCs w:val="18"/>
              </w:rPr>
            </w:pPr>
            <w:r>
              <w:rPr>
                <w:rFonts w:ascii="宋体" w:hAnsi="宋体" w:cs="宋体" w:eastAsia="宋体" w:hint="default"/>
                <w:spacing w:val="-6"/>
                <w:sz w:val="18"/>
                <w:szCs w:val="18"/>
              </w:rPr>
              <w:t>和仁科技：</w:t>
            </w:r>
            <w:r>
              <w:rPr>
                <w:rFonts w:ascii="Times New Roman" w:hAnsi="Times New Roman" w:cs="Times New Roman" w:eastAsia="Times New Roman" w:hint="default"/>
                <w:spacing w:val="-6"/>
                <w:sz w:val="18"/>
                <w:szCs w:val="18"/>
              </w:rPr>
              <w:t>2019</w:t>
            </w:r>
            <w:r>
              <w:rPr>
                <w:rFonts w:ascii="宋体" w:hAnsi="宋体" w:cs="宋体" w:eastAsia="宋体" w:hint="default"/>
                <w:spacing w:val="-6"/>
                <w:sz w:val="18"/>
                <w:szCs w:val="18"/>
              </w:rPr>
              <w:t>年半年度报告披露提示性公告</w:t>
            </w:r>
          </w:p>
        </w:tc>
      </w:tr>
      <w:tr>
        <w:trPr>
          <w:trHeight w:val="662"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104</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2019/8/30</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5"/>
              <w:jc w:val="left"/>
              <w:rPr>
                <w:rFonts w:ascii="宋体" w:hAnsi="宋体" w:cs="宋体" w:eastAsia="宋体" w:hint="default"/>
                <w:sz w:val="18"/>
                <w:szCs w:val="18"/>
              </w:rPr>
            </w:pPr>
            <w:r>
              <w:rPr>
                <w:rFonts w:ascii="宋体" w:hAnsi="宋体" w:cs="宋体" w:eastAsia="宋体" w:hint="default"/>
                <w:spacing w:val="-6"/>
                <w:w w:val="101"/>
                <w:sz w:val="18"/>
                <w:szCs w:val="18"/>
              </w:rPr>
              <w:t>和仁科技：关于召开</w:t>
            </w:r>
            <w:r>
              <w:rPr>
                <w:rFonts w:ascii="Times New Roman" w:hAnsi="Times New Roman" w:cs="Times New Roman" w:eastAsia="Times New Roman" w:hint="default"/>
                <w:spacing w:val="-6"/>
                <w:w w:val="101"/>
                <w:sz w:val="18"/>
                <w:szCs w:val="18"/>
              </w:rPr>
              <w:t>2019</w:t>
            </w:r>
            <w:r>
              <w:rPr>
                <w:rFonts w:ascii="宋体" w:hAnsi="宋体" w:cs="宋体" w:eastAsia="宋体" w:hint="default"/>
                <w:spacing w:val="-6"/>
                <w:w w:val="101"/>
                <w:sz w:val="18"/>
                <w:szCs w:val="18"/>
              </w:rPr>
              <w:t>年第三次临时股东大</w:t>
            </w:r>
            <w:r>
              <w:rPr>
                <w:rFonts w:ascii="宋体" w:hAnsi="宋体" w:cs="宋体" w:eastAsia="宋体" w:hint="default"/>
                <w:spacing w:val="-79"/>
                <w:w w:val="101"/>
                <w:sz w:val="18"/>
                <w:szCs w:val="18"/>
              </w:rPr>
              <w:t> </w:t>
            </w:r>
            <w:r>
              <w:rPr>
                <w:rFonts w:ascii="宋体" w:hAnsi="宋体" w:cs="宋体" w:eastAsia="宋体" w:hint="default"/>
                <w:spacing w:val="-79"/>
                <w:w w:val="101"/>
                <w:sz w:val="18"/>
                <w:szCs w:val="18"/>
              </w:rPr>
            </w:r>
            <w:r>
              <w:rPr>
                <w:rFonts w:ascii="宋体" w:hAnsi="宋体" w:cs="宋体" w:eastAsia="宋体" w:hint="default"/>
                <w:sz w:val="18"/>
                <w:szCs w:val="18"/>
              </w:rPr>
              <w:t>会的通知</w:t>
            </w:r>
          </w:p>
        </w:tc>
      </w:tr>
      <w:tr>
        <w:trPr>
          <w:trHeight w:val="65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105</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2019/8/30</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4"/>
              <w:jc w:val="left"/>
              <w:rPr>
                <w:rFonts w:ascii="宋体" w:hAnsi="宋体" w:cs="宋体" w:eastAsia="宋体" w:hint="default"/>
                <w:sz w:val="18"/>
                <w:szCs w:val="18"/>
              </w:rPr>
            </w:pPr>
            <w:r>
              <w:rPr>
                <w:rFonts w:ascii="宋体" w:hAnsi="宋体" w:cs="宋体" w:eastAsia="宋体" w:hint="default"/>
                <w:spacing w:val="-6"/>
                <w:w w:val="101"/>
                <w:sz w:val="18"/>
                <w:szCs w:val="18"/>
              </w:rPr>
              <w:t>和仁科技：第二届董事会第二十次会议决议公</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告</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4" w:right="0"/>
              <w:jc w:val="center"/>
              <w:rPr>
                <w:rFonts w:ascii="Times New Roman" w:hAnsi="Times New Roman" w:cs="Times New Roman" w:eastAsia="Times New Roman" w:hint="default"/>
                <w:sz w:val="18"/>
                <w:szCs w:val="18"/>
              </w:rPr>
            </w:pPr>
            <w:r>
              <w:rPr>
                <w:rFonts w:ascii="Times New Roman"/>
                <w:sz w:val="18"/>
              </w:rPr>
              <w:t>106</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 w:right="0"/>
              <w:jc w:val="center"/>
              <w:rPr>
                <w:rFonts w:ascii="Times New Roman" w:hAnsi="Times New Roman" w:cs="Times New Roman" w:eastAsia="Times New Roman" w:hint="default"/>
                <w:sz w:val="18"/>
                <w:szCs w:val="18"/>
              </w:rPr>
            </w:pPr>
            <w:r>
              <w:rPr>
                <w:rFonts w:ascii="Times New Roman"/>
                <w:sz w:val="18"/>
              </w:rPr>
              <w:t>2019/8/30</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和仁科技：关于会计政策变更的公告</w:t>
            </w:r>
          </w:p>
        </w:tc>
      </w:tr>
      <w:tr>
        <w:trPr>
          <w:trHeight w:val="65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107</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2019/8/30</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spacing w:val="-6"/>
                <w:w w:val="101"/>
                <w:sz w:val="18"/>
                <w:szCs w:val="18"/>
              </w:rPr>
              <w:t>和仁科技：第二届监事会第十六次会议决议公</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告</w:t>
            </w:r>
          </w:p>
        </w:tc>
      </w:tr>
      <w:tr>
        <w:trPr>
          <w:trHeight w:val="663"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108</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2019/8/30</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5"/>
              <w:ind w:left="4" w:right="-4"/>
              <w:jc w:val="left"/>
              <w:rPr>
                <w:rFonts w:ascii="宋体" w:hAnsi="宋体" w:cs="宋体" w:eastAsia="宋体" w:hint="default"/>
                <w:sz w:val="18"/>
                <w:szCs w:val="18"/>
              </w:rPr>
            </w:pPr>
            <w:r>
              <w:rPr>
                <w:rFonts w:ascii="宋体" w:hAnsi="宋体" w:cs="宋体" w:eastAsia="宋体" w:hint="default"/>
                <w:spacing w:val="-6"/>
                <w:sz w:val="18"/>
                <w:szCs w:val="18"/>
              </w:rPr>
              <w:t>和仁科技：关于注册资本增加、修改公司章程</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的公告</w:t>
            </w:r>
          </w:p>
        </w:tc>
      </w:tr>
      <w:tr>
        <w:trPr>
          <w:trHeight w:val="65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109</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2019/8/30</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5"/>
              <w:jc w:val="left"/>
              <w:rPr>
                <w:rFonts w:ascii="宋体" w:hAnsi="宋体" w:cs="宋体" w:eastAsia="宋体" w:hint="default"/>
                <w:sz w:val="18"/>
                <w:szCs w:val="18"/>
              </w:rPr>
            </w:pPr>
            <w:r>
              <w:rPr>
                <w:rFonts w:ascii="宋体" w:hAnsi="宋体" w:cs="宋体" w:eastAsia="宋体" w:hint="default"/>
                <w:spacing w:val="-6"/>
                <w:w w:val="101"/>
                <w:sz w:val="18"/>
                <w:szCs w:val="18"/>
              </w:rPr>
              <w:t>和仁科技：关于募集资金</w:t>
            </w:r>
            <w:r>
              <w:rPr>
                <w:rFonts w:ascii="Times New Roman" w:hAnsi="Times New Roman" w:cs="Times New Roman" w:eastAsia="Times New Roman" w:hint="default"/>
                <w:spacing w:val="-6"/>
                <w:w w:val="101"/>
                <w:sz w:val="18"/>
                <w:szCs w:val="18"/>
              </w:rPr>
              <w:t>2019</w:t>
            </w:r>
            <w:r>
              <w:rPr>
                <w:rFonts w:ascii="宋体" w:hAnsi="宋体" w:cs="宋体" w:eastAsia="宋体" w:hint="default"/>
                <w:spacing w:val="-6"/>
                <w:w w:val="101"/>
                <w:sz w:val="18"/>
                <w:szCs w:val="18"/>
              </w:rPr>
              <w:t>年半年度存放与</w:t>
            </w:r>
            <w:r>
              <w:rPr>
                <w:rFonts w:ascii="宋体" w:hAnsi="宋体" w:cs="宋体" w:eastAsia="宋体" w:hint="default"/>
                <w:spacing w:val="-78"/>
                <w:w w:val="101"/>
                <w:sz w:val="18"/>
                <w:szCs w:val="18"/>
              </w:rPr>
              <w:t> </w:t>
            </w:r>
            <w:r>
              <w:rPr>
                <w:rFonts w:ascii="宋体" w:hAnsi="宋体" w:cs="宋体" w:eastAsia="宋体" w:hint="default"/>
                <w:spacing w:val="-78"/>
                <w:w w:val="101"/>
                <w:sz w:val="18"/>
                <w:szCs w:val="18"/>
              </w:rPr>
            </w:r>
            <w:r>
              <w:rPr>
                <w:rFonts w:ascii="宋体" w:hAnsi="宋体" w:cs="宋体" w:eastAsia="宋体" w:hint="default"/>
                <w:spacing w:val="-3"/>
                <w:sz w:val="18"/>
                <w:szCs w:val="18"/>
              </w:rPr>
              <w:t>使用情况的专项报告</w:t>
            </w:r>
          </w:p>
        </w:tc>
      </w:tr>
    </w:tbl>
    <w:p>
      <w:pPr>
        <w:spacing w:after="0" w:line="30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12.849998pt;margin-top:72.019981pt;width:369.9pt;height:684.2pt;mso-position-horizontal-relative:page;mso-position-vertical-relative:page;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94"/>
                    <w:gridCol w:w="2833"/>
                    <w:gridCol w:w="3549"/>
                  </w:tblGrid>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4" w:right="0"/>
                          <w:jc w:val="center"/>
                          <w:rPr>
                            <w:rFonts w:ascii="Times New Roman" w:hAnsi="Times New Roman" w:cs="Times New Roman" w:eastAsia="Times New Roman" w:hint="default"/>
                            <w:sz w:val="18"/>
                            <w:szCs w:val="18"/>
                          </w:rPr>
                        </w:pPr>
                        <w:r>
                          <w:rPr>
                            <w:rFonts w:ascii="Times New Roman"/>
                            <w:sz w:val="18"/>
                          </w:rPr>
                          <w:t>110</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46" w:right="0"/>
                          <w:jc w:val="left"/>
                          <w:rPr>
                            <w:rFonts w:ascii="Times New Roman" w:hAnsi="Times New Roman" w:cs="Times New Roman" w:eastAsia="Times New Roman" w:hint="default"/>
                            <w:sz w:val="18"/>
                            <w:szCs w:val="18"/>
                          </w:rPr>
                        </w:pPr>
                        <w:r>
                          <w:rPr>
                            <w:rFonts w:ascii="Times New Roman"/>
                            <w:sz w:val="18"/>
                          </w:rPr>
                          <w:t>2019/8/30</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和仁科技：关于计提资产减值准备的公告</w:t>
                        </w:r>
                      </w:p>
                    </w:tc>
                  </w:tr>
                  <w:tr>
                    <w:trPr>
                      <w:trHeight w:val="662"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111</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046" w:right="0"/>
                          <w:jc w:val="left"/>
                          <w:rPr>
                            <w:rFonts w:ascii="Times New Roman" w:hAnsi="Times New Roman" w:cs="Times New Roman" w:eastAsia="Times New Roman" w:hint="default"/>
                            <w:sz w:val="18"/>
                            <w:szCs w:val="18"/>
                          </w:rPr>
                        </w:pPr>
                        <w:r>
                          <w:rPr>
                            <w:rFonts w:ascii="Times New Roman"/>
                            <w:sz w:val="18"/>
                          </w:rPr>
                          <w:t>2019/8/30</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2" w:right="0"/>
                          <w:jc w:val="left"/>
                          <w:rPr>
                            <w:rFonts w:ascii="宋体" w:hAnsi="宋体" w:cs="宋体" w:eastAsia="宋体" w:hint="default"/>
                            <w:sz w:val="18"/>
                            <w:szCs w:val="18"/>
                          </w:rPr>
                        </w:pPr>
                        <w:r>
                          <w:rPr>
                            <w:rFonts w:ascii="宋体" w:hAnsi="宋体" w:cs="宋体" w:eastAsia="宋体" w:hint="default"/>
                            <w:spacing w:val="-3"/>
                            <w:sz w:val="18"/>
                            <w:szCs w:val="18"/>
                          </w:rPr>
                          <w:t>和仁科技：中信证券股份有限公司关于公司</w:t>
                        </w:r>
                      </w:p>
                      <w:p>
                        <w:pPr>
                          <w:pStyle w:val="TableParagraph"/>
                          <w:spacing w:line="240" w:lineRule="auto" w:before="76"/>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年半年度跟踪报告</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4" w:right="0"/>
                          <w:jc w:val="center"/>
                          <w:rPr>
                            <w:rFonts w:ascii="Times New Roman" w:hAnsi="Times New Roman" w:cs="Times New Roman" w:eastAsia="Times New Roman" w:hint="default"/>
                            <w:sz w:val="18"/>
                            <w:szCs w:val="18"/>
                          </w:rPr>
                        </w:pPr>
                        <w:r>
                          <w:rPr>
                            <w:rFonts w:ascii="Times New Roman"/>
                            <w:sz w:val="18"/>
                          </w:rPr>
                          <w:t>112</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046" w:right="0"/>
                          <w:jc w:val="left"/>
                          <w:rPr>
                            <w:rFonts w:ascii="Times New Roman" w:hAnsi="Times New Roman" w:cs="Times New Roman" w:eastAsia="Times New Roman" w:hint="default"/>
                            <w:sz w:val="18"/>
                            <w:szCs w:val="18"/>
                          </w:rPr>
                        </w:pPr>
                        <w:r>
                          <w:rPr>
                            <w:rFonts w:ascii="Times New Roman"/>
                            <w:sz w:val="18"/>
                          </w:rPr>
                          <w:t>2019/8/30</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和仁科技：公司章程（</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月）</w:t>
                        </w:r>
                        <w:r>
                          <w:rPr>
                            <w:rFonts w:ascii="宋体" w:hAnsi="宋体" w:cs="宋体" w:eastAsia="宋体" w:hint="default"/>
                            <w:sz w:val="18"/>
                            <w:szCs w:val="18"/>
                          </w:rPr>
                        </w:r>
                      </w:p>
                    </w:tc>
                  </w:tr>
                  <w:tr>
                    <w:trPr>
                      <w:trHeight w:val="65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113</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046" w:right="0"/>
                          <w:jc w:val="left"/>
                          <w:rPr>
                            <w:rFonts w:ascii="Times New Roman" w:hAnsi="Times New Roman" w:cs="Times New Roman" w:eastAsia="Times New Roman" w:hint="default"/>
                            <w:sz w:val="18"/>
                            <w:szCs w:val="18"/>
                          </w:rPr>
                        </w:pPr>
                        <w:r>
                          <w:rPr>
                            <w:rFonts w:ascii="Times New Roman"/>
                            <w:sz w:val="18"/>
                          </w:rPr>
                          <w:t>2019/8/30</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spacing w:val="-6"/>
                            <w:w w:val="101"/>
                            <w:sz w:val="18"/>
                            <w:szCs w:val="18"/>
                          </w:rPr>
                          <w:t>和仁科技：独立董事关于第二届董事会第二十</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3"/>
                            <w:sz w:val="18"/>
                            <w:szCs w:val="18"/>
                          </w:rPr>
                          <w:t>次会议相关事项的独立意见</w:t>
                        </w:r>
                      </w:p>
                    </w:tc>
                  </w:tr>
                  <w:tr>
                    <w:trPr>
                      <w:trHeight w:val="65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114</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046" w:right="0"/>
                          <w:jc w:val="left"/>
                          <w:rPr>
                            <w:rFonts w:ascii="Times New Roman" w:hAnsi="Times New Roman" w:cs="Times New Roman" w:eastAsia="Times New Roman" w:hint="default"/>
                            <w:sz w:val="18"/>
                            <w:szCs w:val="18"/>
                          </w:rPr>
                        </w:pPr>
                        <w:r>
                          <w:rPr>
                            <w:rFonts w:ascii="Times New Roman"/>
                            <w:sz w:val="18"/>
                          </w:rPr>
                          <w:t>2019/9/16</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56" w:firstLine="48"/>
                          <w:jc w:val="left"/>
                          <w:rPr>
                            <w:rFonts w:ascii="宋体" w:hAnsi="宋体" w:cs="宋体" w:eastAsia="宋体" w:hint="default"/>
                            <w:sz w:val="18"/>
                            <w:szCs w:val="18"/>
                          </w:rPr>
                        </w:pPr>
                        <w:r>
                          <w:rPr>
                            <w:rFonts w:ascii="宋体" w:hAnsi="宋体" w:cs="宋体" w:eastAsia="宋体" w:hint="default"/>
                            <w:spacing w:val="-3"/>
                            <w:sz w:val="18"/>
                            <w:szCs w:val="18"/>
                          </w:rPr>
                          <w:t>和仁科技：</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年第三次临时股东大会决议</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公告</w:t>
                        </w:r>
                      </w:p>
                    </w:tc>
                  </w:tr>
                  <w:tr>
                    <w:trPr>
                      <w:trHeight w:val="663"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115</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46" w:right="0"/>
                          <w:jc w:val="left"/>
                          <w:rPr>
                            <w:rFonts w:ascii="Times New Roman" w:hAnsi="Times New Roman" w:cs="Times New Roman" w:eastAsia="Times New Roman" w:hint="default"/>
                            <w:sz w:val="18"/>
                            <w:szCs w:val="18"/>
                          </w:rPr>
                        </w:pPr>
                        <w:r>
                          <w:rPr>
                            <w:rFonts w:ascii="Times New Roman"/>
                            <w:sz w:val="18"/>
                          </w:rPr>
                          <w:t>2019/9/16</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5"/>
                          <w:ind w:left="4" w:right="-5"/>
                          <w:jc w:val="left"/>
                          <w:rPr>
                            <w:rFonts w:ascii="宋体" w:hAnsi="宋体" w:cs="宋体" w:eastAsia="宋体" w:hint="default"/>
                            <w:sz w:val="18"/>
                            <w:szCs w:val="18"/>
                          </w:rPr>
                        </w:pPr>
                        <w:r>
                          <w:rPr>
                            <w:rFonts w:ascii="宋体" w:hAnsi="宋体" w:cs="宋体" w:eastAsia="宋体" w:hint="default"/>
                            <w:spacing w:val="-6"/>
                            <w:sz w:val="18"/>
                            <w:szCs w:val="18"/>
                          </w:rPr>
                          <w:t>和仁科技：</w:t>
                        </w:r>
                        <w:r>
                          <w:rPr>
                            <w:rFonts w:ascii="Times New Roman" w:hAnsi="Times New Roman" w:cs="Times New Roman" w:eastAsia="Times New Roman" w:hint="default"/>
                            <w:spacing w:val="-6"/>
                            <w:sz w:val="18"/>
                            <w:szCs w:val="18"/>
                          </w:rPr>
                          <w:t>2019</w:t>
                        </w:r>
                        <w:r>
                          <w:rPr>
                            <w:rFonts w:ascii="宋体" w:hAnsi="宋体" w:cs="宋体" w:eastAsia="宋体" w:hint="default"/>
                            <w:spacing w:val="-6"/>
                            <w:sz w:val="18"/>
                            <w:szCs w:val="18"/>
                          </w:rPr>
                          <w:t>年第三次临时股东大会的法律</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z w:val="18"/>
                            <w:szCs w:val="18"/>
                          </w:rPr>
                          <w:t>意见书</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4" w:right="0"/>
                          <w:jc w:val="center"/>
                          <w:rPr>
                            <w:rFonts w:ascii="Times New Roman" w:hAnsi="Times New Roman" w:cs="Times New Roman" w:eastAsia="Times New Roman" w:hint="default"/>
                            <w:sz w:val="18"/>
                            <w:szCs w:val="18"/>
                          </w:rPr>
                        </w:pPr>
                        <w:r>
                          <w:rPr>
                            <w:rFonts w:ascii="Times New Roman"/>
                            <w:sz w:val="18"/>
                          </w:rPr>
                          <w:t>116</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03" w:right="0"/>
                          <w:jc w:val="left"/>
                          <w:rPr>
                            <w:rFonts w:ascii="Times New Roman" w:hAnsi="Times New Roman" w:cs="Times New Roman" w:eastAsia="Times New Roman" w:hint="default"/>
                            <w:sz w:val="18"/>
                            <w:szCs w:val="18"/>
                          </w:rPr>
                        </w:pPr>
                        <w:r>
                          <w:rPr>
                            <w:rFonts w:ascii="Times New Roman"/>
                            <w:sz w:val="18"/>
                          </w:rPr>
                          <w:t>2019/10/11</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和仁科技：</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年前三季度业绩预告</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4" w:right="0"/>
                          <w:jc w:val="center"/>
                          <w:rPr>
                            <w:rFonts w:ascii="Times New Roman" w:hAnsi="Times New Roman" w:cs="Times New Roman" w:eastAsia="Times New Roman" w:hint="default"/>
                            <w:sz w:val="18"/>
                            <w:szCs w:val="18"/>
                          </w:rPr>
                        </w:pPr>
                        <w:r>
                          <w:rPr>
                            <w:rFonts w:ascii="Times New Roman"/>
                            <w:sz w:val="18"/>
                          </w:rPr>
                          <w:t>117</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03" w:right="0"/>
                          <w:jc w:val="left"/>
                          <w:rPr>
                            <w:rFonts w:ascii="Times New Roman" w:hAnsi="Times New Roman" w:cs="Times New Roman" w:eastAsia="Times New Roman" w:hint="default"/>
                            <w:sz w:val="18"/>
                            <w:szCs w:val="18"/>
                          </w:rPr>
                        </w:pPr>
                        <w:r>
                          <w:rPr>
                            <w:rFonts w:ascii="Times New Roman"/>
                            <w:sz w:val="18"/>
                          </w:rPr>
                          <w:t>2019/10/18</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5"/>
                          <w:jc w:val="left"/>
                          <w:rPr>
                            <w:rFonts w:ascii="宋体" w:hAnsi="宋体" w:cs="宋体" w:eastAsia="宋体" w:hint="default"/>
                            <w:sz w:val="18"/>
                            <w:szCs w:val="18"/>
                          </w:rPr>
                        </w:pPr>
                        <w:r>
                          <w:rPr>
                            <w:rFonts w:ascii="宋体" w:hAnsi="宋体" w:cs="宋体" w:eastAsia="宋体" w:hint="default"/>
                            <w:spacing w:val="-6"/>
                            <w:sz w:val="18"/>
                            <w:szCs w:val="18"/>
                          </w:rPr>
                          <w:t>和仁科技：</w:t>
                        </w:r>
                        <w:r>
                          <w:rPr>
                            <w:rFonts w:ascii="Times New Roman" w:hAnsi="Times New Roman" w:cs="Times New Roman" w:eastAsia="Times New Roman" w:hint="default"/>
                            <w:spacing w:val="-6"/>
                            <w:sz w:val="18"/>
                            <w:szCs w:val="18"/>
                          </w:rPr>
                          <w:t>2019</w:t>
                        </w:r>
                        <w:r>
                          <w:rPr>
                            <w:rFonts w:ascii="宋体" w:hAnsi="宋体" w:cs="宋体" w:eastAsia="宋体" w:hint="default"/>
                            <w:spacing w:val="-6"/>
                            <w:sz w:val="18"/>
                            <w:szCs w:val="18"/>
                          </w:rPr>
                          <w:t>年三季度报告披露提示性公告</w:t>
                        </w:r>
                      </w:p>
                    </w:tc>
                  </w:tr>
                  <w:tr>
                    <w:trPr>
                      <w:trHeight w:val="350"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14" w:right="0"/>
                          <w:jc w:val="center"/>
                          <w:rPr>
                            <w:rFonts w:ascii="Times New Roman" w:hAnsi="Times New Roman" w:cs="Times New Roman" w:eastAsia="Times New Roman" w:hint="default"/>
                            <w:sz w:val="18"/>
                            <w:szCs w:val="18"/>
                          </w:rPr>
                        </w:pPr>
                        <w:r>
                          <w:rPr>
                            <w:rFonts w:ascii="Times New Roman"/>
                            <w:sz w:val="18"/>
                          </w:rPr>
                          <w:t>118</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1003" w:right="0"/>
                          <w:jc w:val="left"/>
                          <w:rPr>
                            <w:rFonts w:ascii="Times New Roman" w:hAnsi="Times New Roman" w:cs="Times New Roman" w:eastAsia="Times New Roman" w:hint="default"/>
                            <w:sz w:val="18"/>
                            <w:szCs w:val="18"/>
                          </w:rPr>
                        </w:pPr>
                        <w:r>
                          <w:rPr>
                            <w:rFonts w:ascii="Times New Roman"/>
                            <w:sz w:val="18"/>
                          </w:rPr>
                          <w:t>2019/10/18</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和仁科技：</w:t>
                        </w:r>
                        <w:r>
                          <w:rPr>
                            <w:rFonts w:ascii="Times New Roman" w:hAnsi="Times New Roman" w:cs="Times New Roman" w:eastAsia="Times New Roman" w:hint="default"/>
                            <w:sz w:val="18"/>
                            <w:szCs w:val="18"/>
                          </w:rPr>
                          <w:t>2019</w:t>
                        </w:r>
                        <w:r>
                          <w:rPr>
                            <w:rFonts w:ascii="宋体" w:hAnsi="宋体" w:cs="宋体" w:eastAsia="宋体" w:hint="default"/>
                            <w:sz w:val="18"/>
                            <w:szCs w:val="18"/>
                          </w:rPr>
                          <w:t>年第三季度报告全文</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4" w:right="0"/>
                          <w:jc w:val="center"/>
                          <w:rPr>
                            <w:rFonts w:ascii="Times New Roman" w:hAnsi="Times New Roman" w:cs="Times New Roman" w:eastAsia="Times New Roman" w:hint="default"/>
                            <w:sz w:val="18"/>
                            <w:szCs w:val="18"/>
                          </w:rPr>
                        </w:pPr>
                        <w:r>
                          <w:rPr>
                            <w:rFonts w:ascii="Times New Roman"/>
                            <w:sz w:val="18"/>
                          </w:rPr>
                          <w:t>119</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003" w:right="0"/>
                          <w:jc w:val="left"/>
                          <w:rPr>
                            <w:rFonts w:ascii="Times New Roman" w:hAnsi="Times New Roman" w:cs="Times New Roman" w:eastAsia="Times New Roman" w:hint="default"/>
                            <w:sz w:val="18"/>
                            <w:szCs w:val="18"/>
                          </w:rPr>
                        </w:pPr>
                        <w:r>
                          <w:rPr>
                            <w:rFonts w:ascii="Times New Roman"/>
                            <w:sz w:val="18"/>
                          </w:rPr>
                          <w:t>2019/10/18</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和仁科技：关于计提资产减值准备的公告</w:t>
                        </w:r>
                      </w:p>
                    </w:tc>
                  </w:tr>
                  <w:tr>
                    <w:trPr>
                      <w:trHeight w:val="65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120</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003" w:right="0"/>
                          <w:jc w:val="left"/>
                          <w:rPr>
                            <w:rFonts w:ascii="Times New Roman" w:hAnsi="Times New Roman" w:cs="Times New Roman" w:eastAsia="Times New Roman" w:hint="default"/>
                            <w:sz w:val="18"/>
                            <w:szCs w:val="18"/>
                          </w:rPr>
                        </w:pPr>
                        <w:r>
                          <w:rPr>
                            <w:rFonts w:ascii="Times New Roman"/>
                            <w:sz w:val="18"/>
                          </w:rPr>
                          <w:t>2019/10/22</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5"/>
                          <w:jc w:val="left"/>
                          <w:rPr>
                            <w:rFonts w:ascii="宋体" w:hAnsi="宋体" w:cs="宋体" w:eastAsia="宋体" w:hint="default"/>
                            <w:sz w:val="18"/>
                            <w:szCs w:val="18"/>
                          </w:rPr>
                        </w:pPr>
                        <w:r>
                          <w:rPr>
                            <w:rFonts w:ascii="宋体" w:hAnsi="宋体" w:cs="宋体" w:eastAsia="宋体" w:hint="default"/>
                            <w:spacing w:val="-6"/>
                            <w:w w:val="101"/>
                            <w:sz w:val="18"/>
                            <w:szCs w:val="18"/>
                          </w:rPr>
                          <w:t>和仁科技：关于召开</w:t>
                        </w:r>
                        <w:r>
                          <w:rPr>
                            <w:rFonts w:ascii="Times New Roman" w:hAnsi="Times New Roman" w:cs="Times New Roman" w:eastAsia="Times New Roman" w:hint="default"/>
                            <w:spacing w:val="-6"/>
                            <w:w w:val="101"/>
                            <w:sz w:val="18"/>
                            <w:szCs w:val="18"/>
                          </w:rPr>
                          <w:t>2019</w:t>
                        </w:r>
                        <w:r>
                          <w:rPr>
                            <w:rFonts w:ascii="宋体" w:hAnsi="宋体" w:cs="宋体" w:eastAsia="宋体" w:hint="default"/>
                            <w:spacing w:val="-6"/>
                            <w:w w:val="101"/>
                            <w:sz w:val="18"/>
                            <w:szCs w:val="18"/>
                          </w:rPr>
                          <w:t>年第四次临时股东大</w:t>
                        </w:r>
                        <w:r>
                          <w:rPr>
                            <w:rFonts w:ascii="宋体" w:hAnsi="宋体" w:cs="宋体" w:eastAsia="宋体" w:hint="default"/>
                            <w:spacing w:val="-79"/>
                            <w:w w:val="101"/>
                            <w:sz w:val="18"/>
                            <w:szCs w:val="18"/>
                          </w:rPr>
                          <w:t> </w:t>
                        </w:r>
                        <w:r>
                          <w:rPr>
                            <w:rFonts w:ascii="宋体" w:hAnsi="宋体" w:cs="宋体" w:eastAsia="宋体" w:hint="default"/>
                            <w:spacing w:val="-79"/>
                            <w:w w:val="101"/>
                            <w:sz w:val="18"/>
                            <w:szCs w:val="18"/>
                          </w:rPr>
                        </w:r>
                        <w:r>
                          <w:rPr>
                            <w:rFonts w:ascii="宋体" w:hAnsi="宋体" w:cs="宋体" w:eastAsia="宋体" w:hint="default"/>
                            <w:sz w:val="18"/>
                            <w:szCs w:val="18"/>
                          </w:rPr>
                          <w:t>会的通知</w:t>
                        </w:r>
                      </w:p>
                    </w:tc>
                  </w:tr>
                  <w:tr>
                    <w:trPr>
                      <w:trHeight w:val="65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121</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003" w:right="0"/>
                          <w:jc w:val="left"/>
                          <w:rPr>
                            <w:rFonts w:ascii="Times New Roman" w:hAnsi="Times New Roman" w:cs="Times New Roman" w:eastAsia="Times New Roman" w:hint="default"/>
                            <w:sz w:val="18"/>
                            <w:szCs w:val="18"/>
                          </w:rPr>
                        </w:pPr>
                        <w:r>
                          <w:rPr>
                            <w:rFonts w:ascii="Times New Roman"/>
                            <w:sz w:val="18"/>
                          </w:rPr>
                          <w:t>2019/10/22</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spacing w:val="-6"/>
                            <w:w w:val="101"/>
                            <w:sz w:val="18"/>
                            <w:szCs w:val="18"/>
                          </w:rPr>
                          <w:t>和仁科技：第二届董事会第二十二次会议决议</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公告</w:t>
                        </w:r>
                      </w:p>
                    </w:tc>
                  </w:tr>
                  <w:tr>
                    <w:trPr>
                      <w:trHeight w:val="663"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122</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03" w:right="0"/>
                          <w:jc w:val="left"/>
                          <w:rPr>
                            <w:rFonts w:ascii="Times New Roman" w:hAnsi="Times New Roman" w:cs="Times New Roman" w:eastAsia="Times New Roman" w:hint="default"/>
                            <w:sz w:val="18"/>
                            <w:szCs w:val="18"/>
                          </w:rPr>
                        </w:pPr>
                        <w:r>
                          <w:rPr>
                            <w:rFonts w:ascii="Times New Roman"/>
                            <w:sz w:val="18"/>
                          </w:rPr>
                          <w:t>2019/10/22</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5"/>
                          <w:ind w:left="4" w:right="-5"/>
                          <w:jc w:val="left"/>
                          <w:rPr>
                            <w:rFonts w:ascii="宋体" w:hAnsi="宋体" w:cs="宋体" w:eastAsia="宋体" w:hint="default"/>
                            <w:sz w:val="18"/>
                            <w:szCs w:val="18"/>
                          </w:rPr>
                        </w:pPr>
                        <w:r>
                          <w:rPr>
                            <w:rFonts w:ascii="宋体" w:hAnsi="宋体" w:cs="宋体" w:eastAsia="宋体" w:hint="default"/>
                            <w:spacing w:val="-3"/>
                            <w:sz w:val="18"/>
                            <w:szCs w:val="18"/>
                          </w:rPr>
                          <w:t>和仁科技：</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年创业板非公开发行</w:t>
                        </w:r>
                        <w:r>
                          <w:rPr>
                            <w:rFonts w:ascii="Times New Roman" w:hAnsi="Times New Roman" w:cs="Times New Roman" w:eastAsia="Times New Roman" w:hint="default"/>
                            <w:spacing w:val="-3"/>
                            <w:sz w:val="18"/>
                            <w:szCs w:val="18"/>
                          </w:rPr>
                          <w:t>A</w:t>
                        </w:r>
                        <w:r>
                          <w:rPr>
                            <w:rFonts w:ascii="宋体" w:hAnsi="宋体" w:cs="宋体" w:eastAsia="宋体" w:hint="default"/>
                            <w:spacing w:val="-3"/>
                            <w:sz w:val="18"/>
                            <w:szCs w:val="18"/>
                          </w:rPr>
                          <w:t>股股票</w:t>
                        </w:r>
                        <w:r>
                          <w:rPr>
                            <w:rFonts w:ascii="宋体" w:hAnsi="宋体" w:cs="宋体" w:eastAsia="宋体" w:hint="default"/>
                            <w:spacing w:val="-43"/>
                            <w:sz w:val="18"/>
                            <w:szCs w:val="18"/>
                          </w:rPr>
                          <w:t> </w:t>
                        </w:r>
                        <w:r>
                          <w:rPr>
                            <w:rFonts w:ascii="宋体" w:hAnsi="宋体" w:cs="宋体" w:eastAsia="宋体" w:hint="default"/>
                            <w:sz w:val="18"/>
                            <w:szCs w:val="18"/>
                          </w:rPr>
                          <w:t>预案</w:t>
                        </w:r>
                      </w:p>
                    </w:tc>
                  </w:tr>
                  <w:tr>
                    <w:trPr>
                      <w:trHeight w:val="65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123</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003" w:right="0"/>
                          <w:jc w:val="left"/>
                          <w:rPr>
                            <w:rFonts w:ascii="Times New Roman" w:hAnsi="Times New Roman" w:cs="Times New Roman" w:eastAsia="Times New Roman" w:hint="default"/>
                            <w:sz w:val="18"/>
                            <w:szCs w:val="18"/>
                          </w:rPr>
                        </w:pPr>
                        <w:r>
                          <w:rPr>
                            <w:rFonts w:ascii="Times New Roman"/>
                            <w:sz w:val="18"/>
                          </w:rPr>
                          <w:t>2019/10/22</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1"/>
                          <w:jc w:val="left"/>
                          <w:rPr>
                            <w:rFonts w:ascii="宋体" w:hAnsi="宋体" w:cs="宋体" w:eastAsia="宋体" w:hint="default"/>
                            <w:sz w:val="18"/>
                            <w:szCs w:val="18"/>
                          </w:rPr>
                        </w:pPr>
                        <w:r>
                          <w:rPr>
                            <w:rFonts w:ascii="宋体" w:hAnsi="宋体" w:cs="宋体" w:eastAsia="宋体" w:hint="default"/>
                            <w:spacing w:val="-4"/>
                            <w:sz w:val="18"/>
                            <w:szCs w:val="18"/>
                          </w:rPr>
                          <w:t>和仁科技：关于</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年创业板非公开发行</w:t>
                        </w:r>
                        <w:r>
                          <w:rPr>
                            <w:rFonts w:ascii="Times New Roman" w:hAnsi="Times New Roman" w:cs="Times New Roman" w:eastAsia="Times New Roman" w:hint="default"/>
                            <w:spacing w:val="-4"/>
                            <w:sz w:val="18"/>
                            <w:szCs w:val="18"/>
                          </w:rPr>
                          <w:t>A</w:t>
                        </w:r>
                        <w:r>
                          <w:rPr>
                            <w:rFonts w:ascii="宋体" w:hAnsi="宋体" w:cs="宋体" w:eastAsia="宋体" w:hint="default"/>
                            <w:spacing w:val="-4"/>
                            <w:sz w:val="18"/>
                            <w:szCs w:val="18"/>
                          </w:rPr>
                          <w:t>股</w:t>
                        </w:r>
                        <w:r>
                          <w:rPr>
                            <w:rFonts w:ascii="宋体" w:hAnsi="宋体" w:cs="宋体" w:eastAsia="宋体" w:hint="default"/>
                            <w:spacing w:val="-26"/>
                            <w:sz w:val="18"/>
                            <w:szCs w:val="18"/>
                          </w:rPr>
                          <w:t> </w:t>
                        </w:r>
                        <w:r>
                          <w:rPr>
                            <w:rFonts w:ascii="宋体" w:hAnsi="宋体" w:cs="宋体" w:eastAsia="宋体" w:hint="default"/>
                            <w:sz w:val="18"/>
                            <w:szCs w:val="18"/>
                          </w:rPr>
                          <w:t>股票预案的提示性公告</w:t>
                        </w:r>
                      </w:p>
                    </w:tc>
                  </w:tr>
                  <w:tr>
                    <w:trPr>
                      <w:trHeight w:val="65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124</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003" w:right="0"/>
                          <w:jc w:val="left"/>
                          <w:rPr>
                            <w:rFonts w:ascii="Times New Roman" w:hAnsi="Times New Roman" w:cs="Times New Roman" w:eastAsia="Times New Roman" w:hint="default"/>
                            <w:sz w:val="18"/>
                            <w:szCs w:val="18"/>
                          </w:rPr>
                        </w:pPr>
                        <w:r>
                          <w:rPr>
                            <w:rFonts w:ascii="Times New Roman"/>
                            <w:sz w:val="18"/>
                          </w:rPr>
                          <w:t>2019/10/22</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4"/>
                          <w:jc w:val="left"/>
                          <w:rPr>
                            <w:rFonts w:ascii="宋体" w:hAnsi="宋体" w:cs="宋体" w:eastAsia="宋体" w:hint="default"/>
                            <w:sz w:val="18"/>
                            <w:szCs w:val="18"/>
                          </w:rPr>
                        </w:pPr>
                        <w:r>
                          <w:rPr>
                            <w:rFonts w:ascii="宋体" w:hAnsi="宋体" w:cs="宋体" w:eastAsia="宋体" w:hint="default"/>
                            <w:spacing w:val="-6"/>
                            <w:w w:val="101"/>
                            <w:sz w:val="18"/>
                            <w:szCs w:val="18"/>
                          </w:rPr>
                          <w:t>和仁科技：第二届监事会第十八次会议决议公</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告</w:t>
                        </w:r>
                      </w:p>
                    </w:tc>
                  </w:tr>
                  <w:tr>
                    <w:trPr>
                      <w:trHeight w:val="662"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125</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003" w:right="0"/>
                          <w:jc w:val="left"/>
                          <w:rPr>
                            <w:rFonts w:ascii="Times New Roman" w:hAnsi="Times New Roman" w:cs="Times New Roman" w:eastAsia="Times New Roman" w:hint="default"/>
                            <w:sz w:val="18"/>
                            <w:szCs w:val="18"/>
                          </w:rPr>
                        </w:pPr>
                        <w:r>
                          <w:rPr>
                            <w:rFonts w:ascii="Times New Roman"/>
                            <w:sz w:val="18"/>
                          </w:rPr>
                          <w:t>2019/10/22</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5"/>
                          <w:ind w:left="4" w:right="-5"/>
                          <w:jc w:val="left"/>
                          <w:rPr>
                            <w:rFonts w:ascii="宋体" w:hAnsi="宋体" w:cs="宋体" w:eastAsia="宋体" w:hint="default"/>
                            <w:sz w:val="18"/>
                            <w:szCs w:val="18"/>
                          </w:rPr>
                        </w:pPr>
                        <w:r>
                          <w:rPr>
                            <w:rFonts w:ascii="宋体" w:hAnsi="宋体" w:cs="宋体" w:eastAsia="宋体" w:hint="default"/>
                            <w:spacing w:val="-3"/>
                            <w:sz w:val="18"/>
                            <w:szCs w:val="18"/>
                          </w:rPr>
                          <w:t>和仁科技：</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年创业板非公开发行</w:t>
                        </w:r>
                        <w:r>
                          <w:rPr>
                            <w:rFonts w:ascii="Times New Roman" w:hAnsi="Times New Roman" w:cs="Times New Roman" w:eastAsia="Times New Roman" w:hint="default"/>
                            <w:spacing w:val="-3"/>
                            <w:sz w:val="18"/>
                            <w:szCs w:val="18"/>
                          </w:rPr>
                          <w:t>A</w:t>
                        </w:r>
                        <w:r>
                          <w:rPr>
                            <w:rFonts w:ascii="宋体" w:hAnsi="宋体" w:cs="宋体" w:eastAsia="宋体" w:hint="default"/>
                            <w:spacing w:val="-3"/>
                            <w:sz w:val="18"/>
                            <w:szCs w:val="18"/>
                          </w:rPr>
                          <w:t>股股票</w:t>
                        </w:r>
                        <w:r>
                          <w:rPr>
                            <w:rFonts w:ascii="宋体" w:hAnsi="宋体" w:cs="宋体" w:eastAsia="宋体" w:hint="default"/>
                            <w:spacing w:val="-43"/>
                            <w:sz w:val="18"/>
                            <w:szCs w:val="18"/>
                          </w:rPr>
                          <w:t> </w:t>
                        </w:r>
                        <w:r>
                          <w:rPr>
                            <w:rFonts w:ascii="宋体" w:hAnsi="宋体" w:cs="宋体" w:eastAsia="宋体" w:hint="default"/>
                            <w:sz w:val="18"/>
                            <w:szCs w:val="18"/>
                          </w:rPr>
                          <w:t>方案论证分析报告</w:t>
                        </w:r>
                      </w:p>
                    </w:tc>
                  </w:tr>
                  <w:tr>
                    <w:trPr>
                      <w:trHeight w:val="65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126</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003" w:right="0"/>
                          <w:jc w:val="left"/>
                          <w:rPr>
                            <w:rFonts w:ascii="Times New Roman" w:hAnsi="Times New Roman" w:cs="Times New Roman" w:eastAsia="Times New Roman" w:hint="default"/>
                            <w:sz w:val="18"/>
                            <w:szCs w:val="18"/>
                          </w:rPr>
                        </w:pPr>
                        <w:r>
                          <w:rPr>
                            <w:rFonts w:ascii="Times New Roman"/>
                            <w:sz w:val="18"/>
                          </w:rPr>
                          <w:t>2019/10/22</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5"/>
                          <w:jc w:val="left"/>
                          <w:rPr>
                            <w:rFonts w:ascii="宋体" w:hAnsi="宋体" w:cs="宋体" w:eastAsia="宋体" w:hint="default"/>
                            <w:sz w:val="18"/>
                            <w:szCs w:val="18"/>
                          </w:rPr>
                        </w:pPr>
                        <w:r>
                          <w:rPr>
                            <w:rFonts w:ascii="宋体" w:hAnsi="宋体" w:cs="宋体" w:eastAsia="宋体" w:hint="default"/>
                            <w:spacing w:val="-3"/>
                            <w:sz w:val="18"/>
                            <w:szCs w:val="18"/>
                          </w:rPr>
                          <w:t>和仁科技：</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年创业板非公开发行</w:t>
                        </w:r>
                        <w:r>
                          <w:rPr>
                            <w:rFonts w:ascii="Times New Roman" w:hAnsi="Times New Roman" w:cs="Times New Roman" w:eastAsia="Times New Roman" w:hint="default"/>
                            <w:spacing w:val="-3"/>
                            <w:sz w:val="18"/>
                            <w:szCs w:val="18"/>
                          </w:rPr>
                          <w:t>A</w:t>
                        </w:r>
                        <w:r>
                          <w:rPr>
                            <w:rFonts w:ascii="宋体" w:hAnsi="宋体" w:cs="宋体" w:eastAsia="宋体" w:hint="default"/>
                            <w:spacing w:val="-3"/>
                            <w:sz w:val="18"/>
                            <w:szCs w:val="18"/>
                          </w:rPr>
                          <w:t>股股票</w:t>
                        </w:r>
                        <w:r>
                          <w:rPr>
                            <w:rFonts w:ascii="宋体" w:hAnsi="宋体" w:cs="宋体" w:eastAsia="宋体" w:hint="default"/>
                            <w:spacing w:val="-43"/>
                            <w:sz w:val="18"/>
                            <w:szCs w:val="18"/>
                          </w:rPr>
                          <w:t> </w:t>
                        </w:r>
                        <w:r>
                          <w:rPr>
                            <w:rFonts w:ascii="宋体" w:hAnsi="宋体" w:cs="宋体" w:eastAsia="宋体" w:hint="default"/>
                            <w:spacing w:val="-3"/>
                            <w:sz w:val="18"/>
                            <w:szCs w:val="18"/>
                          </w:rPr>
                          <w:t>募集资金使用的可行性分析报告</w:t>
                        </w:r>
                      </w:p>
                    </w:tc>
                  </w:tr>
                  <w:tr>
                    <w:trPr>
                      <w:trHeight w:val="65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127</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03" w:right="0"/>
                          <w:jc w:val="left"/>
                          <w:rPr>
                            <w:rFonts w:ascii="Times New Roman" w:hAnsi="Times New Roman" w:cs="Times New Roman" w:eastAsia="Times New Roman" w:hint="default"/>
                            <w:sz w:val="18"/>
                            <w:szCs w:val="18"/>
                          </w:rPr>
                        </w:pPr>
                        <w:r>
                          <w:rPr>
                            <w:rFonts w:ascii="Times New Roman"/>
                            <w:sz w:val="18"/>
                          </w:rPr>
                          <w:t>2019/10/22</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04"/>
                          <w:jc w:val="left"/>
                          <w:rPr>
                            <w:rFonts w:ascii="宋体" w:hAnsi="宋体" w:cs="宋体" w:eastAsia="宋体" w:hint="default"/>
                            <w:sz w:val="18"/>
                            <w:szCs w:val="18"/>
                          </w:rPr>
                        </w:pPr>
                        <w:r>
                          <w:rPr>
                            <w:rFonts w:ascii="宋体" w:hAnsi="宋体" w:cs="宋体" w:eastAsia="宋体" w:hint="default"/>
                            <w:spacing w:val="-3"/>
                            <w:sz w:val="18"/>
                            <w:szCs w:val="18"/>
                          </w:rPr>
                          <w:t>和仁科技：创业板非公开发行摊薄即期回报</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采取填补措施及相关主体承诺的公告</w:t>
                        </w:r>
                      </w:p>
                    </w:tc>
                  </w:tr>
                  <w:tr>
                    <w:trPr>
                      <w:trHeight w:val="350"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4" w:right="0"/>
                          <w:jc w:val="center"/>
                          <w:rPr>
                            <w:rFonts w:ascii="Times New Roman" w:hAnsi="Times New Roman" w:cs="Times New Roman" w:eastAsia="Times New Roman" w:hint="default"/>
                            <w:sz w:val="18"/>
                            <w:szCs w:val="18"/>
                          </w:rPr>
                        </w:pPr>
                        <w:r>
                          <w:rPr>
                            <w:rFonts w:ascii="Times New Roman"/>
                            <w:sz w:val="18"/>
                          </w:rPr>
                          <w:t>128</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03" w:right="0"/>
                          <w:jc w:val="left"/>
                          <w:rPr>
                            <w:rFonts w:ascii="Times New Roman" w:hAnsi="Times New Roman" w:cs="Times New Roman" w:eastAsia="Times New Roman" w:hint="default"/>
                            <w:sz w:val="18"/>
                            <w:szCs w:val="18"/>
                          </w:rPr>
                        </w:pPr>
                        <w:r>
                          <w:rPr>
                            <w:rFonts w:ascii="Times New Roman"/>
                            <w:sz w:val="18"/>
                          </w:rPr>
                          <w:t>2019/10/22</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和仁科技：关于前次募集资金使用情况报告</w:t>
                        </w:r>
                      </w:p>
                    </w:tc>
                  </w:tr>
                  <w:tr>
                    <w:trPr>
                      <w:trHeight w:val="65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129</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003" w:right="0"/>
                          <w:jc w:val="left"/>
                          <w:rPr>
                            <w:rFonts w:ascii="Times New Roman" w:hAnsi="Times New Roman" w:cs="Times New Roman" w:eastAsia="Times New Roman" w:hint="default"/>
                            <w:sz w:val="18"/>
                            <w:szCs w:val="18"/>
                          </w:rPr>
                        </w:pPr>
                        <w:r>
                          <w:rPr>
                            <w:rFonts w:ascii="Times New Roman"/>
                            <w:sz w:val="18"/>
                          </w:rPr>
                          <w:t>2019/10/22</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spacing w:val="-6"/>
                            <w:w w:val="101"/>
                            <w:sz w:val="18"/>
                            <w:szCs w:val="18"/>
                          </w:rPr>
                          <w:t>和仁科技：关于最近五年被证券监管部门和交</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3"/>
                            <w:sz w:val="18"/>
                            <w:szCs w:val="18"/>
                          </w:rPr>
                          <w:t>易所处罚或采取监管措施情况的公告</w:t>
                        </w:r>
                      </w:p>
                    </w:tc>
                  </w:tr>
                  <w:tr>
                    <w:trPr>
                      <w:trHeight w:val="65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130</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03" w:right="0"/>
                          <w:jc w:val="left"/>
                          <w:rPr>
                            <w:rFonts w:ascii="Times New Roman" w:hAnsi="Times New Roman" w:cs="Times New Roman" w:eastAsia="Times New Roman" w:hint="default"/>
                            <w:sz w:val="18"/>
                            <w:szCs w:val="18"/>
                          </w:rPr>
                        </w:pPr>
                        <w:r>
                          <w:rPr>
                            <w:rFonts w:ascii="Times New Roman"/>
                            <w:sz w:val="18"/>
                          </w:rPr>
                          <w:t>2019/10/22</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41"/>
                          <w:jc w:val="left"/>
                          <w:rPr>
                            <w:rFonts w:ascii="宋体" w:hAnsi="宋体" w:cs="宋体" w:eastAsia="宋体" w:hint="default"/>
                            <w:sz w:val="18"/>
                            <w:szCs w:val="18"/>
                          </w:rPr>
                        </w:pPr>
                        <w:r>
                          <w:rPr>
                            <w:rFonts w:ascii="宋体" w:hAnsi="宋体" w:cs="宋体" w:eastAsia="宋体" w:hint="default"/>
                            <w:spacing w:val="-2"/>
                            <w:sz w:val="18"/>
                            <w:szCs w:val="18"/>
                          </w:rPr>
                          <w:t>和仁科技：未来三年（</w:t>
                        </w:r>
                        <w:r>
                          <w:rPr>
                            <w:rFonts w:ascii="Times New Roman" w:hAnsi="Times New Roman" w:cs="Times New Roman" w:eastAsia="Times New Roman" w:hint="default"/>
                            <w:spacing w:val="-2"/>
                            <w:sz w:val="18"/>
                            <w:szCs w:val="18"/>
                          </w:rPr>
                          <w:t>2019-2021</w:t>
                        </w:r>
                        <w:r>
                          <w:rPr>
                            <w:rFonts w:ascii="宋体" w:hAnsi="宋体" w:cs="宋体" w:eastAsia="宋体" w:hint="default"/>
                            <w:spacing w:val="-2"/>
                            <w:sz w:val="18"/>
                            <w:szCs w:val="18"/>
                          </w:rPr>
                          <w:t>年）股东回</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z w:val="18"/>
                            <w:szCs w:val="18"/>
                          </w:rPr>
                          <w:t>报规划</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4" w:right="0"/>
                          <w:jc w:val="center"/>
                          <w:rPr>
                            <w:rFonts w:ascii="Times New Roman" w:hAnsi="Times New Roman" w:cs="Times New Roman" w:eastAsia="Times New Roman" w:hint="default"/>
                            <w:sz w:val="18"/>
                            <w:szCs w:val="18"/>
                          </w:rPr>
                        </w:pPr>
                        <w:r>
                          <w:rPr>
                            <w:rFonts w:ascii="Times New Roman"/>
                            <w:sz w:val="18"/>
                          </w:rPr>
                          <w:t>131</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03" w:right="0"/>
                          <w:jc w:val="left"/>
                          <w:rPr>
                            <w:rFonts w:ascii="Times New Roman" w:hAnsi="Times New Roman" w:cs="Times New Roman" w:eastAsia="Times New Roman" w:hint="default"/>
                            <w:sz w:val="18"/>
                            <w:szCs w:val="18"/>
                          </w:rPr>
                        </w:pPr>
                        <w:r>
                          <w:rPr>
                            <w:rFonts w:ascii="Times New Roman"/>
                            <w:sz w:val="18"/>
                          </w:rPr>
                          <w:t>2019/10/22</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和仁科技：前次募集资金使用情况鉴证报告</w:t>
                        </w:r>
                      </w:p>
                    </w:tc>
                  </w:tr>
                  <w:tr>
                    <w:trPr>
                      <w:trHeight w:val="662"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132</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003" w:right="0"/>
                          <w:jc w:val="left"/>
                          <w:rPr>
                            <w:rFonts w:ascii="Times New Roman" w:hAnsi="Times New Roman" w:cs="Times New Roman" w:eastAsia="Times New Roman" w:hint="default"/>
                            <w:sz w:val="18"/>
                            <w:szCs w:val="18"/>
                          </w:rPr>
                        </w:pPr>
                        <w:r>
                          <w:rPr>
                            <w:rFonts w:ascii="Times New Roman"/>
                            <w:sz w:val="18"/>
                          </w:rPr>
                          <w:t>2019/10/22</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5"/>
                          <w:ind w:left="4" w:right="-4"/>
                          <w:jc w:val="left"/>
                          <w:rPr>
                            <w:rFonts w:ascii="宋体" w:hAnsi="宋体" w:cs="宋体" w:eastAsia="宋体" w:hint="default"/>
                            <w:sz w:val="18"/>
                            <w:szCs w:val="18"/>
                          </w:rPr>
                        </w:pPr>
                        <w:r>
                          <w:rPr>
                            <w:rFonts w:ascii="宋体" w:hAnsi="宋体" w:cs="宋体" w:eastAsia="宋体" w:hint="default"/>
                            <w:spacing w:val="-6"/>
                            <w:w w:val="101"/>
                            <w:sz w:val="18"/>
                            <w:szCs w:val="18"/>
                          </w:rPr>
                          <w:t>和仁科技：独立董事关于第二届董事会第二十</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3"/>
                            <w:sz w:val="18"/>
                            <w:szCs w:val="18"/>
                          </w:rPr>
                          <w:t>二次会议审议相关事项的独立意见</w:t>
                        </w:r>
                      </w:p>
                    </w:tc>
                  </w:tr>
                  <w:tr>
                    <w:trPr>
                      <w:trHeight w:val="65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133</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003" w:right="0"/>
                          <w:jc w:val="left"/>
                          <w:rPr>
                            <w:rFonts w:ascii="Times New Roman" w:hAnsi="Times New Roman" w:cs="Times New Roman" w:eastAsia="Times New Roman" w:hint="default"/>
                            <w:sz w:val="18"/>
                            <w:szCs w:val="18"/>
                          </w:rPr>
                        </w:pPr>
                        <w:r>
                          <w:rPr>
                            <w:rFonts w:ascii="Times New Roman"/>
                            <w:sz w:val="18"/>
                          </w:rPr>
                          <w:t>2019/10/22</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spacing w:val="-6"/>
                            <w:w w:val="101"/>
                            <w:sz w:val="18"/>
                            <w:szCs w:val="18"/>
                          </w:rPr>
                          <w:t>和仁科技：独立董事关于第二届董事会第二十</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3"/>
                            <w:sz w:val="18"/>
                            <w:szCs w:val="18"/>
                          </w:rPr>
                          <w:t>二次会议相关事项的事前认可意见</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4" w:right="0"/>
                          <w:jc w:val="center"/>
                          <w:rPr>
                            <w:rFonts w:ascii="Times New Roman" w:hAnsi="Times New Roman" w:cs="Times New Roman" w:eastAsia="Times New Roman" w:hint="default"/>
                            <w:sz w:val="18"/>
                            <w:szCs w:val="18"/>
                          </w:rPr>
                        </w:pPr>
                        <w:r>
                          <w:rPr>
                            <w:rFonts w:ascii="Times New Roman"/>
                            <w:sz w:val="18"/>
                          </w:rPr>
                          <w:t>134</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03" w:right="0"/>
                          <w:jc w:val="left"/>
                          <w:rPr>
                            <w:rFonts w:ascii="Times New Roman" w:hAnsi="Times New Roman" w:cs="Times New Roman" w:eastAsia="Times New Roman" w:hint="default"/>
                            <w:sz w:val="18"/>
                            <w:szCs w:val="18"/>
                          </w:rPr>
                        </w:pPr>
                        <w:r>
                          <w:rPr>
                            <w:rFonts w:ascii="Times New Roman"/>
                            <w:sz w:val="18"/>
                          </w:rPr>
                          <w:t>2019/10/24</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4"/>
                          <w:jc w:val="left"/>
                          <w:rPr>
                            <w:rFonts w:ascii="宋体" w:hAnsi="宋体" w:cs="宋体" w:eastAsia="宋体" w:hint="default"/>
                            <w:sz w:val="18"/>
                            <w:szCs w:val="18"/>
                          </w:rPr>
                        </w:pPr>
                        <w:r>
                          <w:rPr>
                            <w:rFonts w:ascii="宋体" w:hAnsi="宋体" w:cs="宋体" w:eastAsia="宋体" w:hint="default"/>
                            <w:w w:val="101"/>
                            <w:sz w:val="18"/>
                            <w:szCs w:val="18"/>
                          </w:rPr>
                          <w:t>和</w:t>
                        </w:r>
                        <w:r>
                          <w:rPr>
                            <w:rFonts w:ascii="宋体" w:hAnsi="宋体" w:cs="宋体" w:eastAsia="宋体" w:hint="default"/>
                            <w:spacing w:val="-5"/>
                            <w:w w:val="101"/>
                            <w:sz w:val="18"/>
                            <w:szCs w:val="18"/>
                          </w:rPr>
                          <w:t>仁</w:t>
                        </w:r>
                        <w:r>
                          <w:rPr>
                            <w:rFonts w:ascii="宋体" w:hAnsi="宋体" w:cs="宋体" w:eastAsia="宋体" w:hint="default"/>
                            <w:w w:val="101"/>
                            <w:sz w:val="18"/>
                            <w:szCs w:val="18"/>
                          </w:rPr>
                          <w:t>科</w:t>
                        </w:r>
                        <w:r>
                          <w:rPr>
                            <w:rFonts w:ascii="宋体" w:hAnsi="宋体" w:cs="宋体" w:eastAsia="宋体" w:hint="default"/>
                            <w:spacing w:val="-5"/>
                            <w:w w:val="101"/>
                            <w:sz w:val="18"/>
                            <w:szCs w:val="18"/>
                          </w:rPr>
                          <w:t>技</w:t>
                        </w:r>
                        <w:r>
                          <w:rPr>
                            <w:rFonts w:ascii="宋体" w:hAnsi="宋体" w:cs="宋体" w:eastAsia="宋体" w:hint="default"/>
                            <w:spacing w:val="-73"/>
                            <w:w w:val="101"/>
                            <w:sz w:val="18"/>
                            <w:szCs w:val="18"/>
                          </w:rPr>
                          <w:t>：</w:t>
                        </w:r>
                        <w:r>
                          <w:rPr>
                            <w:rFonts w:ascii="宋体" w:hAnsi="宋体" w:cs="宋体" w:eastAsia="宋体" w:hint="default"/>
                            <w:spacing w:val="-5"/>
                            <w:w w:val="101"/>
                            <w:sz w:val="18"/>
                            <w:szCs w:val="18"/>
                          </w:rPr>
                          <w:t>首</w:t>
                        </w:r>
                        <w:r>
                          <w:rPr>
                            <w:rFonts w:ascii="宋体" w:hAnsi="宋体" w:cs="宋体" w:eastAsia="宋体" w:hint="default"/>
                            <w:w w:val="101"/>
                            <w:sz w:val="18"/>
                            <w:szCs w:val="18"/>
                          </w:rPr>
                          <w:t>次</w:t>
                        </w:r>
                        <w:r>
                          <w:rPr>
                            <w:rFonts w:ascii="宋体" w:hAnsi="宋体" w:cs="宋体" w:eastAsia="宋体" w:hint="default"/>
                            <w:spacing w:val="-5"/>
                            <w:w w:val="101"/>
                            <w:sz w:val="18"/>
                            <w:szCs w:val="18"/>
                          </w:rPr>
                          <w:t>公</w:t>
                        </w:r>
                        <w:r>
                          <w:rPr>
                            <w:rFonts w:ascii="宋体" w:hAnsi="宋体" w:cs="宋体" w:eastAsia="宋体" w:hint="default"/>
                            <w:w w:val="101"/>
                            <w:sz w:val="18"/>
                            <w:szCs w:val="18"/>
                          </w:rPr>
                          <w:t>开</w:t>
                        </w:r>
                        <w:r>
                          <w:rPr>
                            <w:rFonts w:ascii="宋体" w:hAnsi="宋体" w:cs="宋体" w:eastAsia="宋体" w:hint="default"/>
                            <w:spacing w:val="-5"/>
                            <w:w w:val="101"/>
                            <w:sz w:val="18"/>
                            <w:szCs w:val="18"/>
                          </w:rPr>
                          <w:t>发</w:t>
                        </w:r>
                        <w:r>
                          <w:rPr>
                            <w:rFonts w:ascii="宋体" w:hAnsi="宋体" w:cs="宋体" w:eastAsia="宋体" w:hint="default"/>
                            <w:w w:val="101"/>
                            <w:sz w:val="18"/>
                            <w:szCs w:val="18"/>
                          </w:rPr>
                          <w:t>行</w:t>
                        </w:r>
                        <w:r>
                          <w:rPr>
                            <w:rFonts w:ascii="宋体" w:hAnsi="宋体" w:cs="宋体" w:eastAsia="宋体" w:hint="default"/>
                            <w:spacing w:val="-5"/>
                            <w:w w:val="101"/>
                            <w:sz w:val="18"/>
                            <w:szCs w:val="18"/>
                          </w:rPr>
                          <w:t>前</w:t>
                        </w:r>
                        <w:r>
                          <w:rPr>
                            <w:rFonts w:ascii="宋体" w:hAnsi="宋体" w:cs="宋体" w:eastAsia="宋体" w:hint="default"/>
                            <w:w w:val="101"/>
                            <w:sz w:val="18"/>
                            <w:szCs w:val="18"/>
                          </w:rPr>
                          <w:t>已</w:t>
                        </w:r>
                        <w:r>
                          <w:rPr>
                            <w:rFonts w:ascii="宋体" w:hAnsi="宋体" w:cs="宋体" w:eastAsia="宋体" w:hint="default"/>
                            <w:spacing w:val="-5"/>
                            <w:w w:val="101"/>
                            <w:sz w:val="18"/>
                            <w:szCs w:val="18"/>
                          </w:rPr>
                          <w:t>发</w:t>
                        </w:r>
                        <w:r>
                          <w:rPr>
                            <w:rFonts w:ascii="宋体" w:hAnsi="宋体" w:cs="宋体" w:eastAsia="宋体" w:hint="default"/>
                            <w:w w:val="101"/>
                            <w:sz w:val="18"/>
                            <w:szCs w:val="18"/>
                          </w:rPr>
                          <w:t>行</w:t>
                        </w:r>
                        <w:r>
                          <w:rPr>
                            <w:rFonts w:ascii="宋体" w:hAnsi="宋体" w:cs="宋体" w:eastAsia="宋体" w:hint="default"/>
                            <w:spacing w:val="-5"/>
                            <w:w w:val="101"/>
                            <w:sz w:val="18"/>
                            <w:szCs w:val="18"/>
                          </w:rPr>
                          <w:t>股</w:t>
                        </w:r>
                        <w:r>
                          <w:rPr>
                            <w:rFonts w:ascii="宋体" w:hAnsi="宋体" w:cs="宋体" w:eastAsia="宋体" w:hint="default"/>
                            <w:w w:val="101"/>
                            <w:sz w:val="18"/>
                            <w:szCs w:val="18"/>
                          </w:rPr>
                          <w:t>份</w:t>
                        </w:r>
                        <w:r>
                          <w:rPr>
                            <w:rFonts w:ascii="宋体" w:hAnsi="宋体" w:cs="宋体" w:eastAsia="宋体" w:hint="default"/>
                            <w:spacing w:val="-5"/>
                            <w:w w:val="101"/>
                            <w:sz w:val="18"/>
                            <w:szCs w:val="18"/>
                          </w:rPr>
                          <w:t>上</w:t>
                        </w:r>
                        <w:r>
                          <w:rPr>
                            <w:rFonts w:ascii="宋体" w:hAnsi="宋体" w:cs="宋体" w:eastAsia="宋体" w:hint="default"/>
                            <w:w w:val="101"/>
                            <w:sz w:val="18"/>
                            <w:szCs w:val="18"/>
                          </w:rPr>
                          <w:t>市流</w:t>
                        </w:r>
                        <w:r>
                          <w:rPr>
                            <w:rFonts w:ascii="宋体" w:hAnsi="宋体" w:cs="宋体" w:eastAsia="宋体" w:hint="default"/>
                            <w:sz w:val="18"/>
                            <w:szCs w:val="18"/>
                          </w:rPr>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3"/>
          <w:szCs w:val="23"/>
        </w:rPr>
      </w:pPr>
    </w:p>
    <w:p>
      <w:pPr>
        <w:pStyle w:val="BodyText"/>
        <w:spacing w:line="240" w:lineRule="auto" w:before="46"/>
        <w:ind w:left="0" w:right="2193"/>
        <w:jc w:val="right"/>
      </w:pPr>
      <w:r>
        <w:rPr>
          <w:w w:val="101"/>
        </w:rPr>
        <w:t>、</w:t>
      </w:r>
      <w:r>
        <w:rPr/>
      </w:r>
    </w:p>
    <w:p>
      <w:pPr>
        <w:spacing w:after="0" w:line="240" w:lineRule="auto"/>
        <w:jc w:val="right"/>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276" w:type="dxa"/>
        <w:tblLayout w:type="fixed"/>
        <w:tblCellMar>
          <w:top w:w="0" w:type="dxa"/>
          <w:left w:w="0" w:type="dxa"/>
          <w:bottom w:w="0" w:type="dxa"/>
          <w:right w:w="0" w:type="dxa"/>
        </w:tblCellMar>
        <w:tblLook w:val="01E0"/>
      </w:tblPr>
      <w:tblGrid>
        <w:gridCol w:w="994"/>
        <w:gridCol w:w="2833"/>
        <w:gridCol w:w="3549"/>
      </w:tblGrid>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
        </w:tc>
        <w:tc>
          <w:tcPr>
            <w:tcW w:w="2833" w:type="dxa"/>
            <w:tcBorders>
              <w:top w:val="single" w:sz="6" w:space="0" w:color="000000"/>
              <w:left w:val="single" w:sz="6" w:space="0" w:color="000000"/>
              <w:bottom w:val="single" w:sz="6" w:space="0" w:color="000000"/>
              <w:right w:val="single" w:sz="6" w:space="0" w:color="000000"/>
            </w:tcBorders>
          </w:tcPr>
          <w:p>
            <w:pP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通提示性公告</w:t>
            </w:r>
          </w:p>
        </w:tc>
      </w:tr>
      <w:tr>
        <w:trPr>
          <w:trHeight w:val="975"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135</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3" w:right="0"/>
              <w:jc w:val="left"/>
              <w:rPr>
                <w:rFonts w:ascii="Times New Roman" w:hAnsi="Times New Roman" w:cs="Times New Roman" w:eastAsia="Times New Roman" w:hint="default"/>
                <w:sz w:val="18"/>
                <w:szCs w:val="18"/>
              </w:rPr>
            </w:pPr>
            <w:r>
              <w:rPr>
                <w:rFonts w:ascii="Times New Roman"/>
                <w:sz w:val="18"/>
              </w:rPr>
              <w:t>2019/10/24</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4"/>
              <w:jc w:val="left"/>
              <w:rPr>
                <w:rFonts w:ascii="宋体" w:hAnsi="宋体" w:cs="宋体" w:eastAsia="宋体" w:hint="default"/>
                <w:sz w:val="18"/>
                <w:szCs w:val="18"/>
              </w:rPr>
            </w:pPr>
            <w:r>
              <w:rPr>
                <w:rFonts w:ascii="宋体" w:hAnsi="宋体" w:cs="宋体" w:eastAsia="宋体" w:hint="default"/>
                <w:spacing w:val="-6"/>
                <w:w w:val="101"/>
                <w:sz w:val="18"/>
                <w:szCs w:val="18"/>
              </w:rPr>
              <w:t>和仁科技：中信证券股份有限公司关于公司首</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3"/>
                <w:sz w:val="18"/>
                <w:szCs w:val="18"/>
              </w:rPr>
              <w:t>次公开发行前已发行股份上市流通的核查意</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见</w:t>
            </w:r>
          </w:p>
        </w:tc>
      </w:tr>
      <w:tr>
        <w:trPr>
          <w:trHeight w:val="65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136</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046" w:right="0"/>
              <w:jc w:val="left"/>
              <w:rPr>
                <w:rFonts w:ascii="Times New Roman" w:hAnsi="Times New Roman" w:cs="Times New Roman" w:eastAsia="Times New Roman" w:hint="default"/>
                <w:sz w:val="18"/>
                <w:szCs w:val="18"/>
              </w:rPr>
            </w:pPr>
            <w:r>
              <w:rPr>
                <w:rFonts w:ascii="Times New Roman"/>
                <w:sz w:val="18"/>
              </w:rPr>
              <w:t>2019/11/4</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spacing w:val="-6"/>
                <w:w w:val="101"/>
                <w:sz w:val="18"/>
                <w:szCs w:val="18"/>
              </w:rPr>
              <w:t>和仁科技：控股股东部分股份质押解除质押公</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告</w:t>
            </w:r>
          </w:p>
        </w:tc>
      </w:tr>
      <w:tr>
        <w:trPr>
          <w:trHeight w:val="65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137</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46" w:right="0"/>
              <w:jc w:val="left"/>
              <w:rPr>
                <w:rFonts w:ascii="Times New Roman" w:hAnsi="Times New Roman" w:cs="Times New Roman" w:eastAsia="Times New Roman" w:hint="default"/>
                <w:sz w:val="18"/>
                <w:szCs w:val="18"/>
              </w:rPr>
            </w:pPr>
            <w:r>
              <w:rPr>
                <w:rFonts w:ascii="Times New Roman"/>
                <w:sz w:val="18"/>
              </w:rPr>
              <w:t>2019/11/6</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5"/>
              <w:jc w:val="left"/>
              <w:rPr>
                <w:rFonts w:ascii="宋体" w:hAnsi="宋体" w:cs="宋体" w:eastAsia="宋体" w:hint="default"/>
                <w:sz w:val="18"/>
                <w:szCs w:val="18"/>
              </w:rPr>
            </w:pPr>
            <w:r>
              <w:rPr>
                <w:rFonts w:ascii="宋体" w:hAnsi="宋体" w:cs="宋体" w:eastAsia="宋体" w:hint="default"/>
                <w:spacing w:val="-6"/>
                <w:sz w:val="18"/>
                <w:szCs w:val="18"/>
              </w:rPr>
              <w:t>和仁科技：</w:t>
            </w:r>
            <w:r>
              <w:rPr>
                <w:rFonts w:ascii="Times New Roman" w:hAnsi="Times New Roman" w:cs="Times New Roman" w:eastAsia="Times New Roman" w:hint="default"/>
                <w:spacing w:val="-6"/>
                <w:sz w:val="18"/>
                <w:szCs w:val="18"/>
              </w:rPr>
              <w:t>2019</w:t>
            </w:r>
            <w:r>
              <w:rPr>
                <w:rFonts w:ascii="宋体" w:hAnsi="宋体" w:cs="宋体" w:eastAsia="宋体" w:hint="default"/>
                <w:spacing w:val="-6"/>
                <w:sz w:val="18"/>
                <w:szCs w:val="18"/>
              </w:rPr>
              <w:t>年第四次临时股东大会决议公</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z w:val="18"/>
                <w:szCs w:val="18"/>
              </w:rPr>
              <w:t>告</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4" w:right="0"/>
              <w:jc w:val="center"/>
              <w:rPr>
                <w:rFonts w:ascii="Times New Roman" w:hAnsi="Times New Roman" w:cs="Times New Roman" w:eastAsia="Times New Roman" w:hint="default"/>
                <w:sz w:val="18"/>
                <w:szCs w:val="18"/>
              </w:rPr>
            </w:pPr>
            <w:r>
              <w:rPr>
                <w:rFonts w:ascii="Times New Roman"/>
                <w:sz w:val="18"/>
              </w:rPr>
              <w:t>138</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46" w:right="0"/>
              <w:jc w:val="left"/>
              <w:rPr>
                <w:rFonts w:ascii="Times New Roman" w:hAnsi="Times New Roman" w:cs="Times New Roman" w:eastAsia="Times New Roman" w:hint="default"/>
                <w:sz w:val="18"/>
                <w:szCs w:val="18"/>
              </w:rPr>
            </w:pPr>
            <w:r>
              <w:rPr>
                <w:rFonts w:ascii="Times New Roman"/>
                <w:sz w:val="18"/>
              </w:rPr>
              <w:t>2019/11/6</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和仁科技：关于完成工商变更登记的公告</w:t>
            </w:r>
          </w:p>
        </w:tc>
      </w:tr>
      <w:tr>
        <w:trPr>
          <w:trHeight w:val="662"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139</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46" w:right="0"/>
              <w:jc w:val="left"/>
              <w:rPr>
                <w:rFonts w:ascii="Times New Roman" w:hAnsi="Times New Roman" w:cs="Times New Roman" w:eastAsia="Times New Roman" w:hint="default"/>
                <w:sz w:val="18"/>
                <w:szCs w:val="18"/>
              </w:rPr>
            </w:pPr>
            <w:r>
              <w:rPr>
                <w:rFonts w:ascii="Times New Roman"/>
                <w:sz w:val="18"/>
              </w:rPr>
              <w:t>2019/11/6</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5"/>
              <w:ind w:left="4" w:right="-5"/>
              <w:jc w:val="left"/>
              <w:rPr>
                <w:rFonts w:ascii="宋体" w:hAnsi="宋体" w:cs="宋体" w:eastAsia="宋体" w:hint="default"/>
                <w:sz w:val="18"/>
                <w:szCs w:val="18"/>
              </w:rPr>
            </w:pPr>
            <w:r>
              <w:rPr>
                <w:rFonts w:ascii="宋体" w:hAnsi="宋体" w:cs="宋体" w:eastAsia="宋体" w:hint="default"/>
                <w:spacing w:val="-6"/>
                <w:sz w:val="18"/>
                <w:szCs w:val="18"/>
              </w:rPr>
              <w:t>和仁科技：</w:t>
            </w:r>
            <w:r>
              <w:rPr>
                <w:rFonts w:ascii="Times New Roman" w:hAnsi="Times New Roman" w:cs="Times New Roman" w:eastAsia="Times New Roman" w:hint="default"/>
                <w:spacing w:val="-6"/>
                <w:sz w:val="18"/>
                <w:szCs w:val="18"/>
              </w:rPr>
              <w:t>2019</w:t>
            </w:r>
            <w:r>
              <w:rPr>
                <w:rFonts w:ascii="宋体" w:hAnsi="宋体" w:cs="宋体" w:eastAsia="宋体" w:hint="default"/>
                <w:spacing w:val="-6"/>
                <w:sz w:val="18"/>
                <w:szCs w:val="18"/>
              </w:rPr>
              <w:t>年第四次临时股东大会的法律</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z w:val="18"/>
                <w:szCs w:val="18"/>
              </w:rPr>
              <w:t>意见书</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4" w:right="0"/>
              <w:jc w:val="center"/>
              <w:rPr>
                <w:rFonts w:ascii="Times New Roman" w:hAnsi="Times New Roman" w:cs="Times New Roman" w:eastAsia="Times New Roman" w:hint="default"/>
                <w:sz w:val="18"/>
                <w:szCs w:val="18"/>
              </w:rPr>
            </w:pPr>
            <w:r>
              <w:rPr>
                <w:rFonts w:ascii="Times New Roman"/>
                <w:sz w:val="18"/>
              </w:rPr>
              <w:t>140</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03" w:right="0"/>
              <w:jc w:val="left"/>
              <w:rPr>
                <w:rFonts w:ascii="Times New Roman" w:hAnsi="Times New Roman" w:cs="Times New Roman" w:eastAsia="Times New Roman" w:hint="default"/>
                <w:sz w:val="18"/>
                <w:szCs w:val="18"/>
              </w:rPr>
            </w:pPr>
            <w:r>
              <w:rPr>
                <w:rFonts w:ascii="Times New Roman"/>
                <w:sz w:val="18"/>
              </w:rPr>
              <w:t>2019/11/14</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和仁科技：关于获得政府补助的公告</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4" w:right="0"/>
              <w:jc w:val="center"/>
              <w:rPr>
                <w:rFonts w:ascii="Times New Roman" w:hAnsi="Times New Roman" w:cs="Times New Roman" w:eastAsia="Times New Roman" w:hint="default"/>
                <w:sz w:val="18"/>
                <w:szCs w:val="18"/>
              </w:rPr>
            </w:pPr>
            <w:r>
              <w:rPr>
                <w:rFonts w:ascii="Times New Roman"/>
                <w:sz w:val="18"/>
              </w:rPr>
              <w:t>141</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03" w:right="0"/>
              <w:jc w:val="left"/>
              <w:rPr>
                <w:rFonts w:ascii="Times New Roman" w:hAnsi="Times New Roman" w:cs="Times New Roman" w:eastAsia="Times New Roman" w:hint="default"/>
                <w:sz w:val="18"/>
                <w:szCs w:val="18"/>
              </w:rPr>
            </w:pPr>
            <w:r>
              <w:rPr>
                <w:rFonts w:ascii="Times New Roman"/>
                <w:sz w:val="18"/>
              </w:rPr>
              <w:t>2019/11/19</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4"/>
              <w:jc w:val="left"/>
              <w:rPr>
                <w:rFonts w:ascii="宋体" w:hAnsi="宋体" w:cs="宋体" w:eastAsia="宋体" w:hint="default"/>
                <w:sz w:val="18"/>
                <w:szCs w:val="18"/>
              </w:rPr>
            </w:pPr>
            <w:r>
              <w:rPr>
                <w:rFonts w:ascii="宋体" w:hAnsi="宋体" w:cs="宋体" w:eastAsia="宋体" w:hint="default"/>
                <w:w w:val="101"/>
                <w:sz w:val="18"/>
                <w:szCs w:val="18"/>
              </w:rPr>
              <w:t>和</w:t>
            </w:r>
            <w:r>
              <w:rPr>
                <w:rFonts w:ascii="宋体" w:hAnsi="宋体" w:cs="宋体" w:eastAsia="宋体" w:hint="default"/>
                <w:spacing w:val="-5"/>
                <w:w w:val="101"/>
                <w:sz w:val="18"/>
                <w:szCs w:val="18"/>
              </w:rPr>
              <w:t>仁</w:t>
            </w:r>
            <w:r>
              <w:rPr>
                <w:rFonts w:ascii="宋体" w:hAnsi="宋体" w:cs="宋体" w:eastAsia="宋体" w:hint="default"/>
                <w:w w:val="101"/>
                <w:sz w:val="18"/>
                <w:szCs w:val="18"/>
              </w:rPr>
              <w:t>科</w:t>
            </w:r>
            <w:r>
              <w:rPr>
                <w:rFonts w:ascii="宋体" w:hAnsi="宋体" w:cs="宋体" w:eastAsia="宋体" w:hint="default"/>
                <w:spacing w:val="-5"/>
                <w:w w:val="101"/>
                <w:sz w:val="18"/>
                <w:szCs w:val="18"/>
              </w:rPr>
              <w:t>技</w:t>
            </w:r>
            <w:r>
              <w:rPr>
                <w:rFonts w:ascii="宋体" w:hAnsi="宋体" w:cs="宋体" w:eastAsia="宋体" w:hint="default"/>
                <w:spacing w:val="-73"/>
                <w:w w:val="101"/>
                <w:sz w:val="18"/>
                <w:szCs w:val="18"/>
              </w:rPr>
              <w:t>：</w:t>
            </w:r>
            <w:r>
              <w:rPr>
                <w:rFonts w:ascii="宋体" w:hAnsi="宋体" w:cs="宋体" w:eastAsia="宋体" w:hint="default"/>
                <w:spacing w:val="-5"/>
                <w:w w:val="101"/>
                <w:sz w:val="18"/>
                <w:szCs w:val="18"/>
              </w:rPr>
              <w:t>控</w:t>
            </w:r>
            <w:r>
              <w:rPr>
                <w:rFonts w:ascii="宋体" w:hAnsi="宋体" w:cs="宋体" w:eastAsia="宋体" w:hint="default"/>
                <w:w w:val="101"/>
                <w:sz w:val="18"/>
                <w:szCs w:val="18"/>
              </w:rPr>
              <w:t>股</w:t>
            </w:r>
            <w:r>
              <w:rPr>
                <w:rFonts w:ascii="宋体" w:hAnsi="宋体" w:cs="宋体" w:eastAsia="宋体" w:hint="default"/>
                <w:spacing w:val="-5"/>
                <w:w w:val="101"/>
                <w:sz w:val="18"/>
                <w:szCs w:val="18"/>
              </w:rPr>
              <w:t>股</w:t>
            </w:r>
            <w:r>
              <w:rPr>
                <w:rFonts w:ascii="宋体" w:hAnsi="宋体" w:cs="宋体" w:eastAsia="宋体" w:hint="default"/>
                <w:w w:val="101"/>
                <w:sz w:val="18"/>
                <w:szCs w:val="18"/>
              </w:rPr>
              <w:t>东</w:t>
            </w:r>
            <w:r>
              <w:rPr>
                <w:rFonts w:ascii="宋体" w:hAnsi="宋体" w:cs="宋体" w:eastAsia="宋体" w:hint="default"/>
                <w:spacing w:val="-5"/>
                <w:w w:val="101"/>
                <w:sz w:val="18"/>
                <w:szCs w:val="18"/>
              </w:rPr>
              <w:t>部</w:t>
            </w:r>
            <w:r>
              <w:rPr>
                <w:rFonts w:ascii="宋体" w:hAnsi="宋体" w:cs="宋体" w:eastAsia="宋体" w:hint="default"/>
                <w:w w:val="101"/>
                <w:sz w:val="18"/>
                <w:szCs w:val="18"/>
              </w:rPr>
              <w:t>分</w:t>
            </w:r>
            <w:r>
              <w:rPr>
                <w:rFonts w:ascii="宋体" w:hAnsi="宋体" w:cs="宋体" w:eastAsia="宋体" w:hint="default"/>
                <w:spacing w:val="-5"/>
                <w:w w:val="101"/>
                <w:sz w:val="18"/>
                <w:szCs w:val="18"/>
              </w:rPr>
              <w:t>股</w:t>
            </w:r>
            <w:r>
              <w:rPr>
                <w:rFonts w:ascii="宋体" w:hAnsi="宋体" w:cs="宋体" w:eastAsia="宋体" w:hint="default"/>
                <w:w w:val="101"/>
                <w:sz w:val="18"/>
                <w:szCs w:val="18"/>
              </w:rPr>
              <w:t>份</w:t>
            </w:r>
            <w:r>
              <w:rPr>
                <w:rFonts w:ascii="宋体" w:hAnsi="宋体" w:cs="宋体" w:eastAsia="宋体" w:hint="default"/>
                <w:spacing w:val="-5"/>
                <w:w w:val="101"/>
                <w:sz w:val="18"/>
                <w:szCs w:val="18"/>
              </w:rPr>
              <w:t>解</w:t>
            </w:r>
            <w:r>
              <w:rPr>
                <w:rFonts w:ascii="宋体" w:hAnsi="宋体" w:cs="宋体" w:eastAsia="宋体" w:hint="default"/>
                <w:w w:val="101"/>
                <w:sz w:val="18"/>
                <w:szCs w:val="18"/>
              </w:rPr>
              <w:t>除</w:t>
            </w:r>
            <w:r>
              <w:rPr>
                <w:rFonts w:ascii="宋体" w:hAnsi="宋体" w:cs="宋体" w:eastAsia="宋体" w:hint="default"/>
                <w:spacing w:val="-5"/>
                <w:w w:val="101"/>
                <w:sz w:val="18"/>
                <w:szCs w:val="18"/>
              </w:rPr>
              <w:t>质</w:t>
            </w:r>
            <w:r>
              <w:rPr>
                <w:rFonts w:ascii="宋体" w:hAnsi="宋体" w:cs="宋体" w:eastAsia="宋体" w:hint="default"/>
                <w:w w:val="101"/>
                <w:sz w:val="18"/>
                <w:szCs w:val="18"/>
              </w:rPr>
              <w:t>押</w:t>
            </w:r>
            <w:r>
              <w:rPr>
                <w:rFonts w:ascii="宋体" w:hAnsi="宋体" w:cs="宋体" w:eastAsia="宋体" w:hint="default"/>
                <w:spacing w:val="-5"/>
                <w:w w:val="101"/>
                <w:sz w:val="18"/>
                <w:szCs w:val="18"/>
              </w:rPr>
              <w:t>的</w:t>
            </w:r>
            <w:r>
              <w:rPr>
                <w:rFonts w:ascii="宋体" w:hAnsi="宋体" w:cs="宋体" w:eastAsia="宋体" w:hint="default"/>
                <w:w w:val="101"/>
                <w:sz w:val="18"/>
                <w:szCs w:val="18"/>
              </w:rPr>
              <w:t>公告</w:t>
            </w:r>
            <w:r>
              <w:rPr>
                <w:rFonts w:ascii="宋体" w:hAnsi="宋体" w:cs="宋体" w:eastAsia="宋体" w:hint="default"/>
                <w:sz w:val="18"/>
                <w:szCs w:val="18"/>
              </w:rPr>
            </w:r>
          </w:p>
        </w:tc>
      </w:tr>
      <w:tr>
        <w:trPr>
          <w:trHeight w:val="351"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14" w:right="0"/>
              <w:jc w:val="center"/>
              <w:rPr>
                <w:rFonts w:ascii="Times New Roman" w:hAnsi="Times New Roman" w:cs="Times New Roman" w:eastAsia="Times New Roman" w:hint="default"/>
                <w:sz w:val="18"/>
                <w:szCs w:val="18"/>
              </w:rPr>
            </w:pPr>
            <w:r>
              <w:rPr>
                <w:rFonts w:ascii="Times New Roman"/>
                <w:sz w:val="18"/>
              </w:rPr>
              <w:t>142</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1003" w:right="0"/>
              <w:jc w:val="left"/>
              <w:rPr>
                <w:rFonts w:ascii="Times New Roman" w:hAnsi="Times New Roman" w:cs="Times New Roman" w:eastAsia="Times New Roman" w:hint="default"/>
                <w:sz w:val="18"/>
                <w:szCs w:val="18"/>
              </w:rPr>
            </w:pPr>
            <w:r>
              <w:rPr>
                <w:rFonts w:ascii="Times New Roman"/>
                <w:sz w:val="18"/>
              </w:rPr>
              <w:t>2019/11/21</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和仁科技：控股股东部分股份质押的公告</w:t>
            </w:r>
          </w:p>
        </w:tc>
      </w:tr>
      <w:tr>
        <w:trPr>
          <w:trHeight w:val="65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143</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003" w:right="0"/>
              <w:jc w:val="left"/>
              <w:rPr>
                <w:rFonts w:ascii="Times New Roman" w:hAnsi="Times New Roman" w:cs="Times New Roman" w:eastAsia="Times New Roman" w:hint="default"/>
                <w:sz w:val="18"/>
                <w:szCs w:val="18"/>
              </w:rPr>
            </w:pPr>
            <w:r>
              <w:rPr>
                <w:rFonts w:ascii="Times New Roman"/>
                <w:sz w:val="18"/>
              </w:rPr>
              <w:t>2019/11/27</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5"/>
              <w:jc w:val="left"/>
              <w:rPr>
                <w:rFonts w:ascii="宋体" w:hAnsi="宋体" w:cs="宋体" w:eastAsia="宋体" w:hint="default"/>
                <w:sz w:val="18"/>
                <w:szCs w:val="18"/>
              </w:rPr>
            </w:pPr>
            <w:r>
              <w:rPr>
                <w:rFonts w:ascii="宋体" w:hAnsi="宋体" w:cs="宋体" w:eastAsia="宋体" w:hint="default"/>
                <w:spacing w:val="-6"/>
                <w:w w:val="101"/>
                <w:sz w:val="18"/>
                <w:szCs w:val="18"/>
              </w:rPr>
              <w:t>和仁科技：关于召开</w:t>
            </w:r>
            <w:r>
              <w:rPr>
                <w:rFonts w:ascii="Times New Roman" w:hAnsi="Times New Roman" w:cs="Times New Roman" w:eastAsia="Times New Roman" w:hint="default"/>
                <w:spacing w:val="-6"/>
                <w:w w:val="101"/>
                <w:sz w:val="18"/>
                <w:szCs w:val="18"/>
              </w:rPr>
              <w:t>2019</w:t>
            </w:r>
            <w:r>
              <w:rPr>
                <w:rFonts w:ascii="宋体" w:hAnsi="宋体" w:cs="宋体" w:eastAsia="宋体" w:hint="default"/>
                <w:spacing w:val="-6"/>
                <w:w w:val="101"/>
                <w:sz w:val="18"/>
                <w:szCs w:val="18"/>
              </w:rPr>
              <w:t>年第五次临时股东大</w:t>
            </w:r>
            <w:r>
              <w:rPr>
                <w:rFonts w:ascii="宋体" w:hAnsi="宋体" w:cs="宋体" w:eastAsia="宋体" w:hint="default"/>
                <w:spacing w:val="-79"/>
                <w:w w:val="101"/>
                <w:sz w:val="18"/>
                <w:szCs w:val="18"/>
              </w:rPr>
              <w:t> </w:t>
            </w:r>
            <w:r>
              <w:rPr>
                <w:rFonts w:ascii="宋体" w:hAnsi="宋体" w:cs="宋体" w:eastAsia="宋体" w:hint="default"/>
                <w:spacing w:val="-79"/>
                <w:w w:val="101"/>
                <w:sz w:val="18"/>
                <w:szCs w:val="18"/>
              </w:rPr>
            </w:r>
            <w:r>
              <w:rPr>
                <w:rFonts w:ascii="宋体" w:hAnsi="宋体" w:cs="宋体" w:eastAsia="宋体" w:hint="default"/>
                <w:sz w:val="18"/>
                <w:szCs w:val="18"/>
              </w:rPr>
              <w:t>会的通知</w:t>
            </w:r>
          </w:p>
        </w:tc>
      </w:tr>
      <w:tr>
        <w:trPr>
          <w:trHeight w:val="65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144</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03" w:right="0"/>
              <w:jc w:val="left"/>
              <w:rPr>
                <w:rFonts w:ascii="Times New Roman" w:hAnsi="Times New Roman" w:cs="Times New Roman" w:eastAsia="Times New Roman" w:hint="default"/>
                <w:sz w:val="18"/>
                <w:szCs w:val="18"/>
              </w:rPr>
            </w:pPr>
            <w:r>
              <w:rPr>
                <w:rFonts w:ascii="Times New Roman"/>
                <w:sz w:val="18"/>
              </w:rPr>
              <w:t>2019/11/27</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spacing w:val="-6"/>
                <w:w w:val="101"/>
                <w:sz w:val="18"/>
                <w:szCs w:val="18"/>
              </w:rPr>
              <w:t>和仁科技：第二届董事会第二十三次会议决议</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公告</w:t>
            </w:r>
          </w:p>
        </w:tc>
      </w:tr>
      <w:tr>
        <w:trPr>
          <w:trHeight w:val="65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145</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03" w:right="0"/>
              <w:jc w:val="left"/>
              <w:rPr>
                <w:rFonts w:ascii="Times New Roman" w:hAnsi="Times New Roman" w:cs="Times New Roman" w:eastAsia="Times New Roman" w:hint="default"/>
                <w:sz w:val="18"/>
                <w:szCs w:val="18"/>
              </w:rPr>
            </w:pPr>
            <w:r>
              <w:rPr>
                <w:rFonts w:ascii="Times New Roman"/>
                <w:sz w:val="18"/>
              </w:rPr>
              <w:t>2019/11/27</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spacing w:val="-6"/>
                <w:w w:val="101"/>
                <w:sz w:val="18"/>
                <w:szCs w:val="18"/>
              </w:rPr>
              <w:t>和仁科技：第二届监事会第十九次会议决议公</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告</w:t>
            </w:r>
          </w:p>
        </w:tc>
      </w:tr>
      <w:tr>
        <w:trPr>
          <w:trHeight w:val="662"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146</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03" w:right="0"/>
              <w:jc w:val="left"/>
              <w:rPr>
                <w:rFonts w:ascii="Times New Roman" w:hAnsi="Times New Roman" w:cs="Times New Roman" w:eastAsia="Times New Roman" w:hint="default"/>
                <w:sz w:val="18"/>
                <w:szCs w:val="18"/>
              </w:rPr>
            </w:pPr>
            <w:r>
              <w:rPr>
                <w:rFonts w:ascii="Times New Roman"/>
                <w:sz w:val="18"/>
              </w:rPr>
              <w:t>2019/11/27</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5"/>
              <w:ind w:left="4" w:right="-4"/>
              <w:jc w:val="left"/>
              <w:rPr>
                <w:rFonts w:ascii="宋体" w:hAnsi="宋体" w:cs="宋体" w:eastAsia="宋体" w:hint="default"/>
                <w:sz w:val="18"/>
                <w:szCs w:val="18"/>
              </w:rPr>
            </w:pPr>
            <w:r>
              <w:rPr>
                <w:rFonts w:ascii="宋体" w:hAnsi="宋体" w:cs="宋体" w:eastAsia="宋体" w:hint="default"/>
                <w:spacing w:val="-6"/>
                <w:w w:val="101"/>
                <w:sz w:val="18"/>
                <w:szCs w:val="18"/>
              </w:rPr>
              <w:t>和仁科技：关于回购注销部分限制性股票的减</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资公告</w:t>
            </w:r>
          </w:p>
        </w:tc>
      </w:tr>
      <w:tr>
        <w:trPr>
          <w:trHeight w:val="65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147</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003" w:right="0"/>
              <w:jc w:val="left"/>
              <w:rPr>
                <w:rFonts w:ascii="Times New Roman" w:hAnsi="Times New Roman" w:cs="Times New Roman" w:eastAsia="Times New Roman" w:hint="default"/>
                <w:sz w:val="18"/>
                <w:szCs w:val="18"/>
              </w:rPr>
            </w:pPr>
            <w:r>
              <w:rPr>
                <w:rFonts w:ascii="Times New Roman"/>
                <w:sz w:val="18"/>
              </w:rPr>
              <w:t>2019/11/27</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4"/>
              <w:jc w:val="left"/>
              <w:rPr>
                <w:rFonts w:ascii="宋体" w:hAnsi="宋体" w:cs="宋体" w:eastAsia="宋体" w:hint="default"/>
                <w:sz w:val="18"/>
                <w:szCs w:val="18"/>
              </w:rPr>
            </w:pPr>
            <w:r>
              <w:rPr>
                <w:rFonts w:ascii="宋体" w:hAnsi="宋体" w:cs="宋体" w:eastAsia="宋体" w:hint="default"/>
                <w:spacing w:val="-6"/>
                <w:w w:val="101"/>
                <w:sz w:val="18"/>
                <w:szCs w:val="18"/>
              </w:rPr>
              <w:t>和仁科技：关于回购注销部分限制性股票的公</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告</w:t>
            </w:r>
          </w:p>
        </w:tc>
      </w:tr>
      <w:tr>
        <w:trPr>
          <w:trHeight w:val="65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148</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03" w:right="0"/>
              <w:jc w:val="left"/>
              <w:rPr>
                <w:rFonts w:ascii="Times New Roman" w:hAnsi="Times New Roman" w:cs="Times New Roman" w:eastAsia="Times New Roman" w:hint="default"/>
                <w:sz w:val="18"/>
                <w:szCs w:val="18"/>
              </w:rPr>
            </w:pPr>
            <w:r>
              <w:rPr>
                <w:rFonts w:ascii="Times New Roman"/>
                <w:sz w:val="18"/>
              </w:rPr>
              <w:t>2019/11/27</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spacing w:val="-6"/>
                <w:w w:val="101"/>
                <w:sz w:val="18"/>
                <w:szCs w:val="18"/>
              </w:rPr>
              <w:t>和仁科技：关于调整限制性股票回购注销价格</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及回购注销数量的公告</w:t>
            </w:r>
          </w:p>
        </w:tc>
      </w:tr>
      <w:tr>
        <w:trPr>
          <w:trHeight w:val="662"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149</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03" w:right="0"/>
              <w:jc w:val="left"/>
              <w:rPr>
                <w:rFonts w:ascii="Times New Roman" w:hAnsi="Times New Roman" w:cs="Times New Roman" w:eastAsia="Times New Roman" w:hint="default"/>
                <w:sz w:val="18"/>
                <w:szCs w:val="18"/>
              </w:rPr>
            </w:pPr>
            <w:r>
              <w:rPr>
                <w:rFonts w:ascii="Times New Roman"/>
                <w:sz w:val="18"/>
              </w:rPr>
              <w:t>2019/11/27</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5"/>
              <w:ind w:left="4" w:right="-4"/>
              <w:jc w:val="left"/>
              <w:rPr>
                <w:rFonts w:ascii="宋体" w:hAnsi="宋体" w:cs="宋体" w:eastAsia="宋体" w:hint="default"/>
                <w:sz w:val="18"/>
                <w:szCs w:val="18"/>
              </w:rPr>
            </w:pPr>
            <w:r>
              <w:rPr>
                <w:rFonts w:ascii="宋体" w:hAnsi="宋体" w:cs="宋体" w:eastAsia="宋体" w:hint="default"/>
                <w:spacing w:val="-6"/>
                <w:w w:val="101"/>
                <w:sz w:val="18"/>
                <w:szCs w:val="18"/>
              </w:rPr>
              <w:t>和仁科技：关于减少注册资本暨修改公司章程</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的公告</w:t>
            </w:r>
          </w:p>
        </w:tc>
      </w:tr>
      <w:tr>
        <w:trPr>
          <w:trHeight w:val="1282"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14" w:right="0"/>
              <w:jc w:val="center"/>
              <w:rPr>
                <w:rFonts w:ascii="Times New Roman" w:hAnsi="Times New Roman" w:cs="Times New Roman" w:eastAsia="Times New Roman" w:hint="default"/>
                <w:sz w:val="18"/>
                <w:szCs w:val="18"/>
              </w:rPr>
            </w:pPr>
            <w:r>
              <w:rPr>
                <w:rFonts w:ascii="Times New Roman"/>
                <w:sz w:val="18"/>
              </w:rPr>
              <w:t>150</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1003" w:right="0"/>
              <w:jc w:val="left"/>
              <w:rPr>
                <w:rFonts w:ascii="Times New Roman" w:hAnsi="Times New Roman" w:cs="Times New Roman" w:eastAsia="Times New Roman" w:hint="default"/>
                <w:sz w:val="18"/>
                <w:szCs w:val="18"/>
              </w:rPr>
            </w:pPr>
            <w:r>
              <w:rPr>
                <w:rFonts w:ascii="Times New Roman"/>
                <w:sz w:val="18"/>
              </w:rPr>
              <w:t>2019/11/27</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spacing w:val="-6"/>
                <w:w w:val="101"/>
                <w:sz w:val="18"/>
                <w:szCs w:val="18"/>
              </w:rPr>
              <w:t>和仁科技：浙江天册律师事务所关于公司调整</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6"/>
                <w:w w:val="101"/>
                <w:sz w:val="18"/>
                <w:szCs w:val="18"/>
              </w:rPr>
              <w:t>限制性股票回购价格和回购数量、以及回购注</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3"/>
                <w:sz w:val="18"/>
                <w:szCs w:val="18"/>
              </w:rPr>
              <w:t>销部分股权激励计划限制性股票之法律意见</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书</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4" w:right="0"/>
              <w:jc w:val="center"/>
              <w:rPr>
                <w:rFonts w:ascii="Times New Roman" w:hAnsi="Times New Roman" w:cs="Times New Roman" w:eastAsia="Times New Roman" w:hint="default"/>
                <w:sz w:val="18"/>
                <w:szCs w:val="18"/>
              </w:rPr>
            </w:pPr>
            <w:r>
              <w:rPr>
                <w:rFonts w:ascii="Times New Roman"/>
                <w:sz w:val="18"/>
              </w:rPr>
              <w:t>151</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03" w:right="0"/>
              <w:jc w:val="left"/>
              <w:rPr>
                <w:rFonts w:ascii="Times New Roman" w:hAnsi="Times New Roman" w:cs="Times New Roman" w:eastAsia="Times New Roman" w:hint="default"/>
                <w:sz w:val="18"/>
                <w:szCs w:val="18"/>
              </w:rPr>
            </w:pPr>
            <w:r>
              <w:rPr>
                <w:rFonts w:ascii="Times New Roman"/>
                <w:sz w:val="18"/>
              </w:rPr>
              <w:t>2019/11/27</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和仁科技：公司章程（</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p>
        </w:tc>
      </w:tr>
      <w:tr>
        <w:trPr>
          <w:trHeight w:val="663"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152</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03" w:right="0"/>
              <w:jc w:val="left"/>
              <w:rPr>
                <w:rFonts w:ascii="Times New Roman" w:hAnsi="Times New Roman" w:cs="Times New Roman" w:eastAsia="Times New Roman" w:hint="default"/>
                <w:sz w:val="18"/>
                <w:szCs w:val="18"/>
              </w:rPr>
            </w:pPr>
            <w:r>
              <w:rPr>
                <w:rFonts w:ascii="Times New Roman"/>
                <w:sz w:val="18"/>
              </w:rPr>
              <w:t>2019/11/27</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4"/>
              <w:jc w:val="left"/>
              <w:rPr>
                <w:rFonts w:ascii="宋体" w:hAnsi="宋体" w:cs="宋体" w:eastAsia="宋体" w:hint="default"/>
                <w:sz w:val="18"/>
                <w:szCs w:val="18"/>
              </w:rPr>
            </w:pPr>
            <w:r>
              <w:rPr>
                <w:rFonts w:ascii="宋体" w:hAnsi="宋体" w:cs="宋体" w:eastAsia="宋体" w:hint="default"/>
                <w:spacing w:val="-6"/>
                <w:w w:val="101"/>
                <w:sz w:val="18"/>
                <w:szCs w:val="18"/>
              </w:rPr>
              <w:t>和仁科技：独立董事关于第二届董事会第二十</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3"/>
                <w:sz w:val="18"/>
                <w:szCs w:val="18"/>
              </w:rPr>
              <w:t>三次会议相关事项的独立意见</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4" w:right="0"/>
              <w:jc w:val="center"/>
              <w:rPr>
                <w:rFonts w:ascii="Times New Roman" w:hAnsi="Times New Roman" w:cs="Times New Roman" w:eastAsia="Times New Roman" w:hint="default"/>
                <w:sz w:val="18"/>
                <w:szCs w:val="18"/>
              </w:rPr>
            </w:pPr>
            <w:r>
              <w:rPr>
                <w:rFonts w:ascii="Times New Roman"/>
                <w:sz w:val="18"/>
              </w:rPr>
              <w:t>153</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46" w:right="0"/>
              <w:jc w:val="left"/>
              <w:rPr>
                <w:rFonts w:ascii="Times New Roman" w:hAnsi="Times New Roman" w:cs="Times New Roman" w:eastAsia="Times New Roman" w:hint="default"/>
                <w:sz w:val="18"/>
                <w:szCs w:val="18"/>
              </w:rPr>
            </w:pPr>
            <w:r>
              <w:rPr>
                <w:rFonts w:ascii="Times New Roman"/>
                <w:sz w:val="18"/>
              </w:rPr>
              <w:t>2019/12/5</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4"/>
              <w:jc w:val="left"/>
              <w:rPr>
                <w:rFonts w:ascii="宋体" w:hAnsi="宋体" w:cs="宋体" w:eastAsia="宋体" w:hint="default"/>
                <w:sz w:val="18"/>
                <w:szCs w:val="18"/>
              </w:rPr>
            </w:pPr>
            <w:r>
              <w:rPr>
                <w:rFonts w:ascii="宋体" w:hAnsi="宋体" w:cs="宋体" w:eastAsia="宋体" w:hint="default"/>
                <w:w w:val="101"/>
                <w:sz w:val="18"/>
                <w:szCs w:val="18"/>
              </w:rPr>
              <w:t>和</w:t>
            </w:r>
            <w:r>
              <w:rPr>
                <w:rFonts w:ascii="宋体" w:hAnsi="宋体" w:cs="宋体" w:eastAsia="宋体" w:hint="default"/>
                <w:spacing w:val="-5"/>
                <w:w w:val="101"/>
                <w:sz w:val="18"/>
                <w:szCs w:val="18"/>
              </w:rPr>
              <w:t>仁</w:t>
            </w:r>
            <w:r>
              <w:rPr>
                <w:rFonts w:ascii="宋体" w:hAnsi="宋体" w:cs="宋体" w:eastAsia="宋体" w:hint="default"/>
                <w:w w:val="101"/>
                <w:sz w:val="18"/>
                <w:szCs w:val="18"/>
              </w:rPr>
              <w:t>科</w:t>
            </w:r>
            <w:r>
              <w:rPr>
                <w:rFonts w:ascii="宋体" w:hAnsi="宋体" w:cs="宋体" w:eastAsia="宋体" w:hint="default"/>
                <w:spacing w:val="-5"/>
                <w:w w:val="101"/>
                <w:sz w:val="18"/>
                <w:szCs w:val="18"/>
              </w:rPr>
              <w:t>技</w:t>
            </w:r>
            <w:r>
              <w:rPr>
                <w:rFonts w:ascii="宋体" w:hAnsi="宋体" w:cs="宋体" w:eastAsia="宋体" w:hint="default"/>
                <w:spacing w:val="-73"/>
                <w:w w:val="101"/>
                <w:sz w:val="18"/>
                <w:szCs w:val="18"/>
              </w:rPr>
              <w:t>：</w:t>
            </w:r>
            <w:r>
              <w:rPr>
                <w:rFonts w:ascii="宋体" w:hAnsi="宋体" w:cs="宋体" w:eastAsia="宋体" w:hint="default"/>
                <w:spacing w:val="-5"/>
                <w:w w:val="101"/>
                <w:sz w:val="18"/>
                <w:szCs w:val="18"/>
              </w:rPr>
              <w:t>股</w:t>
            </w:r>
            <w:r>
              <w:rPr>
                <w:rFonts w:ascii="宋体" w:hAnsi="宋体" w:cs="宋体" w:eastAsia="宋体" w:hint="default"/>
                <w:w w:val="101"/>
                <w:sz w:val="18"/>
                <w:szCs w:val="18"/>
              </w:rPr>
              <w:t>东</w:t>
            </w:r>
            <w:r>
              <w:rPr>
                <w:rFonts w:ascii="宋体" w:hAnsi="宋体" w:cs="宋体" w:eastAsia="宋体" w:hint="default"/>
                <w:spacing w:val="-5"/>
                <w:w w:val="101"/>
                <w:sz w:val="18"/>
                <w:szCs w:val="18"/>
              </w:rPr>
              <w:t>减</w:t>
            </w:r>
            <w:r>
              <w:rPr>
                <w:rFonts w:ascii="宋体" w:hAnsi="宋体" w:cs="宋体" w:eastAsia="宋体" w:hint="default"/>
                <w:w w:val="101"/>
                <w:sz w:val="18"/>
                <w:szCs w:val="18"/>
              </w:rPr>
              <w:t>持</w:t>
            </w:r>
            <w:r>
              <w:rPr>
                <w:rFonts w:ascii="宋体" w:hAnsi="宋体" w:cs="宋体" w:eastAsia="宋体" w:hint="default"/>
                <w:spacing w:val="-5"/>
                <w:w w:val="101"/>
                <w:sz w:val="18"/>
                <w:szCs w:val="18"/>
              </w:rPr>
              <w:t>计</w:t>
            </w:r>
            <w:r>
              <w:rPr>
                <w:rFonts w:ascii="宋体" w:hAnsi="宋体" w:cs="宋体" w:eastAsia="宋体" w:hint="default"/>
                <w:w w:val="101"/>
                <w:sz w:val="18"/>
                <w:szCs w:val="18"/>
              </w:rPr>
              <w:t>划</w:t>
            </w:r>
            <w:r>
              <w:rPr>
                <w:rFonts w:ascii="宋体" w:hAnsi="宋体" w:cs="宋体" w:eastAsia="宋体" w:hint="default"/>
                <w:spacing w:val="-5"/>
                <w:w w:val="101"/>
                <w:sz w:val="18"/>
                <w:szCs w:val="18"/>
              </w:rPr>
              <w:t>时</w:t>
            </w:r>
            <w:r>
              <w:rPr>
                <w:rFonts w:ascii="宋体" w:hAnsi="宋体" w:cs="宋体" w:eastAsia="宋体" w:hint="default"/>
                <w:w w:val="101"/>
                <w:sz w:val="18"/>
                <w:szCs w:val="18"/>
              </w:rPr>
              <w:t>间</w:t>
            </w:r>
            <w:r>
              <w:rPr>
                <w:rFonts w:ascii="宋体" w:hAnsi="宋体" w:cs="宋体" w:eastAsia="宋体" w:hint="default"/>
                <w:spacing w:val="-5"/>
                <w:w w:val="101"/>
                <w:sz w:val="18"/>
                <w:szCs w:val="18"/>
              </w:rPr>
              <w:t>过</w:t>
            </w:r>
            <w:r>
              <w:rPr>
                <w:rFonts w:ascii="宋体" w:hAnsi="宋体" w:cs="宋体" w:eastAsia="宋体" w:hint="default"/>
                <w:w w:val="101"/>
                <w:sz w:val="18"/>
                <w:szCs w:val="18"/>
              </w:rPr>
              <w:t>半</w:t>
            </w:r>
            <w:r>
              <w:rPr>
                <w:rFonts w:ascii="宋体" w:hAnsi="宋体" w:cs="宋体" w:eastAsia="宋体" w:hint="default"/>
                <w:spacing w:val="-5"/>
                <w:w w:val="101"/>
                <w:sz w:val="18"/>
                <w:szCs w:val="18"/>
              </w:rPr>
              <w:t>的</w:t>
            </w:r>
            <w:r>
              <w:rPr>
                <w:rFonts w:ascii="宋体" w:hAnsi="宋体" w:cs="宋体" w:eastAsia="宋体" w:hint="default"/>
                <w:w w:val="101"/>
                <w:sz w:val="18"/>
                <w:szCs w:val="18"/>
              </w:rPr>
              <w:t>进</w:t>
            </w:r>
            <w:r>
              <w:rPr>
                <w:rFonts w:ascii="宋体" w:hAnsi="宋体" w:cs="宋体" w:eastAsia="宋体" w:hint="default"/>
                <w:spacing w:val="-5"/>
                <w:w w:val="101"/>
                <w:sz w:val="18"/>
                <w:szCs w:val="18"/>
              </w:rPr>
              <w:t>展</w:t>
            </w:r>
            <w:r>
              <w:rPr>
                <w:rFonts w:ascii="宋体" w:hAnsi="宋体" w:cs="宋体" w:eastAsia="宋体" w:hint="default"/>
                <w:w w:val="101"/>
                <w:sz w:val="18"/>
                <w:szCs w:val="18"/>
              </w:rPr>
              <w:t>公告</w:t>
            </w:r>
            <w:r>
              <w:rPr>
                <w:rFonts w:ascii="宋体" w:hAnsi="宋体" w:cs="宋体" w:eastAsia="宋体" w:hint="default"/>
                <w:sz w:val="18"/>
                <w:szCs w:val="18"/>
              </w:rPr>
            </w:r>
          </w:p>
        </w:tc>
      </w:tr>
      <w:tr>
        <w:trPr>
          <w:trHeight w:val="65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154</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03" w:right="0"/>
              <w:jc w:val="left"/>
              <w:rPr>
                <w:rFonts w:ascii="Times New Roman" w:hAnsi="Times New Roman" w:cs="Times New Roman" w:eastAsia="Times New Roman" w:hint="default"/>
                <w:sz w:val="18"/>
                <w:szCs w:val="18"/>
              </w:rPr>
            </w:pPr>
            <w:r>
              <w:rPr>
                <w:rFonts w:ascii="Times New Roman"/>
                <w:sz w:val="18"/>
              </w:rPr>
              <w:t>2019/12/13</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5"/>
              <w:jc w:val="left"/>
              <w:rPr>
                <w:rFonts w:ascii="宋体" w:hAnsi="宋体" w:cs="宋体" w:eastAsia="宋体" w:hint="default"/>
                <w:sz w:val="18"/>
                <w:szCs w:val="18"/>
              </w:rPr>
            </w:pPr>
            <w:r>
              <w:rPr>
                <w:rFonts w:ascii="宋体" w:hAnsi="宋体" w:cs="宋体" w:eastAsia="宋体" w:hint="default"/>
                <w:spacing w:val="-6"/>
                <w:w w:val="101"/>
                <w:sz w:val="18"/>
                <w:szCs w:val="18"/>
              </w:rPr>
              <w:t>和仁科技：关于召开</w:t>
            </w:r>
            <w:r>
              <w:rPr>
                <w:rFonts w:ascii="Times New Roman" w:hAnsi="Times New Roman" w:cs="Times New Roman" w:eastAsia="Times New Roman" w:hint="default"/>
                <w:spacing w:val="-6"/>
                <w:w w:val="101"/>
                <w:sz w:val="18"/>
                <w:szCs w:val="18"/>
              </w:rPr>
              <w:t>2019</w:t>
            </w:r>
            <w:r>
              <w:rPr>
                <w:rFonts w:ascii="宋体" w:hAnsi="宋体" w:cs="宋体" w:eastAsia="宋体" w:hint="default"/>
                <w:spacing w:val="-6"/>
                <w:w w:val="101"/>
                <w:sz w:val="18"/>
                <w:szCs w:val="18"/>
              </w:rPr>
              <w:t>年第六次临时股东大</w:t>
            </w:r>
            <w:r>
              <w:rPr>
                <w:rFonts w:ascii="宋体" w:hAnsi="宋体" w:cs="宋体" w:eastAsia="宋体" w:hint="default"/>
                <w:spacing w:val="-79"/>
                <w:w w:val="101"/>
                <w:sz w:val="18"/>
                <w:szCs w:val="18"/>
              </w:rPr>
              <w:t> </w:t>
            </w:r>
            <w:r>
              <w:rPr>
                <w:rFonts w:ascii="宋体" w:hAnsi="宋体" w:cs="宋体" w:eastAsia="宋体" w:hint="default"/>
                <w:spacing w:val="-79"/>
                <w:w w:val="101"/>
                <w:sz w:val="18"/>
                <w:szCs w:val="18"/>
              </w:rPr>
            </w:r>
            <w:r>
              <w:rPr>
                <w:rFonts w:ascii="宋体" w:hAnsi="宋体" w:cs="宋体" w:eastAsia="宋体" w:hint="default"/>
                <w:sz w:val="18"/>
                <w:szCs w:val="18"/>
              </w:rPr>
              <w:t>会的通知</w:t>
            </w:r>
          </w:p>
        </w:tc>
      </w:tr>
      <w:tr>
        <w:trPr>
          <w:trHeight w:val="65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155</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003" w:right="0"/>
              <w:jc w:val="left"/>
              <w:rPr>
                <w:rFonts w:ascii="Times New Roman" w:hAnsi="Times New Roman" w:cs="Times New Roman" w:eastAsia="Times New Roman" w:hint="default"/>
                <w:sz w:val="18"/>
                <w:szCs w:val="18"/>
              </w:rPr>
            </w:pPr>
            <w:r>
              <w:rPr>
                <w:rFonts w:ascii="Times New Roman"/>
                <w:sz w:val="18"/>
              </w:rPr>
              <w:t>2019/12/13</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5"/>
              <w:jc w:val="left"/>
              <w:rPr>
                <w:rFonts w:ascii="宋体" w:hAnsi="宋体" w:cs="宋体" w:eastAsia="宋体" w:hint="default"/>
                <w:sz w:val="18"/>
                <w:szCs w:val="18"/>
              </w:rPr>
            </w:pPr>
            <w:r>
              <w:rPr>
                <w:rFonts w:ascii="宋体" w:hAnsi="宋体" w:cs="宋体" w:eastAsia="宋体" w:hint="default"/>
                <w:spacing w:val="-6"/>
                <w:sz w:val="18"/>
                <w:szCs w:val="18"/>
              </w:rPr>
              <w:t>和仁科技：</w:t>
            </w:r>
            <w:r>
              <w:rPr>
                <w:rFonts w:ascii="Times New Roman" w:hAnsi="Times New Roman" w:cs="Times New Roman" w:eastAsia="Times New Roman" w:hint="default"/>
                <w:spacing w:val="-6"/>
                <w:sz w:val="18"/>
                <w:szCs w:val="18"/>
              </w:rPr>
              <w:t>2019</w:t>
            </w:r>
            <w:r>
              <w:rPr>
                <w:rFonts w:ascii="宋体" w:hAnsi="宋体" w:cs="宋体" w:eastAsia="宋体" w:hint="default"/>
                <w:spacing w:val="-6"/>
                <w:sz w:val="18"/>
                <w:szCs w:val="18"/>
              </w:rPr>
              <w:t>年第五次临时股东大会决议公</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z w:val="18"/>
                <w:szCs w:val="18"/>
              </w:rPr>
              <w:t>告</w:t>
            </w:r>
          </w:p>
        </w:tc>
      </w:tr>
      <w:tr>
        <w:trPr>
          <w:trHeight w:val="662"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156</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03" w:right="0"/>
              <w:jc w:val="left"/>
              <w:rPr>
                <w:rFonts w:ascii="Times New Roman" w:hAnsi="Times New Roman" w:cs="Times New Roman" w:eastAsia="Times New Roman" w:hint="default"/>
                <w:sz w:val="18"/>
                <w:szCs w:val="18"/>
              </w:rPr>
            </w:pPr>
            <w:r>
              <w:rPr>
                <w:rFonts w:ascii="Times New Roman"/>
                <w:sz w:val="18"/>
              </w:rPr>
              <w:t>2019/12/13</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5"/>
              <w:ind w:left="4" w:right="-4"/>
              <w:jc w:val="left"/>
              <w:rPr>
                <w:rFonts w:ascii="宋体" w:hAnsi="宋体" w:cs="宋体" w:eastAsia="宋体" w:hint="default"/>
                <w:sz w:val="18"/>
                <w:szCs w:val="18"/>
              </w:rPr>
            </w:pPr>
            <w:r>
              <w:rPr>
                <w:rFonts w:ascii="宋体" w:hAnsi="宋体" w:cs="宋体" w:eastAsia="宋体" w:hint="default"/>
                <w:spacing w:val="-6"/>
                <w:w w:val="101"/>
                <w:sz w:val="18"/>
                <w:szCs w:val="18"/>
              </w:rPr>
              <w:t>和仁科技：第二届董事会第二十四次会议决议</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公告</w:t>
            </w:r>
          </w:p>
        </w:tc>
      </w:tr>
    </w:tbl>
    <w:p>
      <w:pPr>
        <w:spacing w:after="0" w:line="316"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276" w:type="dxa"/>
        <w:tblLayout w:type="fixed"/>
        <w:tblCellMar>
          <w:top w:w="0" w:type="dxa"/>
          <w:left w:w="0" w:type="dxa"/>
          <w:bottom w:w="0" w:type="dxa"/>
          <w:right w:w="0" w:type="dxa"/>
        </w:tblCellMar>
        <w:tblLook w:val="01E0"/>
      </w:tblPr>
      <w:tblGrid>
        <w:gridCol w:w="994"/>
        <w:gridCol w:w="2833"/>
        <w:gridCol w:w="3549"/>
      </w:tblGrid>
      <w:tr>
        <w:trPr>
          <w:trHeight w:val="65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157</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2019/12/13</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spacing w:val="-6"/>
                <w:w w:val="101"/>
                <w:sz w:val="18"/>
                <w:szCs w:val="18"/>
              </w:rPr>
              <w:t>和仁科技：第二届监事会第二十次会议决议公</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告</w:t>
            </w:r>
          </w:p>
        </w:tc>
      </w:tr>
      <w:tr>
        <w:trPr>
          <w:trHeight w:val="350"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4" w:right="0"/>
              <w:jc w:val="center"/>
              <w:rPr>
                <w:rFonts w:ascii="Times New Roman" w:hAnsi="Times New Roman" w:cs="Times New Roman" w:eastAsia="Times New Roman" w:hint="default"/>
                <w:sz w:val="18"/>
                <w:szCs w:val="18"/>
              </w:rPr>
            </w:pPr>
            <w:r>
              <w:rPr>
                <w:rFonts w:ascii="Times New Roman"/>
                <w:sz w:val="18"/>
              </w:rPr>
              <w:t>158</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2" w:right="0"/>
              <w:jc w:val="center"/>
              <w:rPr>
                <w:rFonts w:ascii="Times New Roman" w:hAnsi="Times New Roman" w:cs="Times New Roman" w:eastAsia="Times New Roman" w:hint="default"/>
                <w:sz w:val="18"/>
                <w:szCs w:val="18"/>
              </w:rPr>
            </w:pPr>
            <w:r>
              <w:rPr>
                <w:rFonts w:ascii="Times New Roman"/>
                <w:sz w:val="18"/>
              </w:rPr>
              <w:t>2019/12/13</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和仁科技：关于选举职工代表监事的公告</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4" w:right="0"/>
              <w:jc w:val="center"/>
              <w:rPr>
                <w:rFonts w:ascii="Times New Roman" w:hAnsi="Times New Roman" w:cs="Times New Roman" w:eastAsia="Times New Roman" w:hint="default"/>
                <w:sz w:val="18"/>
                <w:szCs w:val="18"/>
              </w:rPr>
            </w:pPr>
            <w:r>
              <w:rPr>
                <w:rFonts w:ascii="Times New Roman"/>
                <w:sz w:val="18"/>
              </w:rPr>
              <w:t>159</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2" w:right="0"/>
              <w:jc w:val="center"/>
              <w:rPr>
                <w:rFonts w:ascii="Times New Roman" w:hAnsi="Times New Roman" w:cs="Times New Roman" w:eastAsia="Times New Roman" w:hint="default"/>
                <w:sz w:val="18"/>
                <w:szCs w:val="18"/>
              </w:rPr>
            </w:pPr>
            <w:r>
              <w:rPr>
                <w:rFonts w:ascii="Times New Roman"/>
                <w:sz w:val="18"/>
              </w:rPr>
              <w:t>2019/12/13</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和仁科技：独立董事候选人声明（蔡钰如）</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4" w:right="0"/>
              <w:jc w:val="center"/>
              <w:rPr>
                <w:rFonts w:ascii="Times New Roman" w:hAnsi="Times New Roman" w:cs="Times New Roman" w:eastAsia="Times New Roman" w:hint="default"/>
                <w:sz w:val="18"/>
                <w:szCs w:val="18"/>
              </w:rPr>
            </w:pPr>
            <w:r>
              <w:rPr>
                <w:rFonts w:ascii="Times New Roman"/>
                <w:sz w:val="18"/>
              </w:rPr>
              <w:t>160</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2" w:right="0"/>
              <w:jc w:val="center"/>
              <w:rPr>
                <w:rFonts w:ascii="Times New Roman" w:hAnsi="Times New Roman" w:cs="Times New Roman" w:eastAsia="Times New Roman" w:hint="default"/>
                <w:sz w:val="18"/>
                <w:szCs w:val="18"/>
              </w:rPr>
            </w:pPr>
            <w:r>
              <w:rPr>
                <w:rFonts w:ascii="Times New Roman"/>
                <w:sz w:val="18"/>
              </w:rPr>
              <w:t>2019/12/13</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和仁科技：独立董事候选人声明（黄海）</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4" w:right="0"/>
              <w:jc w:val="center"/>
              <w:rPr>
                <w:rFonts w:ascii="Times New Roman" w:hAnsi="Times New Roman" w:cs="Times New Roman" w:eastAsia="Times New Roman" w:hint="default"/>
                <w:sz w:val="18"/>
                <w:szCs w:val="18"/>
              </w:rPr>
            </w:pPr>
            <w:r>
              <w:rPr>
                <w:rFonts w:ascii="Times New Roman"/>
                <w:sz w:val="18"/>
              </w:rPr>
              <w:t>161</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2" w:right="0"/>
              <w:jc w:val="center"/>
              <w:rPr>
                <w:rFonts w:ascii="Times New Roman" w:hAnsi="Times New Roman" w:cs="Times New Roman" w:eastAsia="Times New Roman" w:hint="default"/>
                <w:sz w:val="18"/>
                <w:szCs w:val="18"/>
              </w:rPr>
            </w:pPr>
            <w:r>
              <w:rPr>
                <w:rFonts w:ascii="Times New Roman"/>
                <w:sz w:val="18"/>
              </w:rPr>
              <w:t>2019/12/13</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和仁科技：独立董事候选人声明（洪伟荣）</w:t>
            </w:r>
          </w:p>
        </w:tc>
      </w:tr>
      <w:tr>
        <w:trPr>
          <w:trHeight w:val="350"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14" w:right="0"/>
              <w:jc w:val="center"/>
              <w:rPr>
                <w:rFonts w:ascii="Times New Roman" w:hAnsi="Times New Roman" w:cs="Times New Roman" w:eastAsia="Times New Roman" w:hint="default"/>
                <w:sz w:val="18"/>
                <w:szCs w:val="18"/>
              </w:rPr>
            </w:pPr>
            <w:r>
              <w:rPr>
                <w:rFonts w:ascii="Times New Roman"/>
                <w:sz w:val="18"/>
              </w:rPr>
              <w:t>162</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12" w:right="0"/>
              <w:jc w:val="center"/>
              <w:rPr>
                <w:rFonts w:ascii="Times New Roman" w:hAnsi="Times New Roman" w:cs="Times New Roman" w:eastAsia="Times New Roman" w:hint="default"/>
                <w:sz w:val="18"/>
                <w:szCs w:val="18"/>
              </w:rPr>
            </w:pPr>
            <w:r>
              <w:rPr>
                <w:rFonts w:ascii="Times New Roman"/>
                <w:sz w:val="18"/>
              </w:rPr>
              <w:t>2019/12/13</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和仁科技：独立董事提名人声明（三）</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4" w:right="0"/>
              <w:jc w:val="center"/>
              <w:rPr>
                <w:rFonts w:ascii="Times New Roman" w:hAnsi="Times New Roman" w:cs="Times New Roman" w:eastAsia="Times New Roman" w:hint="default"/>
                <w:sz w:val="18"/>
                <w:szCs w:val="18"/>
              </w:rPr>
            </w:pPr>
            <w:r>
              <w:rPr>
                <w:rFonts w:ascii="Times New Roman"/>
                <w:sz w:val="18"/>
              </w:rPr>
              <w:t>163</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2" w:right="0"/>
              <w:jc w:val="center"/>
              <w:rPr>
                <w:rFonts w:ascii="Times New Roman" w:hAnsi="Times New Roman" w:cs="Times New Roman" w:eastAsia="Times New Roman" w:hint="default"/>
                <w:sz w:val="18"/>
                <w:szCs w:val="18"/>
              </w:rPr>
            </w:pPr>
            <w:r>
              <w:rPr>
                <w:rFonts w:ascii="Times New Roman"/>
                <w:sz w:val="18"/>
              </w:rPr>
              <w:t>2019/12/13</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和仁科技：独立董事提名人声明（二）</w:t>
            </w:r>
          </w:p>
        </w:tc>
      </w:tr>
      <w:tr>
        <w:trPr>
          <w:trHeight w:val="346"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4" w:right="0"/>
              <w:jc w:val="center"/>
              <w:rPr>
                <w:rFonts w:ascii="Times New Roman" w:hAnsi="Times New Roman" w:cs="Times New Roman" w:eastAsia="Times New Roman" w:hint="default"/>
                <w:sz w:val="18"/>
                <w:szCs w:val="18"/>
              </w:rPr>
            </w:pPr>
            <w:r>
              <w:rPr>
                <w:rFonts w:ascii="Times New Roman"/>
                <w:sz w:val="18"/>
              </w:rPr>
              <w:t>164</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2" w:right="0"/>
              <w:jc w:val="center"/>
              <w:rPr>
                <w:rFonts w:ascii="Times New Roman" w:hAnsi="Times New Roman" w:cs="Times New Roman" w:eastAsia="Times New Roman" w:hint="default"/>
                <w:sz w:val="18"/>
                <w:szCs w:val="18"/>
              </w:rPr>
            </w:pPr>
            <w:r>
              <w:rPr>
                <w:rFonts w:ascii="Times New Roman"/>
                <w:sz w:val="18"/>
              </w:rPr>
              <w:t>2019/12/13</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和仁科技：独立董事提名人声明（一）</w:t>
            </w:r>
          </w:p>
        </w:tc>
      </w:tr>
      <w:tr>
        <w:trPr>
          <w:trHeight w:val="662"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165</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2019/12/13</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5"/>
              <w:ind w:left="4" w:right="-5"/>
              <w:jc w:val="left"/>
              <w:rPr>
                <w:rFonts w:ascii="宋体" w:hAnsi="宋体" w:cs="宋体" w:eastAsia="宋体" w:hint="default"/>
                <w:sz w:val="18"/>
                <w:szCs w:val="18"/>
              </w:rPr>
            </w:pPr>
            <w:r>
              <w:rPr>
                <w:rFonts w:ascii="宋体" w:hAnsi="宋体" w:cs="宋体" w:eastAsia="宋体" w:hint="default"/>
                <w:spacing w:val="-6"/>
                <w:sz w:val="18"/>
                <w:szCs w:val="18"/>
              </w:rPr>
              <w:t>和仁科技：</w:t>
            </w:r>
            <w:r>
              <w:rPr>
                <w:rFonts w:ascii="Times New Roman" w:hAnsi="Times New Roman" w:cs="Times New Roman" w:eastAsia="Times New Roman" w:hint="default"/>
                <w:spacing w:val="-6"/>
                <w:sz w:val="18"/>
                <w:szCs w:val="18"/>
              </w:rPr>
              <w:t>2019</w:t>
            </w:r>
            <w:r>
              <w:rPr>
                <w:rFonts w:ascii="宋体" w:hAnsi="宋体" w:cs="宋体" w:eastAsia="宋体" w:hint="default"/>
                <w:spacing w:val="-6"/>
                <w:sz w:val="18"/>
                <w:szCs w:val="18"/>
              </w:rPr>
              <w:t>年第五次临时股东大会的法律</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z w:val="18"/>
                <w:szCs w:val="18"/>
              </w:rPr>
              <w:t>意见书</w:t>
            </w:r>
          </w:p>
        </w:tc>
      </w:tr>
      <w:tr>
        <w:trPr>
          <w:trHeight w:val="65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166</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2019/12/13</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spacing w:val="-6"/>
                <w:w w:val="101"/>
                <w:sz w:val="18"/>
                <w:szCs w:val="18"/>
              </w:rPr>
              <w:t>和仁科技：独立董事关于第三届董事会第二十</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3"/>
                <w:sz w:val="18"/>
                <w:szCs w:val="18"/>
              </w:rPr>
              <w:t>四次会议相关事项的独立意见</w:t>
            </w:r>
          </w:p>
        </w:tc>
      </w:tr>
      <w:tr>
        <w:trPr>
          <w:trHeight w:val="65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167</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2019/12/30</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5"/>
              <w:jc w:val="left"/>
              <w:rPr>
                <w:rFonts w:ascii="宋体" w:hAnsi="宋体" w:cs="宋体" w:eastAsia="宋体" w:hint="default"/>
                <w:sz w:val="18"/>
                <w:szCs w:val="18"/>
              </w:rPr>
            </w:pPr>
            <w:r>
              <w:rPr>
                <w:rFonts w:ascii="宋体" w:hAnsi="宋体" w:cs="宋体" w:eastAsia="宋体" w:hint="default"/>
                <w:spacing w:val="-6"/>
                <w:sz w:val="18"/>
                <w:szCs w:val="18"/>
              </w:rPr>
              <w:t>和仁科技：</w:t>
            </w:r>
            <w:r>
              <w:rPr>
                <w:rFonts w:ascii="Times New Roman" w:hAnsi="Times New Roman" w:cs="Times New Roman" w:eastAsia="Times New Roman" w:hint="default"/>
                <w:spacing w:val="-6"/>
                <w:sz w:val="18"/>
                <w:szCs w:val="18"/>
              </w:rPr>
              <w:t>2019</w:t>
            </w:r>
            <w:r>
              <w:rPr>
                <w:rFonts w:ascii="宋体" w:hAnsi="宋体" w:cs="宋体" w:eastAsia="宋体" w:hint="default"/>
                <w:spacing w:val="-6"/>
                <w:sz w:val="18"/>
                <w:szCs w:val="18"/>
              </w:rPr>
              <w:t>年第六次临时股东大会决议公</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z w:val="18"/>
                <w:szCs w:val="18"/>
              </w:rPr>
              <w:t>告</w:t>
            </w:r>
          </w:p>
        </w:tc>
      </w:tr>
      <w:tr>
        <w:trPr>
          <w:trHeight w:val="658"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168</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2019/12/30</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spacing w:val="-6"/>
                <w:w w:val="101"/>
                <w:sz w:val="18"/>
                <w:szCs w:val="18"/>
              </w:rPr>
              <w:t>和仁科技：关于公司董事会完成换届选举的公</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告</w:t>
            </w:r>
          </w:p>
        </w:tc>
      </w:tr>
      <w:tr>
        <w:trPr>
          <w:trHeight w:val="663" w:hRule="exact"/>
        </w:trPr>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169</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2019/12/30</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5"/>
              <w:ind w:left="4" w:right="-5"/>
              <w:jc w:val="left"/>
              <w:rPr>
                <w:rFonts w:ascii="宋体" w:hAnsi="宋体" w:cs="宋体" w:eastAsia="宋体" w:hint="default"/>
                <w:sz w:val="18"/>
                <w:szCs w:val="18"/>
              </w:rPr>
            </w:pPr>
            <w:r>
              <w:rPr>
                <w:rFonts w:ascii="宋体" w:hAnsi="宋体" w:cs="宋体" w:eastAsia="宋体" w:hint="default"/>
                <w:spacing w:val="-6"/>
                <w:sz w:val="18"/>
                <w:szCs w:val="18"/>
              </w:rPr>
              <w:t>和仁科技：</w:t>
            </w:r>
            <w:r>
              <w:rPr>
                <w:rFonts w:ascii="Times New Roman" w:hAnsi="Times New Roman" w:cs="Times New Roman" w:eastAsia="Times New Roman" w:hint="default"/>
                <w:spacing w:val="-6"/>
                <w:sz w:val="18"/>
                <w:szCs w:val="18"/>
              </w:rPr>
              <w:t>2019</w:t>
            </w:r>
            <w:r>
              <w:rPr>
                <w:rFonts w:ascii="宋体" w:hAnsi="宋体" w:cs="宋体" w:eastAsia="宋体" w:hint="default"/>
                <w:spacing w:val="-6"/>
                <w:sz w:val="18"/>
                <w:szCs w:val="18"/>
              </w:rPr>
              <w:t>年第六次临时股东大会的法律</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z w:val="18"/>
                <w:szCs w:val="18"/>
              </w:rPr>
              <w:t>意见书</w:t>
            </w:r>
          </w:p>
        </w:tc>
      </w:tr>
    </w:tbl>
    <w:p>
      <w:pPr>
        <w:spacing w:line="240" w:lineRule="auto" w:before="1"/>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bookmarkStart w:name="十九、公司子公司重大事项" w:id="103"/>
      <w:bookmarkEnd w:id="103"/>
      <w:r>
        <w:rPr>
          <w:b w:val="0"/>
          <w:bCs w:val="0"/>
        </w:rPr>
      </w:r>
      <w:r>
        <w:rPr/>
        <w:t>十九、公司子公司重大事项</w:t>
      </w:r>
      <w:r>
        <w:rPr>
          <w:b w:val="0"/>
          <w:bCs w:val="0"/>
        </w:rPr>
      </w:r>
    </w:p>
    <w:p>
      <w:pPr>
        <w:spacing w:line="240" w:lineRule="auto" w:before="3"/>
        <w:rPr>
          <w:rFonts w:ascii="宋体" w:hAnsi="宋体" w:cs="宋体" w:eastAsia="宋体" w:hint="default"/>
          <w:b/>
          <w:bCs/>
          <w:sz w:val="27"/>
          <w:szCs w:val="27"/>
        </w:rPr>
      </w:pPr>
    </w:p>
    <w:p>
      <w:pPr>
        <w:pStyle w:val="BodyText"/>
        <w:spacing w:line="338" w:lineRule="auto"/>
        <w:ind w:right="310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spacing w:val="-3"/>
        </w:rPr>
        <w:t>□</w:t>
      </w:r>
      <w:r>
        <w:rPr>
          <w:spacing w:val="-3"/>
        </w:rPr>
        <w:t>不适用</w:t>
      </w:r>
      <w:r>
        <w:rPr>
          <w:spacing w:val="-78"/>
        </w:rPr>
        <w:t> </w:t>
      </w:r>
      <w:r>
        <w:rPr>
          <w:spacing w:val="-78"/>
        </w:rPr>
      </w:r>
      <w:r>
        <w:rPr>
          <w:rFonts w:ascii="宋体" w:hAnsi="宋体" w:cs="宋体" w:eastAsia="宋体" w:hint="default"/>
          <w:spacing w:val="-3"/>
        </w:rPr>
        <w:t>1</w:t>
      </w:r>
      <w:r>
        <w:rPr>
          <w:spacing w:val="-3"/>
        </w:rPr>
        <w:t>、报告期内，公司为了进一步强化公司在医疗信息化领域的竞争优势，增加北京和仁公司；</w:t>
      </w:r>
    </w:p>
    <w:p>
      <w:pPr>
        <w:pStyle w:val="BodyText"/>
        <w:spacing w:line="240" w:lineRule="auto" w:before="2"/>
        <w:ind w:right="0"/>
        <w:jc w:val="left"/>
      </w:pPr>
      <w:r>
        <w:rPr>
          <w:rFonts w:ascii="宋体" w:hAnsi="宋体" w:cs="宋体" w:eastAsia="宋体" w:hint="default"/>
          <w:spacing w:val="-3"/>
        </w:rPr>
        <w:t>2</w:t>
      </w:r>
      <w:r>
        <w:rPr>
          <w:spacing w:val="-3"/>
        </w:rPr>
        <w:t>、报告期内，公司因业务战略调整，转让和仁云慧公司，对生产经营及业绩无实质影响；</w:t>
      </w:r>
    </w:p>
    <w:p>
      <w:pPr>
        <w:pStyle w:val="BodyText"/>
        <w:spacing w:line="319" w:lineRule="auto" w:before="76"/>
        <w:ind w:right="1037"/>
        <w:jc w:val="left"/>
      </w:pPr>
      <w:r>
        <w:rPr>
          <w:rFonts w:ascii="宋体" w:hAnsi="宋体" w:cs="宋体" w:eastAsia="宋体" w:hint="default"/>
          <w:spacing w:val="-3"/>
        </w:rPr>
        <w:t>3</w:t>
      </w:r>
      <w:r>
        <w:rPr>
          <w:spacing w:val="-3"/>
        </w:rPr>
        <w:t>、报告期内，公司业务战略调整，清算黑龙江子公司，对生产经营及业绩无实质影响；</w:t>
      </w:r>
      <w:r>
        <w:rPr>
          <w:spacing w:val="29"/>
        </w:rPr>
        <w:t> </w:t>
      </w:r>
      <w:r>
        <w:rPr>
          <w:spacing w:val="29"/>
        </w:rPr>
      </w:r>
      <w:r>
        <w:rPr>
          <w:spacing w:val="-3"/>
        </w:rPr>
        <w:t>上述内容具体信息详见本报告</w:t>
      </w:r>
      <w:r>
        <w:rPr>
          <w:rFonts w:ascii="Times New Roman" w:hAnsi="Times New Roman" w:cs="Times New Roman" w:eastAsia="Times New Roman" w:hint="default"/>
          <w:spacing w:val="-3"/>
        </w:rPr>
        <w:t>“</w:t>
      </w:r>
      <w:r>
        <w:rPr>
          <w:spacing w:val="-3"/>
        </w:rPr>
        <w:t>第十二节 财务报告</w:t>
      </w:r>
      <w:r>
        <w:rPr>
          <w:rFonts w:ascii="Times New Roman" w:hAnsi="Times New Roman" w:cs="Times New Roman" w:eastAsia="Times New Roman" w:hint="default"/>
          <w:spacing w:val="-3"/>
        </w:rPr>
        <w:t>”</w:t>
      </w:r>
      <w:r>
        <w:rPr>
          <w:spacing w:val="-3"/>
        </w:rPr>
        <w:t>中</w:t>
      </w:r>
      <w:r>
        <w:rPr>
          <w:rFonts w:ascii="Times New Roman" w:hAnsi="Times New Roman" w:cs="Times New Roman" w:eastAsia="Times New Roman" w:hint="default"/>
          <w:spacing w:val="-3"/>
        </w:rPr>
        <w:t>“</w:t>
      </w:r>
      <w:r>
        <w:rPr>
          <w:spacing w:val="-3"/>
        </w:rPr>
        <w:t>八、合并范围的变更</w:t>
      </w:r>
      <w:r>
        <w:rPr>
          <w:rFonts w:ascii="Times New Roman" w:hAnsi="Times New Roman" w:cs="Times New Roman" w:eastAsia="Times New Roman" w:hint="default"/>
          <w:spacing w:val="-3"/>
        </w:rPr>
        <w:t>”</w:t>
      </w:r>
      <w:r>
        <w:rPr>
          <w:spacing w:val="-3"/>
        </w:rPr>
        <w:t>。</w:t>
      </w:r>
      <w:r>
        <w:rPr>
          <w:spacing w:val="-2"/>
        </w:rPr>
        <w:t> </w:t>
      </w:r>
      <w:r>
        <w:rPr>
          <w:rFonts w:ascii="Times New Roman" w:hAnsi="Times New Roman" w:cs="Times New Roman" w:eastAsia="Times New Roman" w:hint="default"/>
          <w:spacing w:val="-4"/>
        </w:rPr>
        <w:t>4</w:t>
      </w:r>
      <w:r>
        <w:rPr>
          <w:spacing w:val="-4"/>
        </w:rPr>
        <w:t>、报告期内，公司以自有资金与乾堂管理咨询有限公司合资设立四川和仁乾堂科技有限公司，注册资本为人民币 </w:t>
      </w:r>
      <w:r>
        <w:rPr>
          <w:rFonts w:ascii="Times New Roman" w:hAnsi="Times New Roman" w:cs="Times New Roman" w:eastAsia="Times New Roman" w:hint="default"/>
        </w:rPr>
        <w:t>1000 </w:t>
      </w:r>
      <w:r>
        <w:rPr/>
        <w:t>万元</w:t>
      </w:r>
      <w:r>
        <w:rPr>
          <w:spacing w:val="-57"/>
        </w:rPr>
        <w:t> </w:t>
      </w:r>
      <w:r>
        <w:rPr/>
        <w:t>整，和仁科技持股 </w:t>
      </w:r>
      <w:r>
        <w:rPr>
          <w:rFonts w:ascii="Times New Roman" w:hAnsi="Times New Roman" w:cs="Times New Roman" w:eastAsia="Times New Roman" w:hint="default"/>
          <w:spacing w:val="-3"/>
        </w:rPr>
        <w:t>35%</w:t>
      </w:r>
      <w:r>
        <w:rPr>
          <w:spacing w:val="-3"/>
        </w:rPr>
        <w:t>，乾堂管理咨询有限公司持股 </w:t>
      </w:r>
      <w:r>
        <w:rPr>
          <w:rFonts w:ascii="Times New Roman" w:hAnsi="Times New Roman" w:cs="Times New Roman" w:eastAsia="Times New Roman" w:hint="default"/>
          <w:spacing w:val="-3"/>
        </w:rPr>
        <w:t>65%</w:t>
      </w:r>
      <w:r>
        <w:rPr>
          <w:spacing w:val="-3"/>
        </w:rPr>
        <w:t>。该公司首期出资共计 </w:t>
      </w:r>
      <w:r>
        <w:rPr>
          <w:rFonts w:ascii="Times New Roman" w:hAnsi="Times New Roman" w:cs="Times New Roman" w:eastAsia="Times New Roman" w:hint="default"/>
        </w:rPr>
        <w:t>100</w:t>
      </w:r>
      <w:r>
        <w:rPr>
          <w:rFonts w:ascii="Times New Roman" w:hAnsi="Times New Roman" w:cs="Times New Roman" w:eastAsia="Times New Roman" w:hint="default"/>
          <w:spacing w:val="5"/>
        </w:rPr>
        <w:t> </w:t>
      </w:r>
      <w:r>
        <w:rPr>
          <w:spacing w:val="-3"/>
        </w:rPr>
        <w:t>万元，目前公司尚未实际出资。四川</w:t>
      </w:r>
    </w:p>
    <w:p>
      <w:pPr>
        <w:pStyle w:val="BodyText"/>
        <w:spacing w:line="319" w:lineRule="auto"/>
        <w:ind w:right="1124"/>
        <w:jc w:val="both"/>
      </w:pPr>
      <w:r>
        <w:rPr>
          <w:spacing w:val="-5"/>
        </w:rPr>
        <w:t>和仁乾堂科技有限公司注册设立已经完成，已经取得营业执照。经营范围为：软件开发；计算机系统集成；网络技术、机电</w:t>
      </w:r>
      <w:r>
        <w:rPr>
          <w:spacing w:val="4"/>
        </w:rPr>
        <w:t> </w:t>
      </w:r>
      <w:r>
        <w:rPr>
          <w:spacing w:val="4"/>
        </w:rPr>
      </w:r>
      <w:r>
        <w:rPr>
          <w:spacing w:val="-4"/>
        </w:rPr>
        <w:t>产品技术开发、技术服务、技术咨询、技术转让；建筑智能化工程的设计与施工；销售：一类医疗器械；社会经济咨询；一</w:t>
      </w:r>
      <w:r>
        <w:rPr>
          <w:spacing w:val="40"/>
        </w:rPr>
        <w:t> </w:t>
      </w:r>
      <w:r>
        <w:rPr>
          <w:spacing w:val="40"/>
        </w:rPr>
      </w:r>
      <w:r>
        <w:rPr/>
        <w:t>类医疗器械租赁。</w:t>
      </w:r>
    </w:p>
    <w:p>
      <w:pPr>
        <w:spacing w:after="0" w:line="319" w:lineRule="auto"/>
        <w:jc w:val="both"/>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3843" w:right="0"/>
        <w:jc w:val="left"/>
        <w:rPr>
          <w:b w:val="0"/>
          <w:bCs w:val="0"/>
        </w:rPr>
      </w:pPr>
      <w:bookmarkStart w:name="第六节股份变动及股东情况" w:id="104"/>
      <w:bookmarkEnd w:id="104"/>
      <w:r>
        <w:rPr>
          <w:b w:val="0"/>
          <w:bCs w:val="0"/>
        </w:rPr>
      </w:r>
      <w:bookmarkStart w:name="_bookmark4" w:id="105"/>
      <w:bookmarkEnd w:id="105"/>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left="953" w:right="0"/>
        <w:jc w:val="left"/>
        <w:rPr>
          <w:b w:val="0"/>
          <w:bCs w:val="0"/>
        </w:rPr>
      </w:pPr>
      <w:bookmarkStart w:name="一、股份变动情况" w:id="106"/>
      <w:bookmarkEnd w:id="106"/>
      <w:r>
        <w:rPr>
          <w:b w:val="0"/>
          <w:bCs w:val="0"/>
        </w:rPr>
      </w:r>
      <w:r>
        <w:rPr/>
        <w:t>一、股份变动情况</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left="953" w:right="0"/>
        <w:jc w:val="left"/>
        <w:rPr>
          <w:b w:val="0"/>
          <w:bCs w:val="0"/>
        </w:rPr>
      </w:pPr>
      <w:bookmarkStart w:name="1、股份变动情况" w:id="107"/>
      <w:bookmarkEnd w:id="107"/>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spacing w:val="-2"/>
        </w:rPr>
        <w:t>单位：股</w:t>
      </w:r>
    </w:p>
    <w:p>
      <w:pPr>
        <w:spacing w:line="240" w:lineRule="auto" w:before="13"/>
        <w:rPr>
          <w:rFonts w:ascii="宋体" w:hAnsi="宋体" w:cs="宋体" w:eastAsia="宋体" w:hint="default"/>
          <w:sz w:val="7"/>
          <w:szCs w:val="7"/>
        </w:rPr>
      </w:pPr>
    </w:p>
    <w:tbl>
      <w:tblPr>
        <w:tblW w:w="0" w:type="auto"/>
        <w:jc w:val="left"/>
        <w:tblInd w:w="117" w:type="dxa"/>
        <w:tblLayout w:type="fixed"/>
        <w:tblCellMar>
          <w:top w:w="0" w:type="dxa"/>
          <w:left w:w="0" w:type="dxa"/>
          <w:bottom w:w="0" w:type="dxa"/>
          <w:right w:w="0" w:type="dxa"/>
        </w:tblCellMar>
        <w:tblLook w:val="01E0"/>
      </w:tblPr>
      <w:tblGrid>
        <w:gridCol w:w="2627"/>
        <w:gridCol w:w="975"/>
        <w:gridCol w:w="970"/>
        <w:gridCol w:w="970"/>
        <w:gridCol w:w="974"/>
        <w:gridCol w:w="970"/>
        <w:gridCol w:w="970"/>
        <w:gridCol w:w="975"/>
        <w:gridCol w:w="1042"/>
        <w:gridCol w:w="830"/>
      </w:tblGrid>
      <w:tr>
        <w:trPr>
          <w:trHeight w:val="250" w:hRule="exact"/>
        </w:trPr>
        <w:tc>
          <w:tcPr>
            <w:tcW w:w="26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9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85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5" w:right="0"/>
              <w:jc w:val="left"/>
              <w:rPr>
                <w:rFonts w:ascii="宋体" w:hAnsi="宋体" w:cs="宋体" w:eastAsia="宋体" w:hint="default"/>
                <w:sz w:val="18"/>
                <w:szCs w:val="18"/>
              </w:rPr>
            </w:pPr>
            <w:r>
              <w:rPr>
                <w:rFonts w:ascii="宋体" w:hAnsi="宋体" w:cs="宋体" w:eastAsia="宋体" w:hint="default"/>
                <w:spacing w:val="-3"/>
                <w:sz w:val="18"/>
                <w:szCs w:val="18"/>
              </w:rPr>
              <w:t>本次变动增减（＋，－）</w:t>
            </w:r>
          </w:p>
        </w:tc>
        <w:tc>
          <w:tcPr>
            <w:tcW w:w="18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84"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73" w:hRule="exact"/>
        </w:trPr>
        <w:tc>
          <w:tcPr>
            <w:tcW w:w="2627" w:type="dxa"/>
            <w:vMerge w:val="restart"/>
            <w:tcBorders>
              <w:top w:val="nil" w:sz="6" w:space="0" w:color="auto"/>
              <w:left w:val="single" w:sz="4" w:space="0" w:color="000000"/>
              <w:right w:val="single" w:sz="4" w:space="0" w:color="000000"/>
            </w:tcBorders>
            <w:shd w:val="clear" w:color="auto" w:fill="D2D2D2"/>
          </w:tcPr>
          <w:p>
            <w:pPr/>
          </w:p>
        </w:tc>
        <w:tc>
          <w:tcPr>
            <w:tcW w:w="1945" w:type="dxa"/>
            <w:gridSpan w:val="2"/>
            <w:vMerge/>
            <w:tcBorders>
              <w:left w:val="single" w:sz="4" w:space="0" w:color="000000"/>
              <w:bottom w:val="single" w:sz="4" w:space="0" w:color="000000"/>
              <w:right w:val="single" w:sz="4" w:space="0" w:color="000000"/>
            </w:tcBorders>
            <w:shd w:val="clear" w:color="auto" w:fill="D2D2D2"/>
          </w:tcPr>
          <w:p>
            <w:pPr/>
          </w:p>
        </w:tc>
        <w:tc>
          <w:tcPr>
            <w:tcW w:w="4859" w:type="dxa"/>
            <w:gridSpan w:val="5"/>
            <w:vMerge/>
            <w:tcBorders>
              <w:left w:val="single" w:sz="4" w:space="0" w:color="000000"/>
              <w:bottom w:val="single" w:sz="4" w:space="0" w:color="000000"/>
              <w:right w:val="single" w:sz="4" w:space="0" w:color="000000"/>
            </w:tcBorders>
            <w:shd w:val="clear" w:color="auto" w:fill="D2D2D2"/>
          </w:tcPr>
          <w:p>
            <w:pPr/>
          </w:p>
        </w:tc>
        <w:tc>
          <w:tcPr>
            <w:tcW w:w="1873" w:type="dxa"/>
            <w:gridSpan w:val="2"/>
            <w:vMerge/>
            <w:tcBorders>
              <w:left w:val="single" w:sz="4" w:space="0" w:color="000000"/>
              <w:bottom w:val="single" w:sz="4" w:space="0" w:color="000000"/>
              <w:right w:val="single" w:sz="4" w:space="0" w:color="000000"/>
            </w:tcBorders>
            <w:shd w:val="clear" w:color="auto" w:fill="D2D2D2"/>
          </w:tcPr>
          <w:p>
            <w:pPr/>
          </w:p>
        </w:tc>
      </w:tr>
      <w:tr>
        <w:trPr>
          <w:trHeight w:val="221" w:hRule="exact"/>
        </w:trPr>
        <w:tc>
          <w:tcPr>
            <w:tcW w:w="2627" w:type="dxa"/>
            <w:vMerge/>
            <w:tcBorders>
              <w:left w:val="single" w:sz="4" w:space="0" w:color="000000"/>
              <w:bottom w:val="nil" w:sz="6" w:space="0" w:color="auto"/>
              <w:right w:val="single" w:sz="4" w:space="0" w:color="000000"/>
            </w:tcBorders>
            <w:shd w:val="clear" w:color="auto" w:fill="D2D2D2"/>
          </w:tcPr>
          <w:p>
            <w:pPr/>
          </w:p>
        </w:tc>
        <w:tc>
          <w:tcPr>
            <w:tcW w:w="9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7"/>
              <w:ind w:left="30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9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7"/>
              <w:ind w:left="30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7"/>
              <w:ind w:left="12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9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7"/>
              <w:ind w:left="302"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7"/>
              <w:ind w:left="28"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7"/>
              <w:ind w:left="29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7"/>
              <w:ind w:left="30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7"/>
              <w:ind w:left="33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7"/>
              <w:ind w:left="230"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23" w:hRule="exact"/>
        </w:trPr>
        <w:tc>
          <w:tcPr>
            <w:tcW w:w="2627" w:type="dxa"/>
            <w:tcBorders>
              <w:top w:val="nil" w:sz="6" w:space="0" w:color="auto"/>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shd w:val="clear" w:color="auto" w:fill="D2D2D2"/>
          </w:tcPr>
          <w:p>
            <w:pPr/>
          </w:p>
        </w:tc>
        <w:tc>
          <w:tcPr>
            <w:tcW w:w="970" w:type="dxa"/>
            <w:vMerge/>
            <w:tcBorders>
              <w:left w:val="single" w:sz="4" w:space="0" w:color="000000"/>
              <w:bottom w:val="single" w:sz="4" w:space="0" w:color="000000"/>
              <w:right w:val="single" w:sz="4" w:space="0" w:color="000000"/>
            </w:tcBorders>
            <w:shd w:val="clear" w:color="auto" w:fill="D2D2D2"/>
          </w:tcPr>
          <w:p>
            <w:pPr/>
          </w:p>
        </w:tc>
        <w:tc>
          <w:tcPr>
            <w:tcW w:w="970" w:type="dxa"/>
            <w:vMerge/>
            <w:tcBorders>
              <w:left w:val="single" w:sz="4" w:space="0" w:color="000000"/>
              <w:bottom w:val="single" w:sz="4" w:space="0" w:color="000000"/>
              <w:right w:val="single" w:sz="4" w:space="0" w:color="000000"/>
            </w:tcBorders>
            <w:shd w:val="clear" w:color="auto" w:fill="D2D2D2"/>
          </w:tcPr>
          <w:p>
            <w:pPr/>
          </w:p>
        </w:tc>
        <w:tc>
          <w:tcPr>
            <w:tcW w:w="974" w:type="dxa"/>
            <w:vMerge/>
            <w:tcBorders>
              <w:left w:val="single" w:sz="4" w:space="0" w:color="000000"/>
              <w:bottom w:val="single" w:sz="4" w:space="0" w:color="000000"/>
              <w:right w:val="single" w:sz="4" w:space="0" w:color="000000"/>
            </w:tcBorders>
            <w:shd w:val="clear" w:color="auto" w:fill="D2D2D2"/>
          </w:tcPr>
          <w:p>
            <w:pPr/>
          </w:p>
        </w:tc>
        <w:tc>
          <w:tcPr>
            <w:tcW w:w="970" w:type="dxa"/>
            <w:vMerge/>
            <w:tcBorders>
              <w:left w:val="single" w:sz="4" w:space="0" w:color="000000"/>
              <w:bottom w:val="single" w:sz="4" w:space="0" w:color="000000"/>
              <w:right w:val="single" w:sz="4" w:space="0" w:color="000000"/>
            </w:tcBorders>
            <w:shd w:val="clear" w:color="auto" w:fill="D2D2D2"/>
          </w:tcPr>
          <w:p>
            <w:pPr/>
          </w:p>
        </w:tc>
        <w:tc>
          <w:tcPr>
            <w:tcW w:w="970" w:type="dxa"/>
            <w:vMerge/>
            <w:tcBorders>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shd w:val="clear" w:color="auto" w:fill="D2D2D2"/>
          </w:tcPr>
          <w:p>
            <w:pPr/>
          </w:p>
        </w:tc>
        <w:tc>
          <w:tcPr>
            <w:tcW w:w="1042" w:type="dxa"/>
            <w:vMerge/>
            <w:tcBorders>
              <w:left w:val="single" w:sz="4" w:space="0" w:color="000000"/>
              <w:bottom w:val="single" w:sz="4" w:space="0" w:color="000000"/>
              <w:right w:val="single" w:sz="4" w:space="0" w:color="000000"/>
            </w:tcBorders>
            <w:shd w:val="clear" w:color="auto" w:fill="D2D2D2"/>
          </w:tcPr>
          <w:p>
            <w:pPr/>
          </w:p>
        </w:tc>
        <w:tc>
          <w:tcPr>
            <w:tcW w:w="830" w:type="dxa"/>
            <w:vMerge/>
            <w:tcBorders>
              <w:left w:val="single" w:sz="4" w:space="0" w:color="000000"/>
              <w:bottom w:val="single" w:sz="4" w:space="0" w:color="000000"/>
              <w:right w:val="single" w:sz="4" w:space="0" w:color="000000"/>
            </w:tcBorders>
            <w:shd w:val="clear" w:color="auto" w:fill="D2D2D2"/>
          </w:tcPr>
          <w:p>
            <w:pPr/>
          </w:p>
        </w:tc>
      </w:tr>
      <w:tr>
        <w:trPr>
          <w:trHeight w:val="516" w:hRule="exact"/>
        </w:trPr>
        <w:tc>
          <w:tcPr>
            <w:tcW w:w="2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pacing w:val="-3"/>
                <w:sz w:val="18"/>
                <w:szCs w:val="18"/>
              </w:rPr>
              <w:t>一、有限售条件股份</w:t>
            </w:r>
          </w:p>
        </w:tc>
        <w:tc>
          <w:tcPr>
            <w:tcW w:w="975" w:type="dxa"/>
            <w:tcBorders>
              <w:top w:val="single" w:sz="17" w:space="0" w:color="D2D2D2"/>
              <w:left w:val="single" w:sz="10" w:space="0" w:color="D2D2D2"/>
              <w:bottom w:val="single" w:sz="4" w:space="0" w:color="000000"/>
              <w:right w:val="single" w:sz="4" w:space="0" w:color="000000"/>
            </w:tcBorders>
          </w:tcPr>
          <w:p>
            <w:pPr>
              <w:pStyle w:val="TableParagraph"/>
              <w:spacing w:line="240" w:lineRule="auto" w:before="148"/>
              <w:ind w:left="102" w:right="0"/>
              <w:jc w:val="center"/>
              <w:rPr>
                <w:rFonts w:ascii="Times New Roman" w:hAnsi="Times New Roman" w:cs="Times New Roman" w:eastAsia="Times New Roman" w:hint="default"/>
                <w:sz w:val="18"/>
                <w:szCs w:val="18"/>
              </w:rPr>
            </w:pPr>
            <w:r>
              <w:rPr>
                <w:rFonts w:ascii="Times New Roman"/>
                <w:sz w:val="18"/>
              </w:rPr>
              <w:t>53,820,000</w:t>
            </w:r>
          </w:p>
        </w:tc>
        <w:tc>
          <w:tcPr>
            <w:tcW w:w="970" w:type="dxa"/>
            <w:tcBorders>
              <w:top w:val="single" w:sz="17" w:space="0" w:color="D2D2D2"/>
              <w:left w:val="single" w:sz="4" w:space="0" w:color="000000"/>
              <w:bottom w:val="single" w:sz="4" w:space="0" w:color="000000"/>
              <w:right w:val="single" w:sz="4" w:space="0" w:color="000000"/>
            </w:tcBorders>
          </w:tcPr>
          <w:p>
            <w:pPr>
              <w:pStyle w:val="TableParagraph"/>
              <w:spacing w:line="240" w:lineRule="auto" w:before="148"/>
              <w:ind w:right="14"/>
              <w:jc w:val="right"/>
              <w:rPr>
                <w:rFonts w:ascii="Times New Roman" w:hAnsi="Times New Roman" w:cs="Times New Roman" w:eastAsia="Times New Roman" w:hint="default"/>
                <w:sz w:val="18"/>
                <w:szCs w:val="18"/>
              </w:rPr>
            </w:pPr>
            <w:r>
              <w:rPr>
                <w:rFonts w:ascii="Times New Roman"/>
                <w:spacing w:val="-1"/>
                <w:sz w:val="18"/>
              </w:rPr>
              <w:t>64.77%</w:t>
            </w:r>
          </w:p>
        </w:tc>
        <w:tc>
          <w:tcPr>
            <w:tcW w:w="970" w:type="dxa"/>
            <w:tcBorders>
              <w:top w:val="single" w:sz="17" w:space="0" w:color="D2D2D2"/>
              <w:left w:val="single" w:sz="4" w:space="0" w:color="000000"/>
              <w:bottom w:val="single" w:sz="4" w:space="0" w:color="000000"/>
              <w:right w:val="single" w:sz="4" w:space="0" w:color="000000"/>
            </w:tcBorders>
          </w:tcPr>
          <w:p>
            <w:pPr>
              <w:pStyle w:val="TableParagraph"/>
              <w:spacing w:line="240" w:lineRule="auto" w:before="148"/>
              <w:ind w:right="12"/>
              <w:jc w:val="right"/>
              <w:rPr>
                <w:rFonts w:ascii="Times New Roman" w:hAnsi="Times New Roman" w:cs="Times New Roman" w:eastAsia="Times New Roman" w:hint="default"/>
                <w:sz w:val="18"/>
                <w:szCs w:val="18"/>
              </w:rPr>
            </w:pPr>
            <w:r>
              <w:rPr>
                <w:rFonts w:ascii="Times New Roman"/>
                <w:spacing w:val="-1"/>
                <w:sz w:val="18"/>
              </w:rPr>
              <w:t>700,000</w:t>
            </w:r>
          </w:p>
        </w:tc>
        <w:tc>
          <w:tcPr>
            <w:tcW w:w="974" w:type="dxa"/>
            <w:tcBorders>
              <w:top w:val="single" w:sz="17" w:space="0" w:color="D2D2D2"/>
              <w:left w:val="single" w:sz="4" w:space="0" w:color="000000"/>
              <w:bottom w:val="single" w:sz="4" w:space="0" w:color="000000"/>
              <w:right w:val="single" w:sz="4" w:space="0" w:color="000000"/>
            </w:tcBorders>
          </w:tcPr>
          <w:p>
            <w:pPr/>
          </w:p>
        </w:tc>
        <w:tc>
          <w:tcPr>
            <w:tcW w:w="970" w:type="dxa"/>
            <w:tcBorders>
              <w:top w:val="single" w:sz="17" w:space="0" w:color="D2D2D2"/>
              <w:left w:val="single" w:sz="4" w:space="0" w:color="000000"/>
              <w:bottom w:val="single" w:sz="4" w:space="0" w:color="000000"/>
              <w:right w:val="single" w:sz="4" w:space="0" w:color="000000"/>
            </w:tcBorders>
          </w:tcPr>
          <w:p>
            <w:pPr>
              <w:pStyle w:val="TableParagraph"/>
              <w:spacing w:line="240" w:lineRule="auto" w:before="148"/>
              <w:ind w:right="17"/>
              <w:jc w:val="right"/>
              <w:rPr>
                <w:rFonts w:ascii="Times New Roman" w:hAnsi="Times New Roman" w:cs="Times New Roman" w:eastAsia="Times New Roman" w:hint="default"/>
                <w:sz w:val="18"/>
                <w:szCs w:val="18"/>
              </w:rPr>
            </w:pPr>
            <w:r>
              <w:rPr>
                <w:rFonts w:ascii="Times New Roman"/>
                <w:spacing w:val="-1"/>
                <w:sz w:val="18"/>
              </w:rPr>
              <w:t>21,505,000</w:t>
            </w:r>
          </w:p>
        </w:tc>
        <w:tc>
          <w:tcPr>
            <w:tcW w:w="970" w:type="dxa"/>
            <w:tcBorders>
              <w:top w:val="single" w:sz="17" w:space="0" w:color="D2D2D2"/>
              <w:left w:val="single" w:sz="4" w:space="0" w:color="000000"/>
              <w:bottom w:val="single" w:sz="4" w:space="0" w:color="000000"/>
              <w:right w:val="single" w:sz="4" w:space="0" w:color="000000"/>
            </w:tcBorders>
          </w:tcPr>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1"/>
                <w:sz w:val="18"/>
              </w:rPr>
              <w:t>-71,779,500</w:t>
            </w:r>
          </w:p>
        </w:tc>
        <w:tc>
          <w:tcPr>
            <w:tcW w:w="975" w:type="dxa"/>
            <w:tcBorders>
              <w:top w:val="single" w:sz="17" w:space="0" w:color="D2D2D2"/>
              <w:left w:val="single" w:sz="4" w:space="0" w:color="000000"/>
              <w:bottom w:val="single" w:sz="4" w:space="0" w:color="000000"/>
              <w:right w:val="single" w:sz="4" w:space="0" w:color="000000"/>
            </w:tcBorders>
          </w:tcPr>
          <w:p>
            <w:pPr>
              <w:pStyle w:val="TableParagraph"/>
              <w:spacing w:line="240" w:lineRule="auto" w:before="148"/>
              <w:ind w:left="52" w:right="0"/>
              <w:jc w:val="center"/>
              <w:rPr>
                <w:rFonts w:ascii="Times New Roman" w:hAnsi="Times New Roman" w:cs="Times New Roman" w:eastAsia="Times New Roman" w:hint="default"/>
                <w:sz w:val="18"/>
                <w:szCs w:val="18"/>
              </w:rPr>
            </w:pPr>
            <w:r>
              <w:rPr>
                <w:rFonts w:ascii="Times New Roman"/>
                <w:sz w:val="18"/>
              </w:rPr>
              <w:t>-49,574,500</w:t>
            </w:r>
          </w:p>
        </w:tc>
        <w:tc>
          <w:tcPr>
            <w:tcW w:w="1042" w:type="dxa"/>
            <w:tcBorders>
              <w:top w:val="single" w:sz="17" w:space="0" w:color="D2D2D2"/>
              <w:left w:val="single" w:sz="4" w:space="0" w:color="000000"/>
              <w:bottom w:val="single" w:sz="4" w:space="0" w:color="000000"/>
              <w:right w:val="single" w:sz="4" w:space="0" w:color="000000"/>
            </w:tcBorders>
          </w:tcPr>
          <w:p>
            <w:pPr>
              <w:pStyle w:val="TableParagraph"/>
              <w:spacing w:line="240" w:lineRule="auto" w:before="148"/>
              <w:ind w:right="13"/>
              <w:jc w:val="right"/>
              <w:rPr>
                <w:rFonts w:ascii="Times New Roman" w:hAnsi="Times New Roman" w:cs="Times New Roman" w:eastAsia="Times New Roman" w:hint="default"/>
                <w:sz w:val="18"/>
                <w:szCs w:val="18"/>
              </w:rPr>
            </w:pPr>
            <w:r>
              <w:rPr>
                <w:rFonts w:ascii="Times New Roman"/>
                <w:spacing w:val="-1"/>
                <w:sz w:val="18"/>
              </w:rPr>
              <w:t>4,245,500</w:t>
            </w:r>
          </w:p>
        </w:tc>
        <w:tc>
          <w:tcPr>
            <w:tcW w:w="830" w:type="dxa"/>
            <w:tcBorders>
              <w:top w:val="single" w:sz="17" w:space="0" w:color="D2D2D2"/>
              <w:left w:val="single" w:sz="4" w:space="0" w:color="000000"/>
              <w:bottom w:val="single" w:sz="4" w:space="0" w:color="000000"/>
              <w:right w:val="single" w:sz="4" w:space="0" w:color="000000"/>
            </w:tcBorders>
          </w:tcPr>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3.62%</w:t>
            </w:r>
          </w:p>
        </w:tc>
      </w:tr>
      <w:tr>
        <w:trPr>
          <w:trHeight w:val="495" w:hRule="exact"/>
        </w:trPr>
        <w:tc>
          <w:tcPr>
            <w:tcW w:w="2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4"/>
              <w:ind w:left="102" w:right="0"/>
              <w:jc w:val="center"/>
              <w:rPr>
                <w:rFonts w:ascii="Times New Roman" w:hAnsi="Times New Roman" w:cs="Times New Roman" w:eastAsia="Times New Roman" w:hint="default"/>
                <w:sz w:val="18"/>
                <w:szCs w:val="18"/>
              </w:rPr>
            </w:pPr>
            <w:r>
              <w:rPr>
                <w:rFonts w:ascii="Times New Roman"/>
                <w:sz w:val="18"/>
              </w:rPr>
              <w:t>53,820,000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4"/>
              <w:jc w:val="right"/>
              <w:rPr>
                <w:rFonts w:ascii="Times New Roman" w:hAnsi="Times New Roman" w:cs="Times New Roman" w:eastAsia="Times New Roman" w:hint="default"/>
                <w:sz w:val="18"/>
                <w:szCs w:val="18"/>
              </w:rPr>
            </w:pPr>
            <w:r>
              <w:rPr>
                <w:rFonts w:ascii="Times New Roman"/>
                <w:spacing w:val="-1"/>
                <w:sz w:val="18"/>
              </w:rPr>
              <w:t>64.77%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2"/>
              <w:jc w:val="right"/>
              <w:rPr>
                <w:rFonts w:ascii="Times New Roman" w:hAnsi="Times New Roman" w:cs="Times New Roman" w:eastAsia="Times New Roman" w:hint="default"/>
                <w:sz w:val="18"/>
                <w:szCs w:val="18"/>
              </w:rPr>
            </w:pPr>
            <w:r>
              <w:rPr>
                <w:rFonts w:ascii="Times New Roman"/>
                <w:spacing w:val="-1"/>
                <w:sz w:val="18"/>
              </w:rPr>
              <w:t>700,000</w:t>
            </w:r>
          </w:p>
        </w:tc>
        <w:tc>
          <w:tcPr>
            <w:tcW w:w="974"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7"/>
              <w:jc w:val="right"/>
              <w:rPr>
                <w:rFonts w:ascii="Times New Roman" w:hAnsi="Times New Roman" w:cs="Times New Roman" w:eastAsia="Times New Roman" w:hint="default"/>
                <w:sz w:val="18"/>
                <w:szCs w:val="18"/>
              </w:rPr>
            </w:pPr>
            <w:r>
              <w:rPr>
                <w:rFonts w:ascii="Times New Roman"/>
                <w:spacing w:val="-1"/>
                <w:sz w:val="18"/>
              </w:rPr>
              <w:t>21,505,000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pacing w:val="-1"/>
                <w:sz w:val="18"/>
              </w:rPr>
              <w:t>-71,779,500</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52" w:right="0"/>
              <w:jc w:val="center"/>
              <w:rPr>
                <w:rFonts w:ascii="Times New Roman" w:hAnsi="Times New Roman" w:cs="Times New Roman" w:eastAsia="Times New Roman" w:hint="default"/>
                <w:sz w:val="18"/>
                <w:szCs w:val="18"/>
              </w:rPr>
            </w:pPr>
            <w:r>
              <w:rPr>
                <w:rFonts w:ascii="Times New Roman"/>
                <w:sz w:val="18"/>
              </w:rPr>
              <w:t>-49,574,500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3"/>
              <w:jc w:val="right"/>
              <w:rPr>
                <w:rFonts w:ascii="Times New Roman" w:hAnsi="Times New Roman" w:cs="Times New Roman" w:eastAsia="Times New Roman" w:hint="default"/>
                <w:sz w:val="18"/>
                <w:szCs w:val="18"/>
              </w:rPr>
            </w:pPr>
            <w:r>
              <w:rPr>
                <w:rFonts w:ascii="Times New Roman"/>
                <w:spacing w:val="-1"/>
                <w:sz w:val="18"/>
              </w:rPr>
              <w:t>4,245,500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3.62%</w:t>
            </w:r>
          </w:p>
        </w:tc>
      </w:tr>
      <w:tr>
        <w:trPr>
          <w:trHeight w:val="480" w:hRule="exact"/>
        </w:trPr>
        <w:tc>
          <w:tcPr>
            <w:tcW w:w="2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3" w:right="0"/>
              <w:jc w:val="left"/>
              <w:rPr>
                <w:rFonts w:ascii="宋体" w:hAnsi="宋体" w:cs="宋体" w:eastAsia="宋体" w:hint="default"/>
                <w:sz w:val="18"/>
                <w:szCs w:val="18"/>
              </w:rPr>
            </w:pPr>
            <w:r>
              <w:rPr>
                <w:rFonts w:ascii="宋体" w:hAnsi="宋体" w:cs="宋体" w:eastAsia="宋体" w:hint="default"/>
                <w:spacing w:val="-3"/>
                <w:sz w:val="18"/>
                <w:szCs w:val="18"/>
              </w:rPr>
              <w:t>其中：境内法人持股</w:t>
            </w:r>
          </w:p>
        </w:tc>
        <w:tc>
          <w:tcPr>
            <w:tcW w:w="9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4"/>
              <w:ind w:left="102" w:right="0"/>
              <w:jc w:val="center"/>
              <w:rPr>
                <w:rFonts w:ascii="Times New Roman" w:hAnsi="Times New Roman" w:cs="Times New Roman" w:eastAsia="Times New Roman" w:hint="default"/>
                <w:sz w:val="18"/>
                <w:szCs w:val="18"/>
              </w:rPr>
            </w:pPr>
            <w:r>
              <w:rPr>
                <w:rFonts w:ascii="Times New Roman"/>
                <w:sz w:val="18"/>
              </w:rPr>
              <w:t>50,730,000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4"/>
              <w:jc w:val="right"/>
              <w:rPr>
                <w:rFonts w:ascii="Times New Roman" w:hAnsi="Times New Roman" w:cs="Times New Roman" w:eastAsia="Times New Roman" w:hint="default"/>
                <w:sz w:val="18"/>
                <w:szCs w:val="18"/>
              </w:rPr>
            </w:pPr>
            <w:r>
              <w:rPr>
                <w:rFonts w:ascii="Times New Roman"/>
                <w:spacing w:val="-1"/>
                <w:sz w:val="18"/>
              </w:rPr>
              <w:t>61.05%</w:t>
            </w:r>
          </w:p>
        </w:tc>
        <w:tc>
          <w:tcPr>
            <w:tcW w:w="970"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7"/>
              <w:jc w:val="right"/>
              <w:rPr>
                <w:rFonts w:ascii="Times New Roman" w:hAnsi="Times New Roman" w:cs="Times New Roman" w:eastAsia="Times New Roman" w:hint="default"/>
                <w:sz w:val="18"/>
                <w:szCs w:val="18"/>
              </w:rPr>
            </w:pPr>
            <w:r>
              <w:rPr>
                <w:rFonts w:ascii="Times New Roman"/>
                <w:spacing w:val="-1"/>
                <w:sz w:val="18"/>
              </w:rPr>
              <w:t>20,292,000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8"/>
              <w:jc w:val="right"/>
              <w:rPr>
                <w:rFonts w:ascii="Times New Roman" w:hAnsi="Times New Roman" w:cs="Times New Roman" w:eastAsia="Times New Roman" w:hint="default"/>
                <w:sz w:val="18"/>
                <w:szCs w:val="18"/>
              </w:rPr>
            </w:pPr>
            <w:r>
              <w:rPr>
                <w:rFonts w:ascii="Times New Roman"/>
                <w:spacing w:val="-1"/>
                <w:sz w:val="18"/>
              </w:rPr>
              <w:t>-71,022,000</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52" w:right="0"/>
              <w:jc w:val="center"/>
              <w:rPr>
                <w:rFonts w:ascii="Times New Roman" w:hAnsi="Times New Roman" w:cs="Times New Roman" w:eastAsia="Times New Roman" w:hint="default"/>
                <w:sz w:val="18"/>
                <w:szCs w:val="18"/>
              </w:rPr>
            </w:pPr>
            <w:r>
              <w:rPr>
                <w:rFonts w:ascii="Times New Roman"/>
                <w:sz w:val="18"/>
              </w:rPr>
              <w:t>-50,730,000</w:t>
            </w:r>
          </w:p>
        </w:tc>
        <w:tc>
          <w:tcPr>
            <w:tcW w:w="1042"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3"/>
                <w:sz w:val="18"/>
                <w:szCs w:val="18"/>
              </w:rPr>
              <w:t>境内自然人持股</w:t>
            </w:r>
          </w:p>
        </w:tc>
        <w:tc>
          <w:tcPr>
            <w:tcW w:w="9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194" w:right="0"/>
              <w:jc w:val="center"/>
              <w:rPr>
                <w:rFonts w:ascii="Times New Roman" w:hAnsi="Times New Roman" w:cs="Times New Roman" w:eastAsia="Times New Roman" w:hint="default"/>
                <w:sz w:val="18"/>
                <w:szCs w:val="18"/>
              </w:rPr>
            </w:pPr>
            <w:r>
              <w:rPr>
                <w:rFonts w:ascii="Times New Roman"/>
                <w:sz w:val="18"/>
              </w:rPr>
              <w:t>3,090,000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3.72%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700,000</w:t>
            </w:r>
          </w:p>
        </w:tc>
        <w:tc>
          <w:tcPr>
            <w:tcW w:w="974"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1,213,000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-757,500</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1" w:right="0"/>
              <w:jc w:val="center"/>
              <w:rPr>
                <w:rFonts w:ascii="Times New Roman" w:hAnsi="Times New Roman" w:cs="Times New Roman" w:eastAsia="Times New Roman" w:hint="default"/>
                <w:sz w:val="18"/>
                <w:szCs w:val="18"/>
              </w:rPr>
            </w:pPr>
            <w:r>
              <w:rPr>
                <w:rFonts w:ascii="Times New Roman"/>
                <w:sz w:val="18"/>
              </w:rPr>
              <w:t>1,155,500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4,245,500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3.62%</w:t>
            </w:r>
          </w:p>
        </w:tc>
      </w:tr>
      <w:tr>
        <w:trPr>
          <w:trHeight w:val="490" w:hRule="exact"/>
        </w:trPr>
        <w:tc>
          <w:tcPr>
            <w:tcW w:w="2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23" w:right="0"/>
              <w:jc w:val="left"/>
              <w:rPr>
                <w:rFonts w:ascii="宋体" w:hAnsi="宋体" w:cs="宋体" w:eastAsia="宋体" w:hint="default"/>
                <w:sz w:val="18"/>
                <w:szCs w:val="18"/>
              </w:rPr>
            </w:pPr>
            <w:r>
              <w:rPr>
                <w:rFonts w:ascii="宋体" w:hAnsi="宋体" w:cs="宋体" w:eastAsia="宋体" w:hint="default"/>
                <w:spacing w:val="-3"/>
                <w:sz w:val="18"/>
                <w:szCs w:val="18"/>
              </w:rPr>
              <w:t>二、无限售条件股份</w:t>
            </w:r>
          </w:p>
        </w:tc>
        <w:tc>
          <w:tcPr>
            <w:tcW w:w="9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9"/>
              <w:ind w:left="102" w:right="0"/>
              <w:jc w:val="center"/>
              <w:rPr>
                <w:rFonts w:ascii="Times New Roman" w:hAnsi="Times New Roman" w:cs="Times New Roman" w:eastAsia="Times New Roman" w:hint="default"/>
                <w:sz w:val="18"/>
                <w:szCs w:val="18"/>
              </w:rPr>
            </w:pPr>
            <w:r>
              <w:rPr>
                <w:rFonts w:ascii="Times New Roman"/>
                <w:sz w:val="18"/>
              </w:rPr>
              <w:t>29,270,000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4"/>
              <w:jc w:val="right"/>
              <w:rPr>
                <w:rFonts w:ascii="Times New Roman" w:hAnsi="Times New Roman" w:cs="Times New Roman" w:eastAsia="Times New Roman" w:hint="default"/>
                <w:sz w:val="18"/>
                <w:szCs w:val="18"/>
              </w:rPr>
            </w:pPr>
            <w:r>
              <w:rPr>
                <w:rFonts w:ascii="Times New Roman"/>
                <w:spacing w:val="-1"/>
                <w:sz w:val="18"/>
              </w:rPr>
              <w:t>35.23%</w:t>
            </w:r>
          </w:p>
        </w:tc>
        <w:tc>
          <w:tcPr>
            <w:tcW w:w="970"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7"/>
              <w:jc w:val="right"/>
              <w:rPr>
                <w:rFonts w:ascii="Times New Roman" w:hAnsi="Times New Roman" w:cs="Times New Roman" w:eastAsia="Times New Roman" w:hint="default"/>
                <w:sz w:val="18"/>
                <w:szCs w:val="18"/>
              </w:rPr>
            </w:pPr>
            <w:r>
              <w:rPr>
                <w:rFonts w:ascii="Times New Roman"/>
                <w:spacing w:val="-2"/>
                <w:sz w:val="18"/>
              </w:rPr>
              <w:t>12,011,000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8"/>
              <w:jc w:val="right"/>
              <w:rPr>
                <w:rFonts w:ascii="Times New Roman" w:hAnsi="Times New Roman" w:cs="Times New Roman" w:eastAsia="Times New Roman" w:hint="default"/>
                <w:sz w:val="18"/>
                <w:szCs w:val="18"/>
              </w:rPr>
            </w:pPr>
            <w:r>
              <w:rPr>
                <w:rFonts w:ascii="Times New Roman"/>
                <w:spacing w:val="-1"/>
                <w:sz w:val="18"/>
              </w:rPr>
              <w:t>71,779,500</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109" w:right="0"/>
              <w:jc w:val="center"/>
              <w:rPr>
                <w:rFonts w:ascii="Times New Roman" w:hAnsi="Times New Roman" w:cs="Times New Roman" w:eastAsia="Times New Roman" w:hint="default"/>
                <w:sz w:val="18"/>
                <w:szCs w:val="18"/>
              </w:rPr>
            </w:pPr>
            <w:r>
              <w:rPr>
                <w:rFonts w:ascii="Times New Roman"/>
                <w:sz w:val="18"/>
              </w:rPr>
              <w:t>83,790,500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3"/>
              <w:jc w:val="right"/>
              <w:rPr>
                <w:rFonts w:ascii="Times New Roman" w:hAnsi="Times New Roman" w:cs="Times New Roman" w:eastAsia="Times New Roman" w:hint="default"/>
                <w:sz w:val="18"/>
                <w:szCs w:val="18"/>
              </w:rPr>
            </w:pPr>
            <w:r>
              <w:rPr>
                <w:rFonts w:ascii="Times New Roman"/>
                <w:spacing w:val="-2"/>
                <w:sz w:val="18"/>
              </w:rPr>
              <w:t>113,060,500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9"/>
              <w:jc w:val="right"/>
              <w:rPr>
                <w:rFonts w:ascii="Times New Roman" w:hAnsi="Times New Roman" w:cs="Times New Roman" w:eastAsia="Times New Roman" w:hint="default"/>
                <w:sz w:val="18"/>
                <w:szCs w:val="18"/>
              </w:rPr>
            </w:pPr>
            <w:r>
              <w:rPr>
                <w:rFonts w:ascii="Times New Roman"/>
                <w:spacing w:val="-1"/>
                <w:sz w:val="18"/>
              </w:rPr>
              <w:t>96.38%</w:t>
            </w:r>
          </w:p>
        </w:tc>
      </w:tr>
      <w:tr>
        <w:trPr>
          <w:trHeight w:val="485" w:hRule="exact"/>
        </w:trPr>
        <w:tc>
          <w:tcPr>
            <w:tcW w:w="2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9"/>
              <w:ind w:left="102" w:right="0"/>
              <w:jc w:val="center"/>
              <w:rPr>
                <w:rFonts w:ascii="Times New Roman" w:hAnsi="Times New Roman" w:cs="Times New Roman" w:eastAsia="Times New Roman" w:hint="default"/>
                <w:sz w:val="18"/>
                <w:szCs w:val="18"/>
              </w:rPr>
            </w:pPr>
            <w:r>
              <w:rPr>
                <w:rFonts w:ascii="Times New Roman"/>
                <w:sz w:val="18"/>
              </w:rPr>
              <w:t>29,270,000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4"/>
              <w:jc w:val="right"/>
              <w:rPr>
                <w:rFonts w:ascii="Times New Roman" w:hAnsi="Times New Roman" w:cs="Times New Roman" w:eastAsia="Times New Roman" w:hint="default"/>
                <w:sz w:val="18"/>
                <w:szCs w:val="18"/>
              </w:rPr>
            </w:pPr>
            <w:r>
              <w:rPr>
                <w:rFonts w:ascii="Times New Roman"/>
                <w:spacing w:val="-1"/>
                <w:sz w:val="18"/>
              </w:rPr>
              <w:t>35.23%</w:t>
            </w:r>
          </w:p>
        </w:tc>
        <w:tc>
          <w:tcPr>
            <w:tcW w:w="970"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7"/>
              <w:jc w:val="right"/>
              <w:rPr>
                <w:rFonts w:ascii="Times New Roman" w:hAnsi="Times New Roman" w:cs="Times New Roman" w:eastAsia="Times New Roman" w:hint="default"/>
                <w:sz w:val="18"/>
                <w:szCs w:val="18"/>
              </w:rPr>
            </w:pPr>
            <w:r>
              <w:rPr>
                <w:rFonts w:ascii="Times New Roman"/>
                <w:spacing w:val="-2"/>
                <w:sz w:val="18"/>
              </w:rPr>
              <w:t>12,011,000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8"/>
              <w:jc w:val="right"/>
              <w:rPr>
                <w:rFonts w:ascii="Times New Roman" w:hAnsi="Times New Roman" w:cs="Times New Roman" w:eastAsia="Times New Roman" w:hint="default"/>
                <w:sz w:val="18"/>
                <w:szCs w:val="18"/>
              </w:rPr>
            </w:pPr>
            <w:r>
              <w:rPr>
                <w:rFonts w:ascii="Times New Roman"/>
                <w:spacing w:val="-1"/>
                <w:sz w:val="18"/>
              </w:rPr>
              <w:t>71,779,500</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109" w:right="0"/>
              <w:jc w:val="center"/>
              <w:rPr>
                <w:rFonts w:ascii="Times New Roman" w:hAnsi="Times New Roman" w:cs="Times New Roman" w:eastAsia="Times New Roman" w:hint="default"/>
                <w:sz w:val="18"/>
                <w:szCs w:val="18"/>
              </w:rPr>
            </w:pPr>
            <w:r>
              <w:rPr>
                <w:rFonts w:ascii="Times New Roman"/>
                <w:sz w:val="18"/>
              </w:rPr>
              <w:t>83,790,500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3"/>
              <w:jc w:val="right"/>
              <w:rPr>
                <w:rFonts w:ascii="Times New Roman" w:hAnsi="Times New Roman" w:cs="Times New Roman" w:eastAsia="Times New Roman" w:hint="default"/>
                <w:sz w:val="18"/>
                <w:szCs w:val="18"/>
              </w:rPr>
            </w:pPr>
            <w:r>
              <w:rPr>
                <w:rFonts w:ascii="Times New Roman"/>
                <w:spacing w:val="-2"/>
                <w:sz w:val="18"/>
              </w:rPr>
              <w:t>113,060,500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9"/>
              <w:jc w:val="right"/>
              <w:rPr>
                <w:rFonts w:ascii="Times New Roman" w:hAnsi="Times New Roman" w:cs="Times New Roman" w:eastAsia="Times New Roman" w:hint="default"/>
                <w:sz w:val="18"/>
                <w:szCs w:val="18"/>
              </w:rPr>
            </w:pPr>
            <w:r>
              <w:rPr>
                <w:rFonts w:ascii="Times New Roman"/>
                <w:spacing w:val="-1"/>
                <w:sz w:val="18"/>
              </w:rPr>
              <w:t>96.38%</w:t>
            </w:r>
          </w:p>
        </w:tc>
      </w:tr>
      <w:tr>
        <w:trPr>
          <w:trHeight w:val="480" w:hRule="exact"/>
        </w:trPr>
        <w:tc>
          <w:tcPr>
            <w:tcW w:w="2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4"/>
              <w:ind w:left="102" w:right="0"/>
              <w:jc w:val="center"/>
              <w:rPr>
                <w:rFonts w:ascii="Times New Roman" w:hAnsi="Times New Roman" w:cs="Times New Roman" w:eastAsia="Times New Roman" w:hint="default"/>
                <w:sz w:val="18"/>
                <w:szCs w:val="18"/>
              </w:rPr>
            </w:pPr>
            <w:r>
              <w:rPr>
                <w:rFonts w:ascii="Times New Roman"/>
                <w:sz w:val="18"/>
              </w:rPr>
              <w:t>83,090,000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2"/>
              <w:jc w:val="right"/>
              <w:rPr>
                <w:rFonts w:ascii="Times New Roman" w:hAnsi="Times New Roman" w:cs="Times New Roman" w:eastAsia="Times New Roman" w:hint="default"/>
                <w:sz w:val="18"/>
                <w:szCs w:val="18"/>
              </w:rPr>
            </w:pPr>
            <w:r>
              <w:rPr>
                <w:rFonts w:ascii="Times New Roman"/>
                <w:spacing w:val="-1"/>
                <w:sz w:val="18"/>
              </w:rPr>
              <w:t>700,000</w:t>
            </w:r>
          </w:p>
        </w:tc>
        <w:tc>
          <w:tcPr>
            <w:tcW w:w="974" w:type="dxa"/>
            <w:tcBorders>
              <w:top w:val="single" w:sz="4" w:space="0" w:color="000000"/>
              <w:left w:val="single" w:sz="4" w:space="0" w:color="000000"/>
              <w:bottom w:val="single" w:sz="4" w:space="0" w:color="000000"/>
              <w:right w:val="single" w:sz="4" w:space="0" w:color="000000"/>
            </w:tcBorders>
          </w:tcPr>
          <w:p>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7"/>
              <w:jc w:val="right"/>
              <w:rPr>
                <w:rFonts w:ascii="Times New Roman" w:hAnsi="Times New Roman" w:cs="Times New Roman" w:eastAsia="Times New Roman" w:hint="default"/>
                <w:sz w:val="18"/>
                <w:szCs w:val="18"/>
              </w:rPr>
            </w:pPr>
            <w:r>
              <w:rPr>
                <w:rFonts w:ascii="Times New Roman"/>
                <w:spacing w:val="-1"/>
                <w:sz w:val="18"/>
              </w:rPr>
              <w:t>33,516,000</w:t>
            </w:r>
          </w:p>
        </w:tc>
        <w:tc>
          <w:tcPr>
            <w:tcW w:w="970"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9" w:right="0"/>
              <w:jc w:val="center"/>
              <w:rPr>
                <w:rFonts w:ascii="Times New Roman" w:hAnsi="Times New Roman" w:cs="Times New Roman" w:eastAsia="Times New Roman" w:hint="default"/>
                <w:sz w:val="18"/>
                <w:szCs w:val="18"/>
              </w:rPr>
            </w:pPr>
            <w:r>
              <w:rPr>
                <w:rFonts w:ascii="Times New Roman"/>
                <w:sz w:val="18"/>
              </w:rPr>
              <w:t>34,216,000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3"/>
              <w:jc w:val="right"/>
              <w:rPr>
                <w:rFonts w:ascii="Times New Roman" w:hAnsi="Times New Roman" w:cs="Times New Roman" w:eastAsia="Times New Roman" w:hint="default"/>
                <w:sz w:val="18"/>
                <w:szCs w:val="18"/>
              </w:rPr>
            </w:pPr>
            <w:r>
              <w:rPr>
                <w:rFonts w:ascii="Times New Roman"/>
                <w:spacing w:val="-2"/>
                <w:sz w:val="18"/>
              </w:rPr>
              <w:t>117,306,000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8"/>
              <w:jc w:val="right"/>
              <w:rPr>
                <w:rFonts w:ascii="Times New Roman" w:hAnsi="Times New Roman" w:cs="Times New Roman" w:eastAsia="Times New Roman" w:hint="default"/>
                <w:sz w:val="18"/>
                <w:szCs w:val="18"/>
              </w:rPr>
            </w:pPr>
            <w:r>
              <w:rPr>
                <w:rFonts w:ascii="Times New Roman"/>
                <w:spacing w:val="-2"/>
                <w:sz w:val="18"/>
              </w:rPr>
              <w:t>100.00%</w:t>
            </w:r>
          </w:p>
        </w:tc>
      </w:tr>
    </w:tbl>
    <w:p>
      <w:pPr>
        <w:pStyle w:val="BodyText"/>
        <w:spacing w:line="240" w:lineRule="auto" w:before="53"/>
        <w:ind w:left="953" w:right="0"/>
        <w:jc w:val="left"/>
      </w:pPr>
      <w:r>
        <w:rPr>
          <w:spacing w:val="-3"/>
        </w:rPr>
        <w:t>股份变动的原因</w:t>
      </w:r>
    </w:p>
    <w:p>
      <w:pPr>
        <w:pStyle w:val="BodyText"/>
        <w:spacing w:line="240" w:lineRule="auto" w:before="119"/>
        <w:ind w:left="953"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97"/>
        <w:ind w:left="953" w:right="0"/>
        <w:jc w:val="left"/>
      </w:pPr>
      <w:r>
        <w:rPr>
          <w:rFonts w:ascii="Times New Roman" w:hAnsi="Times New Roman" w:cs="Times New Roman" w:eastAsia="Times New Roman" w:hint="default"/>
          <w:spacing w:val="-9"/>
        </w:rPr>
        <w:t>1</w:t>
      </w:r>
      <w:r>
        <w:rPr>
          <w:spacing w:val="-9"/>
        </w:rPr>
        <w:t>、公司于</w:t>
      </w:r>
      <w:r>
        <w:rPr>
          <w:spacing w:val="-4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9"/>
        </w:rPr>
        <w:t> </w:t>
      </w:r>
      <w:r>
        <w:rPr/>
        <w:t>年</w:t>
      </w:r>
      <w:r>
        <w:rPr>
          <w:spacing w:val="-36"/>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月</w:t>
      </w:r>
      <w:r>
        <w:rPr>
          <w:spacing w:val="-36"/>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日办理完成</w:t>
      </w:r>
      <w:r>
        <w:rPr>
          <w:spacing w:val="-4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spacing w:val="-3"/>
        </w:rPr>
        <w:t>年限制性股票预留股份的授予工作向</w:t>
      </w:r>
      <w:r>
        <w:rPr>
          <w:spacing w:val="-36"/>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名激励对象授予</w:t>
      </w:r>
      <w:r>
        <w:rPr>
          <w:spacing w:val="-36"/>
        </w:rPr>
        <w:t> </w:t>
      </w:r>
      <w:r>
        <w:rPr>
          <w:rFonts w:ascii="Times New Roman" w:hAnsi="Times New Roman" w:cs="Times New Roman" w:eastAsia="Times New Roman" w:hint="default"/>
        </w:rPr>
        <w:t>70</w:t>
      </w:r>
      <w:r>
        <w:rPr>
          <w:rFonts w:ascii="Times New Roman" w:hAnsi="Times New Roman" w:cs="Times New Roman" w:eastAsia="Times New Roman" w:hint="default"/>
          <w:spacing w:val="2"/>
        </w:rPr>
        <w:t> </w:t>
      </w:r>
      <w:r>
        <w:rPr>
          <w:spacing w:val="-7"/>
        </w:rPr>
        <w:t>万股限制性股票，公司</w:t>
      </w:r>
    </w:p>
    <w:p>
      <w:pPr>
        <w:pStyle w:val="BodyText"/>
        <w:spacing w:line="240" w:lineRule="auto" w:before="67"/>
        <w:ind w:left="953" w:right="0"/>
        <w:jc w:val="left"/>
      </w:pPr>
      <w:r>
        <w:rPr/>
        <w:t>总股本由</w:t>
      </w:r>
      <w:r>
        <w:rPr>
          <w:spacing w:val="-45"/>
        </w:rPr>
        <w:t> </w:t>
      </w:r>
      <w:r>
        <w:rPr>
          <w:rFonts w:ascii="Times New Roman" w:hAnsi="Times New Roman" w:cs="Times New Roman" w:eastAsia="Times New Roman" w:hint="default"/>
        </w:rPr>
        <w:t>83,090,000 </w:t>
      </w:r>
      <w:r>
        <w:rPr/>
        <w:t>股变为</w:t>
      </w:r>
      <w:r>
        <w:rPr>
          <w:spacing w:val="-45"/>
        </w:rPr>
        <w:t> </w:t>
      </w:r>
      <w:r>
        <w:rPr>
          <w:rFonts w:ascii="Times New Roman" w:hAnsi="Times New Roman" w:cs="Times New Roman" w:eastAsia="Times New Roman" w:hint="default"/>
        </w:rPr>
        <w:t>83,790,000 </w:t>
      </w:r>
      <w:r>
        <w:rPr>
          <w:spacing w:val="-5"/>
        </w:rPr>
        <w:t>股；</w:t>
      </w:r>
      <w:r>
        <w:rPr/>
      </w:r>
    </w:p>
    <w:p>
      <w:pPr>
        <w:pStyle w:val="BodyText"/>
        <w:spacing w:line="240" w:lineRule="auto" w:before="101"/>
        <w:ind w:left="953" w:right="0"/>
        <w:jc w:val="left"/>
      </w:pPr>
      <w:r>
        <w:rPr>
          <w:rFonts w:ascii="Times New Roman" w:hAnsi="Times New Roman" w:cs="Times New Roman" w:eastAsia="Times New Roman" w:hint="default"/>
        </w:rPr>
        <w:t>2</w:t>
      </w:r>
      <w:r>
        <w:rPr/>
        <w:t>、公司于</w:t>
      </w:r>
      <w:r>
        <w:rPr>
          <w:spacing w:val="-4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41"/>
        </w:rPr>
        <w:t> </w:t>
      </w:r>
      <w:r>
        <w:rPr>
          <w:rFonts w:ascii="Times New Roman" w:hAnsi="Times New Roman" w:cs="Times New Roman" w:eastAsia="Times New Roman" w:hint="default"/>
        </w:rPr>
        <w:t>17</w:t>
      </w:r>
      <w:r>
        <w:rPr>
          <w:rFonts w:ascii="Times New Roman" w:hAnsi="Times New Roman" w:cs="Times New Roman" w:eastAsia="Times New Roman" w:hint="default"/>
          <w:spacing w:val="4"/>
        </w:rPr>
        <w:t> </w:t>
      </w:r>
      <w:r>
        <w:rPr/>
        <w:t>日实施完毕</w:t>
      </w:r>
      <w:r>
        <w:rPr>
          <w:spacing w:val="-4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spacing w:val="-3"/>
        </w:rPr>
        <w:t>年权益分派业务，公司总股本增加至</w:t>
      </w:r>
      <w:r>
        <w:rPr>
          <w:spacing w:val="-41"/>
        </w:rPr>
        <w:t> </w:t>
      </w:r>
      <w:r>
        <w:rPr>
          <w:rFonts w:ascii="Times New Roman" w:hAnsi="Times New Roman" w:cs="Times New Roman" w:eastAsia="Times New Roman" w:hint="default"/>
        </w:rPr>
        <w:t>117,306,000</w:t>
      </w:r>
      <w:r>
        <w:rPr>
          <w:rFonts w:ascii="Times New Roman" w:hAnsi="Times New Roman" w:cs="Times New Roman" w:eastAsia="Times New Roman" w:hint="default"/>
          <w:spacing w:val="-1"/>
        </w:rPr>
        <w:t> </w:t>
      </w:r>
      <w:r>
        <w:rPr/>
        <w:t>股；</w:t>
      </w:r>
    </w:p>
    <w:p>
      <w:pPr>
        <w:pStyle w:val="BodyText"/>
        <w:spacing w:line="240" w:lineRule="auto" w:before="106"/>
        <w:ind w:left="953" w:right="0"/>
        <w:jc w:val="left"/>
      </w:pPr>
      <w:r>
        <w:rPr>
          <w:rFonts w:ascii="Times New Roman" w:hAnsi="Times New Roman" w:cs="Times New Roman" w:eastAsia="Times New Roman" w:hint="default"/>
          <w:w w:val="101"/>
        </w:rPr>
        <w:t>3</w:t>
      </w:r>
      <w:r>
        <w:rPr>
          <w:spacing w:val="-77"/>
          <w:w w:val="101"/>
        </w:rPr>
        <w:t>、</w:t>
      </w:r>
      <w:r>
        <w:rPr>
          <w:spacing w:val="-5"/>
          <w:w w:val="101"/>
        </w:rPr>
        <w:t>公</w:t>
      </w:r>
      <w:r>
        <w:rPr>
          <w:w w:val="101"/>
        </w:rPr>
        <w:t>司于</w:t>
      </w:r>
      <w:r>
        <w:rPr>
          <w:spacing w:val="-47"/>
        </w:rPr>
        <w:t> </w:t>
      </w:r>
      <w:r>
        <w:rPr>
          <w:rFonts w:ascii="Times New Roman" w:hAnsi="Times New Roman" w:cs="Times New Roman" w:eastAsia="Times New Roman" w:hint="default"/>
          <w:w w:val="101"/>
        </w:rPr>
        <w:t>2020</w:t>
      </w:r>
      <w:r>
        <w:rPr>
          <w:rFonts w:ascii="Times New Roman" w:hAnsi="Times New Roman" w:cs="Times New Roman" w:eastAsia="Times New Roman" w:hint="default"/>
          <w:spacing w:val="-7"/>
        </w:rPr>
        <w:t> </w:t>
      </w:r>
      <w:r>
        <w:rPr>
          <w:w w:val="101"/>
        </w:rPr>
        <w:t>年</w:t>
      </w:r>
      <w:r>
        <w:rPr>
          <w:spacing w:val="-47"/>
        </w:rPr>
        <w:t> </w:t>
      </w:r>
      <w:r>
        <w:rPr>
          <w:rFonts w:ascii="Times New Roman" w:hAnsi="Times New Roman" w:cs="Times New Roman" w:eastAsia="Times New Roman" w:hint="default"/>
          <w:w w:val="101"/>
        </w:rPr>
        <w:t>3</w:t>
      </w:r>
      <w:r>
        <w:rPr>
          <w:rFonts w:ascii="Times New Roman" w:hAnsi="Times New Roman" w:cs="Times New Roman" w:eastAsia="Times New Roman" w:hint="default"/>
          <w:spacing w:val="-2"/>
        </w:rPr>
        <w:t> </w:t>
      </w:r>
      <w:r>
        <w:rPr>
          <w:w w:val="101"/>
        </w:rPr>
        <w:t>月</w:t>
      </w:r>
      <w:r>
        <w:rPr>
          <w:spacing w:val="-47"/>
        </w:rPr>
        <w:t> </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w w:val="101"/>
        </w:rPr>
        <w:t>1</w:t>
      </w:r>
      <w:r>
        <w:rPr>
          <w:rFonts w:ascii="Times New Roman" w:hAnsi="Times New Roman" w:cs="Times New Roman" w:eastAsia="Times New Roman" w:hint="default"/>
          <w:spacing w:val="-7"/>
        </w:rPr>
        <w:t> </w:t>
      </w:r>
      <w:r>
        <w:rPr>
          <w:w w:val="101"/>
        </w:rPr>
        <w:t>日</w:t>
      </w:r>
      <w:r>
        <w:rPr>
          <w:spacing w:val="-5"/>
          <w:w w:val="101"/>
        </w:rPr>
        <w:t>办</w:t>
      </w:r>
      <w:r>
        <w:rPr>
          <w:w w:val="101"/>
        </w:rPr>
        <w:t>理</w:t>
      </w:r>
      <w:r>
        <w:rPr>
          <w:spacing w:val="-5"/>
          <w:w w:val="101"/>
        </w:rPr>
        <w:t>完</w:t>
      </w:r>
      <w:r>
        <w:rPr>
          <w:w w:val="101"/>
        </w:rPr>
        <w:t>成</w:t>
      </w:r>
      <w:r>
        <w:rPr>
          <w:spacing w:val="-5"/>
          <w:w w:val="101"/>
        </w:rPr>
        <w:t>离</w:t>
      </w:r>
      <w:r>
        <w:rPr>
          <w:w w:val="101"/>
        </w:rPr>
        <w:t>职</w:t>
      </w:r>
      <w:r>
        <w:rPr>
          <w:spacing w:val="-5"/>
          <w:w w:val="101"/>
        </w:rPr>
        <w:t>激</w:t>
      </w:r>
      <w:r>
        <w:rPr>
          <w:w w:val="101"/>
        </w:rPr>
        <w:t>励</w:t>
      </w:r>
      <w:r>
        <w:rPr>
          <w:spacing w:val="-5"/>
          <w:w w:val="101"/>
        </w:rPr>
        <w:t>对</w:t>
      </w:r>
      <w:r>
        <w:rPr>
          <w:w w:val="101"/>
        </w:rPr>
        <w:t>象</w:t>
      </w:r>
      <w:r>
        <w:rPr>
          <w:spacing w:val="-5"/>
          <w:w w:val="101"/>
        </w:rPr>
        <w:t>的</w:t>
      </w:r>
      <w:r>
        <w:rPr>
          <w:w w:val="101"/>
        </w:rPr>
        <w:t>回</w:t>
      </w:r>
      <w:r>
        <w:rPr>
          <w:spacing w:val="-5"/>
          <w:w w:val="101"/>
        </w:rPr>
        <w:t>购</w:t>
      </w:r>
      <w:r>
        <w:rPr>
          <w:w w:val="101"/>
        </w:rPr>
        <w:t>注</w:t>
      </w:r>
      <w:r>
        <w:rPr>
          <w:spacing w:val="-5"/>
          <w:w w:val="101"/>
        </w:rPr>
        <w:t>销</w:t>
      </w:r>
      <w:r>
        <w:rPr>
          <w:w w:val="101"/>
        </w:rPr>
        <w:t>工作</w:t>
      </w:r>
      <w:r>
        <w:rPr>
          <w:spacing w:val="-82"/>
          <w:w w:val="101"/>
        </w:rPr>
        <w:t>，</w:t>
      </w:r>
      <w:r>
        <w:rPr>
          <w:w w:val="101"/>
        </w:rPr>
        <w:t>公</w:t>
      </w:r>
      <w:r>
        <w:rPr>
          <w:spacing w:val="-5"/>
          <w:w w:val="101"/>
        </w:rPr>
        <w:t>司</w:t>
      </w:r>
      <w:r>
        <w:rPr>
          <w:w w:val="101"/>
        </w:rPr>
        <w:t>股</w:t>
      </w:r>
      <w:r>
        <w:rPr>
          <w:spacing w:val="-5"/>
          <w:w w:val="101"/>
        </w:rPr>
        <w:t>份</w:t>
      </w:r>
      <w:r>
        <w:rPr>
          <w:w w:val="101"/>
        </w:rPr>
        <w:t>总</w:t>
      </w:r>
      <w:r>
        <w:rPr>
          <w:spacing w:val="-5"/>
          <w:w w:val="101"/>
        </w:rPr>
        <w:t>数</w:t>
      </w:r>
      <w:r>
        <w:rPr>
          <w:w w:val="101"/>
        </w:rPr>
        <w:t>由</w:t>
      </w:r>
      <w:r>
        <w:rPr>
          <w:spacing w:val="-46"/>
        </w:rPr>
        <w:t> </w:t>
      </w:r>
      <w:r>
        <w:rPr>
          <w:rFonts w:ascii="Times New Roman" w:hAnsi="Times New Roman" w:cs="Times New Roman" w:eastAsia="Times New Roman" w:hint="default"/>
          <w:spacing w:val="-5"/>
          <w:w w:val="101"/>
        </w:rPr>
        <w:t>11</w:t>
      </w:r>
      <w:r>
        <w:rPr>
          <w:rFonts w:ascii="Times New Roman" w:hAnsi="Times New Roman" w:cs="Times New Roman" w:eastAsia="Times New Roman" w:hint="default"/>
          <w:w w:val="101"/>
        </w:rPr>
        <w:t>7</w:t>
      </w:r>
      <w:r>
        <w:rPr>
          <w:rFonts w:ascii="Times New Roman" w:hAnsi="Times New Roman" w:cs="Times New Roman" w:eastAsia="Times New Roman" w:hint="default"/>
          <w:spacing w:val="-3"/>
          <w:w w:val="101"/>
        </w:rPr>
        <w:t>,</w:t>
      </w:r>
      <w:r>
        <w:rPr>
          <w:rFonts w:ascii="Times New Roman" w:hAnsi="Times New Roman" w:cs="Times New Roman" w:eastAsia="Times New Roman" w:hint="default"/>
          <w:w w:val="101"/>
        </w:rPr>
        <w:t>30</w:t>
      </w:r>
      <w:r>
        <w:rPr>
          <w:rFonts w:ascii="Times New Roman" w:hAnsi="Times New Roman" w:cs="Times New Roman" w:eastAsia="Times New Roman" w:hint="default"/>
          <w:spacing w:val="-5"/>
          <w:w w:val="101"/>
        </w:rPr>
        <w:t>6</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w w:val="101"/>
        </w:rPr>
        <w:t>000</w:t>
      </w:r>
      <w:r>
        <w:rPr>
          <w:rFonts w:ascii="Times New Roman" w:hAnsi="Times New Roman" w:cs="Times New Roman" w:eastAsia="Times New Roman" w:hint="default"/>
          <w:spacing w:val="-6"/>
        </w:rPr>
        <w:t> </w:t>
      </w:r>
      <w:r>
        <w:rPr>
          <w:w w:val="101"/>
        </w:rPr>
        <w:t>股</w:t>
      </w:r>
      <w:r>
        <w:rPr>
          <w:spacing w:val="-5"/>
          <w:w w:val="101"/>
        </w:rPr>
        <w:t>减</w:t>
      </w:r>
      <w:r>
        <w:rPr>
          <w:w w:val="101"/>
        </w:rPr>
        <w:t>少为</w:t>
      </w:r>
      <w:r>
        <w:rPr>
          <w:spacing w:val="-47"/>
        </w:rPr>
        <w:t> </w:t>
      </w:r>
      <w:r>
        <w:rPr>
          <w:rFonts w:ascii="Times New Roman" w:hAnsi="Times New Roman" w:cs="Times New Roman" w:eastAsia="Times New Roman" w:hint="default"/>
          <w:spacing w:val="-10"/>
          <w:w w:val="101"/>
        </w:rPr>
        <w:t>1</w:t>
      </w:r>
      <w:r>
        <w:rPr>
          <w:rFonts w:ascii="Times New Roman" w:hAnsi="Times New Roman" w:cs="Times New Roman" w:eastAsia="Times New Roman" w:hint="default"/>
          <w:w w:val="101"/>
        </w:rPr>
        <w:t>17</w:t>
      </w:r>
      <w:r>
        <w:rPr>
          <w:rFonts w:ascii="Times New Roman" w:hAnsi="Times New Roman" w:cs="Times New Roman" w:eastAsia="Times New Roman" w:hint="default"/>
          <w:spacing w:val="-3"/>
          <w:w w:val="101"/>
        </w:rPr>
        <w:t>,</w:t>
      </w:r>
      <w:r>
        <w:rPr>
          <w:rFonts w:ascii="Times New Roman" w:hAnsi="Times New Roman" w:cs="Times New Roman" w:eastAsia="Times New Roman" w:hint="default"/>
          <w:w w:val="101"/>
        </w:rPr>
        <w:t>19</w:t>
      </w:r>
      <w:r>
        <w:rPr>
          <w:rFonts w:ascii="Times New Roman" w:hAnsi="Times New Roman" w:cs="Times New Roman" w:eastAsia="Times New Roman" w:hint="default"/>
          <w:spacing w:val="-5"/>
          <w:w w:val="101"/>
        </w:rPr>
        <w:t>0</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w w:val="101"/>
        </w:rPr>
        <w:t>500</w:t>
      </w:r>
      <w:r>
        <w:rPr>
          <w:rFonts w:ascii="Times New Roman" w:hAnsi="Times New Roman" w:cs="Times New Roman" w:eastAsia="Times New Roman" w:hint="default"/>
          <w:spacing w:val="-7"/>
        </w:rPr>
        <w:t> </w:t>
      </w:r>
      <w:r>
        <w:rPr>
          <w:w w:val="101"/>
        </w:rPr>
        <w:t>股。</w:t>
      </w:r>
      <w:r>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6"/>
          <w:szCs w:val="16"/>
        </w:rPr>
      </w:pPr>
    </w:p>
    <w:p>
      <w:pPr>
        <w:pStyle w:val="BodyText"/>
        <w:spacing w:line="240" w:lineRule="auto"/>
        <w:ind w:left="953" w:right="0"/>
        <w:jc w:val="left"/>
      </w:pPr>
      <w:r>
        <w:rPr>
          <w:spacing w:val="-3"/>
        </w:rPr>
        <w:t>股份变动的批准情况</w:t>
      </w:r>
    </w:p>
    <w:p>
      <w:pPr>
        <w:pStyle w:val="BodyText"/>
        <w:spacing w:line="240" w:lineRule="auto" w:before="119"/>
        <w:ind w:left="953"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96"/>
        <w:ind w:left="953" w:right="0"/>
        <w:jc w:val="left"/>
      </w:pPr>
      <w:r>
        <w:rPr>
          <w:rFonts w:ascii="Times New Roman" w:hAnsi="Times New Roman" w:cs="Times New Roman" w:eastAsia="Times New Roman" w:hint="default"/>
        </w:rPr>
        <w:t>1</w:t>
      </w:r>
      <w:r>
        <w:rPr/>
        <w:t>、公司于</w:t>
      </w:r>
      <w:r>
        <w:rPr>
          <w:spacing w:val="-3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1"/>
        </w:rPr>
        <w:t> </w:t>
      </w:r>
      <w:r>
        <w:rPr/>
        <w:t>年</w:t>
      </w:r>
      <w:r>
        <w:rPr>
          <w:spacing w:val="-34"/>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月</w:t>
      </w:r>
      <w:r>
        <w:rPr>
          <w:spacing w:val="-34"/>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spacing w:val="-3"/>
        </w:rPr>
        <w:t>日召开第二届董事会第十四次会议，审议通过《关于向激励对象授予</w:t>
      </w:r>
      <w:r>
        <w:rPr>
          <w:spacing w:val="-3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年预留限制性股票的议</w:t>
      </w:r>
    </w:p>
    <w:p>
      <w:pPr>
        <w:pStyle w:val="BodyText"/>
        <w:spacing w:line="240" w:lineRule="auto" w:before="63"/>
        <w:ind w:left="953" w:right="0"/>
        <w:jc w:val="left"/>
        <w:rPr>
          <w:rFonts w:ascii="Times New Roman" w:hAnsi="Times New Roman" w:cs="Times New Roman" w:eastAsia="Times New Roman" w:hint="default"/>
        </w:rPr>
      </w:pPr>
      <w:r>
        <w:rPr>
          <w:w w:val="101"/>
        </w:rPr>
        <w:t>案</w:t>
      </w:r>
      <w:r>
        <w:rPr>
          <w:spacing w:val="-92"/>
          <w:w w:val="101"/>
        </w:rPr>
        <w:t>》</w:t>
      </w:r>
      <w:r>
        <w:rPr>
          <w:spacing w:val="-5"/>
          <w:w w:val="101"/>
        </w:rPr>
        <w:t>，</w:t>
      </w:r>
      <w:r>
        <w:rPr>
          <w:w w:val="101"/>
        </w:rPr>
        <w:t>公</w:t>
      </w:r>
      <w:r>
        <w:rPr>
          <w:spacing w:val="-5"/>
          <w:w w:val="101"/>
        </w:rPr>
        <w:t>司</w:t>
      </w:r>
      <w:r>
        <w:rPr>
          <w:w w:val="101"/>
        </w:rPr>
        <w:t>监</w:t>
      </w:r>
      <w:r>
        <w:rPr>
          <w:spacing w:val="-5"/>
          <w:w w:val="101"/>
        </w:rPr>
        <w:t>事</w:t>
      </w:r>
      <w:r>
        <w:rPr>
          <w:w w:val="101"/>
        </w:rPr>
        <w:t>会于</w:t>
      </w:r>
      <w:r>
        <w:rPr>
          <w:spacing w:val="-47"/>
        </w:rPr>
        <w:t> </w:t>
      </w:r>
      <w:r>
        <w:rPr>
          <w:rFonts w:ascii="Times New Roman" w:hAnsi="Times New Roman" w:cs="Times New Roman" w:eastAsia="Times New Roman" w:hint="default"/>
          <w:w w:val="101"/>
        </w:rPr>
        <w:t>2</w:t>
      </w:r>
      <w:r>
        <w:rPr>
          <w:rFonts w:ascii="Times New Roman" w:hAnsi="Times New Roman" w:cs="Times New Roman" w:eastAsia="Times New Roman" w:hint="default"/>
          <w:spacing w:val="-5"/>
          <w:w w:val="101"/>
        </w:rPr>
        <w:t>0</w:t>
      </w:r>
      <w:r>
        <w:rPr>
          <w:rFonts w:ascii="Times New Roman" w:hAnsi="Times New Roman" w:cs="Times New Roman" w:eastAsia="Times New Roman" w:hint="default"/>
          <w:w w:val="101"/>
        </w:rPr>
        <w:t>19</w:t>
      </w:r>
      <w:r>
        <w:rPr>
          <w:rFonts w:ascii="Times New Roman" w:hAnsi="Times New Roman" w:cs="Times New Roman" w:eastAsia="Times New Roman" w:hint="default"/>
          <w:spacing w:val="-2"/>
        </w:rPr>
        <w:t> </w:t>
      </w:r>
      <w:r>
        <w:rPr>
          <w:w w:val="101"/>
        </w:rPr>
        <w:t>年</w:t>
      </w:r>
      <w:r>
        <w:rPr>
          <w:spacing w:val="-47"/>
        </w:rPr>
        <w:t> </w:t>
      </w:r>
      <w:r>
        <w:rPr>
          <w:rFonts w:ascii="Times New Roman" w:hAnsi="Times New Roman" w:cs="Times New Roman" w:eastAsia="Times New Roman" w:hint="default"/>
          <w:w w:val="101"/>
        </w:rPr>
        <w:t>1</w:t>
      </w:r>
      <w:r>
        <w:rPr>
          <w:rFonts w:ascii="Times New Roman" w:hAnsi="Times New Roman" w:cs="Times New Roman" w:eastAsia="Times New Roman" w:hint="default"/>
          <w:spacing w:val="-2"/>
        </w:rPr>
        <w:t> </w:t>
      </w:r>
      <w:r>
        <w:rPr>
          <w:w w:val="101"/>
        </w:rPr>
        <w:t>月</w:t>
      </w:r>
      <w:r>
        <w:rPr>
          <w:spacing w:val="-47"/>
        </w:rPr>
        <w:t> </w:t>
      </w:r>
      <w:r>
        <w:rPr>
          <w:rFonts w:ascii="Times New Roman" w:hAnsi="Times New Roman" w:cs="Times New Roman" w:eastAsia="Times New Roman" w:hint="default"/>
          <w:w w:val="101"/>
        </w:rPr>
        <w:t>3</w:t>
      </w:r>
      <w:r>
        <w:rPr>
          <w:rFonts w:ascii="Times New Roman" w:hAnsi="Times New Roman" w:cs="Times New Roman" w:eastAsia="Times New Roman" w:hint="default"/>
          <w:spacing w:val="-2"/>
        </w:rPr>
        <w:t> </w:t>
      </w:r>
      <w:r>
        <w:rPr>
          <w:spacing w:val="-5"/>
          <w:w w:val="101"/>
        </w:rPr>
        <w:t>日</w:t>
      </w:r>
      <w:r>
        <w:rPr>
          <w:w w:val="101"/>
        </w:rPr>
        <w:t>审</w:t>
      </w:r>
      <w:r>
        <w:rPr>
          <w:spacing w:val="-5"/>
          <w:w w:val="101"/>
        </w:rPr>
        <w:t>议</w:t>
      </w:r>
      <w:r>
        <w:rPr>
          <w:w w:val="101"/>
        </w:rPr>
        <w:t>通</w:t>
      </w:r>
      <w:r>
        <w:rPr>
          <w:spacing w:val="-5"/>
          <w:w w:val="101"/>
        </w:rPr>
        <w:t>过</w:t>
      </w:r>
      <w:r>
        <w:rPr>
          <w:w w:val="101"/>
        </w:rPr>
        <w:t>《</w:t>
      </w:r>
      <w:r>
        <w:rPr>
          <w:spacing w:val="-5"/>
          <w:w w:val="101"/>
        </w:rPr>
        <w:t>关</w:t>
      </w:r>
      <w:r>
        <w:rPr>
          <w:w w:val="101"/>
        </w:rPr>
        <w:t>于</w:t>
      </w:r>
      <w:r>
        <w:rPr>
          <w:spacing w:val="-5"/>
          <w:w w:val="101"/>
        </w:rPr>
        <w:t>向</w:t>
      </w:r>
      <w:r>
        <w:rPr>
          <w:w w:val="101"/>
        </w:rPr>
        <w:t>激</w:t>
      </w:r>
      <w:r>
        <w:rPr>
          <w:spacing w:val="-5"/>
          <w:w w:val="101"/>
        </w:rPr>
        <w:t>励对</w:t>
      </w:r>
      <w:r>
        <w:rPr>
          <w:w w:val="101"/>
        </w:rPr>
        <w:t>象授予</w:t>
      </w:r>
      <w:r>
        <w:rPr>
          <w:spacing w:val="-47"/>
        </w:rPr>
        <w:t> </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w w:val="101"/>
        </w:rPr>
        <w:t>017</w:t>
      </w:r>
      <w:r>
        <w:rPr>
          <w:rFonts w:ascii="Times New Roman" w:hAnsi="Times New Roman" w:cs="Times New Roman" w:eastAsia="Times New Roman" w:hint="default"/>
          <w:spacing w:val="-2"/>
        </w:rPr>
        <w:t> </w:t>
      </w:r>
      <w:r>
        <w:rPr>
          <w:spacing w:val="-5"/>
          <w:w w:val="101"/>
        </w:rPr>
        <w:t>年</w:t>
      </w:r>
      <w:r>
        <w:rPr>
          <w:w w:val="101"/>
        </w:rPr>
        <w:t>预</w:t>
      </w:r>
      <w:r>
        <w:rPr>
          <w:spacing w:val="-5"/>
          <w:w w:val="101"/>
        </w:rPr>
        <w:t>留</w:t>
      </w:r>
      <w:r>
        <w:rPr>
          <w:w w:val="101"/>
        </w:rPr>
        <w:t>限</w:t>
      </w:r>
      <w:r>
        <w:rPr>
          <w:spacing w:val="-5"/>
          <w:w w:val="101"/>
        </w:rPr>
        <w:t>制</w:t>
      </w:r>
      <w:r>
        <w:rPr>
          <w:w w:val="101"/>
        </w:rPr>
        <w:t>性</w:t>
      </w:r>
      <w:r>
        <w:rPr>
          <w:spacing w:val="-5"/>
          <w:w w:val="101"/>
        </w:rPr>
        <w:t>股</w:t>
      </w:r>
      <w:r>
        <w:rPr>
          <w:w w:val="101"/>
        </w:rPr>
        <w:t>票</w:t>
      </w:r>
      <w:r>
        <w:rPr>
          <w:spacing w:val="-5"/>
          <w:w w:val="101"/>
        </w:rPr>
        <w:t>的</w:t>
      </w:r>
      <w:r>
        <w:rPr>
          <w:w w:val="101"/>
        </w:rPr>
        <w:t>议</w:t>
      </w:r>
      <w:r>
        <w:rPr>
          <w:spacing w:val="-5"/>
          <w:w w:val="101"/>
        </w:rPr>
        <w:t>案</w:t>
      </w:r>
      <w:r>
        <w:rPr>
          <w:spacing w:val="-92"/>
          <w:w w:val="101"/>
        </w:rPr>
        <w:t>》</w:t>
      </w:r>
      <w:r>
        <w:rPr>
          <w:spacing w:val="-5"/>
          <w:w w:val="101"/>
        </w:rPr>
        <w:t>，</w:t>
      </w:r>
      <w:r>
        <w:rPr>
          <w:w w:val="101"/>
        </w:rPr>
        <w:t>确定</w:t>
      </w:r>
      <w:r>
        <w:rPr>
          <w:spacing w:val="-47"/>
        </w:rPr>
        <w:t> </w:t>
      </w:r>
      <w:r>
        <w:rPr>
          <w:rFonts w:ascii="Times New Roman" w:hAnsi="Times New Roman" w:cs="Times New Roman" w:eastAsia="Times New Roman" w:hint="default"/>
          <w:w w:val="101"/>
        </w:rPr>
        <w:t>2</w:t>
      </w:r>
      <w:r>
        <w:rPr>
          <w:rFonts w:ascii="Times New Roman" w:hAnsi="Times New Roman" w:cs="Times New Roman" w:eastAsia="Times New Roman" w:hint="default"/>
          <w:spacing w:val="-5"/>
          <w:w w:val="101"/>
        </w:rPr>
        <w:t>0</w:t>
      </w:r>
      <w:r>
        <w:rPr>
          <w:rFonts w:ascii="Times New Roman" w:hAnsi="Times New Roman" w:cs="Times New Roman" w:eastAsia="Times New Roman" w:hint="default"/>
          <w:w w:val="101"/>
        </w:rPr>
        <w:t>19</w:t>
      </w:r>
      <w:r>
        <w:rPr>
          <w:rFonts w:ascii="Times New Roman" w:hAnsi="Times New Roman" w:cs="Times New Roman" w:eastAsia="Times New Roman" w:hint="default"/>
          <w:spacing w:val="-2"/>
        </w:rPr>
        <w:t> </w:t>
      </w:r>
      <w:r>
        <w:rPr>
          <w:w w:val="101"/>
        </w:rPr>
        <w:t>年</w:t>
      </w:r>
      <w:r>
        <w:rPr>
          <w:spacing w:val="-47"/>
        </w:rPr>
        <w:t> </w:t>
      </w:r>
      <w:r>
        <w:rPr>
          <w:rFonts w:ascii="Times New Roman" w:hAnsi="Times New Roman" w:cs="Times New Roman" w:eastAsia="Times New Roman" w:hint="default"/>
          <w:w w:val="101"/>
        </w:rPr>
        <w:t>1</w:t>
      </w:r>
      <w:r>
        <w:rPr>
          <w:rFonts w:ascii="Times New Roman" w:hAnsi="Times New Roman" w:cs="Times New Roman" w:eastAsia="Times New Roman" w:hint="default"/>
          <w:spacing w:val="-2"/>
        </w:rPr>
        <w:t> </w:t>
      </w:r>
      <w:r>
        <w:rPr>
          <w:w w:val="101"/>
        </w:rPr>
        <w:t>月</w:t>
      </w:r>
      <w:r>
        <w:rPr>
          <w:spacing w:val="-47"/>
        </w:rPr>
        <w:t> </w:t>
      </w:r>
      <w:r>
        <w:rPr>
          <w:rFonts w:ascii="Times New Roman" w:hAnsi="Times New Roman" w:cs="Times New Roman" w:eastAsia="Times New Roman" w:hint="default"/>
          <w:w w:val="101"/>
        </w:rPr>
        <w:t>3</w:t>
      </w:r>
      <w:r>
        <w:rPr>
          <w:rFonts w:ascii="Times New Roman" w:hAnsi="Times New Roman" w:cs="Times New Roman" w:eastAsia="Times New Roman" w:hint="default"/>
        </w:rPr>
      </w:r>
    </w:p>
    <w:p>
      <w:pPr>
        <w:pStyle w:val="BodyText"/>
        <w:spacing w:line="240" w:lineRule="auto" w:before="63"/>
        <w:ind w:left="953" w:right="0"/>
        <w:jc w:val="left"/>
      </w:pPr>
      <w:r>
        <w:rPr>
          <w:w w:val="101"/>
        </w:rPr>
        <w:t>日为</w:t>
      </w:r>
      <w:r>
        <w:rPr>
          <w:spacing w:val="-62"/>
        </w:rPr>
        <w:t> </w:t>
      </w:r>
      <w:r>
        <w:rPr>
          <w:rFonts w:ascii="Times New Roman" w:hAnsi="Times New Roman" w:cs="Times New Roman" w:eastAsia="Times New Roman" w:hint="default"/>
          <w:w w:val="101"/>
        </w:rPr>
        <w:t>20</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w w:val="101"/>
        </w:rPr>
        <w:t>7</w:t>
      </w:r>
      <w:r>
        <w:rPr>
          <w:rFonts w:ascii="Times New Roman" w:hAnsi="Times New Roman" w:cs="Times New Roman" w:eastAsia="Times New Roman" w:hint="default"/>
          <w:spacing w:val="-11"/>
        </w:rPr>
        <w:t> </w:t>
      </w:r>
      <w:r>
        <w:rPr>
          <w:spacing w:val="-5"/>
          <w:w w:val="101"/>
        </w:rPr>
        <w:t>年</w:t>
      </w:r>
      <w:r>
        <w:rPr>
          <w:w w:val="101"/>
        </w:rPr>
        <w:t>预</w:t>
      </w:r>
      <w:r>
        <w:rPr>
          <w:spacing w:val="-5"/>
          <w:w w:val="101"/>
        </w:rPr>
        <w:t>留</w:t>
      </w:r>
      <w:r>
        <w:rPr>
          <w:w w:val="101"/>
        </w:rPr>
        <w:t>限</w:t>
      </w:r>
      <w:r>
        <w:rPr>
          <w:spacing w:val="-5"/>
          <w:w w:val="101"/>
        </w:rPr>
        <w:t>制性</w:t>
      </w:r>
      <w:r>
        <w:rPr>
          <w:w w:val="101"/>
        </w:rPr>
        <w:t>股</w:t>
      </w:r>
      <w:r>
        <w:rPr>
          <w:spacing w:val="-5"/>
          <w:w w:val="101"/>
        </w:rPr>
        <w:t>票</w:t>
      </w:r>
      <w:r>
        <w:rPr>
          <w:w w:val="101"/>
        </w:rPr>
        <w:t>的</w:t>
      </w:r>
      <w:r>
        <w:rPr>
          <w:spacing w:val="-5"/>
          <w:w w:val="101"/>
        </w:rPr>
        <w:t>授</w:t>
      </w:r>
      <w:r>
        <w:rPr>
          <w:w w:val="101"/>
        </w:rPr>
        <w:t>予日</w:t>
      </w:r>
      <w:r>
        <w:rPr>
          <w:spacing w:val="-96"/>
          <w:w w:val="101"/>
        </w:rPr>
        <w:t>，</w:t>
      </w:r>
      <w:r>
        <w:rPr>
          <w:w w:val="101"/>
        </w:rPr>
        <w:t>向</w:t>
      </w:r>
      <w:r>
        <w:rPr>
          <w:spacing w:val="-62"/>
        </w:rPr>
        <w:t> </w:t>
      </w:r>
      <w:r>
        <w:rPr>
          <w:rFonts w:ascii="Times New Roman" w:hAnsi="Times New Roman" w:cs="Times New Roman" w:eastAsia="Times New Roman" w:hint="default"/>
          <w:w w:val="101"/>
        </w:rPr>
        <w:t>9</w:t>
      </w:r>
      <w:r>
        <w:rPr>
          <w:rFonts w:ascii="Times New Roman" w:hAnsi="Times New Roman" w:cs="Times New Roman" w:eastAsia="Times New Roman" w:hint="default"/>
          <w:spacing w:val="-16"/>
        </w:rPr>
        <w:t> </w:t>
      </w:r>
      <w:r>
        <w:rPr>
          <w:w w:val="101"/>
        </w:rPr>
        <w:t>名</w:t>
      </w:r>
      <w:r>
        <w:rPr>
          <w:spacing w:val="-5"/>
          <w:w w:val="101"/>
        </w:rPr>
        <w:t>激</w:t>
      </w:r>
      <w:r>
        <w:rPr>
          <w:w w:val="101"/>
        </w:rPr>
        <w:t>励</w:t>
      </w:r>
      <w:r>
        <w:rPr>
          <w:spacing w:val="-5"/>
          <w:w w:val="101"/>
        </w:rPr>
        <w:t>对</w:t>
      </w:r>
      <w:r>
        <w:rPr>
          <w:w w:val="101"/>
        </w:rPr>
        <w:t>象</w:t>
      </w:r>
      <w:r>
        <w:rPr>
          <w:spacing w:val="-5"/>
          <w:w w:val="101"/>
        </w:rPr>
        <w:t>授</w:t>
      </w:r>
      <w:r>
        <w:rPr>
          <w:w w:val="101"/>
        </w:rPr>
        <w:t>予</w:t>
      </w:r>
      <w:r>
        <w:rPr>
          <w:spacing w:val="-57"/>
        </w:rPr>
        <w:t> </w:t>
      </w:r>
      <w:r>
        <w:rPr>
          <w:rFonts w:ascii="Times New Roman" w:hAnsi="Times New Roman" w:cs="Times New Roman" w:eastAsia="Times New Roman" w:hint="default"/>
          <w:spacing w:val="-5"/>
          <w:w w:val="101"/>
        </w:rPr>
        <w:t>7</w:t>
      </w:r>
      <w:r>
        <w:rPr>
          <w:rFonts w:ascii="Times New Roman" w:hAnsi="Times New Roman" w:cs="Times New Roman" w:eastAsia="Times New Roman" w:hint="default"/>
          <w:w w:val="101"/>
        </w:rPr>
        <w:t>0</w:t>
      </w:r>
      <w:r>
        <w:rPr>
          <w:rFonts w:ascii="Times New Roman" w:hAnsi="Times New Roman" w:cs="Times New Roman" w:eastAsia="Times New Roman" w:hint="default"/>
          <w:spacing w:val="-17"/>
        </w:rPr>
        <w:t> </w:t>
      </w:r>
      <w:r>
        <w:rPr>
          <w:w w:val="101"/>
        </w:rPr>
        <w:t>万</w:t>
      </w:r>
      <w:r>
        <w:rPr>
          <w:spacing w:val="-5"/>
          <w:w w:val="101"/>
        </w:rPr>
        <w:t>股</w:t>
      </w:r>
      <w:r>
        <w:rPr>
          <w:w w:val="101"/>
        </w:rPr>
        <w:t>限</w:t>
      </w:r>
      <w:r>
        <w:rPr>
          <w:spacing w:val="-5"/>
          <w:w w:val="101"/>
        </w:rPr>
        <w:t>制</w:t>
      </w:r>
      <w:r>
        <w:rPr>
          <w:w w:val="101"/>
        </w:rPr>
        <w:t>性</w:t>
      </w:r>
      <w:r>
        <w:rPr>
          <w:spacing w:val="-5"/>
          <w:w w:val="101"/>
        </w:rPr>
        <w:t>股</w:t>
      </w:r>
      <w:r>
        <w:rPr>
          <w:w w:val="101"/>
        </w:rPr>
        <w:t>票</w:t>
      </w:r>
      <w:r>
        <w:rPr>
          <w:spacing w:val="-92"/>
          <w:w w:val="101"/>
        </w:rPr>
        <w:t>。</w:t>
      </w:r>
      <w:r>
        <w:rPr>
          <w:spacing w:val="-5"/>
          <w:w w:val="101"/>
        </w:rPr>
        <w:t>公</w:t>
      </w:r>
      <w:r>
        <w:rPr>
          <w:w w:val="101"/>
        </w:rPr>
        <w:t>司</w:t>
      </w:r>
      <w:r>
        <w:rPr>
          <w:spacing w:val="-5"/>
          <w:w w:val="101"/>
        </w:rPr>
        <w:t>独</w:t>
      </w:r>
      <w:r>
        <w:rPr>
          <w:w w:val="101"/>
        </w:rPr>
        <w:t>立</w:t>
      </w:r>
      <w:r>
        <w:rPr>
          <w:spacing w:val="-5"/>
          <w:w w:val="101"/>
        </w:rPr>
        <w:t>董</w:t>
      </w:r>
      <w:r>
        <w:rPr>
          <w:w w:val="101"/>
        </w:rPr>
        <w:t>事</w:t>
      </w:r>
      <w:r>
        <w:rPr>
          <w:spacing w:val="-5"/>
          <w:w w:val="101"/>
        </w:rPr>
        <w:t>对</w:t>
      </w:r>
      <w:r>
        <w:rPr>
          <w:w w:val="101"/>
        </w:rPr>
        <w:t>相</w:t>
      </w:r>
      <w:r>
        <w:rPr>
          <w:spacing w:val="-5"/>
          <w:w w:val="101"/>
        </w:rPr>
        <w:t>关</w:t>
      </w:r>
      <w:r>
        <w:rPr>
          <w:w w:val="101"/>
        </w:rPr>
        <w:t>事</w:t>
      </w:r>
      <w:r>
        <w:rPr>
          <w:spacing w:val="-5"/>
          <w:w w:val="101"/>
        </w:rPr>
        <w:t>项</w:t>
      </w:r>
      <w:r>
        <w:rPr>
          <w:w w:val="101"/>
        </w:rPr>
        <w:t>发</w:t>
      </w:r>
      <w:r>
        <w:rPr>
          <w:spacing w:val="-5"/>
          <w:w w:val="101"/>
        </w:rPr>
        <w:t>表</w:t>
      </w:r>
      <w:r>
        <w:rPr>
          <w:w w:val="101"/>
        </w:rPr>
        <w:t>了</w:t>
      </w:r>
      <w:r>
        <w:rPr>
          <w:spacing w:val="-5"/>
          <w:w w:val="101"/>
        </w:rPr>
        <w:t>独</w:t>
      </w:r>
      <w:r>
        <w:rPr>
          <w:w w:val="101"/>
        </w:rPr>
        <w:t>立</w:t>
      </w:r>
      <w:r>
        <w:rPr>
          <w:spacing w:val="-5"/>
          <w:w w:val="101"/>
        </w:rPr>
        <w:t>意</w:t>
      </w:r>
      <w:r>
        <w:rPr>
          <w:w w:val="101"/>
        </w:rPr>
        <w:t>见，</w:t>
      </w:r>
      <w:r>
        <w:rPr/>
      </w:r>
    </w:p>
    <w:p>
      <w:pPr>
        <w:pStyle w:val="BodyText"/>
        <w:spacing w:line="240" w:lineRule="auto" w:before="63"/>
        <w:ind w:left="953" w:right="0"/>
        <w:jc w:val="left"/>
      </w:pPr>
      <w:r>
        <w:rPr>
          <w:spacing w:val="-3"/>
        </w:rPr>
        <w:t>监事会对本次授予限制性股票的激励对象名单进行了核实。上述预留授予的限制性股票于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5</w:t>
      </w:r>
      <w:r>
        <w:rPr>
          <w:rFonts w:ascii="Times New Roman" w:hAnsi="Times New Roman" w:cs="Times New Roman" w:eastAsia="Times New Roman" w:hint="default"/>
          <w:spacing w:val="-16"/>
        </w:rPr>
        <w:t> </w:t>
      </w:r>
      <w:r>
        <w:rPr/>
        <w:t>日上市。公司总股</w:t>
      </w:r>
    </w:p>
    <w:p>
      <w:pPr>
        <w:pStyle w:val="BodyText"/>
        <w:spacing w:line="240" w:lineRule="auto" w:before="67"/>
        <w:ind w:left="953" w:right="0"/>
        <w:jc w:val="left"/>
      </w:pPr>
      <w:r>
        <w:rPr/>
        <w:t>本由</w:t>
      </w:r>
      <w:r>
        <w:rPr>
          <w:spacing w:val="-45"/>
        </w:rPr>
        <w:t> </w:t>
      </w:r>
      <w:r>
        <w:rPr>
          <w:rFonts w:ascii="Times New Roman" w:hAnsi="Times New Roman" w:cs="Times New Roman" w:eastAsia="Times New Roman" w:hint="default"/>
        </w:rPr>
        <w:t>83,090,000 </w:t>
      </w:r>
      <w:r>
        <w:rPr/>
        <w:t>股变为</w:t>
      </w:r>
      <w:r>
        <w:rPr>
          <w:spacing w:val="-45"/>
        </w:rPr>
        <w:t> </w:t>
      </w:r>
      <w:r>
        <w:rPr>
          <w:rFonts w:ascii="Times New Roman" w:hAnsi="Times New Roman" w:cs="Times New Roman" w:eastAsia="Times New Roman" w:hint="default"/>
        </w:rPr>
        <w:t>83,790,000 </w:t>
      </w:r>
      <w:r>
        <w:rPr>
          <w:spacing w:val="-5"/>
        </w:rPr>
        <w:t>股。</w:t>
      </w:r>
      <w:r>
        <w:rPr/>
      </w:r>
    </w:p>
    <w:p>
      <w:pPr>
        <w:pStyle w:val="BodyText"/>
        <w:spacing w:line="240" w:lineRule="auto" w:before="96"/>
        <w:ind w:left="953" w:right="0"/>
        <w:jc w:val="left"/>
      </w:pPr>
      <w:r>
        <w:rPr>
          <w:rFonts w:ascii="Times New Roman" w:hAnsi="Times New Roman" w:cs="Times New Roman" w:eastAsia="Times New Roman" w:hint="default"/>
        </w:rPr>
        <w:t>2</w:t>
      </w:r>
      <w:r>
        <w:rPr/>
        <w:t>、经公司 </w:t>
      </w:r>
      <w:r>
        <w:rPr>
          <w:rFonts w:ascii="Times New Roman" w:hAnsi="Times New Roman" w:cs="Times New Roman" w:eastAsia="Times New Roman" w:hint="default"/>
        </w:rPr>
        <w:t>2018 </w:t>
      </w:r>
      <w:r>
        <w:rPr/>
        <w:t>年年度股东大会同意，</w:t>
      </w:r>
      <w:r>
        <w:rPr>
          <w:rFonts w:ascii="Times New Roman" w:hAnsi="Times New Roman" w:cs="Times New Roman" w:eastAsia="Times New Roman" w:hint="default"/>
        </w:rPr>
        <w:t>2018 </w:t>
      </w:r>
      <w:r>
        <w:rPr>
          <w:spacing w:val="-3"/>
        </w:rPr>
        <w:t>年的利润分配方案为以实施 </w:t>
      </w:r>
      <w:r>
        <w:rPr>
          <w:rFonts w:ascii="Times New Roman" w:hAnsi="Times New Roman" w:cs="Times New Roman" w:eastAsia="Times New Roman" w:hint="default"/>
        </w:rPr>
        <w:t>2018  </w:t>
      </w:r>
      <w:r>
        <w:rPr>
          <w:rFonts w:ascii="Times New Roman" w:hAnsi="Times New Roman" w:cs="Times New Roman" w:eastAsia="Times New Roman" w:hint="default"/>
          <w:spacing w:val="6"/>
        </w:rPr>
        <w:t> </w:t>
      </w:r>
      <w:r>
        <w:rPr>
          <w:spacing w:val="-3"/>
        </w:rPr>
        <w:t>年年度权益分配方案时股权登记日享有利润</w:t>
      </w:r>
    </w:p>
    <w:p>
      <w:pPr>
        <w:pStyle w:val="BodyText"/>
        <w:spacing w:line="240" w:lineRule="auto" w:before="63"/>
        <w:ind w:left="953" w:right="0"/>
        <w:jc w:val="left"/>
      </w:pPr>
      <w:r>
        <w:rPr>
          <w:w w:val="101"/>
        </w:rPr>
        <w:t>分</w:t>
      </w:r>
      <w:r>
        <w:rPr>
          <w:spacing w:val="-5"/>
          <w:w w:val="101"/>
        </w:rPr>
        <w:t>配</w:t>
      </w:r>
      <w:r>
        <w:rPr>
          <w:w w:val="101"/>
        </w:rPr>
        <w:t>、</w:t>
      </w:r>
      <w:r>
        <w:rPr>
          <w:spacing w:val="-5"/>
          <w:w w:val="101"/>
        </w:rPr>
        <w:t>公</w:t>
      </w:r>
      <w:r>
        <w:rPr>
          <w:w w:val="101"/>
        </w:rPr>
        <w:t>积</w:t>
      </w:r>
      <w:r>
        <w:rPr>
          <w:spacing w:val="-5"/>
          <w:w w:val="101"/>
        </w:rPr>
        <w:t>金</w:t>
      </w:r>
      <w:r>
        <w:rPr>
          <w:w w:val="101"/>
        </w:rPr>
        <w:t>转</w:t>
      </w:r>
      <w:r>
        <w:rPr>
          <w:spacing w:val="-5"/>
          <w:w w:val="101"/>
        </w:rPr>
        <w:t>增</w:t>
      </w:r>
      <w:r>
        <w:rPr>
          <w:w w:val="101"/>
        </w:rPr>
        <w:t>股</w:t>
      </w:r>
      <w:r>
        <w:rPr>
          <w:spacing w:val="-5"/>
          <w:w w:val="101"/>
        </w:rPr>
        <w:t>本</w:t>
      </w:r>
      <w:r>
        <w:rPr>
          <w:w w:val="101"/>
        </w:rPr>
        <w:t>权</w:t>
      </w:r>
      <w:r>
        <w:rPr>
          <w:spacing w:val="-5"/>
          <w:w w:val="101"/>
        </w:rPr>
        <w:t>利</w:t>
      </w:r>
      <w:r>
        <w:rPr>
          <w:w w:val="101"/>
        </w:rPr>
        <w:t>的</w:t>
      </w:r>
      <w:r>
        <w:rPr>
          <w:spacing w:val="-5"/>
          <w:w w:val="101"/>
        </w:rPr>
        <w:t>总</w:t>
      </w:r>
      <w:r>
        <w:rPr>
          <w:w w:val="101"/>
        </w:rPr>
        <w:t>股</w:t>
      </w:r>
      <w:r>
        <w:rPr>
          <w:spacing w:val="-5"/>
          <w:w w:val="101"/>
        </w:rPr>
        <w:t>本</w:t>
      </w:r>
      <w:r>
        <w:rPr>
          <w:w w:val="101"/>
        </w:rPr>
        <w:t>为</w:t>
      </w:r>
      <w:r>
        <w:rPr>
          <w:spacing w:val="-5"/>
          <w:w w:val="101"/>
        </w:rPr>
        <w:t>基</w:t>
      </w:r>
      <w:r>
        <w:rPr>
          <w:w w:val="101"/>
        </w:rPr>
        <w:t>数</w:t>
      </w:r>
      <w:r>
        <w:rPr>
          <w:spacing w:val="-5"/>
          <w:w w:val="101"/>
        </w:rPr>
        <w:t>，</w:t>
      </w:r>
      <w:r>
        <w:rPr>
          <w:w w:val="101"/>
        </w:rPr>
        <w:t>向</w:t>
      </w:r>
      <w:r>
        <w:rPr>
          <w:spacing w:val="-5"/>
          <w:w w:val="101"/>
        </w:rPr>
        <w:t>全</w:t>
      </w:r>
      <w:r>
        <w:rPr>
          <w:w w:val="101"/>
        </w:rPr>
        <w:t>体</w:t>
      </w:r>
      <w:r>
        <w:rPr>
          <w:spacing w:val="-5"/>
          <w:w w:val="101"/>
        </w:rPr>
        <w:t>股</w:t>
      </w:r>
      <w:r>
        <w:rPr>
          <w:w w:val="101"/>
        </w:rPr>
        <w:t>东每</w:t>
      </w:r>
      <w:r>
        <w:rPr>
          <w:spacing w:val="-3"/>
        </w:rPr>
        <w:t> </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w w:val="101"/>
        </w:rPr>
        <w:t>0</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spacing w:val="-5"/>
          <w:w w:val="101"/>
        </w:rPr>
        <w:t>股</w:t>
      </w:r>
      <w:r>
        <w:rPr>
          <w:w w:val="101"/>
        </w:rPr>
        <w:t>派</w:t>
      </w:r>
      <w:r>
        <w:rPr>
          <w:spacing w:val="-5"/>
          <w:w w:val="101"/>
        </w:rPr>
        <w:t>发</w:t>
      </w:r>
      <w:r>
        <w:rPr>
          <w:w w:val="101"/>
        </w:rPr>
        <w:t>现</w:t>
      </w:r>
      <w:r>
        <w:rPr>
          <w:spacing w:val="-5"/>
          <w:w w:val="101"/>
        </w:rPr>
        <w:t>金</w:t>
      </w:r>
      <w:r>
        <w:rPr>
          <w:w w:val="101"/>
        </w:rPr>
        <w:t>红利</w:t>
      </w:r>
      <w:r>
        <w:rPr>
          <w:spacing w:val="-4"/>
        </w:rPr>
        <w:t> </w:t>
      </w:r>
      <w:r>
        <w:rPr>
          <w:rFonts w:ascii="Times New Roman" w:hAnsi="Times New Roman" w:cs="Times New Roman" w:eastAsia="Times New Roman" w:hint="default"/>
          <w:w w:val="101"/>
        </w:rPr>
        <w:t>0</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spacing w:val="-5"/>
          <w:w w:val="101"/>
        </w:rPr>
        <w:t>7</w:t>
      </w:r>
      <w:r>
        <w:rPr>
          <w:rFonts w:ascii="Times New Roman" w:hAnsi="Times New Roman" w:cs="Times New Roman" w:eastAsia="Times New Roman" w:hint="default"/>
          <w:w w:val="101"/>
        </w:rPr>
        <w:t>5</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spacing w:val="-5"/>
          <w:w w:val="101"/>
        </w:rPr>
        <w:t>元</w:t>
      </w:r>
      <w:r>
        <w:rPr>
          <w:w w:val="101"/>
        </w:rPr>
        <w:t>（</w:t>
      </w:r>
      <w:r>
        <w:rPr>
          <w:spacing w:val="-5"/>
          <w:w w:val="101"/>
        </w:rPr>
        <w:t>含</w:t>
      </w:r>
      <w:r>
        <w:rPr>
          <w:w w:val="101"/>
        </w:rPr>
        <w:t>税</w:t>
      </w:r>
      <w:r>
        <w:rPr>
          <w:spacing w:val="-96"/>
          <w:w w:val="101"/>
        </w:rPr>
        <w:t>）</w:t>
      </w:r>
      <w:r>
        <w:rPr>
          <w:w w:val="101"/>
        </w:rPr>
        <w:t>、</w:t>
      </w:r>
      <w:r>
        <w:rPr>
          <w:spacing w:val="-5"/>
          <w:w w:val="101"/>
        </w:rPr>
        <w:t>以</w:t>
      </w:r>
      <w:r>
        <w:rPr>
          <w:w w:val="101"/>
        </w:rPr>
        <w:t>资</w:t>
      </w:r>
      <w:r>
        <w:rPr>
          <w:spacing w:val="-5"/>
          <w:w w:val="101"/>
        </w:rPr>
        <w:t>本</w:t>
      </w:r>
      <w:r>
        <w:rPr>
          <w:w w:val="101"/>
        </w:rPr>
        <w:t>公</w:t>
      </w:r>
      <w:r>
        <w:rPr>
          <w:spacing w:val="-5"/>
          <w:w w:val="101"/>
        </w:rPr>
        <w:t>积</w:t>
      </w:r>
      <w:r>
        <w:rPr>
          <w:w w:val="101"/>
        </w:rPr>
        <w:t>金每</w:t>
      </w:r>
      <w:r>
        <w:rPr>
          <w:spacing w:val="-3"/>
        </w:rPr>
        <w:t> </w:t>
      </w:r>
      <w:r>
        <w:rPr>
          <w:rFonts w:ascii="Times New Roman" w:hAnsi="Times New Roman" w:cs="Times New Roman" w:eastAsia="Times New Roman" w:hint="default"/>
          <w:w w:val="101"/>
        </w:rPr>
        <w:t>10</w:t>
      </w:r>
      <w:r>
        <w:rPr>
          <w:rFonts w:ascii="Times New Roman" w:hAnsi="Times New Roman" w:cs="Times New Roman" w:eastAsia="Times New Roman" w:hint="default"/>
        </w:rPr>
        <w:t> </w:t>
      </w:r>
      <w:r>
        <w:rPr>
          <w:rFonts w:ascii="Times New Roman" w:hAnsi="Times New Roman" w:cs="Times New Roman" w:eastAsia="Times New Roman" w:hint="default"/>
          <w:spacing w:val="-4"/>
        </w:rPr>
        <w:t> </w:t>
      </w:r>
      <w:r>
        <w:rPr>
          <w:w w:val="101"/>
        </w:rPr>
        <w:t>股</w:t>
      </w:r>
      <w:r>
        <w:rPr/>
      </w:r>
    </w:p>
    <w:p>
      <w:pPr>
        <w:pStyle w:val="BodyText"/>
        <w:spacing w:line="240" w:lineRule="auto" w:before="67"/>
        <w:ind w:left="953" w:right="0"/>
        <w:jc w:val="left"/>
      </w:pPr>
      <w:r>
        <w:rPr/>
        <w:t>转增</w:t>
      </w:r>
      <w:r>
        <w:rPr>
          <w:spacing w:val="15"/>
        </w:rPr>
        <w:t> </w:t>
      </w:r>
      <w:r>
        <w:rPr>
          <w:rFonts w:ascii="Times New Roman" w:hAnsi="Times New Roman" w:cs="Times New Roman" w:eastAsia="Times New Roman" w:hint="default"/>
        </w:rPr>
        <w:t>4 </w:t>
      </w:r>
      <w:r>
        <w:rPr>
          <w:rFonts w:ascii="Times New Roman" w:hAnsi="Times New Roman" w:cs="Times New Roman" w:eastAsia="Times New Roman" w:hint="default"/>
          <w:spacing w:val="22"/>
        </w:rPr>
        <w:t> </w:t>
      </w:r>
      <w:r>
        <w:rPr>
          <w:spacing w:val="-3"/>
        </w:rPr>
        <w:t>股、不送红股。权益分派方案已经于</w:t>
      </w:r>
      <w:r>
        <w:rPr>
          <w:spacing w:val="-4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w:t>
      </w:r>
      <w:r>
        <w:rPr>
          <w:spacing w:val="-38"/>
        </w:rPr>
        <w:t> </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t>月</w:t>
      </w:r>
      <w:r>
        <w:rPr>
          <w:spacing w:val="-44"/>
        </w:rPr>
        <w:t> </w:t>
      </w:r>
      <w:r>
        <w:rPr>
          <w:rFonts w:ascii="Times New Roman" w:hAnsi="Times New Roman" w:cs="Times New Roman" w:eastAsia="Times New Roman" w:hint="default"/>
        </w:rPr>
        <w:t>17</w:t>
      </w:r>
      <w:r>
        <w:rPr>
          <w:rFonts w:ascii="Times New Roman" w:hAnsi="Times New Roman" w:cs="Times New Roman" w:eastAsia="Times New Roman" w:hint="default"/>
          <w:spacing w:val="7"/>
        </w:rPr>
        <w:t> </w:t>
      </w:r>
      <w:r>
        <w:rPr>
          <w:spacing w:val="-3"/>
        </w:rPr>
        <w:t>日实施完毕，公司总股本增加至</w:t>
      </w:r>
      <w:r>
        <w:rPr>
          <w:spacing w:val="-38"/>
        </w:rPr>
        <w:t> </w:t>
      </w:r>
      <w:r>
        <w:rPr>
          <w:rFonts w:ascii="Times New Roman" w:hAnsi="Times New Roman" w:cs="Times New Roman" w:eastAsia="Times New Roman" w:hint="default"/>
        </w:rPr>
        <w:t>117,306,000</w:t>
      </w:r>
      <w:r>
        <w:rPr>
          <w:rFonts w:ascii="Times New Roman" w:hAnsi="Times New Roman" w:cs="Times New Roman" w:eastAsia="Times New Roman" w:hint="default"/>
          <w:spacing w:val="1"/>
        </w:rPr>
        <w:t> </w:t>
      </w:r>
      <w:r>
        <w:rPr/>
        <w:t>股。</w:t>
      </w:r>
    </w:p>
    <w:p>
      <w:pPr>
        <w:pStyle w:val="BodyText"/>
        <w:spacing w:line="240" w:lineRule="auto" w:before="102"/>
        <w:ind w:left="953" w:right="0"/>
        <w:jc w:val="left"/>
      </w:pPr>
      <w:r>
        <w:rPr>
          <w:rFonts w:ascii="Times New Roman" w:hAnsi="Times New Roman" w:cs="Times New Roman" w:eastAsia="Times New Roman" w:hint="default"/>
          <w:spacing w:val="-6"/>
        </w:rPr>
        <w:t>3</w:t>
      </w:r>
      <w:r>
        <w:rPr>
          <w:spacing w:val="-6"/>
        </w:rPr>
        <w:t>、公司于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spacing w:val="-3"/>
        </w:rPr>
        <w:t>11 </w:t>
      </w:r>
      <w:r>
        <w:rPr/>
        <w:t>月 </w:t>
      </w:r>
      <w:r>
        <w:rPr>
          <w:rFonts w:ascii="Times New Roman" w:hAnsi="Times New Roman" w:cs="Times New Roman" w:eastAsia="Times New Roman" w:hint="default"/>
        </w:rPr>
        <w:t>26</w:t>
      </w:r>
      <w:r>
        <w:rPr>
          <w:rFonts w:ascii="Times New Roman" w:hAnsi="Times New Roman" w:cs="Times New Roman" w:eastAsia="Times New Roman" w:hint="default"/>
          <w:spacing w:val="-6"/>
        </w:rPr>
        <w:t> </w:t>
      </w:r>
      <w:r>
        <w:rPr>
          <w:spacing w:val="-4"/>
        </w:rPr>
        <w:t>日召开第二届董事会第二十三次会议，审议通过《关于调整限制性股票回购价格及回购注销数量</w:t>
      </w:r>
    </w:p>
    <w:p>
      <w:pPr>
        <w:pStyle w:val="BodyText"/>
        <w:spacing w:line="240" w:lineRule="auto" w:before="62"/>
        <w:ind w:left="953" w:right="0"/>
        <w:jc w:val="left"/>
        <w:rPr>
          <w:rFonts w:ascii="Times New Roman" w:hAnsi="Times New Roman" w:cs="Times New Roman" w:eastAsia="Times New Roman" w:hint="default"/>
        </w:rPr>
      </w:pPr>
      <w:r>
        <w:rPr>
          <w:w w:val="101"/>
        </w:rPr>
        <w:t>的</w:t>
      </w:r>
      <w:r>
        <w:rPr>
          <w:spacing w:val="-5"/>
          <w:w w:val="101"/>
        </w:rPr>
        <w:t>议</w:t>
      </w:r>
      <w:r>
        <w:rPr>
          <w:w w:val="101"/>
        </w:rPr>
        <w:t>案</w:t>
      </w:r>
      <w:r>
        <w:rPr>
          <w:spacing w:val="-92"/>
          <w:w w:val="101"/>
        </w:rPr>
        <w:t>》</w:t>
      </w:r>
      <w:r>
        <w:rPr>
          <w:spacing w:val="-106"/>
          <w:w w:val="101"/>
        </w:rPr>
        <w:t>、</w:t>
      </w:r>
      <w:r>
        <w:rPr>
          <w:spacing w:val="-5"/>
          <w:w w:val="101"/>
        </w:rPr>
        <w:t>《</w:t>
      </w:r>
      <w:r>
        <w:rPr>
          <w:w w:val="101"/>
        </w:rPr>
        <w:t>关</w:t>
      </w:r>
      <w:r>
        <w:rPr>
          <w:spacing w:val="-5"/>
          <w:w w:val="101"/>
        </w:rPr>
        <w:t>于</w:t>
      </w:r>
      <w:r>
        <w:rPr>
          <w:w w:val="101"/>
        </w:rPr>
        <w:t>回</w:t>
      </w:r>
      <w:r>
        <w:rPr>
          <w:spacing w:val="-5"/>
          <w:w w:val="101"/>
        </w:rPr>
        <w:t>购</w:t>
      </w:r>
      <w:r>
        <w:rPr>
          <w:w w:val="101"/>
        </w:rPr>
        <w:t>注</w:t>
      </w:r>
      <w:r>
        <w:rPr>
          <w:spacing w:val="-5"/>
          <w:w w:val="101"/>
        </w:rPr>
        <w:t>销</w:t>
      </w:r>
      <w:r>
        <w:rPr>
          <w:w w:val="101"/>
        </w:rPr>
        <w:t>部</w:t>
      </w:r>
      <w:r>
        <w:rPr>
          <w:spacing w:val="-5"/>
          <w:w w:val="101"/>
        </w:rPr>
        <w:t>分</w:t>
      </w:r>
      <w:r>
        <w:rPr>
          <w:w w:val="101"/>
        </w:rPr>
        <w:t>限</w:t>
      </w:r>
      <w:r>
        <w:rPr>
          <w:spacing w:val="-5"/>
          <w:w w:val="101"/>
        </w:rPr>
        <w:t>制</w:t>
      </w:r>
      <w:r>
        <w:rPr>
          <w:w w:val="101"/>
        </w:rPr>
        <w:t>性</w:t>
      </w:r>
      <w:r>
        <w:rPr>
          <w:spacing w:val="-5"/>
          <w:w w:val="101"/>
        </w:rPr>
        <w:t>股</w:t>
      </w:r>
      <w:r>
        <w:rPr>
          <w:w w:val="101"/>
        </w:rPr>
        <w:t>票</w:t>
      </w:r>
      <w:r>
        <w:rPr>
          <w:spacing w:val="-5"/>
          <w:w w:val="101"/>
        </w:rPr>
        <w:t>的</w:t>
      </w:r>
      <w:r>
        <w:rPr>
          <w:w w:val="101"/>
        </w:rPr>
        <w:t>议案</w:t>
      </w:r>
      <w:r>
        <w:rPr>
          <w:spacing w:val="-96"/>
          <w:w w:val="101"/>
        </w:rPr>
        <w:t>》</w:t>
      </w:r>
      <w:r>
        <w:rPr>
          <w:spacing w:val="-15"/>
          <w:w w:val="101"/>
        </w:rPr>
        <w:t>。</w:t>
      </w:r>
      <w:r>
        <w:rPr>
          <w:spacing w:val="-5"/>
          <w:w w:val="101"/>
        </w:rPr>
        <w:t>因</w:t>
      </w:r>
      <w:r>
        <w:rPr>
          <w:w w:val="101"/>
        </w:rPr>
        <w:t>公司</w:t>
      </w:r>
      <w:r>
        <w:rPr>
          <w:spacing w:val="-46"/>
        </w:rPr>
        <w:t> </w:t>
      </w:r>
      <w:r>
        <w:rPr>
          <w:rFonts w:ascii="Times New Roman" w:hAnsi="Times New Roman" w:cs="Times New Roman" w:eastAsia="Times New Roman" w:hint="default"/>
          <w:w w:val="101"/>
        </w:rPr>
        <w:t>20</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w w:val="101"/>
        </w:rPr>
        <w:t>8</w:t>
      </w:r>
      <w:r>
        <w:rPr>
          <w:rFonts w:ascii="Times New Roman" w:hAnsi="Times New Roman" w:cs="Times New Roman" w:eastAsia="Times New Roman" w:hint="default"/>
          <w:spacing w:val="-2"/>
        </w:rPr>
        <w:t> </w:t>
      </w:r>
      <w:r>
        <w:rPr>
          <w:w w:val="101"/>
        </w:rPr>
        <w:t>年年</w:t>
      </w:r>
      <w:r>
        <w:rPr>
          <w:spacing w:val="-5"/>
          <w:w w:val="101"/>
        </w:rPr>
        <w:t>度</w:t>
      </w:r>
      <w:r>
        <w:rPr>
          <w:w w:val="101"/>
        </w:rPr>
        <w:t>权</w:t>
      </w:r>
      <w:r>
        <w:rPr>
          <w:spacing w:val="-5"/>
          <w:w w:val="101"/>
        </w:rPr>
        <w:t>益</w:t>
      </w:r>
      <w:r>
        <w:rPr>
          <w:w w:val="101"/>
        </w:rPr>
        <w:t>分派</w:t>
      </w:r>
      <w:r>
        <w:rPr>
          <w:spacing w:val="-20"/>
          <w:w w:val="101"/>
        </w:rPr>
        <w:t>、</w:t>
      </w:r>
      <w:r>
        <w:rPr>
          <w:spacing w:val="-5"/>
          <w:w w:val="101"/>
        </w:rPr>
        <w:t>资</w:t>
      </w:r>
      <w:r>
        <w:rPr>
          <w:w w:val="101"/>
        </w:rPr>
        <w:t>本</w:t>
      </w:r>
      <w:r>
        <w:rPr>
          <w:spacing w:val="-5"/>
          <w:w w:val="101"/>
        </w:rPr>
        <w:t>公</w:t>
      </w:r>
      <w:r>
        <w:rPr>
          <w:w w:val="101"/>
        </w:rPr>
        <w:t>积</w:t>
      </w:r>
      <w:r>
        <w:rPr>
          <w:spacing w:val="-5"/>
          <w:w w:val="101"/>
        </w:rPr>
        <w:t>转</w:t>
      </w:r>
      <w:r>
        <w:rPr>
          <w:w w:val="101"/>
        </w:rPr>
        <w:t>增</w:t>
      </w:r>
      <w:r>
        <w:rPr>
          <w:spacing w:val="-5"/>
          <w:w w:val="101"/>
        </w:rPr>
        <w:t>股</w:t>
      </w:r>
      <w:r>
        <w:rPr>
          <w:w w:val="101"/>
        </w:rPr>
        <w:t>本</w:t>
      </w:r>
      <w:r>
        <w:rPr>
          <w:spacing w:val="-5"/>
          <w:w w:val="101"/>
        </w:rPr>
        <w:t>方</w:t>
      </w:r>
      <w:r>
        <w:rPr>
          <w:w w:val="101"/>
        </w:rPr>
        <w:t>案于</w:t>
      </w:r>
      <w:r>
        <w:rPr>
          <w:spacing w:val="-46"/>
        </w:rPr>
        <w:t> </w:t>
      </w:r>
      <w:r>
        <w:rPr>
          <w:rFonts w:ascii="Times New Roman" w:hAnsi="Times New Roman" w:cs="Times New Roman" w:eastAsia="Times New Roman" w:hint="default"/>
          <w:w w:val="101"/>
        </w:rPr>
        <w:t>2019</w:t>
      </w:r>
      <w:r>
        <w:rPr>
          <w:rFonts w:ascii="Times New Roman" w:hAnsi="Times New Roman" w:cs="Times New Roman" w:eastAsia="Times New Roman" w:hint="default"/>
          <w:spacing w:val="-2"/>
        </w:rPr>
        <w:t> </w:t>
      </w:r>
      <w:r>
        <w:rPr>
          <w:w w:val="101"/>
        </w:rPr>
        <w:t>年</w:t>
      </w:r>
      <w:r>
        <w:rPr>
          <w:spacing w:val="-47"/>
        </w:rPr>
        <w:t> </w:t>
      </w:r>
      <w:r>
        <w:rPr>
          <w:rFonts w:ascii="Times New Roman" w:hAnsi="Times New Roman" w:cs="Times New Roman" w:eastAsia="Times New Roman" w:hint="default"/>
          <w:w w:val="101"/>
        </w:rPr>
        <w:t>6</w:t>
      </w:r>
      <w:r>
        <w:rPr>
          <w:rFonts w:ascii="Times New Roman" w:hAnsi="Times New Roman" w:cs="Times New Roman" w:eastAsia="Times New Roman" w:hint="default"/>
          <w:spacing w:val="-2"/>
        </w:rPr>
        <w:t> </w:t>
      </w:r>
      <w:r>
        <w:rPr>
          <w:w w:val="101"/>
        </w:rPr>
        <w:t>月</w:t>
      </w:r>
      <w:r>
        <w:rPr>
          <w:spacing w:val="-52"/>
        </w:rPr>
        <w:t> </w:t>
      </w:r>
      <w:r>
        <w:rPr>
          <w:rFonts w:ascii="Times New Roman" w:hAnsi="Times New Roman" w:cs="Times New Roman" w:eastAsia="Times New Roman" w:hint="default"/>
          <w:w w:val="101"/>
        </w:rPr>
        <w:t>17</w:t>
      </w:r>
      <w:r>
        <w:rPr>
          <w:rFonts w:ascii="Times New Roman" w:hAnsi="Times New Roman" w:cs="Times New Roman" w:eastAsia="Times New Roman" w:hint="default"/>
        </w:rPr>
      </w:r>
    </w:p>
    <w:p>
      <w:pPr>
        <w:pStyle w:val="BodyText"/>
        <w:spacing w:line="240" w:lineRule="auto" w:before="63"/>
        <w:ind w:left="953" w:right="0"/>
        <w:jc w:val="left"/>
      </w:pPr>
      <w:r>
        <w:rPr/>
        <w:t>日实施完毕，根据公司 </w:t>
      </w:r>
      <w:r>
        <w:rPr>
          <w:rFonts w:ascii="Times New Roman" w:hAnsi="Times New Roman" w:cs="Times New Roman" w:eastAsia="Times New Roman" w:hint="default"/>
        </w:rPr>
        <w:t>2017 </w:t>
      </w:r>
      <w:r>
        <w:rPr>
          <w:rFonts w:ascii="Times New Roman" w:hAnsi="Times New Roman" w:cs="Times New Roman" w:eastAsia="Times New Roman" w:hint="default"/>
          <w:spacing w:val="31"/>
        </w:rPr>
        <w:t> </w:t>
      </w:r>
      <w:r>
        <w:rPr>
          <w:spacing w:val="-3"/>
        </w:rPr>
        <w:t>年限制性股票激励计划相关规定，应对限制性股票回购价格及回购注销数量进行相应的调整，</w:t>
      </w:r>
    </w:p>
    <w:p>
      <w:pPr>
        <w:spacing w:after="0" w:line="240" w:lineRule="auto"/>
        <w:jc w:val="left"/>
        <w:sectPr>
          <w:pgSz w:w="11910" w:h="16840"/>
          <w:pgMar w:header="741" w:footer="979" w:top="1060" w:bottom="1160" w:left="180" w:right="0"/>
        </w:sectPr>
      </w:pPr>
    </w:p>
    <w:p>
      <w:pPr>
        <w:spacing w:line="240" w:lineRule="auto" w:before="1"/>
        <w:rPr>
          <w:rFonts w:ascii="宋体" w:hAnsi="宋体" w:cs="宋体" w:eastAsia="宋体" w:hint="default"/>
          <w:sz w:val="26"/>
          <w:szCs w:val="26"/>
        </w:rPr>
      </w:pPr>
    </w:p>
    <w:p>
      <w:pPr>
        <w:pStyle w:val="BodyText"/>
        <w:spacing w:line="240" w:lineRule="auto" w:before="46"/>
        <w:ind w:left="773" w:right="308"/>
        <w:jc w:val="left"/>
      </w:pPr>
      <w:r>
        <w:rPr>
          <w:spacing w:val="-3"/>
        </w:rPr>
        <w:t>同时对部分限制性股票进行回购注销。上述两项事项提交公司 </w:t>
      </w:r>
      <w:r>
        <w:rPr>
          <w:rFonts w:ascii="Times New Roman" w:hAnsi="Times New Roman" w:cs="Times New Roman" w:eastAsia="Times New Roman" w:hint="default"/>
        </w:rPr>
        <w:t>2019  </w:t>
      </w:r>
      <w:r>
        <w:rPr>
          <w:rFonts w:ascii="Times New Roman" w:hAnsi="Times New Roman" w:cs="Times New Roman" w:eastAsia="Times New Roman" w:hint="default"/>
          <w:spacing w:val="21"/>
        </w:rPr>
        <w:t> </w:t>
      </w:r>
      <w:r>
        <w:rPr>
          <w:spacing w:val="-3"/>
        </w:rPr>
        <w:t>年第五次临时股东大会审议通过。经中国证券登记结算</w:t>
      </w:r>
    </w:p>
    <w:p>
      <w:pPr>
        <w:pStyle w:val="BodyText"/>
        <w:spacing w:line="240" w:lineRule="auto" w:before="63"/>
        <w:ind w:left="773" w:right="308"/>
        <w:jc w:val="left"/>
      </w:pPr>
      <w:r>
        <w:rPr>
          <w:spacing w:val="-3"/>
        </w:rPr>
        <w:t>有限责任公司深圳分公司审核确认，公司本次部分限制性股票回购注销事宜已于 </w:t>
      </w:r>
      <w:r>
        <w:rPr>
          <w:rFonts w:ascii="Times New Roman" w:hAnsi="Times New Roman" w:cs="Times New Roman" w:eastAsia="Times New Roman" w:hint="default"/>
        </w:rPr>
        <w:t>2020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8"/>
        </w:rPr>
        <w:t> </w:t>
      </w:r>
      <w:r>
        <w:rPr/>
        <w:t>日办理完成。回购完成后，</w:t>
      </w:r>
    </w:p>
    <w:p>
      <w:pPr>
        <w:pStyle w:val="BodyText"/>
        <w:spacing w:line="338" w:lineRule="auto" w:before="67"/>
        <w:ind w:left="773" w:right="6452"/>
        <w:jc w:val="left"/>
      </w:pPr>
      <w:r>
        <w:rPr/>
        <w:t>公司股份总数由</w:t>
      </w:r>
      <w:r>
        <w:rPr>
          <w:spacing w:val="-51"/>
        </w:rPr>
        <w:t> </w:t>
      </w:r>
      <w:r>
        <w:rPr>
          <w:rFonts w:ascii="Times New Roman" w:hAnsi="Times New Roman" w:cs="Times New Roman" w:eastAsia="Times New Roman" w:hint="default"/>
        </w:rPr>
        <w:t>117,306,000 </w:t>
      </w:r>
      <w:r>
        <w:rPr/>
        <w:t>股减少为</w:t>
      </w:r>
      <w:r>
        <w:rPr>
          <w:spacing w:val="-51"/>
        </w:rPr>
        <w:t> </w:t>
      </w:r>
      <w:r>
        <w:rPr>
          <w:rFonts w:ascii="Times New Roman" w:hAnsi="Times New Roman" w:cs="Times New Roman" w:eastAsia="Times New Roman" w:hint="default"/>
        </w:rPr>
        <w:t>117,190,500</w:t>
      </w:r>
      <w:r>
        <w:rPr>
          <w:rFonts w:ascii="Times New Roman" w:hAnsi="Times New Roman" w:cs="Times New Roman" w:eastAsia="Times New Roman" w:hint="default"/>
          <w:spacing w:val="1"/>
        </w:rPr>
        <w:t> </w:t>
      </w:r>
      <w:r>
        <w:rPr>
          <w:spacing w:val="-5"/>
        </w:rPr>
        <w:t>股。</w:t>
      </w:r>
      <w:r>
        <w:rPr>
          <w:spacing w:val="-5"/>
          <w:w w:val="101"/>
        </w:rPr>
        <w:t> </w:t>
      </w:r>
      <w:r>
        <w:rPr>
          <w:spacing w:val="-3"/>
        </w:rPr>
        <w:t>股份变动的过户情况</w:t>
      </w:r>
    </w:p>
    <w:p>
      <w:pPr>
        <w:pStyle w:val="BodyText"/>
        <w:spacing w:line="316" w:lineRule="auto" w:before="46"/>
        <w:ind w:left="773" w:right="1118"/>
        <w:jc w:val="left"/>
        <w:rPr>
          <w:rFonts w:ascii="Times New Roman" w:hAnsi="Times New Roman" w:cs="Times New Roman" w:eastAsia="Times New Roman" w:hint="default"/>
        </w:rPr>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rFonts w:ascii="Times New Roman" w:hAnsi="Times New Roman" w:cs="Times New Roman" w:eastAsia="Times New Roman" w:hint="default"/>
          <w:spacing w:val="-3"/>
        </w:rPr>
        <w:t>1</w:t>
      </w:r>
      <w:r>
        <w:rPr>
          <w:spacing w:val="-3"/>
        </w:rPr>
        <w:t>、根据股东大会的授权，公司及时在中国证券登记结算公司有限公司深圳分公司办理了限制性股票的预留授予登记工作，</w:t>
      </w:r>
      <w:r>
        <w:rPr>
          <w:spacing w:val="70"/>
        </w:rPr>
        <w:t> </w:t>
      </w:r>
      <w:r>
        <w:rPr>
          <w:spacing w:val="70"/>
        </w:rPr>
      </w:r>
      <w:r>
        <w:rPr/>
        <w:t>限制性股票授予日为</w:t>
      </w:r>
      <w:r>
        <w:rPr>
          <w:spacing w:val="-3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月</w:t>
      </w:r>
      <w:r>
        <w:rPr>
          <w:spacing w:val="-39"/>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spacing w:val="-5"/>
        </w:rPr>
        <w:t>日，授予股份的上市日期为</w:t>
      </w:r>
      <w:r>
        <w:rPr>
          <w:spacing w:val="-3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w:t>
      </w:r>
      <w:r>
        <w:rPr>
          <w:spacing w:val="-39"/>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月</w:t>
      </w:r>
      <w:r>
        <w:rPr>
          <w:spacing w:val="-39"/>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spacing w:val="-4"/>
        </w:rPr>
        <w:t>日。首次授予完成后公司总股本由</w:t>
      </w:r>
      <w:r>
        <w:rPr>
          <w:spacing w:val="-39"/>
        </w:rPr>
        <w:t> </w:t>
      </w:r>
      <w:r>
        <w:rPr>
          <w:rFonts w:ascii="Times New Roman" w:hAnsi="Times New Roman" w:cs="Times New Roman" w:eastAsia="Times New Roman" w:hint="default"/>
        </w:rPr>
        <w:t>83,090,000</w:t>
      </w:r>
    </w:p>
    <w:p>
      <w:pPr>
        <w:pStyle w:val="BodyText"/>
        <w:spacing w:line="240" w:lineRule="auto" w:before="4"/>
        <w:ind w:left="773" w:right="308"/>
        <w:jc w:val="left"/>
      </w:pPr>
      <w:r>
        <w:rPr/>
        <w:t>股变为</w:t>
      </w:r>
      <w:r>
        <w:rPr>
          <w:spacing w:val="-41"/>
        </w:rPr>
        <w:t> </w:t>
      </w:r>
      <w:r>
        <w:rPr>
          <w:rFonts w:ascii="Times New Roman" w:hAnsi="Times New Roman" w:cs="Times New Roman" w:eastAsia="Times New Roman" w:hint="default"/>
        </w:rPr>
        <w:t>83,790,000</w:t>
      </w:r>
      <w:r>
        <w:rPr>
          <w:rFonts w:ascii="Times New Roman" w:hAnsi="Times New Roman" w:cs="Times New Roman" w:eastAsia="Times New Roman" w:hint="default"/>
          <w:spacing w:val="-1"/>
        </w:rPr>
        <w:t> </w:t>
      </w:r>
      <w:r>
        <w:rPr/>
        <w:t>股。</w:t>
      </w:r>
    </w:p>
    <w:p>
      <w:pPr>
        <w:pStyle w:val="BodyText"/>
        <w:spacing w:line="240" w:lineRule="auto" w:before="97"/>
        <w:ind w:left="773" w:right="308"/>
        <w:jc w:val="left"/>
      </w:pPr>
      <w:r>
        <w:rPr>
          <w:rFonts w:ascii="Times New Roman" w:hAnsi="Times New Roman" w:cs="Times New Roman" w:eastAsia="Times New Roman" w:hint="default"/>
          <w:spacing w:val="-3"/>
        </w:rPr>
        <w:t>2</w:t>
      </w:r>
      <w:r>
        <w:rPr>
          <w:spacing w:val="-3"/>
        </w:rPr>
        <w:t>、经中国证券登记结算有限责任公司深圳分公司办理确认，公司</w:t>
      </w:r>
      <w:r>
        <w:rPr>
          <w:spacing w:val="-3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年权益分派方案已经于</w:t>
      </w:r>
      <w:r>
        <w:rPr>
          <w:spacing w:val="-3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2"/>
        </w:rPr>
        <w:t> </w:t>
      </w:r>
      <w:r>
        <w:rPr/>
        <w:t>年</w:t>
      </w:r>
      <w:r>
        <w:rPr>
          <w:spacing w:val="-33"/>
        </w:rPr>
        <w:t> </w:t>
      </w:r>
      <w:r>
        <w:rPr>
          <w:rFonts w:ascii="Times New Roman" w:hAnsi="Times New Roman" w:cs="Times New Roman" w:eastAsia="Times New Roman" w:hint="default"/>
        </w:rPr>
        <w:t>6</w:t>
      </w:r>
      <w:r>
        <w:rPr>
          <w:rFonts w:ascii="Times New Roman" w:hAnsi="Times New Roman" w:cs="Times New Roman" w:eastAsia="Times New Roman" w:hint="default"/>
          <w:spacing w:val="12"/>
        </w:rPr>
        <w:t> </w:t>
      </w:r>
      <w:r>
        <w:rPr/>
        <w:t>月</w:t>
      </w:r>
      <w:r>
        <w:rPr>
          <w:spacing w:val="-33"/>
        </w:rPr>
        <w:t> </w:t>
      </w:r>
      <w:r>
        <w:rPr>
          <w:rFonts w:ascii="Times New Roman" w:hAnsi="Times New Roman" w:cs="Times New Roman" w:eastAsia="Times New Roman" w:hint="default"/>
        </w:rPr>
        <w:t>17</w:t>
      </w:r>
      <w:r>
        <w:rPr>
          <w:rFonts w:ascii="Times New Roman" w:hAnsi="Times New Roman" w:cs="Times New Roman" w:eastAsia="Times New Roman" w:hint="default"/>
          <w:spacing w:val="12"/>
        </w:rPr>
        <w:t> </w:t>
      </w:r>
      <w:r>
        <w:rPr/>
        <w:t>日实施完毕，</w:t>
      </w:r>
    </w:p>
    <w:p>
      <w:pPr>
        <w:pStyle w:val="BodyText"/>
        <w:spacing w:line="321" w:lineRule="auto" w:before="67"/>
        <w:ind w:left="773" w:right="308"/>
        <w:jc w:val="left"/>
      </w:pPr>
      <w:r>
        <w:rPr/>
        <w:t>公司总股本增加至</w:t>
      </w:r>
      <w:r>
        <w:rPr>
          <w:spacing w:val="-47"/>
        </w:rPr>
        <w:t> </w:t>
      </w:r>
      <w:r>
        <w:rPr>
          <w:rFonts w:ascii="Times New Roman" w:hAnsi="Times New Roman" w:cs="Times New Roman" w:eastAsia="Times New Roman" w:hint="default"/>
        </w:rPr>
        <w:t>117,306,000</w:t>
      </w:r>
      <w:r>
        <w:rPr>
          <w:rFonts w:ascii="Times New Roman" w:hAnsi="Times New Roman" w:cs="Times New Roman" w:eastAsia="Times New Roman" w:hint="default"/>
          <w:spacing w:val="-6"/>
        </w:rPr>
        <w:t> </w:t>
      </w:r>
      <w:r>
        <w:rPr/>
        <w:t>股。</w:t>
      </w:r>
      <w:r>
        <w:rPr>
          <w:spacing w:val="-86"/>
        </w:rPr>
        <w:t> </w:t>
      </w:r>
      <w:r>
        <w:rPr>
          <w:rFonts w:ascii="Times New Roman" w:hAnsi="Times New Roman" w:cs="Times New Roman" w:eastAsia="Times New Roman" w:hint="default"/>
          <w:spacing w:val="-3"/>
        </w:rPr>
        <w:t>3</w:t>
      </w:r>
      <w:r>
        <w:rPr>
          <w:spacing w:val="-3"/>
        </w:rPr>
        <w:t>、根据股东大会的授权，公司及时在中国证券登记结算公司有限公司深圳分公司办理了限制性股票的回购注销工作。回购</w:t>
      </w:r>
      <w:r>
        <w:rPr>
          <w:spacing w:val="70"/>
        </w:rPr>
        <w:t> </w:t>
      </w:r>
      <w:r>
        <w:rPr>
          <w:spacing w:val="70"/>
        </w:rPr>
      </w:r>
      <w:r>
        <w:rPr/>
        <w:t>完成后，公司股份总数由</w:t>
      </w:r>
      <w:r>
        <w:rPr>
          <w:spacing w:val="-50"/>
        </w:rPr>
        <w:t> </w:t>
      </w:r>
      <w:r>
        <w:rPr>
          <w:rFonts w:ascii="Times New Roman" w:hAnsi="Times New Roman" w:cs="Times New Roman" w:eastAsia="Times New Roman" w:hint="default"/>
        </w:rPr>
        <w:t>117,306,000 </w:t>
      </w:r>
      <w:r>
        <w:rPr/>
        <w:t>股减少为</w:t>
      </w:r>
      <w:r>
        <w:rPr>
          <w:spacing w:val="-51"/>
        </w:rPr>
        <w:t> </w:t>
      </w:r>
      <w:r>
        <w:rPr>
          <w:rFonts w:ascii="Times New Roman" w:hAnsi="Times New Roman" w:cs="Times New Roman" w:eastAsia="Times New Roman" w:hint="default"/>
        </w:rPr>
        <w:t>117,190,500 </w:t>
      </w:r>
      <w:r>
        <w:rPr>
          <w:spacing w:val="-5"/>
        </w:rPr>
        <w:t>股。</w:t>
      </w:r>
      <w:r>
        <w:rPr/>
      </w:r>
    </w:p>
    <w:p>
      <w:pPr>
        <w:spacing w:line="240" w:lineRule="auto" w:before="0"/>
        <w:rPr>
          <w:rFonts w:ascii="宋体" w:hAnsi="宋体" w:cs="宋体" w:eastAsia="宋体" w:hint="default"/>
          <w:sz w:val="18"/>
          <w:szCs w:val="18"/>
        </w:rPr>
      </w:pPr>
    </w:p>
    <w:p>
      <w:pPr>
        <w:pStyle w:val="BodyText"/>
        <w:spacing w:line="240" w:lineRule="auto" w:before="149"/>
        <w:ind w:left="773" w:right="308"/>
        <w:jc w:val="left"/>
      </w:pPr>
      <w:r>
        <w:rPr>
          <w:spacing w:val="-3"/>
        </w:rPr>
        <w:t>股份回购的实施进展情况</w:t>
      </w:r>
    </w:p>
    <w:p>
      <w:pPr>
        <w:pStyle w:val="BodyText"/>
        <w:spacing w:line="338" w:lineRule="auto" w:before="119"/>
        <w:ind w:left="773" w:right="645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采用集中竞价方式减持回购股份的实施进展情况</w:t>
      </w:r>
    </w:p>
    <w:p>
      <w:pPr>
        <w:pStyle w:val="BodyText"/>
        <w:spacing w:line="343" w:lineRule="auto" w:before="41"/>
        <w:ind w:left="773" w:right="3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股份变动对最近一年和最近一期基本每股收益和稀释每股收益、归属于公司普通股股东的每股净资产等财务指标的影响</w:t>
      </w:r>
    </w:p>
    <w:p>
      <w:pPr>
        <w:pStyle w:val="BodyText"/>
        <w:spacing w:line="240" w:lineRule="auto" w:before="38"/>
        <w:ind w:left="773" w:right="3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1292"/>
        <w:gridCol w:w="1988"/>
        <w:gridCol w:w="2127"/>
        <w:gridCol w:w="1983"/>
        <w:gridCol w:w="3549"/>
      </w:tblGrid>
      <w:tr>
        <w:trPr>
          <w:trHeight w:val="350" w:hRule="exact"/>
        </w:trPr>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9" w:right="0"/>
              <w:jc w:val="center"/>
              <w:rPr>
                <w:rFonts w:ascii="宋体" w:hAnsi="宋体" w:cs="宋体" w:eastAsia="宋体" w:hint="default"/>
                <w:sz w:val="20"/>
                <w:szCs w:val="20"/>
              </w:rPr>
            </w:pPr>
            <w:r>
              <w:rPr>
                <w:rFonts w:ascii="宋体" w:hAnsi="宋体" w:cs="宋体" w:eastAsia="宋体" w:hint="default"/>
                <w:sz w:val="20"/>
                <w:szCs w:val="20"/>
              </w:rPr>
              <w:t>年份</w:t>
            </w:r>
          </w:p>
        </w:tc>
        <w:tc>
          <w:tcPr>
            <w:tcW w:w="1988"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455" w:right="0"/>
              <w:jc w:val="left"/>
              <w:rPr>
                <w:rFonts w:ascii="宋体" w:hAnsi="宋体" w:cs="宋体" w:eastAsia="宋体" w:hint="default"/>
                <w:sz w:val="20"/>
                <w:szCs w:val="20"/>
              </w:rPr>
            </w:pPr>
            <w:r>
              <w:rPr>
                <w:rFonts w:ascii="宋体" w:hAnsi="宋体" w:cs="宋体" w:eastAsia="宋体" w:hint="default"/>
                <w:sz w:val="20"/>
                <w:szCs w:val="20"/>
              </w:rPr>
              <w:t>基本每股收益</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383" w:right="0"/>
              <w:jc w:val="left"/>
              <w:rPr>
                <w:rFonts w:ascii="宋体" w:hAnsi="宋体" w:cs="宋体" w:eastAsia="宋体" w:hint="default"/>
                <w:sz w:val="20"/>
                <w:szCs w:val="20"/>
              </w:rPr>
            </w:pPr>
            <w:r>
              <w:rPr>
                <w:rFonts w:ascii="宋体" w:hAnsi="宋体" w:cs="宋体" w:eastAsia="宋体" w:hint="default"/>
                <w:sz w:val="20"/>
                <w:szCs w:val="20"/>
              </w:rPr>
              <w:t>稀释每股收益</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63" w:right="0"/>
              <w:jc w:val="left"/>
              <w:rPr>
                <w:rFonts w:ascii="宋体" w:hAnsi="宋体" w:cs="宋体" w:eastAsia="宋体" w:hint="default"/>
                <w:sz w:val="20"/>
                <w:szCs w:val="20"/>
              </w:rPr>
            </w:pPr>
            <w:r>
              <w:rPr>
                <w:rFonts w:ascii="宋体" w:hAnsi="宋体" w:cs="宋体" w:eastAsia="宋体" w:hint="default"/>
                <w:sz w:val="20"/>
                <w:szCs w:val="20"/>
              </w:rPr>
              <w:t>归属于公司普通股股东的每股净资产</w:t>
            </w:r>
          </w:p>
        </w:tc>
      </w:tr>
      <w:tr>
        <w:trPr>
          <w:trHeight w:val="346" w:hRule="exact"/>
        </w:trPr>
        <w:tc>
          <w:tcPr>
            <w:tcW w:w="1292"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4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2019</w:t>
            </w:r>
            <w:r>
              <w:rPr>
                <w:rFonts w:ascii="宋体" w:hAnsi="宋体" w:cs="宋体" w:eastAsia="宋体" w:hint="default"/>
                <w:sz w:val="20"/>
                <w:szCs w:val="20"/>
              </w:rPr>
              <w:t>年度</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9" w:right="0"/>
              <w:jc w:val="left"/>
              <w:rPr>
                <w:rFonts w:ascii="宋体" w:hAnsi="宋体" w:cs="宋体" w:eastAsia="宋体" w:hint="default"/>
                <w:sz w:val="20"/>
                <w:szCs w:val="20"/>
              </w:rPr>
            </w:pPr>
            <w:r>
              <w:rPr>
                <w:rFonts w:ascii="宋体" w:hAnsi="宋体" w:cs="宋体" w:eastAsia="宋体" w:hint="default"/>
                <w:sz w:val="20"/>
                <w:szCs w:val="20"/>
              </w:rPr>
              <w:t>变动前</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5"/>
              <w:jc w:val="right"/>
              <w:rPr>
                <w:rFonts w:ascii="Times New Roman" w:hAnsi="Times New Roman" w:cs="Times New Roman" w:eastAsia="Times New Roman" w:hint="default"/>
                <w:sz w:val="20"/>
                <w:szCs w:val="20"/>
              </w:rPr>
            </w:pPr>
            <w:r>
              <w:rPr>
                <w:rFonts w:ascii="Times New Roman"/>
                <w:sz w:val="20"/>
              </w:rPr>
              <w:t>0.51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5"/>
              <w:jc w:val="right"/>
              <w:rPr>
                <w:rFonts w:ascii="Times New Roman" w:hAnsi="Times New Roman" w:cs="Times New Roman" w:eastAsia="Times New Roman" w:hint="default"/>
                <w:sz w:val="20"/>
                <w:szCs w:val="20"/>
              </w:rPr>
            </w:pPr>
            <w:r>
              <w:rPr>
                <w:rFonts w:ascii="Times New Roman"/>
                <w:sz w:val="20"/>
              </w:rPr>
              <w:t>0.51</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7.44</w:t>
            </w:r>
          </w:p>
        </w:tc>
      </w:tr>
      <w:tr>
        <w:trPr>
          <w:trHeight w:val="346" w:hRule="exact"/>
        </w:trPr>
        <w:tc>
          <w:tcPr>
            <w:tcW w:w="1292" w:type="dxa"/>
            <w:vMerge/>
            <w:tcBorders>
              <w:left w:val="single" w:sz="6" w:space="0" w:color="000000"/>
              <w:right w:val="single" w:sz="6" w:space="0" w:color="000000"/>
            </w:tcBorders>
          </w:tcPr>
          <w:p>
            <w:pP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9" w:right="0"/>
              <w:jc w:val="left"/>
              <w:rPr>
                <w:rFonts w:ascii="宋体" w:hAnsi="宋体" w:cs="宋体" w:eastAsia="宋体" w:hint="default"/>
                <w:sz w:val="20"/>
                <w:szCs w:val="20"/>
              </w:rPr>
            </w:pPr>
            <w:r>
              <w:rPr>
                <w:rFonts w:ascii="宋体" w:hAnsi="宋体" w:cs="宋体" w:eastAsia="宋体" w:hint="default"/>
                <w:sz w:val="20"/>
                <w:szCs w:val="20"/>
              </w:rPr>
              <w:t>变动后</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5"/>
              <w:jc w:val="right"/>
              <w:rPr>
                <w:rFonts w:ascii="Times New Roman" w:hAnsi="Times New Roman" w:cs="Times New Roman" w:eastAsia="Times New Roman" w:hint="default"/>
                <w:sz w:val="20"/>
                <w:szCs w:val="20"/>
              </w:rPr>
            </w:pPr>
            <w:r>
              <w:rPr>
                <w:rFonts w:ascii="Times New Roman"/>
                <w:sz w:val="20"/>
              </w:rPr>
              <w:t>0.36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5"/>
              <w:jc w:val="right"/>
              <w:rPr>
                <w:rFonts w:ascii="Times New Roman" w:hAnsi="Times New Roman" w:cs="Times New Roman" w:eastAsia="Times New Roman" w:hint="default"/>
                <w:sz w:val="20"/>
                <w:szCs w:val="20"/>
              </w:rPr>
            </w:pPr>
            <w:r>
              <w:rPr>
                <w:rFonts w:ascii="Times New Roman"/>
                <w:sz w:val="20"/>
              </w:rPr>
              <w:t>0.36</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5.27</w:t>
            </w:r>
          </w:p>
        </w:tc>
      </w:tr>
      <w:tr>
        <w:trPr>
          <w:trHeight w:val="351" w:hRule="exact"/>
        </w:trPr>
        <w:tc>
          <w:tcPr>
            <w:tcW w:w="1292" w:type="dxa"/>
            <w:vMerge/>
            <w:tcBorders>
              <w:left w:val="single" w:sz="6" w:space="0" w:color="000000"/>
              <w:bottom w:val="single" w:sz="6" w:space="0" w:color="000000"/>
              <w:right w:val="single" w:sz="6" w:space="0" w:color="000000"/>
            </w:tcBorders>
          </w:tcPr>
          <w:p>
            <w:pP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9" w:right="0"/>
              <w:jc w:val="left"/>
              <w:rPr>
                <w:rFonts w:ascii="宋体" w:hAnsi="宋体" w:cs="宋体" w:eastAsia="宋体" w:hint="default"/>
                <w:sz w:val="20"/>
                <w:szCs w:val="20"/>
              </w:rPr>
            </w:pPr>
            <w:r>
              <w:rPr>
                <w:rFonts w:ascii="宋体" w:hAnsi="宋体" w:cs="宋体" w:eastAsia="宋体" w:hint="default"/>
                <w:sz w:val="20"/>
                <w:szCs w:val="20"/>
              </w:rPr>
              <w:t>变动比例</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5"/>
              <w:jc w:val="right"/>
              <w:rPr>
                <w:rFonts w:ascii="Times New Roman" w:hAnsi="Times New Roman" w:cs="Times New Roman" w:eastAsia="Times New Roman" w:hint="default"/>
                <w:sz w:val="20"/>
                <w:szCs w:val="20"/>
              </w:rPr>
            </w:pPr>
            <w:r>
              <w:rPr>
                <w:rFonts w:ascii="Times New Roman"/>
                <w:spacing w:val="-1"/>
                <w:sz w:val="20"/>
              </w:rPr>
              <w:t>-28.85%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5"/>
              <w:jc w:val="right"/>
              <w:rPr>
                <w:rFonts w:ascii="Times New Roman" w:hAnsi="Times New Roman" w:cs="Times New Roman" w:eastAsia="Times New Roman" w:hint="default"/>
                <w:sz w:val="20"/>
                <w:szCs w:val="20"/>
              </w:rPr>
            </w:pPr>
            <w:r>
              <w:rPr>
                <w:rFonts w:ascii="Times New Roman"/>
                <w:spacing w:val="-1"/>
                <w:sz w:val="20"/>
              </w:rPr>
              <w:t>-28.59%</w:t>
            </w:r>
          </w:p>
        </w:tc>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pacing w:val="-1"/>
                <w:sz w:val="20"/>
              </w:rPr>
              <w:t>-29.17%</w:t>
            </w:r>
          </w:p>
        </w:tc>
      </w:tr>
    </w:tbl>
    <w:p>
      <w:pPr>
        <w:pStyle w:val="BodyText"/>
        <w:spacing w:line="240" w:lineRule="auto" w:before="53"/>
        <w:ind w:left="773" w:right="308"/>
        <w:jc w:val="left"/>
      </w:pPr>
      <w:r>
        <w:rPr>
          <w:spacing w:val="-3"/>
        </w:rPr>
        <w:t>公司认为必要或证券监管机构要求披露的其他内容</w:t>
      </w:r>
    </w:p>
    <w:p>
      <w:pPr>
        <w:pStyle w:val="BodyText"/>
        <w:spacing w:line="240" w:lineRule="auto" w:before="115"/>
        <w:ind w:left="773" w:right="3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4"/>
        <w:spacing w:line="240" w:lineRule="auto"/>
        <w:ind w:left="773" w:right="308"/>
        <w:jc w:val="left"/>
        <w:rPr>
          <w:b w:val="0"/>
          <w:bCs w:val="0"/>
        </w:rPr>
      </w:pPr>
      <w:bookmarkStart w:name="2、限售股份变动情况" w:id="108"/>
      <w:bookmarkEnd w:id="108"/>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773" w:right="30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left="0" w:right="1122"/>
        <w:jc w:val="right"/>
      </w:pPr>
      <w:r>
        <w:rPr>
          <w:spacing w:val="-2"/>
        </w:rPr>
        <w:t>单位：股</w:t>
      </w:r>
    </w:p>
    <w:p>
      <w:pPr>
        <w:spacing w:line="240" w:lineRule="auto" w:before="8"/>
        <w:rPr>
          <w:rFonts w:ascii="宋体" w:hAnsi="宋体" w:cs="宋体" w:eastAsia="宋体" w:hint="default"/>
          <w:sz w:val="7"/>
          <w:szCs w:val="7"/>
        </w:rPr>
      </w:pPr>
    </w:p>
    <w:tbl>
      <w:tblPr>
        <w:tblW w:w="0" w:type="auto"/>
        <w:jc w:val="left"/>
        <w:tblInd w:w="768" w:type="dxa"/>
        <w:tblLayout w:type="fixed"/>
        <w:tblCellMar>
          <w:top w:w="0" w:type="dxa"/>
          <w:left w:w="0" w:type="dxa"/>
          <w:bottom w:w="0" w:type="dxa"/>
          <w:right w:w="0" w:type="dxa"/>
        </w:tblCellMar>
        <w:tblLook w:val="01E0"/>
      </w:tblPr>
      <w:tblGrid>
        <w:gridCol w:w="1205"/>
        <w:gridCol w:w="1488"/>
        <w:gridCol w:w="1489"/>
        <w:gridCol w:w="1488"/>
        <w:gridCol w:w="1489"/>
        <w:gridCol w:w="1205"/>
        <w:gridCol w:w="1205"/>
      </w:tblGrid>
      <w:tr>
        <w:trPr>
          <w:trHeight w:val="715" w:hRule="exact"/>
        </w:trPr>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648" w:right="104" w:hanging="539"/>
              <w:jc w:val="left"/>
              <w:rPr>
                <w:rFonts w:ascii="宋体" w:hAnsi="宋体" w:cs="宋体" w:eastAsia="宋体" w:hint="default"/>
                <w:sz w:val="18"/>
                <w:szCs w:val="18"/>
              </w:rPr>
            </w:pPr>
            <w:r>
              <w:rPr>
                <w:rFonts w:ascii="宋体" w:hAnsi="宋体" w:cs="宋体" w:eastAsia="宋体" w:hint="default"/>
                <w:spacing w:val="-3"/>
                <w:sz w:val="18"/>
                <w:szCs w:val="18"/>
              </w:rPr>
              <w:t>本期增加限售股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648" w:right="103" w:hanging="538"/>
              <w:jc w:val="left"/>
              <w:rPr>
                <w:rFonts w:ascii="宋体" w:hAnsi="宋体" w:cs="宋体" w:eastAsia="宋体" w:hint="default"/>
                <w:sz w:val="18"/>
                <w:szCs w:val="18"/>
              </w:rPr>
            </w:pPr>
            <w:r>
              <w:rPr>
                <w:rFonts w:ascii="宋体" w:hAnsi="宋体" w:cs="宋体" w:eastAsia="宋体" w:hint="default"/>
                <w:spacing w:val="-3"/>
                <w:sz w:val="18"/>
                <w:szCs w:val="18"/>
              </w:rPr>
              <w:t>本期解除限售股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数</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508" w:right="50" w:hanging="452"/>
              <w:jc w:val="left"/>
              <w:rPr>
                <w:rFonts w:ascii="宋体" w:hAnsi="宋体" w:cs="宋体" w:eastAsia="宋体" w:hint="default"/>
                <w:sz w:val="18"/>
                <w:szCs w:val="18"/>
              </w:rPr>
            </w:pPr>
            <w:r>
              <w:rPr>
                <w:rFonts w:ascii="宋体" w:hAnsi="宋体" w:cs="宋体" w:eastAsia="宋体" w:hint="default"/>
                <w:spacing w:val="-2"/>
                <w:sz w:val="18"/>
                <w:szCs w:val="18"/>
              </w:rPr>
              <w:t>拟解除限售日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期</w:t>
            </w:r>
          </w:p>
        </w:tc>
      </w:tr>
      <w:tr>
        <w:trPr>
          <w:trHeight w:val="1028"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84"/>
              <w:jc w:val="left"/>
              <w:rPr>
                <w:rFonts w:ascii="宋体" w:hAnsi="宋体" w:cs="宋体" w:eastAsia="宋体" w:hint="default"/>
                <w:sz w:val="18"/>
                <w:szCs w:val="18"/>
              </w:rPr>
            </w:pPr>
            <w:r>
              <w:rPr>
                <w:rFonts w:ascii="宋体" w:hAnsi="宋体" w:cs="宋体" w:eastAsia="宋体" w:hint="default"/>
                <w:spacing w:val="-2"/>
                <w:sz w:val="18"/>
                <w:szCs w:val="18"/>
              </w:rPr>
              <w:t>杭州磐源投资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有限公司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45,030,000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18,012,000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63,042,000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60"/>
              <w:jc w:val="center"/>
              <w:rPr>
                <w:rFonts w:ascii="宋体" w:hAnsi="宋体" w:cs="宋体" w:eastAsia="宋体" w:hint="default"/>
                <w:sz w:val="18"/>
                <w:szCs w:val="18"/>
              </w:rPr>
            </w:pPr>
            <w:r>
              <w:rPr>
                <w:rFonts w:ascii="宋体" w:hAnsi="宋体" w:cs="宋体" w:eastAsia="宋体" w:hint="default"/>
                <w:sz w:val="18"/>
                <w:szCs w:val="18"/>
              </w:rPr>
              <w:t>首发前限售股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10</w:t>
            </w:r>
          </w:p>
          <w:p>
            <w:pPr>
              <w:pStyle w:val="TableParagraph"/>
              <w:spacing w:line="304" w:lineRule="auto" w:before="58"/>
              <w:ind w:left="23" w:right="1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日解除限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售</w:t>
            </w:r>
          </w:p>
        </w:tc>
      </w:tr>
      <w:tr>
        <w:trPr>
          <w:trHeight w:val="1023"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4" w:right="84"/>
              <w:jc w:val="left"/>
              <w:rPr>
                <w:rFonts w:ascii="宋体" w:hAnsi="宋体" w:cs="宋体" w:eastAsia="宋体" w:hint="default"/>
                <w:sz w:val="18"/>
                <w:szCs w:val="18"/>
              </w:rPr>
            </w:pPr>
            <w:r>
              <w:rPr>
                <w:rFonts w:ascii="宋体" w:hAnsi="宋体" w:cs="宋体" w:eastAsia="宋体" w:hint="default"/>
                <w:spacing w:val="-2"/>
                <w:sz w:val="18"/>
                <w:szCs w:val="18"/>
              </w:rPr>
              <w:t>杭州磐鸿投资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管理合伙企业</w:t>
            </w:r>
          </w:p>
          <w:p>
            <w:pPr>
              <w:pStyle w:val="TableParagraph"/>
              <w:spacing w:line="240" w:lineRule="auto" w:before="27"/>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5,700,000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2,280,000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7,980,000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60"/>
              <w:jc w:val="center"/>
              <w:rPr>
                <w:rFonts w:ascii="宋体" w:hAnsi="宋体" w:cs="宋体" w:eastAsia="宋体" w:hint="default"/>
                <w:sz w:val="18"/>
                <w:szCs w:val="18"/>
              </w:rPr>
            </w:pPr>
            <w:r>
              <w:rPr>
                <w:rFonts w:ascii="宋体" w:hAnsi="宋体" w:cs="宋体" w:eastAsia="宋体" w:hint="default"/>
                <w:sz w:val="18"/>
                <w:szCs w:val="18"/>
              </w:rPr>
              <w:t>首发前限售股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10</w:t>
            </w:r>
          </w:p>
          <w:p>
            <w:pPr>
              <w:pStyle w:val="TableParagraph"/>
              <w:spacing w:line="304" w:lineRule="auto" w:before="58"/>
              <w:ind w:left="23" w:right="1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日解除限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售</w:t>
            </w:r>
          </w:p>
        </w:tc>
      </w:tr>
      <w:tr>
        <w:trPr>
          <w:trHeight w:val="989"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姚建民</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17"/>
              <w:jc w:val="right"/>
              <w:rPr>
                <w:rFonts w:ascii="Times New Roman" w:hAnsi="Times New Roman" w:cs="Times New Roman" w:eastAsia="Times New Roman" w:hint="default"/>
                <w:sz w:val="18"/>
                <w:szCs w:val="18"/>
              </w:rPr>
            </w:pPr>
            <w:r>
              <w:rPr>
                <w:rFonts w:ascii="Times New Roman"/>
                <w:spacing w:val="-1"/>
                <w:sz w:val="18"/>
              </w:rPr>
              <w:t>600,000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17"/>
              <w:jc w:val="right"/>
              <w:rPr>
                <w:rFonts w:ascii="Times New Roman" w:hAnsi="Times New Roman" w:cs="Times New Roman" w:eastAsia="Times New Roman" w:hint="default"/>
                <w:sz w:val="18"/>
                <w:szCs w:val="18"/>
              </w:rPr>
            </w:pPr>
            <w:r>
              <w:rPr>
                <w:rFonts w:ascii="Times New Roman"/>
                <w:spacing w:val="-1"/>
                <w:sz w:val="18"/>
              </w:rPr>
              <w:t>180,000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17"/>
              <w:jc w:val="right"/>
              <w:rPr>
                <w:rFonts w:ascii="Times New Roman" w:hAnsi="Times New Roman" w:cs="Times New Roman" w:eastAsia="Times New Roman" w:hint="default"/>
                <w:sz w:val="18"/>
                <w:szCs w:val="18"/>
              </w:rPr>
            </w:pPr>
            <w:r>
              <w:rPr>
                <w:rFonts w:ascii="Times New Roman"/>
                <w:spacing w:val="-1"/>
                <w:sz w:val="18"/>
              </w:rPr>
              <w:t>150,000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right="17"/>
              <w:jc w:val="right"/>
              <w:rPr>
                <w:rFonts w:ascii="Times New Roman" w:hAnsi="Times New Roman" w:cs="Times New Roman" w:eastAsia="Times New Roman" w:hint="default"/>
                <w:sz w:val="18"/>
                <w:szCs w:val="18"/>
              </w:rPr>
            </w:pPr>
            <w:r>
              <w:rPr>
                <w:rFonts w:ascii="Times New Roman"/>
                <w:spacing w:val="-1"/>
                <w:sz w:val="18"/>
              </w:rPr>
              <w:t>630,000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316" w:lineRule="auto"/>
              <w:ind w:left="23" w:right="84"/>
              <w:jc w:val="left"/>
              <w:rPr>
                <w:rFonts w:ascii="宋体" w:hAnsi="宋体" w:cs="宋体" w:eastAsia="宋体" w:hint="default"/>
                <w:sz w:val="18"/>
                <w:szCs w:val="18"/>
              </w:rPr>
            </w:pPr>
            <w:r>
              <w:rPr>
                <w:rFonts w:ascii="宋体" w:hAnsi="宋体" w:cs="宋体" w:eastAsia="宋体" w:hint="default"/>
                <w:spacing w:val="-2"/>
                <w:sz w:val="18"/>
                <w:szCs w:val="18"/>
              </w:rPr>
              <w:t>股权激励限售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8"/>
              <w:ind w:left="23" w:right="17"/>
              <w:jc w:val="left"/>
              <w:rPr>
                <w:rFonts w:ascii="宋体" w:hAnsi="宋体" w:cs="宋体" w:eastAsia="宋体" w:hint="default"/>
                <w:sz w:val="18"/>
                <w:szCs w:val="18"/>
              </w:rPr>
            </w:pPr>
            <w:r>
              <w:rPr>
                <w:rFonts w:ascii="宋体" w:hAnsi="宋体" w:cs="宋体" w:eastAsia="宋体" w:hint="default"/>
                <w:sz w:val="18"/>
                <w:szCs w:val="18"/>
              </w:rPr>
              <w:t>自授予日起满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个月，</w:t>
            </w:r>
            <w:r>
              <w:rPr>
                <w:rFonts w:ascii="Times New Roman" w:hAnsi="Times New Roman" w:cs="Times New Roman" w:eastAsia="Times New Roman" w:hint="default"/>
                <w:spacing w:val="-5"/>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r>
              <w:rPr>
                <w:rFonts w:ascii="宋体" w:hAnsi="宋体" w:cs="宋体" w:eastAsia="宋体" w:hint="default"/>
                <w:spacing w:val="-88"/>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r>
    </w:tbl>
    <w:p>
      <w:pPr>
        <w:spacing w:after="0" w:line="307" w:lineRule="auto"/>
        <w:jc w:val="left"/>
        <w:rPr>
          <w:rFonts w:ascii="宋体" w:hAnsi="宋体" w:cs="宋体" w:eastAsia="宋体" w:hint="default"/>
          <w:sz w:val="18"/>
          <w:szCs w:val="18"/>
        </w:rPr>
        <w:sectPr>
          <w:pgSz w:w="11910" w:h="16840"/>
          <w:pgMar w:header="741" w:footer="979" w:top="1060" w:bottom="1160" w:left="36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5"/>
        <w:gridCol w:w="1488"/>
        <w:gridCol w:w="1489"/>
        <w:gridCol w:w="1488"/>
        <w:gridCol w:w="1489"/>
        <w:gridCol w:w="1205"/>
        <w:gridCol w:w="1205"/>
      </w:tblGrid>
      <w:tr>
        <w:trPr>
          <w:trHeight w:val="4417" w:hRule="exact"/>
        </w:trPr>
        <w:tc>
          <w:tcPr>
            <w:tcW w:w="1205"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0"/>
              <w:ind w:left="23" w:right="41"/>
              <w:jc w:val="both"/>
              <w:rPr>
                <w:rFonts w:ascii="宋体" w:hAnsi="宋体" w:cs="宋体" w:eastAsia="宋体" w:hint="default"/>
                <w:sz w:val="18"/>
                <w:szCs w:val="18"/>
              </w:rPr>
            </w:pP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个月激励对</w:t>
            </w:r>
            <w:r>
              <w:rPr>
                <w:rFonts w:ascii="宋体" w:hAnsi="宋体" w:cs="宋体" w:eastAsia="宋体" w:hint="default"/>
                <w:w w:val="101"/>
                <w:sz w:val="18"/>
                <w:szCs w:val="18"/>
              </w:rPr>
              <w:t> </w:t>
            </w:r>
            <w:r>
              <w:rPr>
                <w:rFonts w:ascii="宋体" w:hAnsi="宋体" w:cs="宋体" w:eastAsia="宋体" w:hint="default"/>
                <w:sz w:val="18"/>
                <w:szCs w:val="18"/>
              </w:rPr>
              <w:t>象应在可解锁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日内按</w:t>
            </w:r>
            <w:r>
              <w:rPr>
                <w:rFonts w:ascii="宋体" w:hAnsi="宋体" w:cs="宋体" w:eastAsia="宋体" w:hint="default"/>
                <w:spacing w:val="-39"/>
                <w:sz w:val="18"/>
                <w:szCs w:val="18"/>
              </w:rPr>
              <w:t> </w:t>
            </w:r>
            <w:r>
              <w:rPr>
                <w:rFonts w:ascii="Times New Roman" w:hAnsi="Times New Roman" w:cs="Times New Roman" w:eastAsia="Times New Roman" w:hint="default"/>
                <w:spacing w:val="-3"/>
                <w:sz w:val="18"/>
                <w:szCs w:val="18"/>
              </w:rPr>
              <w:t>25%</w:t>
            </w:r>
            <w:r>
              <w:rPr>
                <w:rFonts w:ascii="宋体" w:hAnsi="宋体" w:cs="宋体" w:eastAsia="宋体" w:hint="default"/>
                <w:spacing w:val="-3"/>
                <w:sz w:val="18"/>
                <w:szCs w:val="18"/>
              </w:rPr>
              <w:t>、</w:t>
            </w:r>
            <w:r>
              <w:rPr>
                <w:rFonts w:ascii="宋体" w:hAnsi="宋体" w:cs="宋体" w:eastAsia="宋体" w:hint="default"/>
                <w:spacing w:val="-82"/>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p>
            <w:pPr>
              <w:pStyle w:val="TableParagraph"/>
              <w:spacing w:line="314" w:lineRule="auto" w:before="7"/>
              <w:ind w:left="23" w:right="84"/>
              <w:jc w:val="both"/>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的解锁比</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例根据公司经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审计业绩情况</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和个人绩效考</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核情况分期解</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锁。详见公司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披露于巨潮资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讯网的《</w:t>
            </w:r>
            <w:r>
              <w:rPr>
                <w:rFonts w:ascii="Times New Roman" w:hAnsi="Times New Roman" w:cs="Times New Roman" w:eastAsia="Times New Roman" w:hint="default"/>
                <w:spacing w:val="-2"/>
                <w:sz w:val="18"/>
                <w:szCs w:val="18"/>
              </w:rPr>
              <w:t>2017</w:t>
            </w:r>
            <w:r>
              <w:rPr>
                <w:rFonts w:ascii="Times New Roman" w:hAnsi="Times New Roman" w:cs="Times New Roman" w:eastAsia="Times New Roman" w:hint="default"/>
                <w:spacing w:val="-26"/>
                <w:sz w:val="18"/>
                <w:szCs w:val="18"/>
              </w:rPr>
              <w:t> </w:t>
            </w:r>
            <w:r>
              <w:rPr>
                <w:rFonts w:ascii="Times New Roman" w:hAnsi="Times New Roman" w:cs="Times New Roman" w:eastAsia="Times New Roman" w:hint="default"/>
                <w:spacing w:val="-26"/>
                <w:sz w:val="18"/>
                <w:szCs w:val="18"/>
              </w:rPr>
            </w:r>
            <w:r>
              <w:rPr>
                <w:rFonts w:ascii="宋体" w:hAnsi="宋体" w:cs="宋体" w:eastAsia="宋体" w:hint="default"/>
                <w:spacing w:val="-2"/>
                <w:sz w:val="18"/>
                <w:szCs w:val="18"/>
              </w:rPr>
              <w:t>年限制性股票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7"/>
                <w:w w:val="101"/>
                <w:sz w:val="18"/>
                <w:szCs w:val="18"/>
              </w:rPr>
              <w:t>激励计划》。</w:t>
            </w:r>
            <w:r>
              <w:rPr>
                <w:rFonts w:ascii="宋体" w:hAnsi="宋体" w:cs="宋体" w:eastAsia="宋体" w:hint="default"/>
                <w:spacing w:val="-17"/>
                <w:sz w:val="18"/>
                <w:szCs w:val="18"/>
              </w:rPr>
            </w:r>
          </w:p>
        </w:tc>
      </w:tr>
      <w:tr>
        <w:trPr>
          <w:trHeight w:val="5397"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任洪明</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7"/>
              <w:jc w:val="right"/>
              <w:rPr>
                <w:rFonts w:ascii="Times New Roman" w:hAnsi="Times New Roman" w:cs="Times New Roman" w:eastAsia="Times New Roman" w:hint="default"/>
                <w:sz w:val="18"/>
                <w:szCs w:val="18"/>
              </w:rPr>
            </w:pPr>
            <w:r>
              <w:rPr>
                <w:rFonts w:ascii="Times New Roman"/>
                <w:spacing w:val="-1"/>
                <w:sz w:val="18"/>
              </w:rPr>
              <w:t>600,000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7"/>
              <w:jc w:val="right"/>
              <w:rPr>
                <w:rFonts w:ascii="Times New Roman" w:hAnsi="Times New Roman" w:cs="Times New Roman" w:eastAsia="Times New Roman" w:hint="default"/>
                <w:sz w:val="18"/>
                <w:szCs w:val="18"/>
              </w:rPr>
            </w:pPr>
            <w:r>
              <w:rPr>
                <w:rFonts w:ascii="Times New Roman"/>
                <w:spacing w:val="-1"/>
                <w:sz w:val="18"/>
              </w:rPr>
              <w:t>180,000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7"/>
              <w:jc w:val="right"/>
              <w:rPr>
                <w:rFonts w:ascii="Times New Roman" w:hAnsi="Times New Roman" w:cs="Times New Roman" w:eastAsia="Times New Roman" w:hint="default"/>
                <w:sz w:val="18"/>
                <w:szCs w:val="18"/>
              </w:rPr>
            </w:pPr>
            <w:r>
              <w:rPr>
                <w:rFonts w:ascii="Times New Roman"/>
                <w:spacing w:val="-1"/>
                <w:sz w:val="18"/>
              </w:rPr>
              <w:t>150,000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7"/>
              <w:jc w:val="right"/>
              <w:rPr>
                <w:rFonts w:ascii="Times New Roman" w:hAnsi="Times New Roman" w:cs="Times New Roman" w:eastAsia="Times New Roman" w:hint="default"/>
                <w:sz w:val="18"/>
                <w:szCs w:val="18"/>
              </w:rPr>
            </w:pPr>
            <w:r>
              <w:rPr>
                <w:rFonts w:ascii="Times New Roman"/>
                <w:spacing w:val="-1"/>
                <w:sz w:val="18"/>
              </w:rPr>
              <w:t>630,000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0"/>
              <w:ind w:left="23" w:right="84"/>
              <w:jc w:val="left"/>
              <w:rPr>
                <w:rFonts w:ascii="宋体" w:hAnsi="宋体" w:cs="宋体" w:eastAsia="宋体" w:hint="default"/>
                <w:sz w:val="18"/>
                <w:szCs w:val="18"/>
              </w:rPr>
            </w:pPr>
            <w:r>
              <w:rPr>
                <w:rFonts w:ascii="宋体" w:hAnsi="宋体" w:cs="宋体" w:eastAsia="宋体" w:hint="default"/>
                <w:spacing w:val="-2"/>
                <w:sz w:val="18"/>
                <w:szCs w:val="18"/>
              </w:rPr>
              <w:t>股权激励限售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4"/>
              <w:ind w:left="23" w:right="17"/>
              <w:jc w:val="left"/>
              <w:rPr>
                <w:rFonts w:ascii="宋体" w:hAnsi="宋体" w:cs="宋体" w:eastAsia="宋体" w:hint="default"/>
                <w:sz w:val="18"/>
                <w:szCs w:val="18"/>
              </w:rPr>
            </w:pPr>
            <w:r>
              <w:rPr>
                <w:rFonts w:ascii="宋体" w:hAnsi="宋体" w:cs="宋体" w:eastAsia="宋体" w:hint="default"/>
                <w:sz w:val="18"/>
                <w:szCs w:val="18"/>
              </w:rPr>
              <w:t>自授予日起满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个月，</w:t>
            </w:r>
            <w:r>
              <w:rPr>
                <w:rFonts w:ascii="Times New Roman" w:hAnsi="Times New Roman" w:cs="Times New Roman" w:eastAsia="Times New Roman" w:hint="default"/>
                <w:spacing w:val="-5"/>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r>
              <w:rPr>
                <w:rFonts w:ascii="宋体" w:hAnsi="宋体" w:cs="宋体" w:eastAsia="宋体" w:hint="default"/>
                <w:spacing w:val="-88"/>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48 </w:t>
            </w:r>
            <w:r>
              <w:rPr>
                <w:rFonts w:ascii="宋体" w:hAnsi="宋体" w:cs="宋体" w:eastAsia="宋体" w:hint="default"/>
                <w:sz w:val="18"/>
                <w:szCs w:val="18"/>
              </w:rPr>
              <w:t>个月激励对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象应在可解锁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日内按</w:t>
            </w:r>
            <w:r>
              <w:rPr>
                <w:rFonts w:ascii="宋体" w:hAnsi="宋体" w:cs="宋体" w:eastAsia="宋体" w:hint="default"/>
                <w:spacing w:val="-41"/>
                <w:sz w:val="18"/>
                <w:szCs w:val="18"/>
              </w:rPr>
              <w:t> </w:t>
            </w:r>
            <w:r>
              <w:rPr>
                <w:rFonts w:ascii="Times New Roman" w:hAnsi="Times New Roman" w:cs="Times New Roman" w:eastAsia="Times New Roman" w:hint="default"/>
                <w:spacing w:val="-3"/>
                <w:sz w:val="18"/>
                <w:szCs w:val="18"/>
              </w:rPr>
              <w:t>25%</w:t>
            </w:r>
            <w:r>
              <w:rPr>
                <w:rFonts w:ascii="宋体" w:hAnsi="宋体" w:cs="宋体" w:eastAsia="宋体" w:hint="default"/>
                <w:spacing w:val="-3"/>
                <w:sz w:val="18"/>
                <w:szCs w:val="18"/>
              </w:rPr>
              <w:t>、</w:t>
            </w:r>
            <w:r>
              <w:rPr>
                <w:rFonts w:ascii="宋体" w:hAnsi="宋体" w:cs="宋体" w:eastAsia="宋体" w:hint="default"/>
                <w:spacing w:val="-80"/>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p>
            <w:pPr>
              <w:pStyle w:val="TableParagraph"/>
              <w:spacing w:line="314" w:lineRule="auto" w:before="7"/>
              <w:ind w:left="23" w:right="84"/>
              <w:jc w:val="both"/>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的解锁比</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例根据公司经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审计业绩情况</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和个人绩效考</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核情况分期解</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锁。详见公司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披露于巨潮资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讯网的《</w:t>
            </w:r>
            <w:r>
              <w:rPr>
                <w:rFonts w:ascii="Times New Roman" w:hAnsi="Times New Roman" w:cs="Times New Roman" w:eastAsia="Times New Roman" w:hint="default"/>
                <w:spacing w:val="-2"/>
                <w:sz w:val="18"/>
                <w:szCs w:val="18"/>
              </w:rPr>
              <w:t>2017</w:t>
            </w:r>
            <w:r>
              <w:rPr>
                <w:rFonts w:ascii="Times New Roman" w:hAnsi="Times New Roman" w:cs="Times New Roman" w:eastAsia="Times New Roman" w:hint="default"/>
                <w:spacing w:val="-26"/>
                <w:sz w:val="18"/>
                <w:szCs w:val="18"/>
              </w:rPr>
              <w:t> </w:t>
            </w:r>
            <w:r>
              <w:rPr>
                <w:rFonts w:ascii="Times New Roman" w:hAnsi="Times New Roman" w:cs="Times New Roman" w:eastAsia="Times New Roman" w:hint="default"/>
                <w:spacing w:val="-26"/>
                <w:sz w:val="18"/>
                <w:szCs w:val="18"/>
              </w:rPr>
            </w:r>
            <w:r>
              <w:rPr>
                <w:rFonts w:ascii="宋体" w:hAnsi="宋体" w:cs="宋体" w:eastAsia="宋体" w:hint="default"/>
                <w:spacing w:val="-2"/>
                <w:sz w:val="18"/>
                <w:szCs w:val="18"/>
              </w:rPr>
              <w:t>年限制性股票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7"/>
                <w:w w:val="101"/>
                <w:sz w:val="18"/>
                <w:szCs w:val="18"/>
              </w:rPr>
              <w:t>激励计划》。</w:t>
            </w:r>
            <w:r>
              <w:rPr>
                <w:rFonts w:ascii="宋体" w:hAnsi="宋体" w:cs="宋体" w:eastAsia="宋体" w:hint="default"/>
                <w:spacing w:val="-17"/>
                <w:sz w:val="18"/>
                <w:szCs w:val="18"/>
              </w:rPr>
            </w:r>
          </w:p>
        </w:tc>
      </w:tr>
      <w:tr>
        <w:trPr>
          <w:trHeight w:val="4110"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徐江民</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560,000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560,000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316" w:lineRule="auto"/>
              <w:ind w:left="23" w:right="84"/>
              <w:jc w:val="left"/>
              <w:rPr>
                <w:rFonts w:ascii="宋体" w:hAnsi="宋体" w:cs="宋体" w:eastAsia="宋体" w:hint="default"/>
                <w:sz w:val="18"/>
                <w:szCs w:val="18"/>
              </w:rPr>
            </w:pPr>
            <w:r>
              <w:rPr>
                <w:rFonts w:ascii="宋体" w:hAnsi="宋体" w:cs="宋体" w:eastAsia="宋体" w:hint="default"/>
                <w:spacing w:val="-2"/>
                <w:sz w:val="18"/>
                <w:szCs w:val="18"/>
              </w:rPr>
              <w:t>股权激励限售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3" w:right="17"/>
              <w:jc w:val="left"/>
              <w:rPr>
                <w:rFonts w:ascii="宋体" w:hAnsi="宋体" w:cs="宋体" w:eastAsia="宋体" w:hint="default"/>
                <w:sz w:val="18"/>
                <w:szCs w:val="18"/>
              </w:rPr>
            </w:pPr>
            <w:r>
              <w:rPr>
                <w:rFonts w:ascii="宋体" w:hAnsi="宋体" w:cs="宋体" w:eastAsia="宋体" w:hint="default"/>
                <w:sz w:val="18"/>
                <w:szCs w:val="18"/>
              </w:rPr>
              <w:t>自授予日起满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个月，</w:t>
            </w:r>
            <w:r>
              <w:rPr>
                <w:rFonts w:ascii="Times New Roman" w:hAnsi="Times New Roman" w:cs="Times New Roman" w:eastAsia="Times New Roman" w:hint="default"/>
                <w:spacing w:val="-5"/>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r>
              <w:rPr>
                <w:rFonts w:ascii="宋体" w:hAnsi="宋体" w:cs="宋体" w:eastAsia="宋体" w:hint="default"/>
                <w:spacing w:val="-88"/>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48 </w:t>
            </w:r>
            <w:r>
              <w:rPr>
                <w:rFonts w:ascii="宋体" w:hAnsi="宋体" w:cs="宋体" w:eastAsia="宋体" w:hint="default"/>
                <w:sz w:val="18"/>
                <w:szCs w:val="18"/>
              </w:rPr>
              <w:t>个月激励对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象应在可解锁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日内按</w:t>
            </w:r>
            <w:r>
              <w:rPr>
                <w:rFonts w:ascii="宋体" w:hAnsi="宋体" w:cs="宋体" w:eastAsia="宋体" w:hint="default"/>
                <w:spacing w:val="-41"/>
                <w:sz w:val="18"/>
                <w:szCs w:val="18"/>
              </w:rPr>
              <w:t> </w:t>
            </w:r>
            <w:r>
              <w:rPr>
                <w:rFonts w:ascii="Times New Roman" w:hAnsi="Times New Roman" w:cs="Times New Roman" w:eastAsia="Times New Roman" w:hint="default"/>
                <w:spacing w:val="-3"/>
                <w:sz w:val="18"/>
                <w:szCs w:val="18"/>
              </w:rPr>
              <w:t>25%</w:t>
            </w:r>
            <w:r>
              <w:rPr>
                <w:rFonts w:ascii="宋体" w:hAnsi="宋体" w:cs="宋体" w:eastAsia="宋体" w:hint="default"/>
                <w:spacing w:val="-3"/>
                <w:sz w:val="18"/>
                <w:szCs w:val="18"/>
              </w:rPr>
              <w:t>、</w:t>
            </w:r>
            <w:r>
              <w:rPr>
                <w:rFonts w:ascii="宋体" w:hAnsi="宋体" w:cs="宋体" w:eastAsia="宋体" w:hint="default"/>
                <w:spacing w:val="-80"/>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p>
            <w:pPr>
              <w:pStyle w:val="TableParagraph"/>
              <w:spacing w:line="314" w:lineRule="auto" w:before="7"/>
              <w:ind w:left="23" w:right="84"/>
              <w:jc w:val="both"/>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的解锁比</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例根据公司经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审计业绩情况</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和个人绩效考</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核情况分期解</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锁。详见公司</w:t>
            </w:r>
          </w:p>
        </w:tc>
      </w:tr>
    </w:tbl>
    <w:p>
      <w:pPr>
        <w:spacing w:after="0" w:line="314" w:lineRule="auto"/>
        <w:jc w:val="both"/>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5"/>
        <w:gridCol w:w="1488"/>
        <w:gridCol w:w="1489"/>
        <w:gridCol w:w="1488"/>
        <w:gridCol w:w="1489"/>
        <w:gridCol w:w="1205"/>
        <w:gridCol w:w="1205"/>
      </w:tblGrid>
      <w:tr>
        <w:trPr>
          <w:trHeight w:val="1297" w:hRule="exact"/>
        </w:trPr>
        <w:tc>
          <w:tcPr>
            <w:tcW w:w="1205"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3" w:right="84"/>
              <w:jc w:val="both"/>
              <w:rPr>
                <w:rFonts w:ascii="宋体" w:hAnsi="宋体" w:cs="宋体" w:eastAsia="宋体" w:hint="default"/>
                <w:sz w:val="18"/>
                <w:szCs w:val="18"/>
              </w:rPr>
            </w:pPr>
            <w:r>
              <w:rPr>
                <w:rFonts w:ascii="宋体" w:hAnsi="宋体" w:cs="宋体" w:eastAsia="宋体" w:hint="default"/>
                <w:spacing w:val="-2"/>
                <w:sz w:val="18"/>
                <w:szCs w:val="18"/>
              </w:rPr>
              <w:t>披露于巨潮资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讯网的《</w:t>
            </w:r>
            <w:r>
              <w:rPr>
                <w:rFonts w:ascii="Times New Roman" w:hAnsi="Times New Roman" w:cs="Times New Roman" w:eastAsia="Times New Roman" w:hint="default"/>
                <w:spacing w:val="-2"/>
                <w:sz w:val="18"/>
                <w:szCs w:val="18"/>
              </w:rPr>
              <w:t>2017</w:t>
            </w:r>
            <w:r>
              <w:rPr>
                <w:rFonts w:ascii="Times New Roman" w:hAnsi="Times New Roman" w:cs="Times New Roman" w:eastAsia="Times New Roman" w:hint="default"/>
                <w:spacing w:val="-26"/>
                <w:sz w:val="18"/>
                <w:szCs w:val="18"/>
              </w:rPr>
              <w:t> </w:t>
            </w:r>
            <w:r>
              <w:rPr>
                <w:rFonts w:ascii="Times New Roman" w:hAnsi="Times New Roman" w:cs="Times New Roman" w:eastAsia="Times New Roman" w:hint="default"/>
                <w:spacing w:val="-26"/>
                <w:sz w:val="18"/>
                <w:szCs w:val="18"/>
              </w:rPr>
            </w:r>
            <w:r>
              <w:rPr>
                <w:rFonts w:ascii="宋体" w:hAnsi="宋体" w:cs="宋体" w:eastAsia="宋体" w:hint="default"/>
                <w:spacing w:val="-2"/>
                <w:sz w:val="18"/>
                <w:szCs w:val="18"/>
              </w:rPr>
              <w:t>年限制性股票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7"/>
                <w:w w:val="101"/>
                <w:sz w:val="18"/>
                <w:szCs w:val="18"/>
              </w:rPr>
              <w:t>激励计划》。</w:t>
            </w:r>
            <w:r>
              <w:rPr>
                <w:rFonts w:ascii="宋体" w:hAnsi="宋体" w:cs="宋体" w:eastAsia="宋体" w:hint="default"/>
                <w:spacing w:val="-17"/>
                <w:sz w:val="18"/>
                <w:szCs w:val="18"/>
              </w:rPr>
            </w:r>
          </w:p>
        </w:tc>
      </w:tr>
      <w:tr>
        <w:trPr>
          <w:trHeight w:val="5397"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张雪峰</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7"/>
              <w:jc w:val="right"/>
              <w:rPr>
                <w:rFonts w:ascii="Times New Roman" w:hAnsi="Times New Roman" w:cs="Times New Roman" w:eastAsia="Times New Roman" w:hint="default"/>
                <w:sz w:val="18"/>
                <w:szCs w:val="18"/>
              </w:rPr>
            </w:pPr>
            <w:r>
              <w:rPr>
                <w:rFonts w:ascii="Times New Roman"/>
                <w:spacing w:val="-1"/>
                <w:sz w:val="18"/>
              </w:rPr>
              <w:t>200,000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7"/>
              <w:jc w:val="right"/>
              <w:rPr>
                <w:rFonts w:ascii="Times New Roman" w:hAnsi="Times New Roman" w:cs="Times New Roman" w:eastAsia="Times New Roman" w:hint="default"/>
                <w:sz w:val="18"/>
                <w:szCs w:val="18"/>
              </w:rPr>
            </w:pPr>
            <w:r>
              <w:rPr>
                <w:rFonts w:ascii="Times New Roman"/>
                <w:spacing w:val="-1"/>
                <w:sz w:val="18"/>
              </w:rPr>
              <w:t>60,000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7"/>
              <w:jc w:val="right"/>
              <w:rPr>
                <w:rFonts w:ascii="Times New Roman" w:hAnsi="Times New Roman" w:cs="Times New Roman" w:eastAsia="Times New Roman" w:hint="default"/>
                <w:sz w:val="18"/>
                <w:szCs w:val="18"/>
              </w:rPr>
            </w:pPr>
            <w:r>
              <w:rPr>
                <w:rFonts w:ascii="Times New Roman"/>
                <w:spacing w:val="-1"/>
                <w:sz w:val="18"/>
              </w:rPr>
              <w:t>50,000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7"/>
              <w:jc w:val="right"/>
              <w:rPr>
                <w:rFonts w:ascii="Times New Roman" w:hAnsi="Times New Roman" w:cs="Times New Roman" w:eastAsia="Times New Roman" w:hint="default"/>
                <w:sz w:val="18"/>
                <w:szCs w:val="18"/>
              </w:rPr>
            </w:pPr>
            <w:r>
              <w:rPr>
                <w:rFonts w:ascii="Times New Roman"/>
                <w:spacing w:val="-1"/>
                <w:sz w:val="18"/>
              </w:rPr>
              <w:t>210,000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9"/>
              <w:ind w:left="23" w:right="84"/>
              <w:jc w:val="left"/>
              <w:rPr>
                <w:rFonts w:ascii="宋体" w:hAnsi="宋体" w:cs="宋体" w:eastAsia="宋体" w:hint="default"/>
                <w:sz w:val="18"/>
                <w:szCs w:val="18"/>
              </w:rPr>
            </w:pPr>
            <w:r>
              <w:rPr>
                <w:rFonts w:ascii="宋体" w:hAnsi="宋体" w:cs="宋体" w:eastAsia="宋体" w:hint="default"/>
                <w:spacing w:val="-2"/>
                <w:sz w:val="18"/>
                <w:szCs w:val="18"/>
              </w:rPr>
              <w:t>股权激励限售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3" w:right="17"/>
              <w:jc w:val="left"/>
              <w:rPr>
                <w:rFonts w:ascii="宋体" w:hAnsi="宋体" w:cs="宋体" w:eastAsia="宋体" w:hint="default"/>
                <w:sz w:val="18"/>
                <w:szCs w:val="18"/>
              </w:rPr>
            </w:pPr>
            <w:r>
              <w:rPr>
                <w:rFonts w:ascii="宋体" w:hAnsi="宋体" w:cs="宋体" w:eastAsia="宋体" w:hint="default"/>
                <w:sz w:val="18"/>
                <w:szCs w:val="18"/>
              </w:rPr>
              <w:t>自授予日起满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个月，</w:t>
            </w:r>
            <w:r>
              <w:rPr>
                <w:rFonts w:ascii="Times New Roman" w:hAnsi="Times New Roman" w:cs="Times New Roman" w:eastAsia="Times New Roman" w:hint="default"/>
                <w:spacing w:val="-5"/>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r>
              <w:rPr>
                <w:rFonts w:ascii="宋体" w:hAnsi="宋体" w:cs="宋体" w:eastAsia="宋体" w:hint="default"/>
                <w:spacing w:val="-88"/>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48 </w:t>
            </w:r>
            <w:r>
              <w:rPr>
                <w:rFonts w:ascii="宋体" w:hAnsi="宋体" w:cs="宋体" w:eastAsia="宋体" w:hint="default"/>
                <w:sz w:val="18"/>
                <w:szCs w:val="18"/>
              </w:rPr>
              <w:t>个月激励对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象应在可解锁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日内按</w:t>
            </w:r>
            <w:r>
              <w:rPr>
                <w:rFonts w:ascii="宋体" w:hAnsi="宋体" w:cs="宋体" w:eastAsia="宋体" w:hint="default"/>
                <w:spacing w:val="-41"/>
                <w:sz w:val="18"/>
                <w:szCs w:val="18"/>
              </w:rPr>
              <w:t> </w:t>
            </w:r>
            <w:r>
              <w:rPr>
                <w:rFonts w:ascii="Times New Roman" w:hAnsi="Times New Roman" w:cs="Times New Roman" w:eastAsia="Times New Roman" w:hint="default"/>
                <w:spacing w:val="-3"/>
                <w:sz w:val="18"/>
                <w:szCs w:val="18"/>
              </w:rPr>
              <w:t>25%</w:t>
            </w:r>
            <w:r>
              <w:rPr>
                <w:rFonts w:ascii="宋体" w:hAnsi="宋体" w:cs="宋体" w:eastAsia="宋体" w:hint="default"/>
                <w:spacing w:val="-3"/>
                <w:sz w:val="18"/>
                <w:szCs w:val="18"/>
              </w:rPr>
              <w:t>、</w:t>
            </w:r>
            <w:r>
              <w:rPr>
                <w:rFonts w:ascii="宋体" w:hAnsi="宋体" w:cs="宋体" w:eastAsia="宋体" w:hint="default"/>
                <w:spacing w:val="-80"/>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p>
            <w:pPr>
              <w:pStyle w:val="TableParagraph"/>
              <w:spacing w:line="314" w:lineRule="auto" w:before="7"/>
              <w:ind w:left="23" w:right="84"/>
              <w:jc w:val="both"/>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的解锁比</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例根据公司经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审计业绩情况</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和个人绩效考</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核情况分期解</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锁。详见公司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披露于巨潮资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讯网的《</w:t>
            </w:r>
            <w:r>
              <w:rPr>
                <w:rFonts w:ascii="Times New Roman" w:hAnsi="Times New Roman" w:cs="Times New Roman" w:eastAsia="Times New Roman" w:hint="default"/>
                <w:spacing w:val="-2"/>
                <w:sz w:val="18"/>
                <w:szCs w:val="18"/>
              </w:rPr>
              <w:t>2017</w:t>
            </w:r>
            <w:r>
              <w:rPr>
                <w:rFonts w:ascii="Times New Roman" w:hAnsi="Times New Roman" w:cs="Times New Roman" w:eastAsia="Times New Roman" w:hint="default"/>
                <w:spacing w:val="-26"/>
                <w:sz w:val="18"/>
                <w:szCs w:val="18"/>
              </w:rPr>
              <w:t> </w:t>
            </w:r>
            <w:r>
              <w:rPr>
                <w:rFonts w:ascii="Times New Roman" w:hAnsi="Times New Roman" w:cs="Times New Roman" w:eastAsia="Times New Roman" w:hint="default"/>
                <w:spacing w:val="-26"/>
                <w:sz w:val="18"/>
                <w:szCs w:val="18"/>
              </w:rPr>
            </w:r>
            <w:r>
              <w:rPr>
                <w:rFonts w:ascii="宋体" w:hAnsi="宋体" w:cs="宋体" w:eastAsia="宋体" w:hint="default"/>
                <w:spacing w:val="-2"/>
                <w:sz w:val="18"/>
                <w:szCs w:val="18"/>
              </w:rPr>
              <w:t>年限制性股票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7"/>
                <w:w w:val="101"/>
                <w:sz w:val="18"/>
                <w:szCs w:val="18"/>
              </w:rPr>
              <w:t>激励计划》。</w:t>
            </w:r>
            <w:r>
              <w:rPr>
                <w:rFonts w:ascii="宋体" w:hAnsi="宋体" w:cs="宋体" w:eastAsia="宋体" w:hint="default"/>
                <w:spacing w:val="-17"/>
                <w:sz w:val="18"/>
                <w:szCs w:val="18"/>
              </w:rPr>
            </w:r>
          </w:p>
        </w:tc>
      </w:tr>
      <w:tr>
        <w:trPr>
          <w:trHeight w:val="5397"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章逸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7"/>
              <w:jc w:val="right"/>
              <w:rPr>
                <w:rFonts w:ascii="Times New Roman" w:hAnsi="Times New Roman" w:cs="Times New Roman" w:eastAsia="Times New Roman" w:hint="default"/>
                <w:sz w:val="18"/>
                <w:szCs w:val="18"/>
              </w:rPr>
            </w:pPr>
            <w:r>
              <w:rPr>
                <w:rFonts w:ascii="Times New Roman"/>
                <w:spacing w:val="-1"/>
                <w:sz w:val="18"/>
              </w:rPr>
              <w:t>200,000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7"/>
              <w:jc w:val="right"/>
              <w:rPr>
                <w:rFonts w:ascii="Times New Roman" w:hAnsi="Times New Roman" w:cs="Times New Roman" w:eastAsia="Times New Roman" w:hint="default"/>
                <w:sz w:val="18"/>
                <w:szCs w:val="18"/>
              </w:rPr>
            </w:pPr>
            <w:r>
              <w:rPr>
                <w:rFonts w:ascii="Times New Roman"/>
                <w:spacing w:val="-1"/>
                <w:sz w:val="18"/>
              </w:rPr>
              <w:t>60,000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7"/>
              <w:jc w:val="right"/>
              <w:rPr>
                <w:rFonts w:ascii="Times New Roman" w:hAnsi="Times New Roman" w:cs="Times New Roman" w:eastAsia="Times New Roman" w:hint="default"/>
                <w:sz w:val="18"/>
                <w:szCs w:val="18"/>
              </w:rPr>
            </w:pPr>
            <w:r>
              <w:rPr>
                <w:rFonts w:ascii="Times New Roman"/>
                <w:spacing w:val="-1"/>
                <w:sz w:val="18"/>
              </w:rPr>
              <w:t>50,000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7"/>
              <w:jc w:val="right"/>
              <w:rPr>
                <w:rFonts w:ascii="Times New Roman" w:hAnsi="Times New Roman" w:cs="Times New Roman" w:eastAsia="Times New Roman" w:hint="default"/>
                <w:sz w:val="18"/>
                <w:szCs w:val="18"/>
              </w:rPr>
            </w:pPr>
            <w:r>
              <w:rPr>
                <w:rFonts w:ascii="Times New Roman"/>
                <w:spacing w:val="-1"/>
                <w:sz w:val="18"/>
              </w:rPr>
              <w:t>210,000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9"/>
              <w:ind w:left="23" w:right="84"/>
              <w:jc w:val="left"/>
              <w:rPr>
                <w:rFonts w:ascii="宋体" w:hAnsi="宋体" w:cs="宋体" w:eastAsia="宋体" w:hint="default"/>
                <w:sz w:val="18"/>
                <w:szCs w:val="18"/>
              </w:rPr>
            </w:pPr>
            <w:r>
              <w:rPr>
                <w:rFonts w:ascii="宋体" w:hAnsi="宋体" w:cs="宋体" w:eastAsia="宋体" w:hint="default"/>
                <w:spacing w:val="-2"/>
                <w:sz w:val="18"/>
                <w:szCs w:val="18"/>
              </w:rPr>
              <w:t>股权激励限售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3" w:right="17"/>
              <w:jc w:val="left"/>
              <w:rPr>
                <w:rFonts w:ascii="宋体" w:hAnsi="宋体" w:cs="宋体" w:eastAsia="宋体" w:hint="default"/>
                <w:sz w:val="18"/>
                <w:szCs w:val="18"/>
              </w:rPr>
            </w:pPr>
            <w:r>
              <w:rPr>
                <w:rFonts w:ascii="宋体" w:hAnsi="宋体" w:cs="宋体" w:eastAsia="宋体" w:hint="default"/>
                <w:sz w:val="18"/>
                <w:szCs w:val="18"/>
              </w:rPr>
              <w:t>自授予日起满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个月，</w:t>
            </w:r>
            <w:r>
              <w:rPr>
                <w:rFonts w:ascii="Times New Roman" w:hAnsi="Times New Roman" w:cs="Times New Roman" w:eastAsia="Times New Roman" w:hint="default"/>
                <w:spacing w:val="-5"/>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r>
              <w:rPr>
                <w:rFonts w:ascii="宋体" w:hAnsi="宋体" w:cs="宋体" w:eastAsia="宋体" w:hint="default"/>
                <w:spacing w:val="-88"/>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48 </w:t>
            </w:r>
            <w:r>
              <w:rPr>
                <w:rFonts w:ascii="宋体" w:hAnsi="宋体" w:cs="宋体" w:eastAsia="宋体" w:hint="default"/>
                <w:sz w:val="18"/>
                <w:szCs w:val="18"/>
              </w:rPr>
              <w:t>个月激励对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象应在可解锁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日内按</w:t>
            </w:r>
            <w:r>
              <w:rPr>
                <w:rFonts w:ascii="宋体" w:hAnsi="宋体" w:cs="宋体" w:eastAsia="宋体" w:hint="default"/>
                <w:spacing w:val="-41"/>
                <w:sz w:val="18"/>
                <w:szCs w:val="18"/>
              </w:rPr>
              <w:t> </w:t>
            </w:r>
            <w:r>
              <w:rPr>
                <w:rFonts w:ascii="Times New Roman" w:hAnsi="Times New Roman" w:cs="Times New Roman" w:eastAsia="Times New Roman" w:hint="default"/>
                <w:spacing w:val="-3"/>
                <w:sz w:val="18"/>
                <w:szCs w:val="18"/>
              </w:rPr>
              <w:t>25%</w:t>
            </w:r>
            <w:r>
              <w:rPr>
                <w:rFonts w:ascii="宋体" w:hAnsi="宋体" w:cs="宋体" w:eastAsia="宋体" w:hint="default"/>
                <w:spacing w:val="-3"/>
                <w:sz w:val="18"/>
                <w:szCs w:val="18"/>
              </w:rPr>
              <w:t>、</w:t>
            </w:r>
            <w:r>
              <w:rPr>
                <w:rFonts w:ascii="宋体" w:hAnsi="宋体" w:cs="宋体" w:eastAsia="宋体" w:hint="default"/>
                <w:spacing w:val="-80"/>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p>
            <w:pPr>
              <w:pStyle w:val="TableParagraph"/>
              <w:spacing w:line="314" w:lineRule="auto" w:before="7"/>
              <w:ind w:left="23" w:right="84"/>
              <w:jc w:val="both"/>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的解锁比</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例根据公司经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审计业绩情况</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和个人绩效考</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核情况分期解</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锁。详见公司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披露于巨潮资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讯网的《</w:t>
            </w:r>
            <w:r>
              <w:rPr>
                <w:rFonts w:ascii="Times New Roman" w:hAnsi="Times New Roman" w:cs="Times New Roman" w:eastAsia="Times New Roman" w:hint="default"/>
                <w:spacing w:val="-2"/>
                <w:sz w:val="18"/>
                <w:szCs w:val="18"/>
              </w:rPr>
              <w:t>2017</w:t>
            </w:r>
            <w:r>
              <w:rPr>
                <w:rFonts w:ascii="Times New Roman" w:hAnsi="Times New Roman" w:cs="Times New Roman" w:eastAsia="Times New Roman" w:hint="default"/>
                <w:spacing w:val="-26"/>
                <w:sz w:val="18"/>
                <w:szCs w:val="18"/>
              </w:rPr>
              <w:t> </w:t>
            </w:r>
            <w:r>
              <w:rPr>
                <w:rFonts w:ascii="Times New Roman" w:hAnsi="Times New Roman" w:cs="Times New Roman" w:eastAsia="Times New Roman" w:hint="default"/>
                <w:spacing w:val="-26"/>
                <w:sz w:val="18"/>
                <w:szCs w:val="18"/>
              </w:rPr>
            </w:r>
            <w:r>
              <w:rPr>
                <w:rFonts w:ascii="宋体" w:hAnsi="宋体" w:cs="宋体" w:eastAsia="宋体" w:hint="default"/>
                <w:spacing w:val="-2"/>
                <w:sz w:val="18"/>
                <w:szCs w:val="18"/>
              </w:rPr>
              <w:t>年限制性股票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7"/>
                <w:w w:val="101"/>
                <w:sz w:val="18"/>
                <w:szCs w:val="18"/>
              </w:rPr>
              <w:t>激励计划》。</w:t>
            </w:r>
            <w:r>
              <w:rPr>
                <w:rFonts w:ascii="宋体" w:hAnsi="宋体" w:cs="宋体" w:eastAsia="宋体" w:hint="default"/>
                <w:spacing w:val="-17"/>
                <w:sz w:val="18"/>
                <w:szCs w:val="18"/>
              </w:rPr>
            </w:r>
          </w:p>
        </w:tc>
      </w:tr>
      <w:tr>
        <w:trPr>
          <w:trHeight w:val="1609"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朱辉</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224,000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224,000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24" w:lineRule="auto"/>
              <w:ind w:left="23" w:right="84"/>
              <w:jc w:val="left"/>
              <w:rPr>
                <w:rFonts w:ascii="宋体" w:hAnsi="宋体" w:cs="宋体" w:eastAsia="宋体" w:hint="default"/>
                <w:sz w:val="18"/>
                <w:szCs w:val="18"/>
              </w:rPr>
            </w:pPr>
            <w:r>
              <w:rPr>
                <w:rFonts w:ascii="宋体" w:hAnsi="宋体" w:cs="宋体" w:eastAsia="宋体" w:hint="default"/>
                <w:spacing w:val="-2"/>
                <w:sz w:val="18"/>
                <w:szCs w:val="18"/>
              </w:rPr>
              <w:t>股权激励限售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3" w:right="17"/>
              <w:jc w:val="left"/>
              <w:rPr>
                <w:rFonts w:ascii="宋体" w:hAnsi="宋体" w:cs="宋体" w:eastAsia="宋体" w:hint="default"/>
                <w:sz w:val="18"/>
                <w:szCs w:val="18"/>
              </w:rPr>
            </w:pPr>
            <w:r>
              <w:rPr>
                <w:rFonts w:ascii="宋体" w:hAnsi="宋体" w:cs="宋体" w:eastAsia="宋体" w:hint="default"/>
                <w:sz w:val="18"/>
                <w:szCs w:val="18"/>
              </w:rPr>
              <w:t>自授予日起满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个月，</w:t>
            </w:r>
            <w:r>
              <w:rPr>
                <w:rFonts w:ascii="Times New Roman" w:hAnsi="Times New Roman" w:cs="Times New Roman" w:eastAsia="Times New Roman" w:hint="default"/>
                <w:spacing w:val="-5"/>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r>
              <w:rPr>
                <w:rFonts w:ascii="宋体" w:hAnsi="宋体" w:cs="宋体" w:eastAsia="宋体" w:hint="default"/>
                <w:spacing w:val="-88"/>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48 </w:t>
            </w:r>
            <w:r>
              <w:rPr>
                <w:rFonts w:ascii="宋体" w:hAnsi="宋体" w:cs="宋体" w:eastAsia="宋体" w:hint="default"/>
                <w:sz w:val="18"/>
                <w:szCs w:val="18"/>
              </w:rPr>
              <w:t>个月激励对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象应在可解锁</w:t>
            </w:r>
          </w:p>
        </w:tc>
      </w:tr>
    </w:tbl>
    <w:p>
      <w:pPr>
        <w:spacing w:after="0" w:line="304"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5"/>
        <w:gridCol w:w="1488"/>
        <w:gridCol w:w="1489"/>
        <w:gridCol w:w="1488"/>
        <w:gridCol w:w="1489"/>
        <w:gridCol w:w="1205"/>
        <w:gridCol w:w="1205"/>
      </w:tblGrid>
      <w:tr>
        <w:trPr>
          <w:trHeight w:val="3793" w:hRule="exact"/>
        </w:trPr>
        <w:tc>
          <w:tcPr>
            <w:tcW w:w="1205"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3" w:right="71"/>
              <w:jc w:val="both"/>
              <w:rPr>
                <w:rFonts w:ascii="宋体" w:hAnsi="宋体" w:cs="宋体" w:eastAsia="宋体" w:hint="default"/>
                <w:sz w:val="18"/>
                <w:szCs w:val="18"/>
              </w:rPr>
            </w:pPr>
            <w:r>
              <w:rPr>
                <w:rFonts w:ascii="宋体" w:hAnsi="宋体" w:cs="宋体" w:eastAsia="宋体" w:hint="default"/>
                <w:sz w:val="18"/>
                <w:szCs w:val="18"/>
              </w:rPr>
              <w:t>日内按</w:t>
            </w:r>
            <w:r>
              <w:rPr>
                <w:rFonts w:ascii="宋体" w:hAnsi="宋体" w:cs="宋体" w:eastAsia="宋体" w:hint="default"/>
                <w:spacing w:val="-34"/>
                <w:sz w:val="18"/>
                <w:szCs w:val="18"/>
              </w:rPr>
              <w:t> </w:t>
            </w:r>
            <w:r>
              <w:rPr>
                <w:rFonts w:ascii="Times New Roman" w:hAnsi="Times New Roman" w:cs="Times New Roman" w:eastAsia="Times New Roman" w:hint="default"/>
                <w:spacing w:val="-3"/>
                <w:sz w:val="18"/>
                <w:szCs w:val="18"/>
              </w:rPr>
              <w:t>25%</w:t>
            </w:r>
            <w:r>
              <w:rPr>
                <w:rFonts w:ascii="宋体" w:hAnsi="宋体" w:cs="宋体" w:eastAsia="宋体" w:hint="default"/>
                <w:spacing w:val="-3"/>
                <w:sz w:val="18"/>
                <w:szCs w:val="18"/>
              </w:rPr>
              <w:t>、</w:t>
            </w:r>
            <w:r>
              <w:rPr>
                <w:rFonts w:ascii="宋体" w:hAnsi="宋体" w:cs="宋体" w:eastAsia="宋体" w:hint="default"/>
                <w:spacing w:val="-8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p>
            <w:pPr>
              <w:pStyle w:val="TableParagraph"/>
              <w:spacing w:line="314" w:lineRule="auto" w:before="13"/>
              <w:ind w:left="23" w:right="84"/>
              <w:jc w:val="both"/>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的解锁比</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例根据公司经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审计业绩情况</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和个人绩效考</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核情况分期解</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锁。详见公司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披露于巨潮资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讯网的《</w:t>
            </w:r>
            <w:r>
              <w:rPr>
                <w:rFonts w:ascii="Times New Roman" w:hAnsi="Times New Roman" w:cs="Times New Roman" w:eastAsia="Times New Roman" w:hint="default"/>
                <w:spacing w:val="-2"/>
                <w:sz w:val="18"/>
                <w:szCs w:val="18"/>
              </w:rPr>
              <w:t>2017</w:t>
            </w:r>
            <w:r>
              <w:rPr>
                <w:rFonts w:ascii="Times New Roman" w:hAnsi="Times New Roman" w:cs="Times New Roman" w:eastAsia="Times New Roman" w:hint="default"/>
                <w:spacing w:val="-26"/>
                <w:sz w:val="18"/>
                <w:szCs w:val="18"/>
              </w:rPr>
              <w:t> </w:t>
            </w:r>
            <w:r>
              <w:rPr>
                <w:rFonts w:ascii="Times New Roman" w:hAnsi="Times New Roman" w:cs="Times New Roman" w:eastAsia="Times New Roman" w:hint="default"/>
                <w:spacing w:val="-26"/>
                <w:sz w:val="18"/>
                <w:szCs w:val="18"/>
              </w:rPr>
            </w:r>
            <w:r>
              <w:rPr>
                <w:rFonts w:ascii="宋体" w:hAnsi="宋体" w:cs="宋体" w:eastAsia="宋体" w:hint="default"/>
                <w:spacing w:val="-2"/>
                <w:sz w:val="18"/>
                <w:szCs w:val="18"/>
              </w:rPr>
              <w:t>年限制性股票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7"/>
                <w:w w:val="101"/>
                <w:sz w:val="18"/>
                <w:szCs w:val="18"/>
              </w:rPr>
              <w:t>激励计划》。</w:t>
            </w:r>
            <w:r>
              <w:rPr>
                <w:rFonts w:ascii="宋体" w:hAnsi="宋体" w:cs="宋体" w:eastAsia="宋体" w:hint="default"/>
                <w:spacing w:val="-17"/>
                <w:sz w:val="18"/>
                <w:szCs w:val="18"/>
              </w:rPr>
            </w:r>
          </w:p>
        </w:tc>
      </w:tr>
      <w:tr>
        <w:trPr>
          <w:trHeight w:val="5397"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孙霆</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7"/>
              <w:jc w:val="right"/>
              <w:rPr>
                <w:rFonts w:ascii="Times New Roman" w:hAnsi="Times New Roman" w:cs="Times New Roman" w:eastAsia="Times New Roman" w:hint="default"/>
                <w:sz w:val="18"/>
                <w:szCs w:val="18"/>
              </w:rPr>
            </w:pPr>
            <w:r>
              <w:rPr>
                <w:rFonts w:ascii="Times New Roman"/>
                <w:spacing w:val="-1"/>
                <w:sz w:val="18"/>
              </w:rPr>
              <w:t>100,000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7"/>
              <w:jc w:val="right"/>
              <w:rPr>
                <w:rFonts w:ascii="Times New Roman" w:hAnsi="Times New Roman" w:cs="Times New Roman" w:eastAsia="Times New Roman" w:hint="default"/>
                <w:sz w:val="18"/>
                <w:szCs w:val="18"/>
              </w:rPr>
            </w:pPr>
            <w:r>
              <w:rPr>
                <w:rFonts w:ascii="Times New Roman"/>
                <w:spacing w:val="-1"/>
                <w:sz w:val="18"/>
              </w:rPr>
              <w:t>30,000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7"/>
              <w:jc w:val="right"/>
              <w:rPr>
                <w:rFonts w:ascii="Times New Roman" w:hAnsi="Times New Roman" w:cs="Times New Roman" w:eastAsia="Times New Roman" w:hint="default"/>
                <w:sz w:val="18"/>
                <w:szCs w:val="18"/>
              </w:rPr>
            </w:pPr>
            <w:r>
              <w:rPr>
                <w:rFonts w:ascii="Times New Roman"/>
                <w:spacing w:val="-1"/>
                <w:sz w:val="18"/>
              </w:rPr>
              <w:t>25,000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7"/>
              <w:jc w:val="right"/>
              <w:rPr>
                <w:rFonts w:ascii="Times New Roman" w:hAnsi="Times New Roman" w:cs="Times New Roman" w:eastAsia="Times New Roman" w:hint="default"/>
                <w:sz w:val="18"/>
                <w:szCs w:val="18"/>
              </w:rPr>
            </w:pPr>
            <w:r>
              <w:rPr>
                <w:rFonts w:ascii="Times New Roman"/>
                <w:spacing w:val="-1"/>
                <w:sz w:val="18"/>
              </w:rPr>
              <w:t>105,000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0"/>
              <w:ind w:left="23" w:right="84"/>
              <w:jc w:val="left"/>
              <w:rPr>
                <w:rFonts w:ascii="宋体" w:hAnsi="宋体" w:cs="宋体" w:eastAsia="宋体" w:hint="default"/>
                <w:sz w:val="18"/>
                <w:szCs w:val="18"/>
              </w:rPr>
            </w:pPr>
            <w:r>
              <w:rPr>
                <w:rFonts w:ascii="宋体" w:hAnsi="宋体" w:cs="宋体" w:eastAsia="宋体" w:hint="default"/>
                <w:spacing w:val="-2"/>
                <w:sz w:val="18"/>
                <w:szCs w:val="18"/>
              </w:rPr>
              <w:t>股权激励限售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3" w:right="17"/>
              <w:jc w:val="left"/>
              <w:rPr>
                <w:rFonts w:ascii="宋体" w:hAnsi="宋体" w:cs="宋体" w:eastAsia="宋体" w:hint="default"/>
                <w:sz w:val="18"/>
                <w:szCs w:val="18"/>
              </w:rPr>
            </w:pPr>
            <w:r>
              <w:rPr>
                <w:rFonts w:ascii="宋体" w:hAnsi="宋体" w:cs="宋体" w:eastAsia="宋体" w:hint="default"/>
                <w:sz w:val="18"/>
                <w:szCs w:val="18"/>
              </w:rPr>
              <w:t>自授予日起满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个月，</w:t>
            </w:r>
            <w:r>
              <w:rPr>
                <w:rFonts w:ascii="Times New Roman" w:hAnsi="Times New Roman" w:cs="Times New Roman" w:eastAsia="Times New Roman" w:hint="default"/>
                <w:spacing w:val="-5"/>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r>
              <w:rPr>
                <w:rFonts w:ascii="宋体" w:hAnsi="宋体" w:cs="宋体" w:eastAsia="宋体" w:hint="default"/>
                <w:spacing w:val="-88"/>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48 </w:t>
            </w:r>
            <w:r>
              <w:rPr>
                <w:rFonts w:ascii="宋体" w:hAnsi="宋体" w:cs="宋体" w:eastAsia="宋体" w:hint="default"/>
                <w:sz w:val="18"/>
                <w:szCs w:val="18"/>
              </w:rPr>
              <w:t>个月激励对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象应在可解锁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日内按</w:t>
            </w:r>
            <w:r>
              <w:rPr>
                <w:rFonts w:ascii="宋体" w:hAnsi="宋体" w:cs="宋体" w:eastAsia="宋体" w:hint="default"/>
                <w:spacing w:val="-41"/>
                <w:sz w:val="18"/>
                <w:szCs w:val="18"/>
              </w:rPr>
              <w:t> </w:t>
            </w:r>
            <w:r>
              <w:rPr>
                <w:rFonts w:ascii="Times New Roman" w:hAnsi="Times New Roman" w:cs="Times New Roman" w:eastAsia="Times New Roman" w:hint="default"/>
                <w:spacing w:val="-3"/>
                <w:sz w:val="18"/>
                <w:szCs w:val="18"/>
              </w:rPr>
              <w:t>25%</w:t>
            </w:r>
            <w:r>
              <w:rPr>
                <w:rFonts w:ascii="宋体" w:hAnsi="宋体" w:cs="宋体" w:eastAsia="宋体" w:hint="default"/>
                <w:spacing w:val="-3"/>
                <w:sz w:val="18"/>
                <w:szCs w:val="18"/>
              </w:rPr>
              <w:t>、</w:t>
            </w:r>
            <w:r>
              <w:rPr>
                <w:rFonts w:ascii="宋体" w:hAnsi="宋体" w:cs="宋体" w:eastAsia="宋体" w:hint="default"/>
                <w:spacing w:val="-80"/>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p>
            <w:pPr>
              <w:pStyle w:val="TableParagraph"/>
              <w:spacing w:line="314" w:lineRule="auto" w:before="7"/>
              <w:ind w:left="23" w:right="84"/>
              <w:jc w:val="both"/>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的解锁比</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例根据公司经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审计业绩情况</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和个人绩效考</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核情况分期解</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锁。详见公司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披露于巨潮资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讯网的《</w:t>
            </w:r>
            <w:r>
              <w:rPr>
                <w:rFonts w:ascii="Times New Roman" w:hAnsi="Times New Roman" w:cs="Times New Roman" w:eastAsia="Times New Roman" w:hint="default"/>
                <w:spacing w:val="-2"/>
                <w:sz w:val="18"/>
                <w:szCs w:val="18"/>
              </w:rPr>
              <w:t>2017</w:t>
            </w:r>
            <w:r>
              <w:rPr>
                <w:rFonts w:ascii="Times New Roman" w:hAnsi="Times New Roman" w:cs="Times New Roman" w:eastAsia="Times New Roman" w:hint="default"/>
                <w:spacing w:val="-26"/>
                <w:sz w:val="18"/>
                <w:szCs w:val="18"/>
              </w:rPr>
              <w:t> </w:t>
            </w:r>
            <w:r>
              <w:rPr>
                <w:rFonts w:ascii="Times New Roman" w:hAnsi="Times New Roman" w:cs="Times New Roman" w:eastAsia="Times New Roman" w:hint="default"/>
                <w:spacing w:val="-26"/>
                <w:sz w:val="18"/>
                <w:szCs w:val="18"/>
              </w:rPr>
            </w:r>
            <w:r>
              <w:rPr>
                <w:rFonts w:ascii="宋体" w:hAnsi="宋体" w:cs="宋体" w:eastAsia="宋体" w:hint="default"/>
                <w:spacing w:val="-2"/>
                <w:sz w:val="18"/>
                <w:szCs w:val="18"/>
              </w:rPr>
              <w:t>年限制性股票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7"/>
                <w:w w:val="101"/>
                <w:sz w:val="18"/>
                <w:szCs w:val="18"/>
              </w:rPr>
              <w:t>激励计划》。</w:t>
            </w:r>
            <w:r>
              <w:rPr>
                <w:rFonts w:ascii="宋体" w:hAnsi="宋体" w:cs="宋体" w:eastAsia="宋体" w:hint="default"/>
                <w:spacing w:val="-17"/>
                <w:sz w:val="18"/>
                <w:szCs w:val="18"/>
              </w:rPr>
            </w:r>
          </w:p>
        </w:tc>
      </w:tr>
      <w:tr>
        <w:trPr>
          <w:trHeight w:val="4734"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24" w:right="0"/>
              <w:jc w:val="left"/>
              <w:rPr>
                <w:rFonts w:ascii="宋体" w:hAnsi="宋体" w:cs="宋体" w:eastAsia="宋体" w:hint="default"/>
                <w:sz w:val="18"/>
                <w:szCs w:val="18"/>
              </w:rPr>
            </w:pPr>
            <w:r>
              <w:rPr>
                <w:rFonts w:ascii="宋体" w:hAnsi="宋体" w:cs="宋体" w:eastAsia="宋体" w:hint="default"/>
                <w:sz w:val="18"/>
                <w:szCs w:val="18"/>
              </w:rPr>
              <w:t>赵晨晖</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25,000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105,000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316" w:lineRule="auto"/>
              <w:ind w:left="23" w:right="84"/>
              <w:jc w:val="left"/>
              <w:rPr>
                <w:rFonts w:ascii="宋体" w:hAnsi="宋体" w:cs="宋体" w:eastAsia="宋体" w:hint="default"/>
                <w:sz w:val="18"/>
                <w:szCs w:val="18"/>
              </w:rPr>
            </w:pPr>
            <w:r>
              <w:rPr>
                <w:rFonts w:ascii="宋体" w:hAnsi="宋体" w:cs="宋体" w:eastAsia="宋体" w:hint="default"/>
                <w:spacing w:val="-2"/>
                <w:sz w:val="18"/>
                <w:szCs w:val="18"/>
              </w:rPr>
              <w:t>股权激励限售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3" w:right="17"/>
              <w:jc w:val="left"/>
              <w:rPr>
                <w:rFonts w:ascii="宋体" w:hAnsi="宋体" w:cs="宋体" w:eastAsia="宋体" w:hint="default"/>
                <w:sz w:val="18"/>
                <w:szCs w:val="18"/>
              </w:rPr>
            </w:pPr>
            <w:r>
              <w:rPr>
                <w:rFonts w:ascii="宋体" w:hAnsi="宋体" w:cs="宋体" w:eastAsia="宋体" w:hint="default"/>
                <w:sz w:val="18"/>
                <w:szCs w:val="18"/>
              </w:rPr>
              <w:t>自授予日起满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个月，</w:t>
            </w:r>
            <w:r>
              <w:rPr>
                <w:rFonts w:ascii="Times New Roman" w:hAnsi="Times New Roman" w:cs="Times New Roman" w:eastAsia="Times New Roman" w:hint="default"/>
                <w:spacing w:val="-5"/>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r>
              <w:rPr>
                <w:rFonts w:ascii="宋体" w:hAnsi="宋体" w:cs="宋体" w:eastAsia="宋体" w:hint="default"/>
                <w:spacing w:val="-88"/>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48 </w:t>
            </w:r>
            <w:r>
              <w:rPr>
                <w:rFonts w:ascii="宋体" w:hAnsi="宋体" w:cs="宋体" w:eastAsia="宋体" w:hint="default"/>
                <w:sz w:val="18"/>
                <w:szCs w:val="18"/>
              </w:rPr>
              <w:t>个月激励对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象应在可解锁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日内按</w:t>
            </w:r>
            <w:r>
              <w:rPr>
                <w:rFonts w:ascii="宋体" w:hAnsi="宋体" w:cs="宋体" w:eastAsia="宋体" w:hint="default"/>
                <w:spacing w:val="-41"/>
                <w:sz w:val="18"/>
                <w:szCs w:val="18"/>
              </w:rPr>
              <w:t> </w:t>
            </w:r>
            <w:r>
              <w:rPr>
                <w:rFonts w:ascii="Times New Roman" w:hAnsi="Times New Roman" w:cs="Times New Roman" w:eastAsia="Times New Roman" w:hint="default"/>
                <w:spacing w:val="-3"/>
                <w:sz w:val="18"/>
                <w:szCs w:val="18"/>
              </w:rPr>
              <w:t>25%</w:t>
            </w:r>
            <w:r>
              <w:rPr>
                <w:rFonts w:ascii="宋体" w:hAnsi="宋体" w:cs="宋体" w:eastAsia="宋体" w:hint="default"/>
                <w:spacing w:val="-3"/>
                <w:sz w:val="18"/>
                <w:szCs w:val="18"/>
              </w:rPr>
              <w:t>、</w:t>
            </w:r>
            <w:r>
              <w:rPr>
                <w:rFonts w:ascii="宋体" w:hAnsi="宋体" w:cs="宋体" w:eastAsia="宋体" w:hint="default"/>
                <w:spacing w:val="-80"/>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p>
            <w:pPr>
              <w:pStyle w:val="TableParagraph"/>
              <w:spacing w:line="314" w:lineRule="auto" w:before="7"/>
              <w:ind w:left="23" w:right="84"/>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的解锁比</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例根据公司经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审计业绩情况</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和个人绩效考</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核情况分期解</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锁。详见公司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披露于巨潮资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讯网的《</w:t>
            </w:r>
            <w:r>
              <w:rPr>
                <w:rFonts w:ascii="Times New Roman" w:hAnsi="Times New Roman" w:cs="Times New Roman" w:eastAsia="Times New Roman" w:hint="default"/>
                <w:spacing w:val="-2"/>
                <w:sz w:val="18"/>
                <w:szCs w:val="18"/>
              </w:rPr>
              <w:t>2017</w:t>
            </w:r>
          </w:p>
        </w:tc>
      </w:tr>
    </w:tbl>
    <w:p>
      <w:pPr>
        <w:spacing w:after="0" w:line="314" w:lineRule="auto"/>
        <w:jc w:val="both"/>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11.380165pt;margin-top:106.099983pt;width:79.75pt;height:148.4pt;mso-position-horizontal-relative:page;mso-position-vertical-relative:page;z-index:-1110568" type="#_x0000_t202" filled="false" stroked="false">
            <v:textbox inset="0,0,0,0">
              <w:txbxContent>
                <w:p>
                  <w:pPr>
                    <w:pStyle w:val="BodyText"/>
                    <w:spacing w:line="240" w:lineRule="auto" w:before="53"/>
                    <w:ind w:left="0" w:right="0"/>
                    <w:jc w:val="left"/>
                  </w:pPr>
                  <w:r>
                    <w:rPr>
                      <w:w w:val="101"/>
                    </w:rPr>
                    <w:t>、</w:t>
                  </w:r>
                  <w:r>
                    <w:rPr/>
                  </w:r>
                </w:p>
                <w:p>
                  <w:pPr>
                    <w:pStyle w:val="BodyText"/>
                    <w:spacing w:line="240" w:lineRule="auto" w:before="77"/>
                    <w:ind w:left="0" w:right="0"/>
                    <w:jc w:val="left"/>
                  </w:pPr>
                  <w:r>
                    <w:rPr>
                      <w:w w:val="101"/>
                    </w:rPr>
                    <w:t>、</w:t>
                  </w:r>
                  <w:r>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47"/>
                    <w:ind w:left="0" w:right="0"/>
                    <w:jc w:val="left"/>
                  </w:pPr>
                  <w:r>
                    <w:rPr>
                      <w:w w:val="101"/>
                    </w:rPr>
                    <w:t>、</w:t>
                  </w:r>
                  <w:r>
                    <w:rPr/>
                  </w:r>
                </w:p>
              </w:txbxContent>
            </v:textbox>
            <w10:wrap type="none"/>
          </v:shape>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5"/>
        <w:gridCol w:w="405"/>
        <w:gridCol w:w="1083"/>
        <w:gridCol w:w="1489"/>
        <w:gridCol w:w="1488"/>
        <w:gridCol w:w="1489"/>
        <w:gridCol w:w="1205"/>
        <w:gridCol w:w="1205"/>
      </w:tblGrid>
      <w:tr>
        <w:trPr>
          <w:trHeight w:val="672" w:hRule="exact"/>
        </w:trPr>
        <w:tc>
          <w:tcPr>
            <w:tcW w:w="1205" w:type="dxa"/>
            <w:tcBorders>
              <w:top w:val="single" w:sz="4" w:space="0" w:color="000000"/>
              <w:left w:val="single" w:sz="4" w:space="0" w:color="000000"/>
              <w:bottom w:val="single" w:sz="4" w:space="0" w:color="000000"/>
              <w:right w:val="single" w:sz="4" w:space="0" w:color="000000"/>
            </w:tcBorders>
          </w:tcPr>
          <w:p>
            <w:pPr/>
          </w:p>
        </w:tc>
        <w:tc>
          <w:tcPr>
            <w:tcW w:w="1488" w:type="dxa"/>
            <w:gridSpan w:val="2"/>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0"/>
              <w:ind w:left="23" w:right="84"/>
              <w:jc w:val="left"/>
              <w:rPr>
                <w:rFonts w:ascii="宋体" w:hAnsi="宋体" w:cs="宋体" w:eastAsia="宋体" w:hint="default"/>
                <w:sz w:val="18"/>
                <w:szCs w:val="18"/>
              </w:rPr>
            </w:pPr>
            <w:r>
              <w:rPr>
                <w:rFonts w:ascii="宋体" w:hAnsi="宋体" w:cs="宋体" w:eastAsia="宋体" w:hint="default"/>
                <w:spacing w:val="-2"/>
                <w:sz w:val="18"/>
                <w:szCs w:val="18"/>
              </w:rPr>
              <w:t>年限制性股票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7"/>
                <w:w w:val="101"/>
                <w:sz w:val="18"/>
                <w:szCs w:val="18"/>
              </w:rPr>
              <w:t>激励计划》。</w:t>
            </w:r>
            <w:r>
              <w:rPr>
                <w:rFonts w:ascii="宋体" w:hAnsi="宋体" w:cs="宋体" w:eastAsia="宋体" w:hint="default"/>
                <w:spacing w:val="-17"/>
                <w:sz w:val="18"/>
                <w:szCs w:val="18"/>
              </w:rPr>
            </w:r>
          </w:p>
        </w:tc>
      </w:tr>
      <w:tr>
        <w:trPr>
          <w:trHeight w:val="6333"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84"/>
              <w:jc w:val="both"/>
              <w:rPr>
                <w:rFonts w:ascii="宋体" w:hAnsi="宋体" w:cs="宋体" w:eastAsia="宋体" w:hint="default"/>
                <w:sz w:val="18"/>
                <w:szCs w:val="18"/>
              </w:rPr>
            </w:pPr>
            <w:r>
              <w:rPr>
                <w:rFonts w:ascii="宋体" w:hAnsi="宋体" w:cs="宋体" w:eastAsia="宋体" w:hint="default"/>
                <w:spacing w:val="-6"/>
                <w:sz w:val="18"/>
                <w:szCs w:val="18"/>
              </w:rPr>
              <w:t>陶朦朦、胡斌</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5"/>
                <w:sz w:val="18"/>
                <w:szCs w:val="18"/>
              </w:rPr>
              <w:t>袁杰、柯金伟</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王大和、王媛</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媛、郑晓光、</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王进亮、潘钦</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员、李伟、梁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5"/>
                <w:sz w:val="18"/>
                <w:szCs w:val="18"/>
              </w:rPr>
              <w:t>富宏、刘双双</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何必航、杨明</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坤、黄国庆、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5"/>
                <w:sz w:val="18"/>
                <w:szCs w:val="18"/>
              </w:rPr>
              <w:t>宋杰、陆晓斌</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刘剑、李敏、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5"/>
                <w:sz w:val="18"/>
                <w:szCs w:val="18"/>
              </w:rPr>
              <w:t>高虎峰、陈涛</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5"/>
                <w:sz w:val="18"/>
                <w:szCs w:val="18"/>
              </w:rPr>
              <w:t>陈刚、伍小阶</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范成林、柴永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吉、周合军、</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马雄伟、卢敏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坚、李武、唐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杰、楼荣华、</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刁丁、李峰、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曾川、王瑛</w:t>
            </w:r>
          </w:p>
        </w:tc>
        <w:tc>
          <w:tcPr>
            <w:tcW w:w="405"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08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Times New Roman"/>
                <w:sz w:val="18"/>
              </w:rPr>
              <w:t>1,290,000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589,000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307,500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1,571,500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321" w:lineRule="auto"/>
              <w:ind w:left="23" w:right="84"/>
              <w:jc w:val="left"/>
              <w:rPr>
                <w:rFonts w:ascii="宋体" w:hAnsi="宋体" w:cs="宋体" w:eastAsia="宋体" w:hint="default"/>
                <w:sz w:val="18"/>
                <w:szCs w:val="18"/>
              </w:rPr>
            </w:pPr>
            <w:r>
              <w:rPr>
                <w:rFonts w:ascii="宋体" w:hAnsi="宋体" w:cs="宋体" w:eastAsia="宋体" w:hint="default"/>
                <w:spacing w:val="-2"/>
                <w:sz w:val="18"/>
                <w:szCs w:val="18"/>
              </w:rPr>
              <w:t>股权激励限售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4" w:lineRule="auto" w:before="111"/>
              <w:ind w:left="23" w:right="17"/>
              <w:jc w:val="left"/>
              <w:rPr>
                <w:rFonts w:ascii="宋体" w:hAnsi="宋体" w:cs="宋体" w:eastAsia="宋体" w:hint="default"/>
                <w:sz w:val="18"/>
                <w:szCs w:val="18"/>
              </w:rPr>
            </w:pPr>
            <w:r>
              <w:rPr>
                <w:rFonts w:ascii="宋体" w:hAnsi="宋体" w:cs="宋体" w:eastAsia="宋体" w:hint="default"/>
                <w:sz w:val="18"/>
                <w:szCs w:val="18"/>
              </w:rPr>
              <w:t>自授予日起满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个月，</w:t>
            </w:r>
            <w:r>
              <w:rPr>
                <w:rFonts w:ascii="Times New Roman" w:hAnsi="Times New Roman" w:cs="Times New Roman" w:eastAsia="Times New Roman" w:hint="default"/>
                <w:spacing w:val="-5"/>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r>
              <w:rPr>
                <w:rFonts w:ascii="宋体" w:hAnsi="宋体" w:cs="宋体" w:eastAsia="宋体" w:hint="default"/>
                <w:spacing w:val="-88"/>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48 </w:t>
            </w:r>
            <w:r>
              <w:rPr>
                <w:rFonts w:ascii="宋体" w:hAnsi="宋体" w:cs="宋体" w:eastAsia="宋体" w:hint="default"/>
                <w:sz w:val="18"/>
                <w:szCs w:val="18"/>
              </w:rPr>
              <w:t>个月激励对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象应在可解锁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日内按</w:t>
            </w:r>
            <w:r>
              <w:rPr>
                <w:rFonts w:ascii="宋体" w:hAnsi="宋体" w:cs="宋体" w:eastAsia="宋体" w:hint="default"/>
                <w:spacing w:val="-41"/>
                <w:sz w:val="18"/>
                <w:szCs w:val="18"/>
              </w:rPr>
              <w:t> </w:t>
            </w:r>
            <w:r>
              <w:rPr>
                <w:rFonts w:ascii="Times New Roman" w:hAnsi="Times New Roman" w:cs="Times New Roman" w:eastAsia="Times New Roman" w:hint="default"/>
                <w:spacing w:val="-3"/>
                <w:sz w:val="18"/>
                <w:szCs w:val="18"/>
              </w:rPr>
              <w:t>25%</w:t>
            </w:r>
            <w:r>
              <w:rPr>
                <w:rFonts w:ascii="宋体" w:hAnsi="宋体" w:cs="宋体" w:eastAsia="宋体" w:hint="default"/>
                <w:spacing w:val="-3"/>
                <w:sz w:val="18"/>
                <w:szCs w:val="18"/>
              </w:rPr>
              <w:t>、</w:t>
            </w:r>
            <w:r>
              <w:rPr>
                <w:rFonts w:ascii="宋体" w:hAnsi="宋体" w:cs="宋体" w:eastAsia="宋体" w:hint="default"/>
                <w:spacing w:val="-80"/>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p>
            <w:pPr>
              <w:pStyle w:val="TableParagraph"/>
              <w:spacing w:line="314" w:lineRule="auto" w:before="9"/>
              <w:ind w:left="23" w:right="84"/>
              <w:jc w:val="both"/>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的解锁比</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例根据公司经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审计业绩情况</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和个人绩效考</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核情况分期解</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锁。详见公司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披露于巨潮资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讯网的《</w:t>
            </w:r>
            <w:r>
              <w:rPr>
                <w:rFonts w:ascii="Times New Roman" w:hAnsi="Times New Roman" w:cs="Times New Roman" w:eastAsia="Times New Roman" w:hint="default"/>
                <w:spacing w:val="-2"/>
                <w:sz w:val="18"/>
                <w:szCs w:val="18"/>
              </w:rPr>
              <w:t>2017</w:t>
            </w:r>
            <w:r>
              <w:rPr>
                <w:rFonts w:ascii="Times New Roman" w:hAnsi="Times New Roman" w:cs="Times New Roman" w:eastAsia="Times New Roman" w:hint="default"/>
                <w:spacing w:val="-26"/>
                <w:sz w:val="18"/>
                <w:szCs w:val="18"/>
              </w:rPr>
              <w:t> </w:t>
            </w:r>
            <w:r>
              <w:rPr>
                <w:rFonts w:ascii="Times New Roman" w:hAnsi="Times New Roman" w:cs="Times New Roman" w:eastAsia="Times New Roman" w:hint="default"/>
                <w:spacing w:val="-26"/>
                <w:sz w:val="18"/>
                <w:szCs w:val="18"/>
              </w:rPr>
            </w:r>
            <w:r>
              <w:rPr>
                <w:rFonts w:ascii="宋体" w:hAnsi="宋体" w:cs="宋体" w:eastAsia="宋体" w:hint="default"/>
                <w:spacing w:val="-2"/>
                <w:sz w:val="18"/>
                <w:szCs w:val="18"/>
              </w:rPr>
              <w:t>年限制性股票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7"/>
                <w:w w:val="101"/>
                <w:sz w:val="18"/>
                <w:szCs w:val="18"/>
              </w:rPr>
              <w:t>激励计划》。</w:t>
            </w:r>
            <w:r>
              <w:rPr>
                <w:rFonts w:ascii="宋体" w:hAnsi="宋体" w:cs="宋体" w:eastAsia="宋体" w:hint="default"/>
                <w:spacing w:val="-17"/>
                <w:sz w:val="18"/>
                <w:szCs w:val="18"/>
              </w:rPr>
            </w:r>
          </w:p>
        </w:tc>
      </w:tr>
      <w:tr>
        <w:trPr>
          <w:trHeight w:val="403" w:hRule="exact"/>
        </w:trPr>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88"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left="633" w:right="0"/>
              <w:jc w:val="left"/>
              <w:rPr>
                <w:rFonts w:ascii="Times New Roman" w:hAnsi="Times New Roman" w:cs="Times New Roman" w:eastAsia="Times New Roman" w:hint="default"/>
                <w:sz w:val="18"/>
                <w:szCs w:val="18"/>
              </w:rPr>
            </w:pPr>
            <w:r>
              <w:rPr>
                <w:rFonts w:ascii="Times New Roman"/>
                <w:sz w:val="18"/>
              </w:rPr>
              <w:t>53,820,000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22,205,000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71,779,500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4,245,500</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2"/>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r>
        <w:rPr/>
        <w:pict>
          <v:shape style="position:absolute;margin-left:111.383041pt;margin-top:-180.35437pt;width:79.75pt;height:148.15pt;mso-position-horizontal-relative:page;mso-position-vertical-relative:paragraph;z-index:-1110544" type="#_x0000_t202" filled="false" stroked="false">
            <v:textbox inset="0,0,0,0">
              <w:txbxContent>
                <w:p>
                  <w:pPr>
                    <w:pStyle w:val="BodyText"/>
                    <w:spacing w:line="240" w:lineRule="auto" w:before="125"/>
                    <w:ind w:left="0" w:right="0"/>
                    <w:jc w:val="left"/>
                  </w:pPr>
                  <w:r>
                    <w:rPr>
                      <w:w w:val="101"/>
                    </w:rPr>
                    <w:t>、</w:t>
                  </w:r>
                  <w:r>
                    <w:rPr/>
                  </w:r>
                </w:p>
                <w:p>
                  <w:pPr>
                    <w:pStyle w:val="BodyText"/>
                    <w:spacing w:line="240" w:lineRule="auto" w:before="77"/>
                    <w:ind w:left="0" w:right="0"/>
                    <w:jc w:val="left"/>
                  </w:pPr>
                  <w:r>
                    <w:rPr>
                      <w:w w:val="101"/>
                    </w:rPr>
                    <w:t>、</w:t>
                  </w:r>
                  <w:r>
                    <w:rPr/>
                  </w:r>
                </w:p>
              </w:txbxContent>
            </v:textbox>
            <w10:wrap type="none"/>
          </v:shape>
        </w:pict>
      </w:r>
      <w:r>
        <w:rPr/>
        <w:pict>
          <v:group style="position:absolute;margin-left:117.410004pt;margin-top:-348.404358pt;width:73.75pt;height:316.2pt;mso-position-horizontal-relative:page;mso-position-vertical-relative:paragraph;z-index:-1110520" coordorigin="2348,-6968" coordsize="1475,6324">
            <v:group style="position:absolute;left:2348;top:-6968;width:1475;height:2968" coordorigin="2348,-6968" coordsize="1475,2968">
              <v:shape style="position:absolute;left:2348;top:-6968;width:1475;height:2968" coordorigin="2348,-6968" coordsize="1475,2968" path="m2348,-4001l3822,-4001,3822,-6968,2348,-6968,2348,-4001xe" filled="true" fillcolor="#ffffff" stroked="false">
                <v:path arrowok="t"/>
                <v:fill type="solid"/>
              </v:shape>
            </v:group>
            <v:group style="position:absolute;left:2358;top:-4001;width:2;height:394" coordorigin="2358,-4001" coordsize="2,394">
              <v:shape style="position:absolute;left:2358;top:-4001;width:2;height:394" coordorigin="2358,-4001" coordsize="0,394" path="m2358,-4001l2358,-3607e" filled="false" stroked="true" strokeweight=".96pt" strokecolor="#ffffff">
                <v:path arrowok="t"/>
              </v:shape>
            </v:group>
            <v:group style="position:absolute;left:2348;top:-3607;width:1475;height:2963" coordorigin="2348,-3607" coordsize="1475,2963">
              <v:shape style="position:absolute;left:2348;top:-3607;width:1475;height:2963" coordorigin="2348,-3607" coordsize="1475,2963" path="m2348,-644l3822,-644,3822,-3607,2348,-3607,2348,-644xe" filled="true" fillcolor="#ffffff" stroked="false">
                <v:path arrowok="t"/>
                <v:fill type="solid"/>
              </v:shape>
            </v:group>
            <v:group style="position:absolute;left:2367;top:-4001;width:1436;height:394" coordorigin="2367,-4001" coordsize="1436,394">
              <v:shape style="position:absolute;left:2367;top:-4001;width:1436;height:394" coordorigin="2367,-4001" coordsize="1436,394" path="m2367,-3607l3803,-3607,3803,-4001,2367,-4001,2367,-3607xe" filled="true" fillcolor="#ffffff" stroked="false">
                <v:path arrowok="t"/>
                <v:fill type="solid"/>
              </v:shape>
            </v:group>
            <w10:wrap type="none"/>
          </v:group>
        </w:pict>
      </w:r>
      <w:bookmarkStart w:name="二、证券发行与上市情况" w:id="109"/>
      <w:bookmarkEnd w:id="109"/>
      <w:r>
        <w:rPr>
          <w:b w:val="0"/>
          <w:bCs w:val="0"/>
        </w:rPr>
      </w: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报告期内证券发行（不含优先股）情况" w:id="110"/>
      <w:bookmarkEnd w:id="110"/>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412"/>
        <w:gridCol w:w="1296"/>
        <w:gridCol w:w="1292"/>
        <w:gridCol w:w="1296"/>
        <w:gridCol w:w="1296"/>
        <w:gridCol w:w="1297"/>
        <w:gridCol w:w="1685"/>
      </w:tblGrid>
      <w:tr>
        <w:trPr>
          <w:trHeight w:val="716" w:hRule="exact"/>
        </w:trPr>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432" w:right="65" w:hanging="360"/>
              <w:jc w:val="left"/>
              <w:rPr>
                <w:rFonts w:ascii="宋体" w:hAnsi="宋体" w:cs="宋体" w:eastAsia="宋体" w:hint="default"/>
                <w:sz w:val="18"/>
                <w:szCs w:val="18"/>
              </w:rPr>
            </w:pPr>
            <w:r>
              <w:rPr>
                <w:rFonts w:ascii="宋体" w:hAnsi="宋体" w:cs="宋体" w:eastAsia="宋体" w:hint="default"/>
                <w:spacing w:val="-3"/>
                <w:sz w:val="18"/>
                <w:szCs w:val="18"/>
              </w:rPr>
              <w:t>股票及其衍生证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券名称</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460" w:right="12" w:hanging="437"/>
              <w:jc w:val="left"/>
              <w:rPr>
                <w:rFonts w:ascii="宋体" w:hAnsi="宋体" w:cs="宋体" w:eastAsia="宋体" w:hint="default"/>
                <w:sz w:val="18"/>
                <w:szCs w:val="18"/>
              </w:rPr>
            </w:pPr>
            <w:r>
              <w:rPr>
                <w:rFonts w:ascii="宋体" w:hAnsi="宋体" w:cs="宋体" w:eastAsia="宋体" w:hint="default"/>
                <w:spacing w:val="-5"/>
                <w:sz w:val="18"/>
                <w:szCs w:val="18"/>
              </w:rPr>
              <w:t>发行价格（或利</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461" w:right="99" w:hanging="361"/>
              <w:jc w:val="left"/>
              <w:rPr>
                <w:rFonts w:ascii="宋体" w:hAnsi="宋体" w:cs="宋体" w:eastAsia="宋体" w:hint="default"/>
                <w:sz w:val="18"/>
                <w:szCs w:val="18"/>
              </w:rPr>
            </w:pPr>
            <w:r>
              <w:rPr>
                <w:rFonts w:ascii="宋体" w:hAnsi="宋体" w:cs="宋体" w:eastAsia="宋体" w:hint="default"/>
                <w:spacing w:val="-2"/>
                <w:sz w:val="18"/>
                <w:szCs w:val="18"/>
              </w:rPr>
              <w:t>获准上市交易</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数量</w:t>
            </w:r>
          </w:p>
        </w:tc>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3"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5"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3"/>
              <w:jc w:val="left"/>
              <w:rPr>
                <w:rFonts w:ascii="宋体" w:hAnsi="宋体" w:cs="宋体" w:eastAsia="宋体" w:hint="default"/>
                <w:sz w:val="18"/>
                <w:szCs w:val="18"/>
              </w:rPr>
            </w:pPr>
            <w:r>
              <w:rPr>
                <w:rFonts w:ascii="宋体" w:hAnsi="宋体" w:cs="宋体" w:eastAsia="宋体" w:hint="default"/>
                <w:spacing w:val="-3"/>
                <w:sz w:val="18"/>
                <w:szCs w:val="18"/>
              </w:rPr>
              <w:t>股权激励限制性</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股票</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24.18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7" w:right="0"/>
              <w:jc w:val="left"/>
              <w:rPr>
                <w:rFonts w:ascii="Times New Roman" w:hAnsi="Times New Roman" w:cs="Times New Roman" w:eastAsia="Times New Roman" w:hint="default"/>
                <w:sz w:val="18"/>
                <w:szCs w:val="18"/>
              </w:rPr>
            </w:pPr>
            <w:r>
              <w:rPr>
                <w:rFonts w:ascii="Times New Roman"/>
                <w:sz w:val="18"/>
              </w:rPr>
              <w:t>700,000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05</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7" w:right="0"/>
              <w:jc w:val="left"/>
              <w:rPr>
                <w:rFonts w:ascii="Times New Roman" w:hAnsi="Times New Roman" w:cs="Times New Roman" w:eastAsia="Times New Roman" w:hint="default"/>
                <w:sz w:val="18"/>
                <w:szCs w:val="18"/>
              </w:rPr>
            </w:pPr>
            <w:r>
              <w:rPr>
                <w:rFonts w:ascii="Times New Roman"/>
                <w:sz w:val="18"/>
              </w:rPr>
              <w:t>700,000</w:t>
            </w: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可转换公司债券、分离交易的可转换公司债券、公司债类</w:t>
            </w:r>
          </w:p>
        </w:tc>
      </w:tr>
      <w:tr>
        <w:trPr>
          <w:trHeight w:val="403"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其他衍生证券类</w:t>
            </w:r>
          </w:p>
        </w:tc>
      </w:tr>
    </w:tbl>
    <w:p>
      <w:pPr>
        <w:pStyle w:val="BodyText"/>
        <w:spacing w:line="240" w:lineRule="auto" w:before="53"/>
        <w:ind w:right="0"/>
        <w:jc w:val="both"/>
      </w:pPr>
      <w:r>
        <w:rPr>
          <w:spacing w:val="-3"/>
        </w:rPr>
        <w:t>报告期内证券发行（不含优先股）情况的说明</w:t>
      </w:r>
    </w:p>
    <w:p>
      <w:pPr>
        <w:pStyle w:val="BodyText"/>
        <w:spacing w:line="300" w:lineRule="auto" w:before="115"/>
        <w:ind w:right="1122"/>
        <w:jc w:val="both"/>
      </w:pPr>
      <w:r>
        <w:rPr/>
        <w:t>公司于</w:t>
      </w:r>
      <w:r>
        <w:rPr>
          <w:spacing w:val="1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w:t>
      </w:r>
      <w:r>
        <w:rPr>
          <w:spacing w:val="13"/>
        </w:rPr>
        <w:t> </w:t>
      </w:r>
      <w:r>
        <w:rPr>
          <w:rFonts w:ascii="Times New Roman" w:hAnsi="Times New Roman" w:cs="Times New Roman" w:eastAsia="Times New Roman" w:hint="default"/>
          <w:spacing w:val="-3"/>
        </w:rPr>
        <w:t>1</w:t>
      </w:r>
      <w:r>
        <w:rPr>
          <w:spacing w:val="-3"/>
        </w:rPr>
        <w:t>月</w:t>
      </w:r>
      <w:r>
        <w:rPr>
          <w:spacing w:val="13"/>
        </w:rPr>
        <w:t> </w:t>
      </w:r>
      <w:r>
        <w:rPr>
          <w:rFonts w:ascii="Times New Roman" w:hAnsi="Times New Roman" w:cs="Times New Roman" w:eastAsia="Times New Roman" w:hint="default"/>
        </w:rPr>
        <w:t>3</w:t>
      </w:r>
      <w:r>
        <w:rPr>
          <w:rFonts w:ascii="Times New Roman" w:hAnsi="Times New Roman" w:cs="Times New Roman" w:eastAsia="Times New Roman" w:hint="default"/>
          <w:spacing w:val="13"/>
        </w:rPr>
        <w:t> </w:t>
      </w:r>
      <w:r>
        <w:rPr>
          <w:spacing w:val="-5"/>
        </w:rPr>
        <w:t>日召开了第二届董事会第十四次会议，审议通过了《关于向激励对象授予</w:t>
      </w:r>
      <w:r>
        <w:rPr>
          <w:rFonts w:ascii="Times New Roman" w:hAnsi="Times New Roman" w:cs="Times New Roman" w:eastAsia="Times New Roman" w:hint="default"/>
          <w:spacing w:val="-5"/>
        </w:rPr>
        <w:t>2017</w:t>
      </w:r>
      <w:r>
        <w:rPr>
          <w:spacing w:val="-5"/>
        </w:rPr>
        <w:t>年预留限制性股票的议</w:t>
      </w:r>
      <w:r>
        <w:rPr>
          <w:spacing w:val="-83"/>
        </w:rPr>
        <w:t> </w:t>
      </w:r>
      <w:r>
        <w:rPr>
          <w:spacing w:val="-83"/>
        </w:rPr>
      </w:r>
      <w:r>
        <w:rPr>
          <w:spacing w:val="-4"/>
        </w:rPr>
        <w:t>案》，监事会召开第二届监事会第十二次会议，审议通过了《关于向激励对象授予</w:t>
      </w:r>
      <w:r>
        <w:rPr>
          <w:rFonts w:ascii="Times New Roman" w:hAnsi="Times New Roman" w:cs="Times New Roman" w:eastAsia="Times New Roman" w:hint="default"/>
          <w:spacing w:val="-4"/>
        </w:rPr>
        <w:t>2017</w:t>
      </w:r>
      <w:r>
        <w:rPr>
          <w:spacing w:val="-4"/>
        </w:rPr>
        <w:t>年预留限制性股票的议案》。同意向</w:t>
      </w:r>
      <w:r>
        <w:rPr>
          <w:spacing w:val="48"/>
        </w:rPr>
        <w:t> </w:t>
      </w:r>
      <w:r>
        <w:rPr>
          <w:spacing w:val="48"/>
        </w:rPr>
      </w:r>
      <w:r>
        <w:rPr>
          <w:rFonts w:ascii="Times New Roman" w:hAnsi="Times New Roman" w:cs="Times New Roman" w:eastAsia="Times New Roman" w:hint="default"/>
          <w:spacing w:val="-3"/>
        </w:rPr>
        <w:t>9</w:t>
      </w:r>
      <w:r>
        <w:rPr>
          <w:spacing w:val="-3"/>
        </w:rPr>
        <w:t>名激励对象授予</w:t>
      </w:r>
      <w:r>
        <w:rPr>
          <w:rFonts w:ascii="Times New Roman" w:hAnsi="Times New Roman" w:cs="Times New Roman" w:eastAsia="Times New Roman" w:hint="default"/>
          <w:spacing w:val="-3"/>
        </w:rPr>
        <w:t>70</w:t>
      </w:r>
      <w:r>
        <w:rPr>
          <w:spacing w:val="-3"/>
        </w:rPr>
        <w:t>万股预留限制性股票，公司于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4</w:t>
      </w:r>
      <w:r>
        <w:rPr>
          <w:spacing w:val="-3"/>
        </w:rPr>
        <w:t>日在中国证券登记结算公司有限公司深圳分公司办理完成了预</w:t>
      </w:r>
      <w:r>
        <w:rPr>
          <w:spacing w:val="81"/>
        </w:rPr>
        <w:t> </w:t>
      </w:r>
      <w:r>
        <w:rPr>
          <w:spacing w:val="81"/>
        </w:rPr>
      </w:r>
      <w:r>
        <w:rPr>
          <w:spacing w:val="-3"/>
        </w:rPr>
        <w:t>留限制性股票的授予工作。详见巨潮资讯网（</w:t>
      </w:r>
      <w:hyperlink r:id="rId11">
        <w:r>
          <w:rPr>
            <w:rFonts w:ascii="Times New Roman" w:hAnsi="Times New Roman" w:cs="Times New Roman" w:eastAsia="Times New Roman" w:hint="default"/>
            <w:spacing w:val="-3"/>
          </w:rPr>
          <w:t>http://www.cninfo.com.cn</w:t>
        </w:r>
      </w:hyperlink>
      <w:r>
        <w:rPr>
          <w:spacing w:val="-3"/>
        </w:rPr>
        <w:t>）《关于预留限制性股票授予完成的公告》（公告编</w:t>
      </w:r>
      <w:r>
        <w:rPr>
          <w:spacing w:val="16"/>
        </w:rPr>
        <w:t> </w:t>
      </w:r>
      <w:r>
        <w:rPr>
          <w:spacing w:val="16"/>
        </w:rPr>
      </w:r>
      <w:r>
        <w:rPr/>
        <w:t>号：</w:t>
      </w:r>
      <w:r>
        <w:rPr>
          <w:rFonts w:ascii="Times New Roman" w:hAnsi="Times New Roman" w:cs="Times New Roman" w:eastAsia="Times New Roman" w:hint="default"/>
        </w:rPr>
        <w:t>2019-014</w:t>
      </w:r>
      <w:r>
        <w:rPr/>
        <w:t>）</w:t>
      </w:r>
    </w:p>
    <w:p>
      <w:pPr>
        <w:spacing w:after="0" w:line="300" w:lineRule="auto"/>
        <w:jc w:val="both"/>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91"/>
        <w:ind w:right="0"/>
        <w:jc w:val="left"/>
        <w:rPr>
          <w:b w:val="0"/>
          <w:bCs w:val="0"/>
        </w:rPr>
      </w:pPr>
      <w:bookmarkStart w:name="2、公司股份总数及股东结构的变动、公司资产和负债结构的变动情况说明" w:id="111"/>
      <w:bookmarkEnd w:id="111"/>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10"/>
        <w:rPr>
          <w:rFonts w:ascii="宋体" w:hAnsi="宋体" w:cs="宋体" w:eastAsia="宋体" w:hint="default"/>
          <w:b/>
          <w:bCs/>
          <w:sz w:val="26"/>
          <w:szCs w:val="26"/>
        </w:rPr>
      </w:pPr>
    </w:p>
    <w:p>
      <w:pPr>
        <w:pStyle w:val="BodyText"/>
        <w:spacing w:line="319" w:lineRule="auto"/>
        <w:ind w:right="103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rFonts w:ascii="Times New Roman" w:hAnsi="Times New Roman" w:cs="Times New Roman" w:eastAsia="Times New Roman" w:hint="default"/>
          <w:spacing w:val="-3"/>
        </w:rPr>
        <w:t>1</w:t>
      </w:r>
      <w:r>
        <w:rPr>
          <w:spacing w:val="-3"/>
        </w:rPr>
        <w:t>、根据股东大会的授权，公司及时在中国证券登记结算公司有限公司深圳分公司办理了限制性股票的预留授予登记工作，</w:t>
      </w:r>
      <w:r>
        <w:rPr>
          <w:spacing w:val="75"/>
        </w:rPr>
        <w:t> </w:t>
      </w:r>
      <w:r>
        <w:rPr>
          <w:spacing w:val="75"/>
        </w:rPr>
      </w:r>
      <w:r>
        <w:rPr>
          <w:spacing w:val="-2"/>
        </w:rPr>
        <w:t>限制性股票授予日为</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3</w:t>
      </w:r>
      <w:r>
        <w:rPr>
          <w:spacing w:val="-2"/>
        </w:rPr>
        <w:t>日，授予股份的上市日期为</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5</w:t>
      </w:r>
      <w:r>
        <w:rPr>
          <w:spacing w:val="-2"/>
        </w:rPr>
        <w:t>日。首次授予完成后公司总股本由</w:t>
      </w:r>
      <w:r>
        <w:rPr>
          <w:rFonts w:ascii="Times New Roman" w:hAnsi="Times New Roman" w:cs="Times New Roman" w:eastAsia="Times New Roman" w:hint="default"/>
          <w:spacing w:val="-2"/>
        </w:rPr>
        <w:t>83,090,000</w:t>
      </w:r>
      <w:r>
        <w:rPr>
          <w:spacing w:val="-2"/>
        </w:rPr>
        <w:t>股变为</w:t>
      </w:r>
    </w:p>
    <w:p>
      <w:pPr>
        <w:pStyle w:val="BodyText"/>
        <w:spacing w:line="246" w:lineRule="exact"/>
        <w:ind w:right="0"/>
        <w:jc w:val="left"/>
      </w:pPr>
      <w:r>
        <w:rPr>
          <w:rFonts w:ascii="Times New Roman" w:hAnsi="Times New Roman" w:cs="Times New Roman" w:eastAsia="Times New Roman" w:hint="default"/>
        </w:rPr>
        <w:t>83,790,000</w:t>
      </w:r>
      <w:r>
        <w:rPr/>
        <w:t>股。</w:t>
      </w:r>
    </w:p>
    <w:p>
      <w:pPr>
        <w:pStyle w:val="BodyText"/>
        <w:spacing w:line="240" w:lineRule="auto" w:before="63"/>
        <w:ind w:right="0"/>
        <w:jc w:val="left"/>
      </w:pPr>
      <w:r>
        <w:rPr>
          <w:rFonts w:ascii="Times New Roman" w:hAnsi="Times New Roman" w:cs="Times New Roman" w:eastAsia="Times New Roman" w:hint="default"/>
        </w:rPr>
        <w:t>2</w:t>
      </w:r>
      <w:r>
        <w:rPr/>
        <w:t>、经公司</w:t>
      </w:r>
      <w:r>
        <w:rPr>
          <w:rFonts w:ascii="Times New Roman" w:hAnsi="Times New Roman" w:cs="Times New Roman" w:eastAsia="Times New Roman" w:hint="default"/>
        </w:rPr>
        <w:t>2018</w:t>
      </w:r>
      <w:r>
        <w:rPr/>
        <w:t>年年度股东大会同意，</w:t>
      </w:r>
      <w:r>
        <w:rPr>
          <w:rFonts w:ascii="Times New Roman" w:hAnsi="Times New Roman" w:cs="Times New Roman" w:eastAsia="Times New Roman" w:hint="default"/>
        </w:rPr>
        <w:t>2018</w:t>
      </w:r>
      <w:r>
        <w:rPr/>
        <w:t>年的利润分配方案为以实施 </w:t>
      </w:r>
      <w:r>
        <w:rPr>
          <w:rFonts w:ascii="Times New Roman" w:hAnsi="Times New Roman" w:cs="Times New Roman" w:eastAsia="Times New Roman" w:hint="default"/>
        </w:rPr>
        <w:t>2018 </w:t>
      </w:r>
      <w:r>
        <w:rPr>
          <w:rFonts w:ascii="Times New Roman" w:hAnsi="Times New Roman" w:cs="Times New Roman" w:eastAsia="Times New Roman" w:hint="default"/>
          <w:spacing w:val="5"/>
        </w:rPr>
        <w:t> </w:t>
      </w:r>
      <w:r>
        <w:rPr/>
        <w:t>年年度权益分配方案时股权登记日享有利润分</w:t>
      </w:r>
    </w:p>
    <w:p>
      <w:pPr>
        <w:pStyle w:val="BodyText"/>
        <w:spacing w:line="240" w:lineRule="auto" w:before="63"/>
        <w:ind w:right="0"/>
        <w:jc w:val="left"/>
      </w:pPr>
      <w:r>
        <w:rPr/>
        <w:t>配、公积金转增股本权利的总股本为基数，向全体股东每 </w:t>
      </w:r>
      <w:r>
        <w:rPr>
          <w:rFonts w:ascii="Times New Roman" w:hAnsi="Times New Roman" w:cs="Times New Roman" w:eastAsia="Times New Roman" w:hint="default"/>
        </w:rPr>
        <w:t>10  </w:t>
      </w:r>
      <w:r>
        <w:rPr/>
        <w:t>股派发现金红利 </w:t>
      </w:r>
      <w:r>
        <w:rPr>
          <w:rFonts w:ascii="Times New Roman" w:hAnsi="Times New Roman" w:cs="Times New Roman" w:eastAsia="Times New Roman" w:hint="default"/>
        </w:rPr>
        <w:t>0.75  </w:t>
      </w:r>
      <w:r>
        <w:rPr/>
        <w:t>元（含税）、以资本公积金每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spacing w:val="-5"/>
        </w:rPr>
        <w:t>股转</w:t>
      </w:r>
      <w:r>
        <w:rPr/>
      </w:r>
    </w:p>
    <w:p>
      <w:pPr>
        <w:pStyle w:val="BodyText"/>
        <w:spacing w:line="300" w:lineRule="auto" w:before="63"/>
        <w:ind w:right="0"/>
        <w:jc w:val="left"/>
      </w:pPr>
      <w:r>
        <w:rPr/>
        <w:t>增 </w:t>
      </w:r>
      <w:r>
        <w:rPr>
          <w:rFonts w:ascii="Times New Roman" w:hAnsi="Times New Roman" w:cs="Times New Roman" w:eastAsia="Times New Roman" w:hint="default"/>
        </w:rPr>
        <w:t>4 </w:t>
      </w:r>
      <w:r>
        <w:rPr>
          <w:spacing w:val="-2"/>
        </w:rPr>
        <w:t>股、不送红股。权益分派方案已经于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17</w:t>
      </w:r>
      <w:r>
        <w:rPr>
          <w:spacing w:val="-2"/>
        </w:rPr>
        <w:t>日实施完毕，公司总股本由</w:t>
      </w:r>
      <w:r>
        <w:rPr>
          <w:rFonts w:ascii="Times New Roman" w:hAnsi="Times New Roman" w:cs="Times New Roman" w:eastAsia="Times New Roman" w:hint="default"/>
          <w:spacing w:val="-2"/>
        </w:rPr>
        <w:t>83,790,000</w:t>
      </w:r>
      <w:r>
        <w:rPr>
          <w:spacing w:val="-2"/>
        </w:rPr>
        <w:t>股增加至</w:t>
      </w:r>
      <w:r>
        <w:rPr>
          <w:rFonts w:ascii="Times New Roman" w:hAnsi="Times New Roman" w:cs="Times New Roman" w:eastAsia="Times New Roman" w:hint="default"/>
          <w:spacing w:val="-2"/>
        </w:rPr>
        <w:t>117,306,000</w:t>
      </w:r>
      <w:r>
        <w:rPr>
          <w:spacing w:val="-2"/>
        </w:rPr>
        <w:t>股。</w:t>
      </w:r>
      <w:r>
        <w:rPr>
          <w:spacing w:val="-45"/>
        </w:rPr>
        <w:t> </w:t>
      </w:r>
      <w:r>
        <w:rPr>
          <w:spacing w:val="-3"/>
        </w:rPr>
        <w:t>上述变化，对公司资产和负债结构不构成重大影响。</w:t>
      </w:r>
    </w:p>
    <w:p>
      <w:pPr>
        <w:spacing w:line="240" w:lineRule="auto" w:before="7"/>
        <w:rPr>
          <w:rFonts w:ascii="宋体" w:hAnsi="宋体" w:cs="宋体" w:eastAsia="宋体" w:hint="default"/>
          <w:sz w:val="23"/>
          <w:szCs w:val="23"/>
        </w:rPr>
      </w:pPr>
    </w:p>
    <w:p>
      <w:pPr>
        <w:pStyle w:val="Heading4"/>
        <w:spacing w:line="240" w:lineRule="auto"/>
        <w:ind w:right="0"/>
        <w:jc w:val="left"/>
        <w:rPr>
          <w:b w:val="0"/>
          <w:bCs w:val="0"/>
        </w:rPr>
      </w:pPr>
      <w:bookmarkStart w:name="3、现存的内部职工股情况" w:id="112"/>
      <w:bookmarkEnd w:id="112"/>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三、股东和实际控制人情况" w:id="113"/>
      <w:bookmarkEnd w:id="113"/>
      <w:r>
        <w:rPr>
          <w:b w:val="0"/>
          <w:bCs w:val="0"/>
        </w:rPr>
      </w:r>
      <w:r>
        <w:rPr/>
        <w:t>三、股东和实际控制人情况</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0"/>
        <w:jc w:val="left"/>
        <w:rPr>
          <w:b w:val="0"/>
          <w:bCs w:val="0"/>
        </w:rPr>
      </w:pPr>
      <w:bookmarkStart w:name="1、公司股东数量及持股情况" w:id="114"/>
      <w:bookmarkEnd w:id="114"/>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pict>
          <v:group style="position:absolute;margin-left:329.640015pt;margin-top:68.131714pt;width:52.85pt;height:31.2pt;mso-position-horizontal-relative:page;mso-position-vertical-relative:paragraph;z-index:-1110496" coordorigin="6593,1363" coordsize="1057,624">
            <v:shape style="position:absolute;left:6593;top:1363;width:1057;height:624" coordorigin="6593,1363" coordsize="1057,624" path="m6593,1987l7649,1987,7649,1363,6593,1363,6593,1987xe" filled="true" fillcolor="#ffffff" stroked="false">
              <v:path arrowok="t"/>
              <v:fill type="solid"/>
            </v:shape>
            <w10:wrap type="none"/>
          </v:group>
        </w:pict>
      </w:r>
      <w:r>
        <w:rPr>
          <w:spacing w:val="-2"/>
        </w:rPr>
        <w:t>单位：股</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1"/>
        <w:gridCol w:w="1202"/>
        <w:gridCol w:w="921"/>
        <w:gridCol w:w="1076"/>
        <w:gridCol w:w="1049"/>
        <w:gridCol w:w="1078"/>
        <w:gridCol w:w="916"/>
        <w:gridCol w:w="1065"/>
        <w:gridCol w:w="1067"/>
      </w:tblGrid>
      <w:tr>
        <w:trPr>
          <w:trHeight w:val="163" w:hRule="exact"/>
        </w:trPr>
        <w:tc>
          <w:tcPr>
            <w:tcW w:w="1201" w:type="dxa"/>
            <w:vMerge w:val="restart"/>
            <w:tcBorders>
              <w:top w:val="single" w:sz="4" w:space="0" w:color="000000"/>
              <w:left w:val="single" w:sz="4" w:space="0" w:color="000000"/>
              <w:right w:val="single" w:sz="4" w:space="0" w:color="000000"/>
            </w:tcBorders>
            <w:shd w:val="clear" w:color="auto" w:fill="D2D2D2"/>
          </w:tcPr>
          <w:p>
            <w:pPr/>
          </w:p>
        </w:tc>
        <w:tc>
          <w:tcPr>
            <w:tcW w:w="1202" w:type="dxa"/>
            <w:vMerge w:val="restart"/>
            <w:tcBorders>
              <w:top w:val="single" w:sz="4" w:space="0" w:color="000000"/>
              <w:left w:val="single" w:sz="8"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672" w:right="0"/>
              <w:jc w:val="left"/>
              <w:rPr>
                <w:rFonts w:ascii="Times New Roman" w:hAnsi="Times New Roman" w:cs="Times New Roman" w:eastAsia="Times New Roman" w:hint="default"/>
                <w:sz w:val="18"/>
                <w:szCs w:val="18"/>
              </w:rPr>
            </w:pPr>
            <w:r>
              <w:rPr>
                <w:rFonts w:ascii="Times New Roman"/>
                <w:sz w:val="18"/>
              </w:rPr>
              <w:t>11,649</w:t>
            </w:r>
          </w:p>
        </w:tc>
        <w:tc>
          <w:tcPr>
            <w:tcW w:w="92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17" w:right="166"/>
              <w:jc w:val="both"/>
              <w:rPr>
                <w:rFonts w:ascii="宋体" w:hAnsi="宋体" w:cs="宋体" w:eastAsia="宋体" w:hint="default"/>
                <w:sz w:val="18"/>
                <w:szCs w:val="18"/>
              </w:rPr>
            </w:pPr>
            <w:r>
              <w:rPr>
                <w:rFonts w:ascii="宋体" w:hAnsi="宋体" w:cs="宋体" w:eastAsia="宋体" w:hint="default"/>
                <w:sz w:val="18"/>
                <w:szCs w:val="18"/>
              </w:rPr>
              <w:t>年度报告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上一月末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普通股股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东总数</w:t>
            </w:r>
          </w:p>
        </w:tc>
        <w:tc>
          <w:tcPr>
            <w:tcW w:w="1076" w:type="dxa"/>
            <w:vMerge w:val="restart"/>
            <w:tcBorders>
              <w:top w:val="single" w:sz="4" w:space="0" w:color="000000"/>
              <w:left w:val="single" w:sz="8"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628" w:right="0"/>
              <w:jc w:val="left"/>
              <w:rPr>
                <w:rFonts w:ascii="Times New Roman" w:hAnsi="Times New Roman" w:cs="Times New Roman" w:eastAsia="Times New Roman" w:hint="default"/>
                <w:sz w:val="18"/>
                <w:szCs w:val="18"/>
              </w:rPr>
            </w:pPr>
            <w:r>
              <w:rPr>
                <w:rFonts w:ascii="Times New Roman"/>
                <w:sz w:val="18"/>
              </w:rPr>
              <w:t>9,249</w:t>
            </w:r>
          </w:p>
        </w:tc>
        <w:tc>
          <w:tcPr>
            <w:tcW w:w="104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18" w:right="117"/>
              <w:jc w:val="both"/>
              <w:rPr>
                <w:rFonts w:ascii="宋体" w:hAnsi="宋体" w:cs="宋体" w:eastAsia="宋体" w:hint="default"/>
                <w:sz w:val="18"/>
                <w:szCs w:val="18"/>
              </w:rPr>
            </w:pPr>
            <w:r>
              <w:rPr>
                <w:rFonts w:ascii="宋体" w:hAnsi="宋体" w:cs="宋体" w:eastAsia="宋体" w:hint="default"/>
                <w:spacing w:val="-2"/>
                <w:sz w:val="18"/>
                <w:szCs w:val="18"/>
              </w:rPr>
              <w:t>报告期末表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决权恢复的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优先股股东</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总数（如有</w:t>
            </w:r>
          </w:p>
          <w:p>
            <w:pPr>
              <w:pStyle w:val="TableParagraph"/>
              <w:spacing w:line="240" w:lineRule="auto" w:before="22"/>
              <w:ind w:left="18"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8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78" w:type="dxa"/>
            <w:vMerge w:val="restart"/>
            <w:tcBorders>
              <w:top w:val="single" w:sz="4" w:space="0" w:color="000000"/>
              <w:left w:val="single" w:sz="13"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63"/>
              <w:ind w:left="-141"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9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6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12" w:hRule="exact"/>
        </w:trPr>
        <w:tc>
          <w:tcPr>
            <w:tcW w:w="1201" w:type="dxa"/>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8" w:space="0" w:color="D2D2D2"/>
              <w:right w:val="single" w:sz="13" w:space="0" w:color="D2D2D2"/>
            </w:tcBorders>
          </w:tcPr>
          <w:p>
            <w:pPr/>
          </w:p>
        </w:tc>
        <w:tc>
          <w:tcPr>
            <w:tcW w:w="921" w:type="dxa"/>
            <w:vMerge/>
            <w:tcBorders>
              <w:left w:val="single" w:sz="4" w:space="0" w:color="000000"/>
              <w:right w:val="single" w:sz="4" w:space="0" w:color="000000"/>
            </w:tcBorders>
            <w:shd w:val="clear" w:color="auto" w:fill="D2D2D2"/>
          </w:tcPr>
          <w:p>
            <w:pPr/>
          </w:p>
        </w:tc>
        <w:tc>
          <w:tcPr>
            <w:tcW w:w="1076" w:type="dxa"/>
            <w:vMerge/>
            <w:tcBorders>
              <w:left w:val="single" w:sz="8" w:space="0" w:color="D2D2D2"/>
              <w:right w:val="single" w:sz="13" w:space="0" w:color="D2D2D2"/>
            </w:tcBorders>
          </w:tcPr>
          <w:p>
            <w:pPr/>
          </w:p>
        </w:tc>
        <w:tc>
          <w:tcPr>
            <w:tcW w:w="1049" w:type="dxa"/>
            <w:vMerge/>
            <w:tcBorders>
              <w:left w:val="single" w:sz="4" w:space="0" w:color="000000"/>
              <w:right w:val="single" w:sz="4" w:space="0" w:color="000000"/>
            </w:tcBorders>
            <w:shd w:val="clear" w:color="auto" w:fill="D2D2D2"/>
          </w:tcPr>
          <w:p>
            <w:pPr/>
          </w:p>
        </w:tc>
        <w:tc>
          <w:tcPr>
            <w:tcW w:w="1078" w:type="dxa"/>
            <w:vMerge/>
            <w:tcBorders>
              <w:left w:val="single" w:sz="13" w:space="0" w:color="D2D2D2"/>
              <w:right w:val="single" w:sz="10" w:space="0" w:color="D2D2D2"/>
            </w:tcBorders>
          </w:tcPr>
          <w:p>
            <w:pPr/>
          </w:p>
        </w:tc>
        <w:tc>
          <w:tcPr>
            <w:tcW w:w="198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17" w:right="55"/>
              <w:jc w:val="left"/>
              <w:rPr>
                <w:rFonts w:ascii="宋体" w:hAnsi="宋体" w:cs="宋体" w:eastAsia="宋体" w:hint="default"/>
                <w:sz w:val="18"/>
                <w:szCs w:val="18"/>
              </w:rPr>
            </w:pPr>
            <w:r>
              <w:rPr>
                <w:rFonts w:ascii="宋体" w:hAnsi="宋体" w:cs="宋体" w:eastAsia="宋体" w:hint="default"/>
                <w:sz w:val="18"/>
                <w:szCs w:val="18"/>
              </w:rPr>
              <w:t>年度报告披露日前上一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月末表决权恢复的优先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0"/>
                <w:w w:val="101"/>
                <w:sz w:val="18"/>
                <w:szCs w:val="18"/>
              </w:rPr>
              <w:t>股股东总数（如有）（参</w:t>
            </w:r>
            <w:r>
              <w:rPr>
                <w:rFonts w:ascii="宋体" w:hAnsi="宋体" w:cs="宋体" w:eastAsia="宋体" w:hint="default"/>
                <w:w w:val="101"/>
                <w:sz w:val="18"/>
                <w:szCs w:val="18"/>
              </w:rPr>
              <w:t> </w:t>
            </w:r>
            <w:r>
              <w:rPr>
                <w:rFonts w:ascii="宋体" w:hAnsi="宋体" w:cs="宋体" w:eastAsia="宋体" w:hint="default"/>
                <w:sz w:val="18"/>
                <w:szCs w:val="18"/>
              </w:rPr>
              <w:t>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7" w:type="dxa"/>
            <w:vMerge/>
            <w:tcBorders>
              <w:left w:val="single" w:sz="10" w:space="0" w:color="D2D2D2"/>
              <w:right w:val="single" w:sz="4" w:space="0" w:color="000000"/>
            </w:tcBorders>
          </w:tcPr>
          <w:p>
            <w:pPr/>
          </w:p>
        </w:tc>
      </w:tr>
      <w:tr>
        <w:trPr>
          <w:trHeight w:val="701" w:hRule="exact"/>
        </w:trPr>
        <w:tc>
          <w:tcPr>
            <w:tcW w:w="12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3"/>
              <w:ind w:left="24" w:right="80"/>
              <w:jc w:val="left"/>
              <w:rPr>
                <w:rFonts w:ascii="宋体" w:hAnsi="宋体" w:cs="宋体" w:eastAsia="宋体" w:hint="default"/>
                <w:sz w:val="18"/>
                <w:szCs w:val="18"/>
              </w:rPr>
            </w:pPr>
            <w:r>
              <w:rPr>
                <w:rFonts w:ascii="宋体" w:hAnsi="宋体" w:cs="宋体" w:eastAsia="宋体" w:hint="default"/>
                <w:spacing w:val="-2"/>
                <w:sz w:val="18"/>
                <w:szCs w:val="18"/>
              </w:rPr>
              <w:t>报告期末普通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股股东总数</w:t>
            </w:r>
          </w:p>
        </w:tc>
        <w:tc>
          <w:tcPr>
            <w:tcW w:w="1202" w:type="dxa"/>
            <w:vMerge/>
            <w:tcBorders>
              <w:left w:val="single" w:sz="8" w:space="0" w:color="D2D2D2"/>
              <w:right w:val="single" w:sz="13" w:space="0" w:color="D2D2D2"/>
            </w:tcBorders>
          </w:tcPr>
          <w:p>
            <w:pPr/>
          </w:p>
        </w:tc>
        <w:tc>
          <w:tcPr>
            <w:tcW w:w="921" w:type="dxa"/>
            <w:vMerge/>
            <w:tcBorders>
              <w:left w:val="single" w:sz="4" w:space="0" w:color="000000"/>
              <w:right w:val="single" w:sz="4" w:space="0" w:color="000000"/>
            </w:tcBorders>
            <w:shd w:val="clear" w:color="auto" w:fill="D2D2D2"/>
          </w:tcPr>
          <w:p>
            <w:pPr/>
          </w:p>
        </w:tc>
        <w:tc>
          <w:tcPr>
            <w:tcW w:w="1076" w:type="dxa"/>
            <w:vMerge/>
            <w:tcBorders>
              <w:left w:val="single" w:sz="8" w:space="0" w:color="D2D2D2"/>
              <w:right w:val="single" w:sz="13" w:space="0" w:color="D2D2D2"/>
            </w:tcBorders>
          </w:tcPr>
          <w:p>
            <w:pPr/>
          </w:p>
        </w:tc>
        <w:tc>
          <w:tcPr>
            <w:tcW w:w="1049" w:type="dxa"/>
            <w:vMerge/>
            <w:tcBorders>
              <w:left w:val="single" w:sz="4" w:space="0" w:color="000000"/>
              <w:right w:val="single" w:sz="4" w:space="0" w:color="000000"/>
            </w:tcBorders>
            <w:shd w:val="clear" w:color="auto" w:fill="D2D2D2"/>
          </w:tcPr>
          <w:p>
            <w:pPr/>
          </w:p>
        </w:tc>
        <w:tc>
          <w:tcPr>
            <w:tcW w:w="1078" w:type="dxa"/>
            <w:vMerge/>
            <w:tcBorders>
              <w:left w:val="single" w:sz="13" w:space="0" w:color="D2D2D2"/>
              <w:right w:val="single" w:sz="10" w:space="0" w:color="D2D2D2"/>
            </w:tcBorders>
          </w:tcPr>
          <w:p>
            <w:pPr/>
          </w:p>
        </w:tc>
        <w:tc>
          <w:tcPr>
            <w:tcW w:w="1981" w:type="dxa"/>
            <w:gridSpan w:val="2"/>
            <w:vMerge/>
            <w:tcBorders>
              <w:left w:val="single" w:sz="4" w:space="0" w:color="000000"/>
              <w:right w:val="single" w:sz="4" w:space="0" w:color="000000"/>
            </w:tcBorders>
            <w:shd w:val="clear" w:color="auto" w:fill="D2D2D2"/>
          </w:tcPr>
          <w:p>
            <w:pPr/>
          </w:p>
        </w:tc>
        <w:tc>
          <w:tcPr>
            <w:tcW w:w="1067" w:type="dxa"/>
            <w:vMerge/>
            <w:tcBorders>
              <w:left w:val="single" w:sz="10" w:space="0" w:color="D2D2D2"/>
              <w:right w:val="single" w:sz="4" w:space="0" w:color="000000"/>
            </w:tcBorders>
          </w:tcPr>
          <w:p>
            <w:pPr/>
          </w:p>
        </w:tc>
      </w:tr>
      <w:tr>
        <w:trPr>
          <w:trHeight w:val="312" w:hRule="exact"/>
        </w:trPr>
        <w:tc>
          <w:tcPr>
            <w:tcW w:w="1201" w:type="dxa"/>
            <w:vMerge w:val="restart"/>
            <w:tcBorders>
              <w:top w:val="nil" w:sz="6" w:space="0" w:color="auto"/>
              <w:left w:val="single" w:sz="4" w:space="0" w:color="000000"/>
              <w:right w:val="single" w:sz="4" w:space="0" w:color="000000"/>
            </w:tcBorders>
            <w:shd w:val="clear" w:color="auto" w:fill="D2D2D2"/>
          </w:tcPr>
          <w:p>
            <w:pPr/>
          </w:p>
        </w:tc>
        <w:tc>
          <w:tcPr>
            <w:tcW w:w="1202" w:type="dxa"/>
            <w:vMerge/>
            <w:tcBorders>
              <w:left w:val="single" w:sz="8" w:space="0" w:color="D2D2D2"/>
              <w:right w:val="single" w:sz="13" w:space="0" w:color="D2D2D2"/>
            </w:tcBorders>
          </w:tcPr>
          <w:p>
            <w:pPr/>
          </w:p>
        </w:tc>
        <w:tc>
          <w:tcPr>
            <w:tcW w:w="921" w:type="dxa"/>
            <w:vMerge/>
            <w:tcBorders>
              <w:left w:val="single" w:sz="4" w:space="0" w:color="000000"/>
              <w:right w:val="single" w:sz="4" w:space="0" w:color="000000"/>
            </w:tcBorders>
            <w:shd w:val="clear" w:color="auto" w:fill="D2D2D2"/>
          </w:tcPr>
          <w:p>
            <w:pPr/>
          </w:p>
        </w:tc>
        <w:tc>
          <w:tcPr>
            <w:tcW w:w="1076" w:type="dxa"/>
            <w:vMerge/>
            <w:tcBorders>
              <w:left w:val="single" w:sz="8" w:space="0" w:color="D2D2D2"/>
              <w:right w:val="single" w:sz="13" w:space="0" w:color="D2D2D2"/>
            </w:tcBorders>
          </w:tcPr>
          <w:p>
            <w:pPr/>
          </w:p>
        </w:tc>
        <w:tc>
          <w:tcPr>
            <w:tcW w:w="1049" w:type="dxa"/>
            <w:vMerge/>
            <w:tcBorders>
              <w:left w:val="single" w:sz="4" w:space="0" w:color="000000"/>
              <w:right w:val="single" w:sz="4" w:space="0" w:color="000000"/>
            </w:tcBorders>
            <w:shd w:val="clear" w:color="auto" w:fill="D2D2D2"/>
          </w:tcPr>
          <w:p>
            <w:pPr/>
          </w:p>
        </w:tc>
        <w:tc>
          <w:tcPr>
            <w:tcW w:w="1078" w:type="dxa"/>
            <w:vMerge/>
            <w:tcBorders>
              <w:left w:val="single" w:sz="13" w:space="0" w:color="D2D2D2"/>
              <w:right w:val="single" w:sz="10" w:space="0" w:color="D2D2D2"/>
            </w:tcBorders>
          </w:tcPr>
          <w:p>
            <w:pPr/>
          </w:p>
        </w:tc>
        <w:tc>
          <w:tcPr>
            <w:tcW w:w="1981" w:type="dxa"/>
            <w:gridSpan w:val="2"/>
            <w:vMerge/>
            <w:tcBorders>
              <w:left w:val="single" w:sz="4" w:space="0" w:color="000000"/>
              <w:bottom w:val="nil" w:sz="6" w:space="0" w:color="auto"/>
              <w:right w:val="single" w:sz="4" w:space="0" w:color="000000"/>
            </w:tcBorders>
            <w:shd w:val="clear" w:color="auto" w:fill="D2D2D2"/>
          </w:tcPr>
          <w:p>
            <w:pPr/>
          </w:p>
        </w:tc>
        <w:tc>
          <w:tcPr>
            <w:tcW w:w="1067" w:type="dxa"/>
            <w:vMerge/>
            <w:tcBorders>
              <w:left w:val="single" w:sz="10" w:space="0" w:color="D2D2D2"/>
              <w:right w:val="single" w:sz="4" w:space="0" w:color="000000"/>
            </w:tcBorders>
          </w:tcPr>
          <w:p>
            <w:pPr/>
          </w:p>
        </w:tc>
      </w:tr>
      <w:tr>
        <w:trPr>
          <w:trHeight w:val="168" w:hRule="exact"/>
        </w:trPr>
        <w:tc>
          <w:tcPr>
            <w:tcW w:w="1201" w:type="dxa"/>
            <w:vMerge/>
            <w:tcBorders>
              <w:left w:val="single" w:sz="4" w:space="0" w:color="000000"/>
              <w:bottom w:val="single" w:sz="4" w:space="0" w:color="000000"/>
              <w:right w:val="single" w:sz="4" w:space="0" w:color="000000"/>
            </w:tcBorders>
            <w:shd w:val="clear" w:color="auto" w:fill="D2D2D2"/>
          </w:tcPr>
          <w:p>
            <w:pPr/>
          </w:p>
        </w:tc>
        <w:tc>
          <w:tcPr>
            <w:tcW w:w="1202" w:type="dxa"/>
            <w:vMerge/>
            <w:tcBorders>
              <w:left w:val="single" w:sz="8" w:space="0" w:color="D2D2D2"/>
              <w:bottom w:val="single" w:sz="4" w:space="0" w:color="000000"/>
              <w:right w:val="single" w:sz="13" w:space="0" w:color="D2D2D2"/>
            </w:tcBorders>
          </w:tcPr>
          <w:p>
            <w:pPr/>
          </w:p>
        </w:tc>
        <w:tc>
          <w:tcPr>
            <w:tcW w:w="921" w:type="dxa"/>
            <w:vMerge/>
            <w:tcBorders>
              <w:left w:val="single" w:sz="4" w:space="0" w:color="000000"/>
              <w:bottom w:val="single" w:sz="4" w:space="0" w:color="000000"/>
              <w:right w:val="single" w:sz="4" w:space="0" w:color="000000"/>
            </w:tcBorders>
            <w:shd w:val="clear" w:color="auto" w:fill="D2D2D2"/>
          </w:tcPr>
          <w:p>
            <w:pPr/>
          </w:p>
        </w:tc>
        <w:tc>
          <w:tcPr>
            <w:tcW w:w="1076" w:type="dxa"/>
            <w:vMerge/>
            <w:tcBorders>
              <w:left w:val="single" w:sz="8" w:space="0" w:color="D2D2D2"/>
              <w:bottom w:val="single" w:sz="4" w:space="0" w:color="000000"/>
              <w:right w:val="single" w:sz="13" w:space="0" w:color="D2D2D2"/>
            </w:tcBorders>
          </w:tcPr>
          <w:p>
            <w:pPr/>
          </w:p>
        </w:tc>
        <w:tc>
          <w:tcPr>
            <w:tcW w:w="1049" w:type="dxa"/>
            <w:vMerge/>
            <w:tcBorders>
              <w:left w:val="single" w:sz="4" w:space="0" w:color="000000"/>
              <w:bottom w:val="single" w:sz="4" w:space="0" w:color="000000"/>
              <w:right w:val="single" w:sz="4" w:space="0" w:color="000000"/>
            </w:tcBorders>
            <w:shd w:val="clear" w:color="auto" w:fill="D2D2D2"/>
          </w:tcPr>
          <w:p>
            <w:pPr/>
          </w:p>
        </w:tc>
        <w:tc>
          <w:tcPr>
            <w:tcW w:w="1078" w:type="dxa"/>
            <w:vMerge/>
            <w:tcBorders>
              <w:left w:val="single" w:sz="13" w:space="0" w:color="D2D2D2"/>
              <w:bottom w:val="single" w:sz="4" w:space="0" w:color="000000"/>
              <w:right w:val="single" w:sz="10" w:space="0" w:color="D2D2D2"/>
            </w:tcBorders>
          </w:tcPr>
          <w:p>
            <w:pPr/>
          </w:p>
        </w:tc>
        <w:tc>
          <w:tcPr>
            <w:tcW w:w="19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67" w:type="dxa"/>
            <w:vMerge/>
            <w:tcBorders>
              <w:left w:val="single" w:sz="10" w:space="0" w:color="D2D2D2"/>
              <w:bottom w:val="single" w:sz="4" w:space="0" w:color="000000"/>
              <w:right w:val="single" w:sz="4" w:space="0" w:color="000000"/>
            </w:tcBorders>
          </w:tcPr>
          <w:p>
            <w:pPr/>
          </w:p>
        </w:tc>
      </w:tr>
      <w:tr>
        <w:trPr>
          <w:trHeight w:val="394"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28"/>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以上的股东或前</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名股东持股情况</w:t>
            </w:r>
          </w:p>
        </w:tc>
      </w:tr>
      <w:tr>
        <w:trPr>
          <w:trHeight w:val="163" w:hRule="exact"/>
        </w:trPr>
        <w:tc>
          <w:tcPr>
            <w:tcW w:w="1201" w:type="dxa"/>
            <w:vMerge w:val="restart"/>
            <w:tcBorders>
              <w:top w:val="single" w:sz="4" w:space="0" w:color="000000"/>
              <w:left w:val="single" w:sz="4" w:space="0" w:color="000000"/>
              <w:right w:val="single" w:sz="4" w:space="0" w:color="000000"/>
            </w:tcBorders>
            <w:shd w:val="clear" w:color="auto" w:fill="D2D2D2"/>
          </w:tcPr>
          <w:p>
            <w:pPr/>
          </w:p>
        </w:tc>
        <w:tc>
          <w:tcPr>
            <w:tcW w:w="1202" w:type="dxa"/>
            <w:vMerge w:val="restart"/>
            <w:tcBorders>
              <w:top w:val="single" w:sz="4" w:space="0" w:color="000000"/>
              <w:left w:val="single" w:sz="4" w:space="0" w:color="000000"/>
              <w:right w:val="single" w:sz="4" w:space="0" w:color="000000"/>
            </w:tcBorders>
            <w:shd w:val="clear" w:color="auto" w:fill="D2D2D2"/>
          </w:tcPr>
          <w:p>
            <w:pPr/>
          </w:p>
        </w:tc>
        <w:tc>
          <w:tcPr>
            <w:tcW w:w="921" w:type="dxa"/>
            <w:vMerge w:val="restart"/>
            <w:tcBorders>
              <w:top w:val="single" w:sz="4" w:space="0" w:color="000000"/>
              <w:left w:val="single" w:sz="4" w:space="0" w:color="000000"/>
              <w:right w:val="single" w:sz="4" w:space="0" w:color="000000"/>
            </w:tcBorders>
            <w:shd w:val="clear" w:color="auto" w:fill="D2D2D2"/>
          </w:tcPr>
          <w:p>
            <w:pPr/>
          </w:p>
        </w:tc>
        <w:tc>
          <w:tcPr>
            <w:tcW w:w="10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8"/>
              <w:ind w:left="82" w:right="81"/>
              <w:jc w:val="center"/>
              <w:rPr>
                <w:rFonts w:ascii="宋体" w:hAnsi="宋体" w:cs="宋体" w:eastAsia="宋体" w:hint="default"/>
                <w:sz w:val="18"/>
                <w:szCs w:val="18"/>
              </w:rPr>
            </w:pPr>
            <w:r>
              <w:rPr>
                <w:rFonts w:ascii="宋体" w:hAnsi="宋体" w:cs="宋体" w:eastAsia="宋体" w:hint="default"/>
                <w:spacing w:val="-2"/>
                <w:sz w:val="18"/>
                <w:szCs w:val="18"/>
              </w:rPr>
              <w:t>持有有限售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条件的股份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数量</w:t>
            </w:r>
          </w:p>
        </w:tc>
        <w:tc>
          <w:tcPr>
            <w:tcW w:w="91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8"/>
              <w:ind w:left="89" w:right="89"/>
              <w:jc w:val="both"/>
              <w:rPr>
                <w:rFonts w:ascii="宋体" w:hAnsi="宋体" w:cs="宋体" w:eastAsia="宋体" w:hint="default"/>
                <w:sz w:val="18"/>
                <w:szCs w:val="18"/>
              </w:rPr>
            </w:pPr>
            <w:r>
              <w:rPr>
                <w:rFonts w:ascii="宋体" w:hAnsi="宋体" w:cs="宋体" w:eastAsia="宋体" w:hint="default"/>
                <w:sz w:val="18"/>
                <w:szCs w:val="18"/>
              </w:rPr>
              <w:t>持有无限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售条件的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tc>
        <w:tc>
          <w:tcPr>
            <w:tcW w:w="21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27" w:right="0"/>
              <w:jc w:val="left"/>
              <w:rPr>
                <w:rFonts w:ascii="宋体" w:hAnsi="宋体" w:cs="宋体" w:eastAsia="宋体" w:hint="default"/>
                <w:sz w:val="18"/>
                <w:szCs w:val="18"/>
              </w:rPr>
            </w:pPr>
            <w:r>
              <w:rPr>
                <w:rFonts w:ascii="宋体" w:hAnsi="宋体" w:cs="宋体" w:eastAsia="宋体" w:hint="default"/>
                <w:spacing w:val="-3"/>
                <w:sz w:val="18"/>
                <w:szCs w:val="18"/>
              </w:rPr>
              <w:t>质押或冻结情况</w:t>
            </w:r>
          </w:p>
        </w:tc>
      </w:tr>
      <w:tr>
        <w:trPr>
          <w:trHeight w:val="158" w:hRule="exact"/>
        </w:trPr>
        <w:tc>
          <w:tcPr>
            <w:tcW w:w="1201" w:type="dxa"/>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bottom w:val="nil" w:sz="6" w:space="0" w:color="auto"/>
              <w:right w:val="single" w:sz="4" w:space="0" w:color="000000"/>
            </w:tcBorders>
            <w:shd w:val="clear" w:color="auto" w:fill="D2D2D2"/>
          </w:tcPr>
          <w:p>
            <w:pPr/>
          </w:p>
        </w:tc>
        <w:tc>
          <w:tcPr>
            <w:tcW w:w="921" w:type="dxa"/>
            <w:vMerge/>
            <w:tcBorders>
              <w:left w:val="single" w:sz="4" w:space="0" w:color="000000"/>
              <w:bottom w:val="nil" w:sz="6" w:space="0" w:color="auto"/>
              <w:right w:val="single" w:sz="4" w:space="0" w:color="000000"/>
            </w:tcBorders>
            <w:shd w:val="clear" w:color="auto" w:fill="D2D2D2"/>
          </w:tcPr>
          <w:p>
            <w:pPr/>
          </w:p>
        </w:tc>
        <w:tc>
          <w:tcPr>
            <w:tcW w:w="1076" w:type="dxa"/>
            <w:vMerge w:val="restart"/>
            <w:tcBorders>
              <w:top w:val="nil" w:sz="6" w:space="0" w:color="auto"/>
              <w:left w:val="single" w:sz="4" w:space="0" w:color="000000"/>
              <w:right w:val="single" w:sz="4" w:space="0" w:color="000000"/>
            </w:tcBorders>
            <w:shd w:val="clear" w:color="auto" w:fill="D2D2D2"/>
          </w:tcPr>
          <w:p>
            <w:pPr>
              <w:pStyle w:val="TableParagraph"/>
              <w:spacing w:line="324" w:lineRule="auto" w:before="53"/>
              <w:ind w:left="264" w:right="80" w:hanging="183"/>
              <w:jc w:val="left"/>
              <w:rPr>
                <w:rFonts w:ascii="宋体" w:hAnsi="宋体" w:cs="宋体" w:eastAsia="宋体" w:hint="default"/>
                <w:sz w:val="18"/>
                <w:szCs w:val="18"/>
              </w:rPr>
            </w:pPr>
            <w:r>
              <w:rPr>
                <w:rFonts w:ascii="宋体" w:hAnsi="宋体" w:cs="宋体" w:eastAsia="宋体" w:hint="default"/>
                <w:spacing w:val="-2"/>
                <w:sz w:val="18"/>
                <w:szCs w:val="18"/>
              </w:rPr>
              <w:t>报告期末持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股数量</w:t>
            </w:r>
          </w:p>
        </w:tc>
        <w:tc>
          <w:tcPr>
            <w:tcW w:w="1049" w:type="dxa"/>
            <w:vMerge w:val="restart"/>
            <w:tcBorders>
              <w:top w:val="nil" w:sz="6" w:space="0" w:color="auto"/>
              <w:left w:val="single" w:sz="4" w:space="0" w:color="000000"/>
              <w:right w:val="single" w:sz="4" w:space="0" w:color="000000"/>
            </w:tcBorders>
            <w:shd w:val="clear" w:color="auto" w:fill="D2D2D2"/>
          </w:tcPr>
          <w:p>
            <w:pPr>
              <w:pStyle w:val="TableParagraph"/>
              <w:spacing w:line="324" w:lineRule="auto" w:before="53"/>
              <w:ind w:left="70" w:right="64"/>
              <w:jc w:val="left"/>
              <w:rPr>
                <w:rFonts w:ascii="宋体" w:hAnsi="宋体" w:cs="宋体" w:eastAsia="宋体" w:hint="default"/>
                <w:sz w:val="18"/>
                <w:szCs w:val="18"/>
              </w:rPr>
            </w:pPr>
            <w:r>
              <w:rPr>
                <w:rFonts w:ascii="宋体" w:hAnsi="宋体" w:cs="宋体" w:eastAsia="宋体" w:hint="default"/>
                <w:spacing w:val="-2"/>
                <w:sz w:val="18"/>
                <w:szCs w:val="18"/>
              </w:rPr>
              <w:t>报告期内增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减变动情况</w:t>
            </w:r>
          </w:p>
        </w:tc>
        <w:tc>
          <w:tcPr>
            <w:tcW w:w="1078" w:type="dxa"/>
            <w:vMerge/>
            <w:tcBorders>
              <w:left w:val="single" w:sz="4" w:space="0" w:color="000000"/>
              <w:right w:val="single" w:sz="4" w:space="0" w:color="000000"/>
            </w:tcBorders>
            <w:shd w:val="clear" w:color="auto" w:fill="D2D2D2"/>
          </w:tcPr>
          <w:p>
            <w:pPr/>
          </w:p>
        </w:tc>
        <w:tc>
          <w:tcPr>
            <w:tcW w:w="916" w:type="dxa"/>
            <w:vMerge/>
            <w:tcBorders>
              <w:left w:val="single" w:sz="4" w:space="0" w:color="000000"/>
              <w:right w:val="single" w:sz="4" w:space="0" w:color="000000"/>
            </w:tcBorders>
            <w:shd w:val="clear" w:color="auto" w:fill="D2D2D2"/>
          </w:tcPr>
          <w:p>
            <w:pPr/>
          </w:p>
        </w:tc>
        <w:tc>
          <w:tcPr>
            <w:tcW w:w="2132" w:type="dxa"/>
            <w:gridSpan w:val="2"/>
            <w:vMerge/>
            <w:tcBorders>
              <w:left w:val="single" w:sz="4" w:space="0" w:color="000000"/>
              <w:right w:val="single" w:sz="4" w:space="0" w:color="000000"/>
            </w:tcBorders>
            <w:shd w:val="clear" w:color="auto" w:fill="D2D2D2"/>
          </w:tcPr>
          <w:p>
            <w:pPr/>
          </w:p>
        </w:tc>
      </w:tr>
      <w:tr>
        <w:trPr>
          <w:trHeight w:val="139" w:hRule="exact"/>
        </w:trPr>
        <w:tc>
          <w:tcPr>
            <w:tcW w:w="12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3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3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94"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76" w:type="dxa"/>
            <w:vMerge/>
            <w:tcBorders>
              <w:left w:val="single" w:sz="4" w:space="0" w:color="000000"/>
              <w:right w:val="single" w:sz="4" w:space="0" w:color="000000"/>
            </w:tcBorders>
            <w:shd w:val="clear" w:color="auto" w:fill="D2D2D2"/>
          </w:tcPr>
          <w:p>
            <w:pPr/>
          </w:p>
        </w:tc>
        <w:tc>
          <w:tcPr>
            <w:tcW w:w="1049" w:type="dxa"/>
            <w:vMerge/>
            <w:tcBorders>
              <w:left w:val="single" w:sz="4" w:space="0" w:color="000000"/>
              <w:right w:val="single" w:sz="4" w:space="0" w:color="000000"/>
            </w:tcBorders>
            <w:shd w:val="clear" w:color="auto" w:fill="D2D2D2"/>
          </w:tcPr>
          <w:p>
            <w:pPr/>
          </w:p>
        </w:tc>
        <w:tc>
          <w:tcPr>
            <w:tcW w:w="1078" w:type="dxa"/>
            <w:vMerge/>
            <w:tcBorders>
              <w:left w:val="single" w:sz="4" w:space="0" w:color="000000"/>
              <w:right w:val="single" w:sz="4" w:space="0" w:color="000000"/>
            </w:tcBorders>
            <w:shd w:val="clear" w:color="auto" w:fill="D2D2D2"/>
          </w:tcPr>
          <w:p>
            <w:pPr/>
          </w:p>
        </w:tc>
        <w:tc>
          <w:tcPr>
            <w:tcW w:w="916" w:type="dxa"/>
            <w:vMerge/>
            <w:tcBorders>
              <w:left w:val="single" w:sz="4" w:space="0" w:color="000000"/>
              <w:right w:val="single" w:sz="4" w:space="0" w:color="000000"/>
            </w:tcBorders>
            <w:shd w:val="clear" w:color="auto" w:fill="D2D2D2"/>
          </w:tcPr>
          <w:p>
            <w:pPr/>
          </w:p>
        </w:tc>
        <w:tc>
          <w:tcPr>
            <w:tcW w:w="2132" w:type="dxa"/>
            <w:gridSpan w:val="2"/>
            <w:vMerge/>
            <w:tcBorders>
              <w:left w:val="single" w:sz="4" w:space="0" w:color="000000"/>
              <w:bottom w:val="single" w:sz="4" w:space="0" w:color="000000"/>
              <w:right w:val="single" w:sz="4" w:space="0" w:color="000000"/>
            </w:tcBorders>
            <w:shd w:val="clear" w:color="auto" w:fill="D2D2D2"/>
          </w:tcPr>
          <w:p>
            <w:pPr/>
          </w:p>
        </w:tc>
      </w:tr>
      <w:tr>
        <w:trPr>
          <w:trHeight w:val="250" w:hRule="exact"/>
        </w:trPr>
        <w:tc>
          <w:tcPr>
            <w:tcW w:w="1201" w:type="dxa"/>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bottom w:val="nil" w:sz="6" w:space="0" w:color="auto"/>
              <w:right w:val="single" w:sz="4" w:space="0" w:color="000000"/>
            </w:tcBorders>
            <w:shd w:val="clear" w:color="auto" w:fill="D2D2D2"/>
          </w:tcPr>
          <w:p>
            <w:pPr/>
          </w:p>
        </w:tc>
        <w:tc>
          <w:tcPr>
            <w:tcW w:w="921" w:type="dxa"/>
            <w:vMerge/>
            <w:tcBorders>
              <w:left w:val="single" w:sz="4" w:space="0" w:color="000000"/>
              <w:bottom w:val="nil" w:sz="6" w:space="0" w:color="auto"/>
              <w:right w:val="single" w:sz="4" w:space="0" w:color="000000"/>
            </w:tcBorders>
            <w:shd w:val="clear" w:color="auto" w:fill="D2D2D2"/>
          </w:tcPr>
          <w:p>
            <w:pPr/>
          </w:p>
        </w:tc>
        <w:tc>
          <w:tcPr>
            <w:tcW w:w="1076" w:type="dxa"/>
            <w:vMerge/>
            <w:tcBorders>
              <w:left w:val="single" w:sz="4" w:space="0" w:color="000000"/>
              <w:right w:val="single" w:sz="4" w:space="0" w:color="000000"/>
            </w:tcBorders>
            <w:shd w:val="clear" w:color="auto" w:fill="D2D2D2"/>
          </w:tcPr>
          <w:p>
            <w:pPr/>
          </w:p>
        </w:tc>
        <w:tc>
          <w:tcPr>
            <w:tcW w:w="1049" w:type="dxa"/>
            <w:vMerge/>
            <w:tcBorders>
              <w:left w:val="single" w:sz="4" w:space="0" w:color="000000"/>
              <w:right w:val="single" w:sz="4" w:space="0" w:color="000000"/>
            </w:tcBorders>
            <w:shd w:val="clear" w:color="auto" w:fill="D2D2D2"/>
          </w:tcPr>
          <w:p>
            <w:pPr/>
          </w:p>
        </w:tc>
        <w:tc>
          <w:tcPr>
            <w:tcW w:w="1078" w:type="dxa"/>
            <w:vMerge/>
            <w:tcBorders>
              <w:left w:val="single" w:sz="4" w:space="0" w:color="000000"/>
              <w:right w:val="single" w:sz="4" w:space="0" w:color="000000"/>
            </w:tcBorders>
            <w:shd w:val="clear" w:color="auto" w:fill="D2D2D2"/>
          </w:tcPr>
          <w:p>
            <w:pPr/>
          </w:p>
        </w:tc>
        <w:tc>
          <w:tcPr>
            <w:tcW w:w="916" w:type="dxa"/>
            <w:vMerge/>
            <w:tcBorders>
              <w:left w:val="single" w:sz="4" w:space="0" w:color="000000"/>
              <w:right w:val="single" w:sz="4" w:space="0" w:color="000000"/>
            </w:tcBorders>
            <w:shd w:val="clear" w:color="auto" w:fill="D2D2D2"/>
          </w:tcPr>
          <w:p>
            <w:pPr/>
          </w:p>
        </w:tc>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2"/>
              <w:ind w:left="167"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2"/>
              <w:ind w:left="351"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8" w:hRule="exact"/>
        </w:trPr>
        <w:tc>
          <w:tcPr>
            <w:tcW w:w="1201" w:type="dxa"/>
            <w:vMerge w:val="restart"/>
            <w:tcBorders>
              <w:top w:val="nil" w:sz="6" w:space="0" w:color="auto"/>
              <w:left w:val="single" w:sz="4" w:space="0" w:color="000000"/>
              <w:right w:val="single" w:sz="4" w:space="0" w:color="000000"/>
            </w:tcBorders>
            <w:shd w:val="clear" w:color="auto" w:fill="D2D2D2"/>
          </w:tcPr>
          <w:p>
            <w:pPr/>
          </w:p>
        </w:tc>
        <w:tc>
          <w:tcPr>
            <w:tcW w:w="1202" w:type="dxa"/>
            <w:vMerge w:val="restart"/>
            <w:tcBorders>
              <w:top w:val="nil" w:sz="6" w:space="0" w:color="auto"/>
              <w:left w:val="single" w:sz="4" w:space="0" w:color="000000"/>
              <w:right w:val="single" w:sz="4" w:space="0" w:color="000000"/>
            </w:tcBorders>
            <w:shd w:val="clear" w:color="auto" w:fill="D2D2D2"/>
          </w:tcPr>
          <w:p>
            <w:pPr/>
          </w:p>
        </w:tc>
        <w:tc>
          <w:tcPr>
            <w:tcW w:w="921" w:type="dxa"/>
            <w:vMerge w:val="restart"/>
            <w:tcBorders>
              <w:top w:val="nil" w:sz="6" w:space="0" w:color="auto"/>
              <w:left w:val="single" w:sz="4" w:space="0" w:color="000000"/>
              <w:right w:val="single" w:sz="4" w:space="0" w:color="000000"/>
            </w:tcBorders>
            <w:shd w:val="clear" w:color="auto" w:fill="D2D2D2"/>
          </w:tcPr>
          <w:p>
            <w:pPr/>
          </w:p>
        </w:tc>
        <w:tc>
          <w:tcPr>
            <w:tcW w:w="1076" w:type="dxa"/>
            <w:vMerge/>
            <w:tcBorders>
              <w:left w:val="single" w:sz="4" w:space="0" w:color="000000"/>
              <w:bottom w:val="nil" w:sz="6" w:space="0" w:color="auto"/>
              <w:right w:val="single" w:sz="4" w:space="0" w:color="000000"/>
            </w:tcBorders>
            <w:shd w:val="clear" w:color="auto" w:fill="D2D2D2"/>
          </w:tcPr>
          <w:p>
            <w:pPr/>
          </w:p>
        </w:tc>
        <w:tc>
          <w:tcPr>
            <w:tcW w:w="1049" w:type="dxa"/>
            <w:vMerge/>
            <w:tcBorders>
              <w:left w:val="single" w:sz="4" w:space="0" w:color="000000"/>
              <w:bottom w:val="nil" w:sz="6" w:space="0" w:color="auto"/>
              <w:right w:val="single" w:sz="4" w:space="0" w:color="000000"/>
            </w:tcBorders>
            <w:shd w:val="clear" w:color="auto" w:fill="D2D2D2"/>
          </w:tcPr>
          <w:p>
            <w:pPr/>
          </w:p>
        </w:tc>
        <w:tc>
          <w:tcPr>
            <w:tcW w:w="1078" w:type="dxa"/>
            <w:vMerge/>
            <w:tcBorders>
              <w:left w:val="single" w:sz="4" w:space="0" w:color="000000"/>
              <w:right w:val="single" w:sz="4" w:space="0" w:color="000000"/>
            </w:tcBorders>
            <w:shd w:val="clear" w:color="auto" w:fill="D2D2D2"/>
          </w:tcPr>
          <w:p>
            <w:pPr/>
          </w:p>
        </w:tc>
        <w:tc>
          <w:tcPr>
            <w:tcW w:w="916" w:type="dxa"/>
            <w:vMerge/>
            <w:tcBorders>
              <w:left w:val="single" w:sz="4" w:space="0" w:color="000000"/>
              <w:right w:val="single" w:sz="4" w:space="0" w:color="000000"/>
            </w:tcBorders>
            <w:shd w:val="clear" w:color="auto" w:fill="D2D2D2"/>
          </w:tcPr>
          <w:p>
            <w:pPr/>
          </w:p>
        </w:tc>
        <w:tc>
          <w:tcPr>
            <w:tcW w:w="1065" w:type="dxa"/>
            <w:vMerge/>
            <w:tcBorders>
              <w:left w:val="single" w:sz="4" w:space="0" w:color="000000"/>
              <w:right w:val="single" w:sz="4" w:space="0" w:color="000000"/>
            </w:tcBorders>
            <w:shd w:val="clear" w:color="auto" w:fill="D2D2D2"/>
          </w:tcPr>
          <w:p>
            <w:pPr/>
          </w:p>
        </w:tc>
        <w:tc>
          <w:tcPr>
            <w:tcW w:w="1067" w:type="dxa"/>
            <w:vMerge/>
            <w:tcBorders>
              <w:left w:val="single" w:sz="4" w:space="0" w:color="000000"/>
              <w:right w:val="single" w:sz="4" w:space="0" w:color="000000"/>
            </w:tcBorders>
            <w:shd w:val="clear" w:color="auto" w:fill="D2D2D2"/>
          </w:tcPr>
          <w:p>
            <w:pPr/>
          </w:p>
        </w:tc>
      </w:tr>
      <w:tr>
        <w:trPr>
          <w:trHeight w:val="158" w:hRule="exact"/>
        </w:trPr>
        <w:tc>
          <w:tcPr>
            <w:tcW w:w="1201" w:type="dxa"/>
            <w:vMerge/>
            <w:tcBorders>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921" w:type="dxa"/>
            <w:vMerge/>
            <w:tcBorders>
              <w:left w:val="single" w:sz="4" w:space="0" w:color="000000"/>
              <w:bottom w:val="single" w:sz="4" w:space="0" w:color="000000"/>
              <w:right w:val="single" w:sz="4" w:space="0" w:color="000000"/>
            </w:tcBorders>
            <w:shd w:val="clear" w:color="auto" w:fill="D2D2D2"/>
          </w:tcPr>
          <w:p>
            <w:pPr/>
          </w:p>
        </w:tc>
        <w:tc>
          <w:tcPr>
            <w:tcW w:w="10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8" w:type="dxa"/>
            <w:vMerge/>
            <w:tcBorders>
              <w:left w:val="single" w:sz="4" w:space="0" w:color="000000"/>
              <w:bottom w:val="single" w:sz="4" w:space="0" w:color="000000"/>
              <w:right w:val="single" w:sz="4" w:space="0" w:color="000000"/>
            </w:tcBorders>
            <w:shd w:val="clear" w:color="auto" w:fill="D2D2D2"/>
          </w:tcPr>
          <w:p>
            <w:pPr/>
          </w:p>
        </w:tc>
        <w:tc>
          <w:tcPr>
            <w:tcW w:w="916" w:type="dxa"/>
            <w:vMerge/>
            <w:tcBorders>
              <w:left w:val="single" w:sz="4" w:space="0" w:color="000000"/>
              <w:bottom w:val="single" w:sz="4" w:space="0" w:color="000000"/>
              <w:right w:val="single" w:sz="4" w:space="0" w:color="000000"/>
            </w:tcBorders>
            <w:shd w:val="clear" w:color="auto" w:fill="D2D2D2"/>
          </w:tcPr>
          <w:p>
            <w:pPr/>
          </w:p>
        </w:tc>
        <w:tc>
          <w:tcPr>
            <w:tcW w:w="1065" w:type="dxa"/>
            <w:vMerge/>
            <w:tcBorders>
              <w:left w:val="single" w:sz="4" w:space="0" w:color="000000"/>
              <w:bottom w:val="single" w:sz="4" w:space="0" w:color="000000"/>
              <w:right w:val="single" w:sz="4" w:space="0" w:color="000000"/>
            </w:tcBorders>
            <w:shd w:val="clear" w:color="auto" w:fill="D2D2D2"/>
          </w:tcPr>
          <w:p>
            <w:pPr/>
          </w:p>
        </w:tc>
        <w:tc>
          <w:tcPr>
            <w:tcW w:w="1067"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80"/>
              <w:jc w:val="left"/>
              <w:rPr>
                <w:rFonts w:ascii="宋体" w:hAnsi="宋体" w:cs="宋体" w:eastAsia="宋体" w:hint="default"/>
                <w:sz w:val="18"/>
                <w:szCs w:val="18"/>
              </w:rPr>
            </w:pPr>
            <w:r>
              <w:rPr>
                <w:rFonts w:ascii="宋体" w:hAnsi="宋体" w:cs="宋体" w:eastAsia="宋体" w:hint="default"/>
                <w:spacing w:val="-2"/>
                <w:sz w:val="18"/>
                <w:szCs w:val="18"/>
              </w:rPr>
              <w:t>杭州磐源投资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有限公司</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81"/>
              <w:jc w:val="left"/>
              <w:rPr>
                <w:rFonts w:ascii="宋体" w:hAnsi="宋体" w:cs="宋体" w:eastAsia="宋体" w:hint="default"/>
                <w:sz w:val="18"/>
                <w:szCs w:val="18"/>
              </w:rPr>
            </w:pPr>
            <w:r>
              <w:rPr>
                <w:rFonts w:ascii="宋体" w:hAnsi="宋体" w:cs="宋体" w:eastAsia="宋体" w:hint="default"/>
                <w:spacing w:val="-2"/>
                <w:sz w:val="18"/>
                <w:szCs w:val="18"/>
              </w:rPr>
              <w:t>境内非国有法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人</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53.74%</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63,042,000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63,042,000</w:t>
            </w:r>
          </w:p>
        </w:tc>
        <w:tc>
          <w:tcPr>
            <w:tcW w:w="1065"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7"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42,564,000</w:t>
            </w:r>
          </w:p>
        </w:tc>
      </w:tr>
      <w:tr>
        <w:trPr>
          <w:trHeight w:val="1028"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80"/>
              <w:jc w:val="left"/>
              <w:rPr>
                <w:rFonts w:ascii="宋体" w:hAnsi="宋体" w:cs="宋体" w:eastAsia="宋体" w:hint="default"/>
                <w:sz w:val="18"/>
                <w:szCs w:val="18"/>
              </w:rPr>
            </w:pPr>
            <w:r>
              <w:rPr>
                <w:rFonts w:ascii="宋体" w:hAnsi="宋体" w:cs="宋体" w:eastAsia="宋体" w:hint="default"/>
                <w:spacing w:val="-2"/>
                <w:sz w:val="18"/>
                <w:szCs w:val="18"/>
              </w:rPr>
              <w:t>杭州磐鸿投资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管理合伙企业</w:t>
            </w:r>
          </w:p>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3" w:right="81"/>
              <w:jc w:val="left"/>
              <w:rPr>
                <w:rFonts w:ascii="宋体" w:hAnsi="宋体" w:cs="宋体" w:eastAsia="宋体" w:hint="default"/>
                <w:sz w:val="18"/>
                <w:szCs w:val="18"/>
              </w:rPr>
            </w:pPr>
            <w:r>
              <w:rPr>
                <w:rFonts w:ascii="宋体" w:hAnsi="宋体" w:cs="宋体" w:eastAsia="宋体" w:hint="default"/>
                <w:spacing w:val="-2"/>
                <w:sz w:val="18"/>
                <w:szCs w:val="18"/>
              </w:rPr>
              <w:t>境内非国有法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人</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6.80%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7,980,000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7,980,000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700,000</w:t>
            </w:r>
          </w:p>
        </w:tc>
      </w:tr>
      <w:tr>
        <w:trPr>
          <w:trHeight w:val="134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80"/>
              <w:jc w:val="both"/>
              <w:rPr>
                <w:rFonts w:ascii="宋体" w:hAnsi="宋体" w:cs="宋体" w:eastAsia="宋体" w:hint="default"/>
                <w:sz w:val="18"/>
                <w:szCs w:val="18"/>
              </w:rPr>
            </w:pPr>
            <w:r>
              <w:rPr>
                <w:rFonts w:ascii="宋体" w:hAnsi="宋体" w:cs="宋体" w:eastAsia="宋体" w:hint="default"/>
                <w:spacing w:val="-2"/>
                <w:sz w:val="18"/>
                <w:szCs w:val="18"/>
              </w:rPr>
              <w:t>武汉雷石瑞丰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股权投资合伙</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企业（有限合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伙）</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3" w:right="81"/>
              <w:jc w:val="left"/>
              <w:rPr>
                <w:rFonts w:ascii="宋体" w:hAnsi="宋体" w:cs="宋体" w:eastAsia="宋体" w:hint="default"/>
                <w:sz w:val="18"/>
                <w:szCs w:val="18"/>
              </w:rPr>
            </w:pPr>
            <w:r>
              <w:rPr>
                <w:rFonts w:ascii="宋体" w:hAnsi="宋体" w:cs="宋体" w:eastAsia="宋体" w:hint="default"/>
                <w:spacing w:val="-2"/>
                <w:sz w:val="18"/>
                <w:szCs w:val="18"/>
              </w:rPr>
              <w:t>境内非国有法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人</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3.74%</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4,390,600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4,390,600</w:t>
            </w:r>
          </w:p>
        </w:tc>
        <w:tc>
          <w:tcPr>
            <w:tcW w:w="1065"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73"/>
              <w:ind w:left="24" w:right="80"/>
              <w:jc w:val="left"/>
              <w:rPr>
                <w:rFonts w:ascii="宋体" w:hAnsi="宋体" w:cs="宋体" w:eastAsia="宋体" w:hint="default"/>
                <w:sz w:val="18"/>
                <w:szCs w:val="18"/>
              </w:rPr>
            </w:pPr>
            <w:r>
              <w:rPr>
                <w:rFonts w:ascii="宋体" w:hAnsi="宋体" w:cs="宋体" w:eastAsia="宋体" w:hint="default"/>
                <w:spacing w:val="-2"/>
                <w:sz w:val="18"/>
                <w:szCs w:val="18"/>
              </w:rPr>
              <w:t>中国工商银行</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股份有限公司</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81"/>
              <w:jc w:val="left"/>
              <w:rPr>
                <w:rFonts w:ascii="宋体" w:hAnsi="宋体" w:cs="宋体" w:eastAsia="宋体" w:hint="default"/>
                <w:sz w:val="18"/>
                <w:szCs w:val="18"/>
              </w:rPr>
            </w:pPr>
            <w:r>
              <w:rPr>
                <w:rFonts w:ascii="宋体" w:hAnsi="宋体" w:cs="宋体" w:eastAsia="宋体" w:hint="default"/>
                <w:spacing w:val="-2"/>
                <w:sz w:val="18"/>
                <w:szCs w:val="18"/>
              </w:rPr>
              <w:t>境内非国有法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人</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1.83%</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2,150,168</w:t>
            </w:r>
          </w:p>
        </w:tc>
        <w:tc>
          <w:tcPr>
            <w:tcW w:w="104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2,150,168</w:t>
            </w:r>
          </w:p>
        </w:tc>
        <w:tc>
          <w:tcPr>
            <w:tcW w:w="1065"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1"/>
        <w:gridCol w:w="1196"/>
        <w:gridCol w:w="932"/>
        <w:gridCol w:w="1066"/>
        <w:gridCol w:w="1061"/>
        <w:gridCol w:w="1066"/>
        <w:gridCol w:w="922"/>
        <w:gridCol w:w="1071"/>
        <w:gridCol w:w="1061"/>
      </w:tblGrid>
      <w:tr>
        <w:trPr>
          <w:trHeight w:val="98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80"/>
              <w:jc w:val="both"/>
              <w:rPr>
                <w:rFonts w:ascii="宋体" w:hAnsi="宋体" w:cs="宋体" w:eastAsia="宋体" w:hint="default"/>
                <w:sz w:val="18"/>
                <w:szCs w:val="18"/>
              </w:rPr>
            </w:pPr>
            <w:r>
              <w:rPr>
                <w:rFonts w:ascii="宋体" w:hAnsi="宋体" w:cs="宋体" w:eastAsia="宋体" w:hint="default"/>
                <w:spacing w:val="-2"/>
                <w:sz w:val="18"/>
                <w:szCs w:val="18"/>
              </w:rPr>
              <w:t>－博时精选混</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合型证券投资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基金</w:t>
            </w:r>
          </w:p>
        </w:tc>
        <w:tc>
          <w:tcPr>
            <w:tcW w:w="119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4" w:right="80"/>
              <w:jc w:val="both"/>
              <w:rPr>
                <w:rFonts w:ascii="宋体" w:hAnsi="宋体" w:cs="宋体" w:eastAsia="宋体" w:hint="default"/>
                <w:sz w:val="18"/>
                <w:szCs w:val="18"/>
              </w:rPr>
            </w:pPr>
            <w:r>
              <w:rPr>
                <w:rFonts w:ascii="宋体" w:hAnsi="宋体" w:cs="宋体" w:eastAsia="宋体" w:hint="default"/>
                <w:spacing w:val="-2"/>
                <w:sz w:val="18"/>
                <w:szCs w:val="18"/>
              </w:rPr>
              <w:t>北京盛景财富</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投资管理有限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3" w:right="75"/>
              <w:jc w:val="left"/>
              <w:rPr>
                <w:rFonts w:ascii="宋体" w:hAnsi="宋体" w:cs="宋体" w:eastAsia="宋体" w:hint="default"/>
                <w:sz w:val="18"/>
                <w:szCs w:val="18"/>
              </w:rPr>
            </w:pPr>
            <w:r>
              <w:rPr>
                <w:rFonts w:ascii="宋体" w:hAnsi="宋体" w:cs="宋体" w:eastAsia="宋体" w:hint="default"/>
                <w:spacing w:val="-2"/>
                <w:sz w:val="18"/>
                <w:szCs w:val="18"/>
              </w:rPr>
              <w:t>境内非国有法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人</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1,596,000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1,596,000</w:t>
            </w:r>
          </w:p>
        </w:tc>
        <w:tc>
          <w:tcPr>
            <w:tcW w:w="107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姚建民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0.72%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210,000</w:t>
            </w:r>
          </w:p>
        </w:tc>
        <w:tc>
          <w:tcPr>
            <w:tcW w:w="107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任洪明</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0.72%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210,000</w:t>
            </w:r>
          </w:p>
        </w:tc>
        <w:tc>
          <w:tcPr>
            <w:tcW w:w="107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647"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80"/>
              <w:jc w:val="both"/>
              <w:rPr>
                <w:rFonts w:ascii="宋体" w:hAnsi="宋体" w:cs="宋体" w:eastAsia="宋体" w:hint="default"/>
                <w:sz w:val="18"/>
                <w:szCs w:val="18"/>
              </w:rPr>
            </w:pPr>
            <w:r>
              <w:rPr>
                <w:rFonts w:ascii="宋体" w:hAnsi="宋体" w:cs="宋体" w:eastAsia="宋体" w:hint="default"/>
                <w:spacing w:val="-2"/>
                <w:sz w:val="18"/>
                <w:szCs w:val="18"/>
              </w:rPr>
              <w:t>中国银行股份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有限公司－招</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商国企改革主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题混合型证券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投资基金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05"/>
              <w:ind w:left="23" w:right="75"/>
              <w:jc w:val="left"/>
              <w:rPr>
                <w:rFonts w:ascii="宋体" w:hAnsi="宋体" w:cs="宋体" w:eastAsia="宋体" w:hint="default"/>
                <w:sz w:val="18"/>
                <w:szCs w:val="18"/>
              </w:rPr>
            </w:pPr>
            <w:r>
              <w:rPr>
                <w:rFonts w:ascii="宋体" w:hAnsi="宋体" w:cs="宋体" w:eastAsia="宋体" w:hint="default"/>
                <w:spacing w:val="-2"/>
                <w:sz w:val="18"/>
                <w:szCs w:val="18"/>
              </w:rPr>
              <w:t>境内非国有法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人</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0.68%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800,000</w:t>
            </w:r>
          </w:p>
        </w:tc>
        <w:tc>
          <w:tcPr>
            <w:tcW w:w="107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徐江民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0.48%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7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张雪峰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0.24%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70,000</w:t>
            </w:r>
          </w:p>
        </w:tc>
        <w:tc>
          <w:tcPr>
            <w:tcW w:w="107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3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7"/>
              <w:jc w:val="left"/>
              <w:rPr>
                <w:rFonts w:ascii="宋体" w:hAnsi="宋体" w:cs="宋体" w:eastAsia="宋体" w:hint="default"/>
                <w:sz w:val="18"/>
                <w:szCs w:val="18"/>
              </w:rPr>
            </w:pPr>
            <w:r>
              <w:rPr>
                <w:rFonts w:ascii="宋体" w:hAnsi="宋体" w:cs="宋体" w:eastAsia="宋体" w:hint="default"/>
                <w:spacing w:val="-3"/>
                <w:sz w:val="18"/>
                <w:szCs w:val="18"/>
              </w:rPr>
              <w:t>战略投资者或一般法人因配售</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新股成为前</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w:t>
            </w:r>
          </w:p>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如</w:t>
            </w:r>
            <w:r>
              <w:rPr>
                <w:rFonts w:ascii="宋体" w:hAnsi="宋体" w:cs="宋体" w:eastAsia="宋体" w:hint="default"/>
                <w:w w:val="101"/>
                <w:sz w:val="18"/>
                <w:szCs w:val="18"/>
              </w:rPr>
              <w:t>有</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参见注</w:t>
            </w:r>
            <w:r>
              <w:rPr>
                <w:rFonts w:ascii="宋体" w:hAnsi="宋体" w:cs="宋体" w:eastAsia="宋体" w:hint="default"/>
                <w:spacing w:val="-52"/>
                <w:sz w:val="18"/>
                <w:szCs w:val="18"/>
              </w:rPr>
              <w:t> </w:t>
            </w:r>
            <w:r>
              <w:rPr>
                <w:rFonts w:ascii="Times New Roman" w:hAnsi="Times New Roman" w:cs="Times New Roman" w:eastAsia="Times New Roman" w:hint="default"/>
                <w:w w:val="101"/>
                <w:sz w:val="18"/>
                <w:szCs w:val="18"/>
              </w:rPr>
              <w:t>4</w:t>
            </w:r>
            <w:r>
              <w:rPr>
                <w:rFonts w:ascii="宋体" w:hAnsi="宋体" w:cs="宋体" w:eastAsia="宋体" w:hint="default"/>
                <w:w w:val="101"/>
                <w:sz w:val="18"/>
                <w:szCs w:val="18"/>
              </w:rPr>
              <w:t>）</w:t>
            </w:r>
            <w:r>
              <w:rPr>
                <w:rFonts w:ascii="宋体" w:hAnsi="宋体" w:cs="宋体" w:eastAsia="宋体" w:hint="default"/>
                <w:sz w:val="18"/>
                <w:szCs w:val="18"/>
              </w:rPr>
            </w:r>
          </w:p>
        </w:tc>
        <w:tc>
          <w:tcPr>
            <w:tcW w:w="7179"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17" w:hRule="exact"/>
        </w:trPr>
        <w:tc>
          <w:tcPr>
            <w:tcW w:w="239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179" w:type="dxa"/>
            <w:gridSpan w:val="7"/>
            <w:vMerge w:val="restart"/>
            <w:tcBorders>
              <w:top w:val="single" w:sz="4" w:space="0" w:color="000000"/>
              <w:left w:val="single" w:sz="10" w:space="0" w:color="D2D2D2"/>
              <w:right w:val="single" w:sz="4" w:space="0" w:color="000000"/>
            </w:tcBorders>
          </w:tcPr>
          <w:p>
            <w:pPr>
              <w:pStyle w:val="TableParagraph"/>
              <w:spacing w:line="307" w:lineRule="auto" w:before="53"/>
              <w:ind w:left="16" w:right="27"/>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、杭州磐源投资有限公司为实际控制人杨一兵、杨波控制的企业；杭州磐鸿投资管理合伙</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pacing w:val="-3"/>
                <w:sz w:val="18"/>
                <w:szCs w:val="18"/>
              </w:rPr>
              <w:t>企业（有限合伙）为实际控制人杨一兵控制的企业。</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、杨一兵、杨波已签署《一致行动人</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pacing w:val="-5"/>
                <w:w w:val="101"/>
                <w:sz w:val="18"/>
                <w:szCs w:val="18"/>
              </w:rPr>
              <w:t>协议》，为一致行动人。除此之外，公司未知其余前十名股东之间是否有关联关系或者一致</w:t>
            </w:r>
            <w:r>
              <w:rPr>
                <w:rFonts w:ascii="宋体" w:hAnsi="宋体" w:cs="宋体" w:eastAsia="宋体" w:hint="default"/>
                <w:spacing w:val="-78"/>
                <w:w w:val="101"/>
                <w:sz w:val="18"/>
                <w:szCs w:val="18"/>
              </w:rPr>
              <w:t> </w:t>
            </w:r>
            <w:r>
              <w:rPr>
                <w:rFonts w:ascii="宋体" w:hAnsi="宋体" w:cs="宋体" w:eastAsia="宋体" w:hint="default"/>
                <w:spacing w:val="-78"/>
                <w:w w:val="101"/>
                <w:sz w:val="18"/>
                <w:szCs w:val="18"/>
              </w:rPr>
            </w:r>
            <w:r>
              <w:rPr>
                <w:rFonts w:ascii="宋体" w:hAnsi="宋体" w:cs="宋体" w:eastAsia="宋体" w:hint="default"/>
                <w:sz w:val="18"/>
                <w:szCs w:val="18"/>
              </w:rPr>
              <w:t>行动关系。</w:t>
            </w:r>
          </w:p>
        </w:tc>
      </w:tr>
      <w:tr>
        <w:trPr>
          <w:trHeight w:val="701" w:hRule="exact"/>
        </w:trPr>
        <w:tc>
          <w:tcPr>
            <w:tcW w:w="2396"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3"/>
                <w:sz w:val="18"/>
                <w:szCs w:val="18"/>
              </w:rPr>
              <w:t>上述股东关联关系或一致行动</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的说明</w:t>
            </w:r>
          </w:p>
        </w:tc>
        <w:tc>
          <w:tcPr>
            <w:tcW w:w="7179" w:type="dxa"/>
            <w:gridSpan w:val="7"/>
            <w:vMerge/>
            <w:tcBorders>
              <w:left w:val="single" w:sz="10" w:space="0" w:color="D2D2D2"/>
              <w:right w:val="single" w:sz="4" w:space="0" w:color="000000"/>
            </w:tcBorders>
          </w:tcPr>
          <w:p>
            <w:pPr/>
          </w:p>
        </w:tc>
      </w:tr>
      <w:tr>
        <w:trPr>
          <w:trHeight w:val="317" w:hRule="exact"/>
        </w:trPr>
        <w:tc>
          <w:tcPr>
            <w:tcW w:w="239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179" w:type="dxa"/>
            <w:gridSpan w:val="7"/>
            <w:vMerge/>
            <w:tcBorders>
              <w:left w:val="single" w:sz="10" w:space="0" w:color="D2D2D2"/>
              <w:bottom w:val="single" w:sz="4" w:space="0" w:color="000000"/>
              <w:right w:val="single" w:sz="4" w:space="0" w:color="000000"/>
            </w:tcBorders>
          </w:tcPr>
          <w:p>
            <w:pPr/>
          </w:p>
        </w:tc>
      </w:tr>
      <w:tr>
        <w:trPr>
          <w:trHeight w:val="404"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名无限售条件股东持股情况</w:t>
            </w:r>
          </w:p>
        </w:tc>
      </w:tr>
      <w:tr>
        <w:trPr>
          <w:trHeight w:val="206" w:hRule="exact"/>
        </w:trPr>
        <w:tc>
          <w:tcPr>
            <w:tcW w:w="239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5047"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1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95"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39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5047"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166" w:right="0"/>
              <w:jc w:val="left"/>
              <w:rPr>
                <w:rFonts w:ascii="宋体" w:hAnsi="宋体" w:cs="宋体" w:eastAsia="宋体" w:hint="default"/>
                <w:sz w:val="18"/>
                <w:szCs w:val="18"/>
              </w:rPr>
            </w:pPr>
            <w:r>
              <w:rPr>
                <w:rFonts w:ascii="宋体" w:hAnsi="宋体" w:cs="宋体" w:eastAsia="宋体" w:hint="default"/>
                <w:spacing w:val="-3"/>
                <w:sz w:val="18"/>
                <w:szCs w:val="18"/>
              </w:rPr>
              <w:t>报告期末持有无限售条件股份数量</w:t>
            </w:r>
          </w:p>
        </w:tc>
        <w:tc>
          <w:tcPr>
            <w:tcW w:w="2132"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96" w:type="dxa"/>
            <w:gridSpan w:val="2"/>
            <w:vMerge/>
            <w:tcBorders>
              <w:left w:val="single" w:sz="4" w:space="0" w:color="000000"/>
              <w:bottom w:val="nil" w:sz="6" w:space="0" w:color="auto"/>
              <w:right w:val="single" w:sz="4" w:space="0" w:color="000000"/>
            </w:tcBorders>
            <w:shd w:val="clear" w:color="auto" w:fill="D2D2D2"/>
          </w:tcPr>
          <w:p>
            <w:pPr/>
          </w:p>
        </w:tc>
        <w:tc>
          <w:tcPr>
            <w:tcW w:w="5047" w:type="dxa"/>
            <w:gridSpan w:val="5"/>
            <w:vMerge/>
            <w:tcBorders>
              <w:left w:val="single" w:sz="4" w:space="0" w:color="000000"/>
              <w:bottom w:val="nil" w:sz="6" w:space="0" w:color="auto"/>
              <w:right w:val="single" w:sz="4" w:space="0" w:color="000000"/>
            </w:tcBorders>
            <w:shd w:val="clear" w:color="auto" w:fill="D2D2D2"/>
          </w:tcPr>
          <w:p>
            <w:pPr/>
          </w:p>
        </w:tc>
        <w:tc>
          <w:tcPr>
            <w:tcW w:w="10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67"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39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5047"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071"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r>
      <w:tr>
        <w:trPr>
          <w:trHeight w:val="711" w:hRule="exact"/>
        </w:trPr>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杭州磐源投资有限公司</w:t>
            </w:r>
          </w:p>
        </w:tc>
        <w:tc>
          <w:tcPr>
            <w:tcW w:w="504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63,042,000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32"/>
              <w:jc w:val="left"/>
              <w:rPr>
                <w:rFonts w:ascii="宋体" w:hAnsi="宋体" w:cs="宋体" w:eastAsia="宋体" w:hint="default"/>
                <w:sz w:val="18"/>
                <w:szCs w:val="18"/>
              </w:rPr>
            </w:pPr>
            <w:r>
              <w:rPr>
                <w:rFonts w:ascii="宋体" w:hAnsi="宋体" w:cs="宋体" w:eastAsia="宋体" w:hint="default"/>
                <w:spacing w:val="-2"/>
                <w:sz w:val="18"/>
                <w:szCs w:val="18"/>
              </w:rPr>
              <w:t>人民币普通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63,042,000</w:t>
            </w:r>
          </w:p>
        </w:tc>
      </w:tr>
      <w:tr>
        <w:trPr>
          <w:trHeight w:val="715" w:hRule="exact"/>
        </w:trPr>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杭州磐鸿投资管理合伙企业</w:t>
            </w:r>
          </w:p>
          <w:p>
            <w:pPr>
              <w:pStyle w:val="TableParagraph"/>
              <w:spacing w:line="240" w:lineRule="auto" w:before="81"/>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504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7,980,000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32"/>
              <w:jc w:val="left"/>
              <w:rPr>
                <w:rFonts w:ascii="宋体" w:hAnsi="宋体" w:cs="宋体" w:eastAsia="宋体" w:hint="default"/>
                <w:sz w:val="18"/>
                <w:szCs w:val="18"/>
              </w:rPr>
            </w:pPr>
            <w:r>
              <w:rPr>
                <w:rFonts w:ascii="宋体" w:hAnsi="宋体" w:cs="宋体" w:eastAsia="宋体" w:hint="default"/>
                <w:spacing w:val="-2"/>
                <w:sz w:val="18"/>
                <w:szCs w:val="18"/>
              </w:rPr>
              <w:t>人民币普通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7,980,000</w:t>
            </w:r>
          </w:p>
        </w:tc>
      </w:tr>
      <w:tr>
        <w:trPr>
          <w:trHeight w:val="715" w:hRule="exact"/>
        </w:trPr>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7"/>
              <w:jc w:val="left"/>
              <w:rPr>
                <w:rFonts w:ascii="宋体" w:hAnsi="宋体" w:cs="宋体" w:eastAsia="宋体" w:hint="default"/>
                <w:sz w:val="18"/>
                <w:szCs w:val="18"/>
              </w:rPr>
            </w:pPr>
            <w:r>
              <w:rPr>
                <w:rFonts w:ascii="宋体" w:hAnsi="宋体" w:cs="宋体" w:eastAsia="宋体" w:hint="default"/>
                <w:spacing w:val="-3"/>
                <w:sz w:val="18"/>
                <w:szCs w:val="18"/>
              </w:rPr>
              <w:t>武汉雷石瑞丰股权投资合伙企</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业（有限合伙）</w:t>
            </w:r>
          </w:p>
        </w:tc>
        <w:tc>
          <w:tcPr>
            <w:tcW w:w="504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4,390,600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32"/>
              <w:jc w:val="left"/>
              <w:rPr>
                <w:rFonts w:ascii="宋体" w:hAnsi="宋体" w:cs="宋体" w:eastAsia="宋体" w:hint="default"/>
                <w:sz w:val="18"/>
                <w:szCs w:val="18"/>
              </w:rPr>
            </w:pPr>
            <w:r>
              <w:rPr>
                <w:rFonts w:ascii="宋体" w:hAnsi="宋体" w:cs="宋体" w:eastAsia="宋体" w:hint="default"/>
                <w:spacing w:val="-2"/>
                <w:sz w:val="18"/>
                <w:szCs w:val="18"/>
              </w:rPr>
              <w:t>人民币普通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4,390,600</w:t>
            </w:r>
          </w:p>
        </w:tc>
      </w:tr>
      <w:tr>
        <w:trPr>
          <w:trHeight w:val="716" w:hRule="exact"/>
        </w:trPr>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7"/>
              <w:jc w:val="left"/>
              <w:rPr>
                <w:rFonts w:ascii="宋体" w:hAnsi="宋体" w:cs="宋体" w:eastAsia="宋体" w:hint="default"/>
                <w:sz w:val="18"/>
                <w:szCs w:val="18"/>
              </w:rPr>
            </w:pPr>
            <w:r>
              <w:rPr>
                <w:rFonts w:ascii="宋体" w:hAnsi="宋体" w:cs="宋体" w:eastAsia="宋体" w:hint="default"/>
                <w:spacing w:val="-3"/>
                <w:sz w:val="18"/>
                <w:szCs w:val="18"/>
              </w:rPr>
              <w:t>中国工商银行股份有限公司－</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博时精选混合型证券投资基金</w:t>
            </w:r>
          </w:p>
        </w:tc>
        <w:tc>
          <w:tcPr>
            <w:tcW w:w="504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2,150,168</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32"/>
              <w:jc w:val="left"/>
              <w:rPr>
                <w:rFonts w:ascii="宋体" w:hAnsi="宋体" w:cs="宋体" w:eastAsia="宋体" w:hint="default"/>
                <w:sz w:val="18"/>
                <w:szCs w:val="18"/>
              </w:rPr>
            </w:pPr>
            <w:r>
              <w:rPr>
                <w:rFonts w:ascii="宋体" w:hAnsi="宋体" w:cs="宋体" w:eastAsia="宋体" w:hint="default"/>
                <w:spacing w:val="-2"/>
                <w:sz w:val="18"/>
                <w:szCs w:val="18"/>
              </w:rPr>
              <w:t>人民币普通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2,150,168</w:t>
            </w:r>
          </w:p>
        </w:tc>
      </w:tr>
      <w:tr>
        <w:trPr>
          <w:trHeight w:val="710" w:hRule="exact"/>
        </w:trPr>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3"/>
                <w:sz w:val="18"/>
                <w:szCs w:val="18"/>
              </w:rPr>
              <w:t>北京盛景财富投资管理有限公</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司</w:t>
            </w:r>
          </w:p>
        </w:tc>
        <w:tc>
          <w:tcPr>
            <w:tcW w:w="504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1,596,000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32"/>
              <w:jc w:val="left"/>
              <w:rPr>
                <w:rFonts w:ascii="宋体" w:hAnsi="宋体" w:cs="宋体" w:eastAsia="宋体" w:hint="default"/>
                <w:sz w:val="18"/>
                <w:szCs w:val="18"/>
              </w:rPr>
            </w:pPr>
            <w:r>
              <w:rPr>
                <w:rFonts w:ascii="宋体" w:hAnsi="宋体" w:cs="宋体" w:eastAsia="宋体" w:hint="default"/>
                <w:spacing w:val="-2"/>
                <w:sz w:val="18"/>
                <w:szCs w:val="18"/>
              </w:rPr>
              <w:t>人民币普通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1,596,000</w:t>
            </w:r>
          </w:p>
        </w:tc>
      </w:tr>
      <w:tr>
        <w:trPr>
          <w:trHeight w:val="1028" w:hRule="exact"/>
        </w:trPr>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7"/>
              <w:jc w:val="both"/>
              <w:rPr>
                <w:rFonts w:ascii="宋体" w:hAnsi="宋体" w:cs="宋体" w:eastAsia="宋体" w:hint="default"/>
                <w:sz w:val="18"/>
                <w:szCs w:val="18"/>
              </w:rPr>
            </w:pPr>
            <w:r>
              <w:rPr>
                <w:rFonts w:ascii="宋体" w:hAnsi="宋体" w:cs="宋体" w:eastAsia="宋体" w:hint="default"/>
                <w:spacing w:val="-3"/>
                <w:sz w:val="18"/>
                <w:szCs w:val="18"/>
              </w:rPr>
              <w:t>中国银行股份有限公司－招商</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国企改革主题混合型证券投资</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基金</w:t>
            </w:r>
          </w:p>
        </w:tc>
        <w:tc>
          <w:tcPr>
            <w:tcW w:w="504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800,000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3" w:right="132"/>
              <w:jc w:val="left"/>
              <w:rPr>
                <w:rFonts w:ascii="宋体" w:hAnsi="宋体" w:cs="宋体" w:eastAsia="宋体" w:hint="default"/>
                <w:sz w:val="18"/>
                <w:szCs w:val="18"/>
              </w:rPr>
            </w:pPr>
            <w:r>
              <w:rPr>
                <w:rFonts w:ascii="宋体" w:hAnsi="宋体" w:cs="宋体" w:eastAsia="宋体" w:hint="default"/>
                <w:spacing w:val="-2"/>
                <w:sz w:val="18"/>
                <w:szCs w:val="18"/>
              </w:rPr>
              <w:t>人民币普通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800,000</w:t>
            </w:r>
          </w:p>
        </w:tc>
      </w:tr>
      <w:tr>
        <w:trPr>
          <w:trHeight w:val="403" w:hRule="exact"/>
        </w:trPr>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pacing w:val="-3"/>
                <w:sz w:val="18"/>
                <w:szCs w:val="18"/>
              </w:rPr>
              <w:t>中国建设银行股份有限公司－</w:t>
            </w:r>
          </w:p>
        </w:tc>
        <w:tc>
          <w:tcPr>
            <w:tcW w:w="504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273,563</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z w:val="18"/>
                <w:szCs w:val="18"/>
              </w:rPr>
              <w:t>人民币普通</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273,563</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396"/>
        <w:gridCol w:w="5047"/>
        <w:gridCol w:w="1071"/>
        <w:gridCol w:w="1061"/>
      </w:tblGrid>
      <w:tr>
        <w:trPr>
          <w:trHeight w:val="672"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0"/>
              <w:ind w:left="24" w:right="17"/>
              <w:jc w:val="left"/>
              <w:rPr>
                <w:rFonts w:ascii="宋体" w:hAnsi="宋体" w:cs="宋体" w:eastAsia="宋体" w:hint="default"/>
                <w:sz w:val="18"/>
                <w:szCs w:val="18"/>
              </w:rPr>
            </w:pPr>
            <w:r>
              <w:rPr>
                <w:rFonts w:ascii="宋体" w:hAnsi="宋体" w:cs="宋体" w:eastAsia="宋体" w:hint="default"/>
                <w:spacing w:val="-3"/>
                <w:sz w:val="18"/>
                <w:szCs w:val="18"/>
              </w:rPr>
              <w:t>博时互联网主题灵活配置混合</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型证券投资基金</w:t>
            </w:r>
          </w:p>
        </w:tc>
        <w:tc>
          <w:tcPr>
            <w:tcW w:w="5047"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w w:val="101"/>
                <w:sz w:val="18"/>
                <w:szCs w:val="18"/>
              </w:rPr>
              <w:t>股</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姚建民</w:t>
            </w:r>
          </w:p>
        </w:tc>
        <w:tc>
          <w:tcPr>
            <w:tcW w:w="5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210,000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132"/>
              <w:jc w:val="left"/>
              <w:rPr>
                <w:rFonts w:ascii="宋体" w:hAnsi="宋体" w:cs="宋体" w:eastAsia="宋体" w:hint="default"/>
                <w:sz w:val="18"/>
                <w:szCs w:val="18"/>
              </w:rPr>
            </w:pPr>
            <w:r>
              <w:rPr>
                <w:rFonts w:ascii="宋体" w:hAnsi="宋体" w:cs="宋体" w:eastAsia="宋体" w:hint="default"/>
                <w:spacing w:val="-2"/>
                <w:sz w:val="18"/>
                <w:szCs w:val="18"/>
              </w:rPr>
              <w:t>人民币普通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210,000</w:t>
            </w:r>
          </w:p>
        </w:tc>
      </w:tr>
      <w:tr>
        <w:trPr>
          <w:trHeight w:val="715"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任洪明</w:t>
            </w:r>
          </w:p>
        </w:tc>
        <w:tc>
          <w:tcPr>
            <w:tcW w:w="5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210,000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32"/>
              <w:jc w:val="left"/>
              <w:rPr>
                <w:rFonts w:ascii="宋体" w:hAnsi="宋体" w:cs="宋体" w:eastAsia="宋体" w:hint="default"/>
                <w:sz w:val="18"/>
                <w:szCs w:val="18"/>
              </w:rPr>
            </w:pPr>
            <w:r>
              <w:rPr>
                <w:rFonts w:ascii="宋体" w:hAnsi="宋体" w:cs="宋体" w:eastAsia="宋体" w:hint="default"/>
                <w:spacing w:val="-2"/>
                <w:sz w:val="18"/>
                <w:szCs w:val="18"/>
              </w:rPr>
              <w:t>人民币普通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210,000</w:t>
            </w:r>
          </w:p>
        </w:tc>
      </w:tr>
      <w:tr>
        <w:trPr>
          <w:trHeight w:val="716"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陈冠卿</w:t>
            </w:r>
          </w:p>
        </w:tc>
        <w:tc>
          <w:tcPr>
            <w:tcW w:w="5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199,000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32"/>
              <w:jc w:val="left"/>
              <w:rPr>
                <w:rFonts w:ascii="宋体" w:hAnsi="宋体" w:cs="宋体" w:eastAsia="宋体" w:hint="default"/>
                <w:sz w:val="18"/>
                <w:szCs w:val="18"/>
              </w:rPr>
            </w:pPr>
            <w:r>
              <w:rPr>
                <w:rFonts w:ascii="宋体" w:hAnsi="宋体" w:cs="宋体" w:eastAsia="宋体" w:hint="default"/>
                <w:spacing w:val="-2"/>
                <w:sz w:val="18"/>
                <w:szCs w:val="18"/>
              </w:rPr>
              <w:t>人民币普通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199,000</w:t>
            </w:r>
          </w:p>
        </w:tc>
      </w:tr>
      <w:tr>
        <w:trPr>
          <w:trHeight w:val="1334"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名无限售流通股股东之</w:t>
            </w:r>
          </w:p>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间</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以</w:t>
            </w:r>
            <w:r>
              <w:rPr>
                <w:rFonts w:ascii="宋体" w:hAnsi="宋体" w:cs="宋体" w:eastAsia="宋体" w:hint="default"/>
                <w:w w:val="101"/>
                <w:sz w:val="18"/>
                <w:szCs w:val="18"/>
              </w:rPr>
              <w:t>及前</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名</w:t>
            </w:r>
            <w:r>
              <w:rPr>
                <w:rFonts w:ascii="宋体" w:hAnsi="宋体" w:cs="宋体" w:eastAsia="宋体" w:hint="default"/>
                <w:w w:val="101"/>
                <w:sz w:val="18"/>
                <w:szCs w:val="18"/>
              </w:rPr>
              <w:t>无</w:t>
            </w:r>
            <w:r>
              <w:rPr>
                <w:rFonts w:ascii="宋体" w:hAnsi="宋体" w:cs="宋体" w:eastAsia="宋体" w:hint="default"/>
                <w:spacing w:val="-5"/>
                <w:w w:val="101"/>
                <w:sz w:val="18"/>
                <w:szCs w:val="18"/>
              </w:rPr>
              <w:t>限</w:t>
            </w:r>
            <w:r>
              <w:rPr>
                <w:rFonts w:ascii="宋体" w:hAnsi="宋体" w:cs="宋体" w:eastAsia="宋体" w:hint="default"/>
                <w:w w:val="101"/>
                <w:sz w:val="18"/>
                <w:szCs w:val="18"/>
              </w:rPr>
              <w:t>售</w:t>
            </w:r>
            <w:r>
              <w:rPr>
                <w:rFonts w:ascii="宋体" w:hAnsi="宋体" w:cs="宋体" w:eastAsia="宋体" w:hint="default"/>
                <w:spacing w:val="-5"/>
                <w:w w:val="101"/>
                <w:sz w:val="18"/>
                <w:szCs w:val="18"/>
              </w:rPr>
              <w:t>流</w:t>
            </w:r>
            <w:r>
              <w:rPr>
                <w:rFonts w:ascii="宋体" w:hAnsi="宋体" w:cs="宋体" w:eastAsia="宋体" w:hint="default"/>
                <w:w w:val="101"/>
                <w:sz w:val="18"/>
                <w:szCs w:val="18"/>
              </w:rPr>
              <w:t>通股</w:t>
            </w:r>
            <w:r>
              <w:rPr>
                <w:rFonts w:ascii="宋体" w:hAnsi="宋体" w:cs="宋体" w:eastAsia="宋体" w:hint="default"/>
                <w:sz w:val="18"/>
                <w:szCs w:val="18"/>
              </w:rPr>
            </w:r>
          </w:p>
          <w:p>
            <w:pPr>
              <w:pStyle w:val="TableParagraph"/>
              <w:spacing w:line="304" w:lineRule="auto" w:before="63"/>
              <w:ind w:left="24" w:right="103"/>
              <w:jc w:val="left"/>
              <w:rPr>
                <w:rFonts w:ascii="宋体" w:hAnsi="宋体" w:cs="宋体" w:eastAsia="宋体" w:hint="default"/>
                <w:sz w:val="18"/>
                <w:szCs w:val="18"/>
              </w:rPr>
            </w:pPr>
            <w:r>
              <w:rPr>
                <w:rFonts w:ascii="宋体" w:hAnsi="宋体" w:cs="宋体" w:eastAsia="宋体" w:hint="default"/>
                <w:sz w:val="18"/>
                <w:szCs w:val="18"/>
              </w:rPr>
              <w:t>股东和前</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名股东之间关联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关系或一致行动的说明</w:t>
            </w:r>
          </w:p>
        </w:tc>
        <w:tc>
          <w:tcPr>
            <w:tcW w:w="7179" w:type="dxa"/>
            <w:gridSpan w:val="3"/>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3" w:right="27"/>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、杭州磐源投资有限公司为实际控制人杨一兵、杨波控制的企业；杭州磐鸿投资管理合伙</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pacing w:val="-3"/>
                <w:sz w:val="18"/>
                <w:szCs w:val="18"/>
              </w:rPr>
              <w:t>企业（有限合伙）为实际控制人杨一兵控制的企业。</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、杨一兵、杨波已签署《一致行动人</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pacing w:val="-5"/>
                <w:w w:val="101"/>
                <w:sz w:val="18"/>
                <w:szCs w:val="18"/>
              </w:rPr>
              <w:t>协议》，为一致行动人。除此之外，公司未知其余前十名股东之间是否有关联关系或者一致</w:t>
            </w:r>
            <w:r>
              <w:rPr>
                <w:rFonts w:ascii="宋体" w:hAnsi="宋体" w:cs="宋体" w:eastAsia="宋体" w:hint="default"/>
                <w:spacing w:val="-78"/>
                <w:w w:val="101"/>
                <w:sz w:val="18"/>
                <w:szCs w:val="18"/>
              </w:rPr>
              <w:t> </w:t>
            </w:r>
            <w:r>
              <w:rPr>
                <w:rFonts w:ascii="宋体" w:hAnsi="宋体" w:cs="宋体" w:eastAsia="宋体" w:hint="default"/>
                <w:spacing w:val="-78"/>
                <w:w w:val="101"/>
                <w:sz w:val="18"/>
                <w:szCs w:val="18"/>
              </w:rPr>
            </w:r>
            <w:r>
              <w:rPr>
                <w:rFonts w:ascii="宋体" w:hAnsi="宋体" w:cs="宋体" w:eastAsia="宋体" w:hint="default"/>
                <w:sz w:val="18"/>
                <w:szCs w:val="18"/>
              </w:rPr>
              <w:t>行动关系。</w:t>
            </w:r>
          </w:p>
        </w:tc>
      </w:tr>
      <w:tr>
        <w:trPr>
          <w:trHeight w:val="716"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4" w:right="17"/>
              <w:jc w:val="left"/>
              <w:rPr>
                <w:rFonts w:ascii="宋体" w:hAnsi="宋体" w:cs="宋体" w:eastAsia="宋体" w:hint="default"/>
                <w:sz w:val="18"/>
                <w:szCs w:val="18"/>
              </w:rPr>
            </w:pPr>
            <w:r>
              <w:rPr>
                <w:rFonts w:ascii="宋体" w:hAnsi="宋体" w:cs="宋体" w:eastAsia="宋体" w:hint="default"/>
                <w:spacing w:val="-3"/>
                <w:sz w:val="18"/>
                <w:szCs w:val="18"/>
              </w:rPr>
              <w:t>参与融资融券业务股东情况说</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12"/>
                <w:w w:val="101"/>
                <w:sz w:val="18"/>
                <w:szCs w:val="18"/>
              </w:rPr>
              <w:t>明（如有）（参见注</w:t>
            </w:r>
            <w:r>
              <w:rPr>
                <w:rFonts w:ascii="宋体" w:hAnsi="宋体" w:cs="宋体" w:eastAsia="宋体" w:hint="default"/>
                <w:spacing w:val="-46"/>
                <w:w w:val="101"/>
                <w:sz w:val="18"/>
                <w:szCs w:val="18"/>
              </w:rPr>
              <w:t> </w:t>
            </w:r>
            <w:r>
              <w:rPr>
                <w:rFonts w:ascii="Times New Roman" w:hAnsi="Times New Roman" w:cs="Times New Roman" w:eastAsia="Times New Roman" w:hint="default"/>
                <w:spacing w:val="-3"/>
                <w:w w:val="101"/>
                <w:sz w:val="18"/>
                <w:szCs w:val="18"/>
              </w:rPr>
              <w:t>5</w:t>
            </w:r>
            <w:r>
              <w:rPr>
                <w:rFonts w:ascii="宋体" w:hAnsi="宋体" w:cs="宋体" w:eastAsia="宋体" w:hint="default"/>
                <w:spacing w:val="-3"/>
                <w:w w:val="101"/>
                <w:sz w:val="18"/>
                <w:szCs w:val="18"/>
              </w:rPr>
              <w:t>）</w:t>
            </w:r>
            <w:r>
              <w:rPr>
                <w:rFonts w:ascii="宋体" w:hAnsi="宋体" w:cs="宋体" w:eastAsia="宋体" w:hint="default"/>
                <w:spacing w:val="-3"/>
                <w:sz w:val="18"/>
                <w:szCs w:val="18"/>
              </w:rPr>
            </w:r>
          </w:p>
        </w:tc>
        <w:tc>
          <w:tcPr>
            <w:tcW w:w="71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pStyle w:val="BodyText"/>
        <w:spacing w:line="240" w:lineRule="auto" w:before="53"/>
        <w:ind w:right="0"/>
        <w:jc w:val="left"/>
      </w:pPr>
      <w:r>
        <w:rPr/>
        <w:t>公司前 </w:t>
      </w:r>
      <w:r>
        <w:rPr>
          <w:rFonts w:ascii="Times New Roman" w:hAnsi="Times New Roman" w:cs="Times New Roman" w:eastAsia="Times New Roman" w:hint="default"/>
        </w:rPr>
        <w:t>10 </w:t>
      </w:r>
      <w:r>
        <w:rPr/>
        <w:t>名普通股股东、前 </w:t>
      </w:r>
      <w:r>
        <w:rPr>
          <w:rFonts w:ascii="Times New Roman" w:hAnsi="Times New Roman" w:cs="Times New Roman" w:eastAsia="Times New Roman" w:hint="default"/>
        </w:rPr>
        <w:t>10</w:t>
      </w:r>
      <w:r>
        <w:rPr>
          <w:rFonts w:ascii="Times New Roman" w:hAnsi="Times New Roman" w:cs="Times New Roman" w:eastAsia="Times New Roman" w:hint="default"/>
          <w:spacing w:val="-17"/>
        </w:rPr>
        <w:t> </w:t>
      </w:r>
      <w:r>
        <w:rPr>
          <w:spacing w:val="-3"/>
        </w:rPr>
        <w:t>名无限售条件普通股股东在报告期内是否进行约定购回交易</w:t>
      </w:r>
    </w:p>
    <w:p>
      <w:pPr>
        <w:pStyle w:val="BodyText"/>
        <w:spacing w:line="240" w:lineRule="auto" w:before="10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1"/>
        <w:ind w:right="0"/>
        <w:jc w:val="left"/>
      </w:pPr>
      <w:r>
        <w:rPr/>
        <w:t>公司前 </w:t>
      </w:r>
      <w:r>
        <w:rPr>
          <w:rFonts w:ascii="Times New Roman" w:hAnsi="Times New Roman" w:cs="Times New Roman" w:eastAsia="Times New Roman" w:hint="default"/>
        </w:rPr>
        <w:t>10 </w:t>
      </w:r>
      <w:r>
        <w:rPr/>
        <w:t>名普通股股东、前 </w:t>
      </w:r>
      <w:r>
        <w:rPr>
          <w:rFonts w:ascii="Times New Roman" w:hAnsi="Times New Roman" w:cs="Times New Roman" w:eastAsia="Times New Roman" w:hint="default"/>
        </w:rPr>
        <w:t>10</w:t>
      </w:r>
      <w:r>
        <w:rPr>
          <w:rFonts w:ascii="Times New Roman" w:hAnsi="Times New Roman" w:cs="Times New Roman" w:eastAsia="Times New Roman" w:hint="default"/>
          <w:spacing w:val="-17"/>
        </w:rPr>
        <w:t> </w:t>
      </w:r>
      <w:r>
        <w:rPr>
          <w:spacing w:val="-3"/>
        </w:rPr>
        <w:t>名无限售条件普通股股东在报告期内未进行约定购回交易。</w:t>
      </w:r>
    </w:p>
    <w:p>
      <w:pPr>
        <w:spacing w:line="240" w:lineRule="auto" w:before="8"/>
        <w:rPr>
          <w:rFonts w:ascii="宋体" w:hAnsi="宋体" w:cs="宋体" w:eastAsia="宋体" w:hint="default"/>
          <w:sz w:val="25"/>
          <w:szCs w:val="25"/>
        </w:rPr>
      </w:pPr>
    </w:p>
    <w:p>
      <w:pPr>
        <w:pStyle w:val="Heading4"/>
        <w:spacing w:line="240" w:lineRule="auto"/>
        <w:ind w:right="0"/>
        <w:jc w:val="left"/>
        <w:rPr>
          <w:b w:val="0"/>
          <w:bCs w:val="0"/>
        </w:rPr>
      </w:pPr>
      <w:bookmarkStart w:name="2、公司控股股东情况" w:id="115"/>
      <w:bookmarkEnd w:id="115"/>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1"/>
        <w:rPr>
          <w:rFonts w:ascii="宋体" w:hAnsi="宋体" w:cs="宋体" w:eastAsia="宋体" w:hint="default"/>
          <w:b/>
          <w:bCs/>
          <w:sz w:val="27"/>
          <w:szCs w:val="27"/>
        </w:rPr>
      </w:pPr>
    </w:p>
    <w:p>
      <w:pPr>
        <w:pStyle w:val="BodyText"/>
        <w:spacing w:line="357" w:lineRule="auto"/>
        <w:ind w:right="7956"/>
        <w:jc w:val="left"/>
      </w:pPr>
      <w:r>
        <w:rPr>
          <w:spacing w:val="-3"/>
        </w:rPr>
        <w:t>控股股东性质：自然人控股</w:t>
      </w:r>
      <w:r>
        <w:rPr>
          <w:spacing w:val="-51"/>
        </w:rPr>
        <w:t> </w:t>
      </w:r>
      <w:r>
        <w:rPr>
          <w:spacing w:val="-51"/>
        </w:rPr>
      </w:r>
      <w:r>
        <w:rPr>
          <w:spacing w:val="-3"/>
        </w:rPr>
        <w:t>控股股东类型：法人</w:t>
      </w:r>
    </w:p>
    <w:tbl>
      <w:tblPr>
        <w:tblW w:w="0" w:type="auto"/>
        <w:jc w:val="left"/>
        <w:tblInd w:w="148" w:type="dxa"/>
        <w:tblLayout w:type="fixed"/>
        <w:tblCellMar>
          <w:top w:w="0" w:type="dxa"/>
          <w:left w:w="0" w:type="dxa"/>
          <w:bottom w:w="0" w:type="dxa"/>
          <w:right w:w="0" w:type="dxa"/>
        </w:tblCellMar>
        <w:tblLook w:val="01E0"/>
      </w:tblPr>
      <w:tblGrid>
        <w:gridCol w:w="2199"/>
        <w:gridCol w:w="1791"/>
        <w:gridCol w:w="1594"/>
        <w:gridCol w:w="1758"/>
        <w:gridCol w:w="2228"/>
      </w:tblGrid>
      <w:tr>
        <w:trPr>
          <w:trHeight w:val="716"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52"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801" w:right="46" w:hanging="744"/>
              <w:jc w:val="left"/>
              <w:rPr>
                <w:rFonts w:ascii="宋体" w:hAnsi="宋体" w:cs="宋体" w:eastAsia="宋体" w:hint="default"/>
                <w:sz w:val="18"/>
                <w:szCs w:val="18"/>
              </w:rPr>
            </w:pPr>
            <w:r>
              <w:rPr>
                <w:rFonts w:ascii="宋体" w:hAnsi="宋体" w:cs="宋体" w:eastAsia="宋体" w:hint="default"/>
                <w:spacing w:val="-2"/>
                <w:sz w:val="18"/>
                <w:szCs w:val="18"/>
              </w:rPr>
              <w:t>法定代表人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单位负责</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人</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3836"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宋体" w:hAnsi="宋体" w:cs="宋体" w:eastAsia="宋体" w:hint="default"/>
                <w:sz w:val="18"/>
                <w:szCs w:val="18"/>
              </w:rPr>
              <w:t>杭州磐源投资有限公司</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杨波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4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50"/>
              <w:jc w:val="center"/>
              <w:rPr>
                <w:rFonts w:ascii="Times New Roman" w:hAnsi="Times New Roman" w:cs="Times New Roman" w:eastAsia="Times New Roman" w:hint="default"/>
                <w:sz w:val="18"/>
                <w:szCs w:val="18"/>
              </w:rPr>
            </w:pPr>
            <w:r>
              <w:rPr>
                <w:rFonts w:ascii="Times New Roman"/>
                <w:sz w:val="18"/>
              </w:rPr>
              <w:t>91330108056735639T</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
              <w:jc w:val="left"/>
              <w:rPr>
                <w:rFonts w:ascii="宋体" w:hAnsi="宋体" w:cs="宋体" w:eastAsia="宋体" w:hint="default"/>
                <w:sz w:val="18"/>
                <w:szCs w:val="18"/>
              </w:rPr>
            </w:pPr>
            <w:r>
              <w:rPr>
                <w:rFonts w:ascii="宋体" w:hAnsi="宋体" w:cs="宋体" w:eastAsia="宋体" w:hint="default"/>
                <w:spacing w:val="-3"/>
                <w:sz w:val="18"/>
                <w:szCs w:val="18"/>
              </w:rPr>
              <w:t>实业投资、投资管理、投资</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6"/>
                <w:sz w:val="18"/>
                <w:szCs w:val="18"/>
              </w:rPr>
              <w:t>咨询（除证券、期货）</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未经</w:t>
            </w:r>
            <w:r>
              <w:rPr>
                <w:rFonts w:ascii="宋体" w:hAnsi="宋体" w:cs="宋体" w:eastAsia="宋体" w:hint="default"/>
                <w:spacing w:val="-61"/>
                <w:sz w:val="18"/>
                <w:szCs w:val="18"/>
              </w:rPr>
              <w:t> </w:t>
            </w:r>
            <w:r>
              <w:rPr>
                <w:rFonts w:ascii="宋体" w:hAnsi="宋体" w:cs="宋体" w:eastAsia="宋体" w:hint="default"/>
                <w:spacing w:val="-3"/>
                <w:sz w:val="18"/>
                <w:szCs w:val="18"/>
              </w:rPr>
              <w:t>金融等监管部门批准，不得</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从事向公众融资存款、融资</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担保、代客理财等金融服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15"/>
                <w:w w:val="101"/>
                <w:sz w:val="18"/>
                <w:szCs w:val="18"/>
              </w:rPr>
              <w:t>务）、企业管理咨询、财务咨</w:t>
            </w:r>
            <w:r>
              <w:rPr>
                <w:rFonts w:ascii="宋体" w:hAnsi="宋体" w:cs="宋体" w:eastAsia="宋体" w:hint="default"/>
                <w:w w:val="101"/>
                <w:sz w:val="18"/>
                <w:szCs w:val="18"/>
              </w:rPr>
              <w:t> </w:t>
            </w:r>
            <w:r>
              <w:rPr>
                <w:rFonts w:ascii="宋体" w:hAnsi="宋体" w:cs="宋体" w:eastAsia="宋体" w:hint="default"/>
                <w:spacing w:val="-3"/>
                <w:sz w:val="18"/>
                <w:szCs w:val="18"/>
              </w:rPr>
              <w:t>询、经济信息咨询；货物或</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技术进出口（国家禁止或涉</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及行政审批的货物和技术进</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16"/>
                <w:w w:val="101"/>
                <w:sz w:val="18"/>
                <w:szCs w:val="18"/>
              </w:rPr>
              <w:t>出口除外）。（依法须经批准</w:t>
            </w:r>
            <w:r>
              <w:rPr>
                <w:rFonts w:ascii="宋体" w:hAnsi="宋体" w:cs="宋体" w:eastAsia="宋体" w:hint="default"/>
                <w:w w:val="101"/>
                <w:sz w:val="18"/>
                <w:szCs w:val="18"/>
              </w:rPr>
              <w:t> </w:t>
            </w:r>
            <w:r>
              <w:rPr>
                <w:rFonts w:ascii="宋体" w:hAnsi="宋体" w:cs="宋体" w:eastAsia="宋体" w:hint="default"/>
                <w:spacing w:val="-3"/>
                <w:sz w:val="18"/>
                <w:szCs w:val="18"/>
              </w:rPr>
              <w:t>的项目，经相关部门批准后</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方可开展经营活动）</w:t>
            </w:r>
          </w:p>
        </w:tc>
      </w:tr>
      <w:tr>
        <w:trPr>
          <w:trHeight w:val="1023"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81"/>
              <w:jc w:val="both"/>
              <w:rPr>
                <w:rFonts w:ascii="宋体" w:hAnsi="宋体" w:cs="宋体" w:eastAsia="宋体" w:hint="default"/>
                <w:sz w:val="18"/>
                <w:szCs w:val="18"/>
              </w:rPr>
            </w:pPr>
            <w:r>
              <w:rPr>
                <w:rFonts w:ascii="宋体" w:hAnsi="宋体" w:cs="宋体" w:eastAsia="宋体" w:hint="default"/>
                <w:spacing w:val="-3"/>
                <w:sz w:val="18"/>
                <w:szCs w:val="18"/>
              </w:rPr>
              <w:t>控股股东报告期内控股和</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参股的其他境内外上市公</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司的股权情况</w:t>
            </w:r>
          </w:p>
        </w:tc>
        <w:tc>
          <w:tcPr>
            <w:tcW w:w="737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pStyle w:val="BodyText"/>
        <w:spacing w:line="240" w:lineRule="auto" w:before="65"/>
        <w:ind w:right="0"/>
        <w:jc w:val="left"/>
      </w:pPr>
      <w:r>
        <w:rPr/>
        <w:t>控股股东报告期内变更</w:t>
      </w:r>
    </w:p>
    <w:p>
      <w:pPr>
        <w:pStyle w:val="BodyText"/>
        <w:spacing w:line="240" w:lineRule="auto" w:before="119"/>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pStyle w:val="BodyText"/>
        <w:spacing w:line="240" w:lineRule="auto" w:before="46"/>
        <w:ind w:right="0"/>
        <w:jc w:val="left"/>
      </w:pPr>
      <w:r>
        <w:rPr>
          <w:spacing w:val="-3"/>
        </w:rPr>
        <w:t>公司报告期控股股东未发生变更。</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3、公司实际控制人及其一致行动人" w:id="116"/>
      <w:bookmarkEnd w:id="116"/>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spacing w:val="-3"/>
        </w:rPr>
        <w:t>实际控制人性质：境内自然人</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710"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1" w:right="0"/>
              <w:jc w:val="left"/>
              <w:rPr>
                <w:rFonts w:ascii="宋体" w:hAnsi="宋体" w:cs="宋体" w:eastAsia="宋体" w:hint="default"/>
                <w:sz w:val="18"/>
                <w:szCs w:val="18"/>
              </w:rPr>
            </w:pPr>
            <w:r>
              <w:rPr>
                <w:rFonts w:ascii="宋体" w:hAnsi="宋体" w:cs="宋体" w:eastAsia="宋体" w:hint="default"/>
                <w:spacing w:val="-3"/>
                <w:sz w:val="18"/>
                <w:szCs w:val="18"/>
              </w:rPr>
              <w:t>实际控制人姓名</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12" w:right="103" w:hanging="903"/>
              <w:jc w:val="left"/>
              <w:rPr>
                <w:rFonts w:ascii="宋体" w:hAnsi="宋体" w:cs="宋体" w:eastAsia="宋体" w:hint="default"/>
                <w:sz w:val="18"/>
                <w:szCs w:val="18"/>
              </w:rPr>
            </w:pPr>
            <w:r>
              <w:rPr>
                <w:rFonts w:ascii="宋体" w:hAnsi="宋体" w:cs="宋体" w:eastAsia="宋体" w:hint="default"/>
                <w:spacing w:val="-3"/>
                <w:sz w:val="18"/>
                <w:szCs w:val="18"/>
              </w:rPr>
              <w:t>是否取得其他国家或地区居</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留权</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杨一兵</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杨波</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主要职业及职务</w:t>
            </w:r>
          </w:p>
        </w:tc>
        <w:tc>
          <w:tcPr>
            <w:tcW w:w="7178" w:type="dxa"/>
            <w:gridSpan w:val="3"/>
            <w:tcBorders>
              <w:top w:val="single" w:sz="4" w:space="0" w:color="000000"/>
              <w:left w:val="single" w:sz="4" w:space="0" w:color="000000"/>
              <w:bottom w:val="nil" w:sz="6" w:space="0" w:color="auto"/>
              <w:right w:val="nil" w:sz="6" w:space="0" w:color="auto"/>
            </w:tcBorders>
          </w:tcPr>
          <w:p>
            <w:pPr/>
          </w:p>
        </w:tc>
      </w:tr>
    </w:tbl>
    <w:p>
      <w:pPr>
        <w:pStyle w:val="BodyText"/>
        <w:spacing w:line="300" w:lineRule="auto" w:before="53"/>
        <w:ind w:right="1122"/>
        <w:jc w:val="both"/>
      </w:pPr>
      <w:r>
        <w:rPr>
          <w:spacing w:val="-4"/>
        </w:rPr>
        <w:t>杨一兵，男，</w:t>
      </w:r>
      <w:r>
        <w:rPr>
          <w:rFonts w:ascii="Times New Roman" w:hAnsi="Times New Roman" w:cs="Times New Roman" w:eastAsia="Times New Roman" w:hint="default"/>
          <w:spacing w:val="-4"/>
        </w:rPr>
        <w:t>1968 </w:t>
      </w:r>
      <w:r>
        <w:rPr>
          <w:spacing w:val="-4"/>
        </w:rPr>
        <w:t>年出生，中国国籍，无境外永久居留权，工业自动化专业博士学历。</w:t>
      </w:r>
      <w:r>
        <w:rPr>
          <w:rFonts w:ascii="Times New Roman" w:hAnsi="Times New Roman" w:cs="Times New Roman" w:eastAsia="Times New Roman" w:hint="default"/>
          <w:spacing w:val="-4"/>
        </w:rPr>
        <w:t>1996 </w:t>
      </w:r>
      <w:r>
        <w:rPr/>
        <w:t>年至 </w:t>
      </w:r>
      <w:r>
        <w:rPr>
          <w:rFonts w:ascii="Times New Roman" w:hAnsi="Times New Roman" w:cs="Times New Roman" w:eastAsia="Times New Roman" w:hint="default"/>
        </w:rPr>
        <w:t>2013 </w:t>
      </w:r>
      <w:r>
        <w:rPr>
          <w:spacing w:val="-4"/>
        </w:rPr>
        <w:t>年，担任浙江大学教</w:t>
      </w:r>
      <w:r>
        <w:rPr>
          <w:spacing w:val="-82"/>
        </w:rPr>
        <w:t> </w:t>
      </w:r>
      <w:r>
        <w:rPr>
          <w:spacing w:val="-82"/>
        </w:rPr>
      </w:r>
      <w:r>
        <w:rPr/>
        <w:t>师；</w:t>
      </w:r>
      <w:r>
        <w:rPr>
          <w:rFonts w:ascii="Times New Roman" w:hAnsi="Times New Roman" w:cs="Times New Roman" w:eastAsia="Times New Roman" w:hint="default"/>
        </w:rPr>
        <w:t>2001 </w:t>
      </w:r>
      <w:r>
        <w:rPr/>
        <w:t>年至 </w:t>
      </w:r>
      <w:r>
        <w:rPr>
          <w:rFonts w:ascii="Times New Roman" w:hAnsi="Times New Roman" w:cs="Times New Roman" w:eastAsia="Times New Roman" w:hint="default"/>
        </w:rPr>
        <w:t>2009 </w:t>
      </w:r>
      <w:r>
        <w:rPr>
          <w:spacing w:val="-3"/>
        </w:rPr>
        <w:t>年，历任浙江浙大中控信息技术有限公司副总经理、总工程师、副总裁；</w:t>
      </w:r>
      <w:r>
        <w:rPr>
          <w:rFonts w:ascii="Times New Roman" w:hAnsi="Times New Roman" w:cs="Times New Roman" w:eastAsia="Times New Roman" w:hint="default"/>
          <w:spacing w:val="-3"/>
        </w:rPr>
        <w:t>2006 </w:t>
      </w:r>
      <w:r>
        <w:rPr/>
        <w:t>年至 </w:t>
      </w:r>
      <w:r>
        <w:rPr>
          <w:rFonts w:ascii="Times New Roman" w:hAnsi="Times New Roman" w:cs="Times New Roman" w:eastAsia="Times New Roman" w:hint="default"/>
        </w:rPr>
        <w:t>2012 </w:t>
      </w:r>
      <w:r>
        <w:rPr/>
        <w:t>年，担任北京</w:t>
      </w:r>
      <w:r>
        <w:rPr>
          <w:spacing w:val="-71"/>
        </w:rPr>
        <w:t> </w:t>
      </w:r>
      <w:r>
        <w:rPr>
          <w:spacing w:val="-71"/>
        </w:rPr>
      </w:r>
      <w:r>
        <w:rPr>
          <w:spacing w:val="-4"/>
        </w:rPr>
        <w:t>和仁中控数字医疗技术有限公司董事、总经理；</w:t>
      </w:r>
      <w:r>
        <w:rPr>
          <w:rFonts w:ascii="Times New Roman" w:hAnsi="Times New Roman" w:cs="Times New Roman" w:eastAsia="Times New Roman" w:hint="default"/>
          <w:spacing w:val="-4"/>
        </w:rPr>
        <w:t>2010 </w:t>
      </w:r>
      <w:r>
        <w:rPr/>
        <w:t>年至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9 </w:t>
      </w:r>
      <w:r>
        <w:rPr>
          <w:spacing w:val="-5"/>
        </w:rPr>
        <w:t>月，担任公司董事长、总经理；</w:t>
      </w:r>
      <w:r>
        <w:rPr>
          <w:rFonts w:ascii="Times New Roman" w:hAnsi="Times New Roman" w:cs="Times New Roman" w:eastAsia="Times New Roman" w:hint="default"/>
          <w:spacing w:val="-5"/>
        </w:rPr>
        <w:t>2010 </w:t>
      </w:r>
      <w:r>
        <w:rPr>
          <w:spacing w:val="-3"/>
        </w:rPr>
        <w:t>年至今担任公司董</w:t>
      </w:r>
      <w:r>
        <w:rPr>
          <w:spacing w:val="-81"/>
        </w:rPr>
        <w:t> </w:t>
      </w:r>
      <w:r>
        <w:rPr>
          <w:spacing w:val="-81"/>
        </w:rPr>
      </w:r>
      <w:r>
        <w:rPr/>
        <w:t>事长。</w:t>
      </w:r>
    </w:p>
    <w:p>
      <w:pPr>
        <w:pStyle w:val="BodyText"/>
        <w:spacing w:line="302" w:lineRule="auto" w:before="65"/>
        <w:ind w:right="1122"/>
        <w:jc w:val="both"/>
      </w:pPr>
      <w:r>
        <w:rPr/>
        <w:pict>
          <v:group style="position:absolute;margin-left:56.424pt;margin-top:51.441685pt;width:539.050pt;height:41.1pt;mso-position-horizontal-relative:page;mso-position-vertical-relative:paragraph;z-index:-1110472" coordorigin="1128,1029" coordsize="10781,822">
            <v:group style="position:absolute;left:1150;top:1447;width:2;height:389" coordorigin="1150,1447" coordsize="2,389">
              <v:shape style="position:absolute;left:1150;top:1447;width:2;height:389" coordorigin="1150,1447" coordsize="0,389" path="m1150,1447l1150,1836e" filled="false" stroked="true" strokeweight="1.2pt" strokecolor="#d2d2d2">
                <v:path arrowok="t"/>
              </v:shape>
            </v:group>
            <v:group style="position:absolute;left:8295;top:1447;width:2;height:389" coordorigin="8295,1447" coordsize="2,389">
              <v:shape style="position:absolute;left:8295;top:1447;width:2;height:389" coordorigin="8295,1447" coordsize="0,389" path="m8295,1447l8295,1836e" filled="false" stroked="true" strokeweight="1.2pt" strokecolor="#d2d2d2">
                <v:path arrowok="t"/>
              </v:shape>
            </v:group>
            <v:group style="position:absolute;left:1162;top:1447;width:7122;height:389" coordorigin="1162,1447" coordsize="7122,389">
              <v:shape style="position:absolute;left:1162;top:1447;width:7122;height:389" coordorigin="1162,1447" coordsize="7122,389" path="m1162,1836l8283,1836,8283,1447,1162,1447,1162,1836xe" filled="true" fillcolor="#d2d2d2" stroked="false">
                <v:path arrowok="t"/>
                <v:fill type="solid"/>
              </v:shape>
            </v:group>
            <v:group style="position:absolute;left:1138;top:1437;width:7170;height:2" coordorigin="1138,1437" coordsize="7170,2">
              <v:shape style="position:absolute;left:1138;top:1437;width:7170;height:2" coordorigin="1138,1437" coordsize="7170,0" path="m1138,1437l8307,1437e" filled="false" stroked="true" strokeweight=".48001pt" strokecolor="#000000">
                <v:path arrowok="t"/>
              </v:shape>
            </v:group>
            <v:group style="position:absolute;left:8317;top:1437;width:10;height:2" coordorigin="8317,1437" coordsize="10,2">
              <v:shape style="position:absolute;left:8317;top:1437;width:10;height:2" coordorigin="8317,1437" coordsize="10,0" path="m8317,1437l8327,1437e" filled="false" stroked="true" strokeweight=".48001pt" strokecolor="#000000">
                <v:path arrowok="t"/>
              </v:shape>
            </v:group>
            <v:group style="position:absolute;left:8327;top:1437;width:3578;height:2" coordorigin="8327,1437" coordsize="3578,2">
              <v:shape style="position:absolute;left:8327;top:1437;width:3578;height:2" coordorigin="8327,1437" coordsize="3578,0" path="m8327,1437l11904,1437e" filled="false" stroked="true" strokeweight=".48001pt" strokecolor="#000000">
                <v:path arrowok="t"/>
              </v:shape>
            </v:group>
            <v:group style="position:absolute;left:1133;top:1034;width:2;height:812" coordorigin="1133,1034" coordsize="2,812">
              <v:shape style="position:absolute;left:1133;top:1034;width:2;height:812" coordorigin="1133,1034" coordsize="0,812" path="m1133,1034l1133,1845e" filled="false" stroked="true" strokeweight=".48pt" strokecolor="#000000">
                <v:path arrowok="t"/>
              </v:shape>
            </v:group>
            <v:group style="position:absolute;left:1138;top:1840;width:7170;height:2" coordorigin="1138,1840" coordsize="7170,2">
              <v:shape style="position:absolute;left:1138;top:1840;width:7170;height:2" coordorigin="1138,1840" coordsize="7170,0" path="m1138,1840l8307,1840e" filled="false" stroked="true" strokeweight=".48001pt" strokecolor="#000000">
                <v:path arrowok="t"/>
              </v:shape>
            </v:group>
            <v:group style="position:absolute;left:8312;top:1034;width:2;height:812" coordorigin="8312,1034" coordsize="2,812">
              <v:shape style="position:absolute;left:8312;top:1034;width:2;height:812" coordorigin="8312,1034" coordsize="0,812" path="m8312,1034l8312,1845e" filled="false" stroked="true" strokeweight=".47998pt" strokecolor="#000000">
                <v:path arrowok="t"/>
              </v:shape>
            </v:group>
            <v:group style="position:absolute;left:8317;top:1840;width:3587;height:2" coordorigin="8317,1840" coordsize="3587,2">
              <v:shape style="position:absolute;left:8317;top:1840;width:3587;height:2" coordorigin="8317,1840" coordsize="3587,0" path="m8317,1840l11904,1840e" filled="false" stroked="true" strokeweight=".48001pt" strokecolor="#000000">
                <v:path arrowok="t"/>
              </v:shape>
            </v:group>
            <w10:wrap type="none"/>
          </v:group>
        </w:pict>
      </w:r>
      <w:r>
        <w:rPr>
          <w:spacing w:val="-4"/>
        </w:rPr>
        <w:t>杨波，男，</w:t>
      </w:r>
      <w:r>
        <w:rPr>
          <w:rFonts w:ascii="Times New Roman" w:hAnsi="Times New Roman" w:cs="Times New Roman" w:eastAsia="Times New Roman" w:hint="default"/>
          <w:spacing w:val="-4"/>
        </w:rPr>
        <w:t>1976 </w:t>
      </w:r>
      <w:r>
        <w:rPr>
          <w:spacing w:val="-4"/>
        </w:rPr>
        <w:t>年出生，中国国籍，希腊共和国永久居留权，工业设计专业本科学历。</w:t>
      </w:r>
      <w:r>
        <w:rPr>
          <w:rFonts w:ascii="Times New Roman" w:hAnsi="Times New Roman" w:cs="Times New Roman" w:eastAsia="Times New Roman" w:hint="default"/>
          <w:spacing w:val="-4"/>
        </w:rPr>
        <w:t>1999 </w:t>
      </w:r>
      <w:r>
        <w:rPr/>
        <w:t>年至 </w:t>
      </w:r>
      <w:r>
        <w:rPr>
          <w:rFonts w:ascii="Times New Roman" w:hAnsi="Times New Roman" w:cs="Times New Roman" w:eastAsia="Times New Roman" w:hint="default"/>
        </w:rPr>
        <w:t>2000 </w:t>
      </w:r>
      <w:r>
        <w:rPr>
          <w:spacing w:val="-4"/>
        </w:rPr>
        <w:t>年，担任浙江易商软</w:t>
      </w:r>
      <w:r>
        <w:rPr>
          <w:spacing w:val="-85"/>
        </w:rPr>
        <w:t> </w:t>
      </w:r>
      <w:r>
        <w:rPr>
          <w:spacing w:val="-85"/>
        </w:rPr>
      </w:r>
      <w:r>
        <w:rPr>
          <w:spacing w:val="-3"/>
        </w:rPr>
        <w:t>件有限公司网站设计工程师；</w:t>
      </w:r>
      <w:r>
        <w:rPr>
          <w:rFonts w:ascii="Times New Roman" w:hAnsi="Times New Roman" w:cs="Times New Roman" w:eastAsia="Times New Roman" w:hint="default"/>
          <w:spacing w:val="-3"/>
        </w:rPr>
        <w:t>2001 </w:t>
      </w:r>
      <w:r>
        <w:rPr/>
        <w:t>年至 </w:t>
      </w:r>
      <w:r>
        <w:rPr>
          <w:rFonts w:ascii="Times New Roman" w:hAnsi="Times New Roman" w:cs="Times New Roman" w:eastAsia="Times New Roman" w:hint="default"/>
        </w:rPr>
        <w:t>2012 </w:t>
      </w:r>
      <w:r>
        <w:rPr>
          <w:spacing w:val="-4"/>
        </w:rPr>
        <w:t>年，历任浙江浙大中控信息技术有限公司智能建筑事业部商务总监、智能建筑</w:t>
      </w:r>
      <w:r>
        <w:rPr>
          <w:spacing w:val="-69"/>
        </w:rPr>
        <w:t> </w:t>
      </w:r>
      <w:r>
        <w:rPr>
          <w:spacing w:val="-69"/>
        </w:rPr>
      </w:r>
      <w:r>
        <w:rPr>
          <w:spacing w:val="-3"/>
        </w:rPr>
        <w:t>事业部副总经理、智能建筑事业部商务中心总监；</w:t>
      </w:r>
      <w:r>
        <w:rPr>
          <w:rFonts w:ascii="Times New Roman" w:hAnsi="Times New Roman" w:cs="Times New Roman" w:eastAsia="Times New Roman" w:hint="default"/>
          <w:spacing w:val="-3"/>
        </w:rPr>
        <w:t>2012   </w:t>
      </w:r>
      <w:r>
        <w:rPr>
          <w:rFonts w:ascii="Times New Roman" w:hAnsi="Times New Roman" w:cs="Times New Roman" w:eastAsia="Times New Roman" w:hint="default"/>
          <w:spacing w:val="-1"/>
        </w:rPr>
        <w:t> </w:t>
      </w:r>
      <w:r>
        <w:rPr>
          <w:spacing w:val="-3"/>
        </w:rPr>
        <w:t>年至今，担任公司董事、副总经理。</w:t>
      </w:r>
    </w:p>
    <w:p>
      <w:pPr>
        <w:spacing w:line="240" w:lineRule="auto" w:before="13"/>
        <w:rPr>
          <w:rFonts w:ascii="宋体" w:hAnsi="宋体" w:cs="宋体" w:eastAsia="宋体" w:hint="default"/>
          <w:sz w:val="2"/>
          <w:szCs w:val="2"/>
        </w:rPr>
      </w:pPr>
    </w:p>
    <w:tbl>
      <w:tblPr>
        <w:tblW w:w="0" w:type="auto"/>
        <w:jc w:val="right"/>
        <w:tblLayout w:type="fixed"/>
        <w:tblCellMar>
          <w:top w:w="0" w:type="dxa"/>
          <w:left w:w="0" w:type="dxa"/>
          <w:bottom w:w="0" w:type="dxa"/>
          <w:right w:w="0" w:type="dxa"/>
        </w:tblCellMar>
        <w:tblLook w:val="01E0"/>
      </w:tblPr>
      <w:tblGrid>
        <w:gridCol w:w="7179"/>
        <w:gridCol w:w="3592"/>
      </w:tblGrid>
      <w:tr>
        <w:trPr>
          <w:trHeight w:val="802" w:hRule="exact"/>
        </w:trPr>
        <w:tc>
          <w:tcPr>
            <w:tcW w:w="7179"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过去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年曾控股的境内外上市公司情况</w:t>
            </w:r>
          </w:p>
        </w:tc>
        <w:tc>
          <w:tcPr>
            <w:tcW w:w="35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pStyle w:val="BodyText"/>
        <w:spacing w:line="240" w:lineRule="auto" w:before="58"/>
        <w:ind w:right="0"/>
        <w:jc w:val="left"/>
      </w:pPr>
      <w:r>
        <w:rPr>
          <w:spacing w:val="-3"/>
        </w:rPr>
        <w:t>实际控制人报告期内变更</w:t>
      </w:r>
    </w:p>
    <w:p>
      <w:pPr>
        <w:pStyle w:val="BodyText"/>
        <w:spacing w:line="350" w:lineRule="auto" w:before="119"/>
        <w:ind w:right="671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公司报告期实际控制人未发生变更。</w:t>
      </w:r>
      <w:r>
        <w:rPr>
          <w:spacing w:val="-39"/>
        </w:rPr>
        <w:t> </w:t>
      </w:r>
      <w:r>
        <w:rPr>
          <w:spacing w:val="-39"/>
        </w:rPr>
      </w:r>
      <w:r>
        <w:rPr>
          <w:spacing w:val="-3"/>
        </w:rPr>
        <w:t>公司与实际控制人之间的产权及控制关系的方框图</w:t>
      </w:r>
    </w:p>
    <w:p>
      <w:pPr>
        <w:spacing w:line="240" w:lineRule="auto" w:before="6"/>
        <w:rPr>
          <w:rFonts w:ascii="宋体" w:hAnsi="宋体" w:cs="宋体" w:eastAsia="宋体" w:hint="default"/>
          <w:sz w:val="24"/>
          <w:szCs w:val="24"/>
        </w:rPr>
      </w:pPr>
    </w:p>
    <w:p>
      <w:pPr>
        <w:spacing w:line="3451" w:lineRule="exact"/>
        <w:ind w:left="1890" w:right="0" w:firstLine="0"/>
        <w:rPr>
          <w:rFonts w:ascii="宋体" w:hAnsi="宋体" w:cs="宋体" w:eastAsia="宋体" w:hint="default"/>
          <w:sz w:val="20"/>
          <w:szCs w:val="20"/>
        </w:rPr>
      </w:pPr>
      <w:r>
        <w:rPr>
          <w:rFonts w:ascii="宋体" w:hAnsi="宋体" w:cs="宋体" w:eastAsia="宋体" w:hint="default"/>
          <w:position w:val="-68"/>
          <w:sz w:val="20"/>
          <w:szCs w:val="20"/>
        </w:rPr>
        <w:drawing>
          <wp:inline distT="0" distB="0" distL="0" distR="0">
            <wp:extent cx="3916477" cy="2191702"/>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3" cstate="print"/>
                    <a:stretch>
                      <a:fillRect/>
                    </a:stretch>
                  </pic:blipFill>
                  <pic:spPr>
                    <a:xfrm>
                      <a:off x="0" y="0"/>
                      <a:ext cx="3916477" cy="2191702"/>
                    </a:xfrm>
                    <a:prstGeom prst="rect">
                      <a:avLst/>
                    </a:prstGeom>
                  </pic:spPr>
                </pic:pic>
              </a:graphicData>
            </a:graphic>
          </wp:inline>
        </w:drawing>
      </w:r>
      <w:r>
        <w:rPr>
          <w:rFonts w:ascii="宋体" w:hAnsi="宋体" w:cs="宋体" w:eastAsia="宋体" w:hint="default"/>
          <w:position w:val="-68"/>
          <w:sz w:val="20"/>
          <w:szCs w:val="20"/>
        </w:rPr>
      </w:r>
    </w:p>
    <w:p>
      <w:pPr>
        <w:spacing w:line="240" w:lineRule="auto" w:before="0"/>
        <w:rPr>
          <w:rFonts w:ascii="宋体" w:hAnsi="宋体" w:cs="宋体" w:eastAsia="宋体" w:hint="default"/>
          <w:sz w:val="18"/>
          <w:szCs w:val="18"/>
        </w:rPr>
      </w:pPr>
    </w:p>
    <w:p>
      <w:pPr>
        <w:pStyle w:val="BodyText"/>
        <w:spacing w:line="319" w:lineRule="auto" w:before="125"/>
        <w:ind w:right="1131"/>
        <w:jc w:val="both"/>
      </w:pPr>
      <w:r>
        <w:rPr>
          <w:spacing w:val="-3"/>
        </w:rPr>
        <w:t>注：上述持股比例的计算为截止</w:t>
      </w:r>
      <w:r>
        <w:rPr>
          <w:rFonts w:ascii="宋体" w:hAnsi="宋体" w:cs="宋体" w:eastAsia="宋体" w:hint="default"/>
          <w:spacing w:val="-3"/>
        </w:rPr>
        <w:t>2019</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日的公司总股本计算。其后公司于</w:t>
      </w:r>
      <w:r>
        <w:rPr>
          <w:rFonts w:ascii="宋体" w:hAnsi="宋体" w:cs="宋体" w:eastAsia="宋体" w:hint="default"/>
          <w:spacing w:val="-3"/>
        </w:rPr>
        <w:t>2020</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11</w:t>
      </w:r>
      <w:r>
        <w:rPr>
          <w:spacing w:val="-3"/>
        </w:rPr>
        <w:t>日办理完成离职激励对象的回</w:t>
      </w:r>
      <w:r>
        <w:rPr>
          <w:spacing w:val="4"/>
        </w:rPr>
        <w:t> </w:t>
      </w:r>
      <w:r>
        <w:rPr>
          <w:spacing w:val="4"/>
        </w:rPr>
      </w:r>
      <w:r>
        <w:rPr>
          <w:spacing w:val="-4"/>
        </w:rPr>
        <w:t>购注销工作，公司股份总数由</w:t>
      </w:r>
      <w:r>
        <w:rPr>
          <w:rFonts w:ascii="宋体" w:hAnsi="宋体" w:cs="宋体" w:eastAsia="宋体" w:hint="default"/>
          <w:spacing w:val="-4"/>
        </w:rPr>
        <w:t>117,306,000</w:t>
      </w:r>
      <w:r>
        <w:rPr>
          <w:spacing w:val="-4"/>
        </w:rPr>
        <w:t>股减少为</w:t>
      </w:r>
      <w:r>
        <w:rPr>
          <w:rFonts w:ascii="宋体" w:hAnsi="宋体" w:cs="宋体" w:eastAsia="宋体" w:hint="default"/>
          <w:spacing w:val="-4"/>
        </w:rPr>
        <w:t>117,190,500</w:t>
      </w:r>
      <w:r>
        <w:rPr>
          <w:spacing w:val="-4"/>
        </w:rPr>
        <w:t>股。磐源投资持股和仁科技的比例由</w:t>
      </w:r>
      <w:r>
        <w:rPr>
          <w:rFonts w:ascii="宋体" w:hAnsi="宋体" w:cs="宋体" w:eastAsia="宋体" w:hint="default"/>
          <w:spacing w:val="-4"/>
        </w:rPr>
        <w:t>53.74%</w:t>
      </w:r>
      <w:r>
        <w:rPr>
          <w:spacing w:val="-4"/>
        </w:rPr>
        <w:t>变为</w:t>
      </w:r>
      <w:r>
        <w:rPr>
          <w:rFonts w:ascii="宋体" w:hAnsi="宋体" w:cs="宋体" w:eastAsia="宋体" w:hint="default"/>
          <w:spacing w:val="-4"/>
        </w:rPr>
        <w:t>53.79%</w:t>
      </w:r>
      <w:r>
        <w:rPr>
          <w:spacing w:val="-4"/>
        </w:rPr>
        <w:t>，磐</w:t>
      </w:r>
      <w:r>
        <w:rPr>
          <w:spacing w:val="81"/>
        </w:rPr>
        <w:t> </w:t>
      </w:r>
      <w:r>
        <w:rPr/>
        <w:t>鸿投资持股比例由</w:t>
      </w:r>
      <w:r>
        <w:rPr>
          <w:rFonts w:ascii="宋体" w:hAnsi="宋体" w:cs="宋体" w:eastAsia="宋体" w:hint="default"/>
        </w:rPr>
        <w:t>6.80</w:t>
      </w:r>
      <w:r>
        <w:rPr/>
        <w:t>变为</w:t>
      </w:r>
      <w:r>
        <w:rPr>
          <w:rFonts w:ascii="宋体" w:hAnsi="宋体" w:cs="宋体" w:eastAsia="宋体" w:hint="default"/>
        </w:rPr>
        <w:t>6.81%</w:t>
      </w:r>
      <w:r>
        <w:rPr/>
        <w:t>。</w:t>
      </w:r>
    </w:p>
    <w:p>
      <w:pPr>
        <w:spacing w:line="240" w:lineRule="auto" w:before="1"/>
        <w:rPr>
          <w:rFonts w:ascii="宋体" w:hAnsi="宋体" w:cs="宋体" w:eastAsia="宋体" w:hint="default"/>
          <w:sz w:val="17"/>
          <w:szCs w:val="17"/>
        </w:rPr>
      </w:pPr>
    </w:p>
    <w:p>
      <w:pPr>
        <w:pStyle w:val="BodyText"/>
        <w:spacing w:line="240" w:lineRule="auto"/>
        <w:ind w:right="0"/>
        <w:jc w:val="left"/>
      </w:pPr>
      <w:r>
        <w:rPr>
          <w:spacing w:val="-3"/>
        </w:rPr>
        <w:t>实际控制人通过信托或其他资产管理方式控制公司</w:t>
      </w:r>
    </w:p>
    <w:p>
      <w:pPr>
        <w:pStyle w:val="BodyText"/>
        <w:spacing w:line="240" w:lineRule="auto" w:before="115"/>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footerReference w:type="default" r:id="rId12"/>
          <w:pgSz w:w="11910" w:h="16840"/>
          <w:pgMar w:footer="979" w:header="741" w:top="1060" w:bottom="1160" w:left="980" w:right="0"/>
          <w:pgNumType w:start="77"/>
        </w:sectPr>
      </w:pPr>
    </w:p>
    <w:p>
      <w:pPr>
        <w:spacing w:line="240" w:lineRule="auto" w:before="12"/>
        <w:rPr>
          <w:rFonts w:ascii="宋体" w:hAnsi="宋体" w:cs="宋体" w:eastAsia="宋体" w:hint="default"/>
          <w:sz w:val="24"/>
          <w:szCs w:val="24"/>
        </w:rPr>
      </w:pPr>
    </w:p>
    <w:p>
      <w:pPr>
        <w:pStyle w:val="Heading4"/>
        <w:spacing w:line="240" w:lineRule="auto" w:before="36"/>
        <w:ind w:right="0"/>
        <w:jc w:val="left"/>
        <w:rPr>
          <w:b w:val="0"/>
          <w:bCs w:val="0"/>
        </w:rPr>
      </w:pPr>
      <w:bookmarkStart w:name="4、其他持股在10%以上的法人股东" w:id="117"/>
      <w:bookmarkEnd w:id="117"/>
      <w:r>
        <w:rPr>
          <w:b w:val="0"/>
          <w:bCs w:val="0"/>
        </w:rPr>
      </w:r>
      <w:r>
        <w:rPr>
          <w:rFonts w:ascii="Times New Roman" w:hAnsi="Times New Roman" w:cs="Times New Roman" w:eastAsia="Times New Roman" w:hint="default"/>
        </w:rPr>
        <w:t>4</w:t>
      </w:r>
      <w:r>
        <w:rPr/>
        <w:t>、其他持股在</w:t>
      </w:r>
      <w:r>
        <w:rPr>
          <w:spacing w:val="-51"/>
        </w:rPr>
        <w:t> </w:t>
      </w:r>
      <w:r>
        <w:rPr>
          <w:rFonts w:ascii="Times New Roman" w:hAnsi="Times New Roman" w:cs="Times New Roman" w:eastAsia="Times New Roman" w:hint="default"/>
        </w:rPr>
        <w:t>10%</w:t>
      </w:r>
      <w:r>
        <w:rPr/>
        <w:t>以上的法人股东</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5"/>
          <w:szCs w:val="25"/>
        </w:rPr>
      </w:pPr>
    </w:p>
    <w:p>
      <w:pPr>
        <w:pStyle w:val="Heading4"/>
        <w:spacing w:line="240" w:lineRule="auto"/>
        <w:ind w:right="0"/>
        <w:jc w:val="left"/>
        <w:rPr>
          <w:b w:val="0"/>
          <w:bCs w:val="0"/>
        </w:rPr>
      </w:pPr>
      <w:bookmarkStart w:name="5、控股股东、实际控制人、重组方及其他承诺主体股份限制减持情况" w:id="118"/>
      <w:bookmarkEnd w:id="118"/>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3365" w:right="0"/>
        <w:jc w:val="left"/>
        <w:rPr>
          <w:b w:val="0"/>
          <w:bCs w:val="0"/>
        </w:rPr>
      </w:pPr>
      <w:bookmarkStart w:name="第七节优先股相关情况" w:id="119"/>
      <w:bookmarkEnd w:id="119"/>
      <w:r>
        <w:rPr>
          <w:b w:val="0"/>
          <w:bCs w:val="0"/>
        </w:rPr>
      </w:r>
      <w:bookmarkStart w:name="_bookmark5" w:id="120"/>
      <w:bookmarkEnd w:id="120"/>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6"/>
        <w:ind w:right="795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报告期公司不存在优先股。</w:t>
      </w:r>
    </w:p>
    <w:p>
      <w:pPr>
        <w:spacing w:after="0" w:line="338"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2722" w:right="0"/>
        <w:jc w:val="left"/>
        <w:rPr>
          <w:b w:val="0"/>
          <w:bCs w:val="0"/>
        </w:rPr>
      </w:pPr>
      <w:bookmarkStart w:name="第八节可转换公司债券相关情况" w:id="121"/>
      <w:bookmarkEnd w:id="121"/>
      <w:r>
        <w:rPr>
          <w:b w:val="0"/>
          <w:bCs w:val="0"/>
        </w:rPr>
      </w:r>
      <w:bookmarkStart w:name="_bookmark6" w:id="122"/>
      <w:bookmarkEnd w:id="122"/>
      <w:r>
        <w:rPr>
          <w:b w:val="0"/>
          <w:bCs w:val="0"/>
        </w:rPr>
      </w:r>
      <w:r>
        <w:rPr/>
        <w:t>第八节可转换公司债券相关情况</w:t>
      </w:r>
      <w:r>
        <w:rPr>
          <w:b w:val="0"/>
          <w:bCs w:val="0"/>
        </w:rPr>
      </w:r>
    </w:p>
    <w:p>
      <w:pPr>
        <w:spacing w:line="240" w:lineRule="auto" w:before="12"/>
        <w:rPr>
          <w:rFonts w:ascii="宋体" w:hAnsi="宋体" w:cs="宋体" w:eastAsia="宋体" w:hint="default"/>
          <w:b/>
          <w:bCs/>
          <w:sz w:val="42"/>
          <w:szCs w:val="42"/>
        </w:rPr>
      </w:pPr>
    </w:p>
    <w:p>
      <w:pPr>
        <w:pStyle w:val="BodyText"/>
        <w:spacing w:line="338" w:lineRule="auto"/>
        <w:ind w:right="727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报告期公司不存在可转换公司债券。</w:t>
      </w:r>
    </w:p>
    <w:p>
      <w:pPr>
        <w:spacing w:after="0" w:line="338"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1757" w:right="0"/>
        <w:jc w:val="left"/>
        <w:rPr>
          <w:b w:val="0"/>
          <w:bCs w:val="0"/>
        </w:rPr>
      </w:pPr>
      <w:bookmarkStart w:name="第九节董事、监事、高级管理人员和员工情况" w:id="123"/>
      <w:bookmarkEnd w:id="123"/>
      <w:r>
        <w:rPr>
          <w:b w:val="0"/>
          <w:bCs w:val="0"/>
        </w:rPr>
      </w:r>
      <w:bookmarkStart w:name="_bookmark7" w:id="124"/>
      <w:bookmarkEnd w:id="124"/>
      <w:r>
        <w:rPr>
          <w:b w:val="0"/>
          <w:bCs w:val="0"/>
        </w:rPr>
      </w:r>
      <w:r>
        <w:rPr/>
        <w:t>第九节董事、监事、高级管理人员和员工情况</w:t>
      </w:r>
      <w:r>
        <w:rPr>
          <w:b w:val="0"/>
          <w:bCs w:val="0"/>
        </w:rPr>
      </w:r>
    </w:p>
    <w:p>
      <w:pPr>
        <w:spacing w:line="240" w:lineRule="auto" w:before="4"/>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5"/>
      <w:bookmarkEnd w:id="125"/>
      <w:r>
        <w:rPr>
          <w:b w:val="0"/>
          <w:bCs w:val="0"/>
        </w:rPr>
      </w:r>
      <w:r>
        <w:rPr/>
        <w:t>一、董事、监事和高级管理人员持股变动</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889"/>
        <w:gridCol w:w="888"/>
        <w:gridCol w:w="888"/>
        <w:gridCol w:w="889"/>
        <w:gridCol w:w="888"/>
        <w:gridCol w:w="888"/>
        <w:gridCol w:w="893"/>
        <w:gridCol w:w="889"/>
        <w:gridCol w:w="888"/>
        <w:gridCol w:w="888"/>
        <w:gridCol w:w="889"/>
        <w:gridCol w:w="893"/>
      </w:tblGrid>
      <w:tr>
        <w:trPr>
          <w:trHeight w:val="1023" w:hRule="exact"/>
        </w:trPr>
        <w:tc>
          <w:tcPr>
            <w:tcW w:w="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59"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5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76"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59"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5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59" w:right="75" w:hanging="183"/>
              <w:jc w:val="left"/>
              <w:rPr>
                <w:rFonts w:ascii="宋体" w:hAnsi="宋体" w:cs="宋体" w:eastAsia="宋体" w:hint="default"/>
                <w:sz w:val="18"/>
                <w:szCs w:val="18"/>
              </w:rPr>
            </w:pPr>
            <w:r>
              <w:rPr>
                <w:rFonts w:ascii="宋体" w:hAnsi="宋体" w:cs="宋体" w:eastAsia="宋体" w:hint="default"/>
                <w:sz w:val="18"/>
                <w:szCs w:val="18"/>
              </w:rPr>
              <w:t>任期起始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日期</w:t>
            </w:r>
          </w:p>
        </w:tc>
        <w:tc>
          <w:tcPr>
            <w:tcW w:w="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59" w:right="75" w:hanging="178"/>
              <w:jc w:val="left"/>
              <w:rPr>
                <w:rFonts w:ascii="宋体" w:hAnsi="宋体" w:cs="宋体" w:eastAsia="宋体" w:hint="default"/>
                <w:sz w:val="18"/>
                <w:szCs w:val="18"/>
              </w:rPr>
            </w:pPr>
            <w:r>
              <w:rPr>
                <w:rFonts w:ascii="宋体" w:hAnsi="宋体" w:cs="宋体" w:eastAsia="宋体" w:hint="default"/>
                <w:sz w:val="18"/>
                <w:szCs w:val="18"/>
              </w:rPr>
              <w:t>任期终止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日期</w:t>
            </w:r>
          </w:p>
        </w:tc>
        <w:tc>
          <w:tcPr>
            <w:tcW w:w="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81" w:right="70"/>
              <w:jc w:val="left"/>
              <w:rPr>
                <w:rFonts w:ascii="宋体" w:hAnsi="宋体" w:cs="宋体" w:eastAsia="宋体" w:hint="default"/>
                <w:sz w:val="18"/>
                <w:szCs w:val="18"/>
              </w:rPr>
            </w:pPr>
            <w:r>
              <w:rPr>
                <w:rFonts w:ascii="宋体" w:hAnsi="宋体" w:cs="宋体" w:eastAsia="宋体" w:hint="default"/>
                <w:sz w:val="18"/>
                <w:szCs w:val="18"/>
              </w:rPr>
              <w:t>期初持股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数（股）</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81" w:right="69"/>
              <w:jc w:val="left"/>
              <w:rPr>
                <w:rFonts w:ascii="宋体" w:hAnsi="宋体" w:cs="宋体" w:eastAsia="宋体" w:hint="default"/>
                <w:sz w:val="18"/>
                <w:szCs w:val="18"/>
              </w:rPr>
            </w:pPr>
            <w:r>
              <w:rPr>
                <w:rFonts w:ascii="宋体" w:hAnsi="宋体" w:cs="宋体" w:eastAsia="宋体" w:hint="default"/>
                <w:sz w:val="18"/>
                <w:szCs w:val="18"/>
              </w:rPr>
              <w:t>本期增持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p>
            <w:pPr>
              <w:pStyle w:val="TableParagraph"/>
              <w:spacing w:line="240" w:lineRule="auto" w:before="27"/>
              <w:ind w:left="17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81" w:right="70"/>
              <w:jc w:val="left"/>
              <w:rPr>
                <w:rFonts w:ascii="宋体" w:hAnsi="宋体" w:cs="宋体" w:eastAsia="宋体" w:hint="default"/>
                <w:sz w:val="18"/>
                <w:szCs w:val="18"/>
              </w:rPr>
            </w:pPr>
            <w:r>
              <w:rPr>
                <w:rFonts w:ascii="宋体" w:hAnsi="宋体" w:cs="宋体" w:eastAsia="宋体" w:hint="default"/>
                <w:sz w:val="18"/>
                <w:szCs w:val="18"/>
              </w:rPr>
              <w:t>本期减持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p>
            <w:pPr>
              <w:pStyle w:val="TableParagraph"/>
              <w:spacing w:line="240" w:lineRule="auto" w:before="27"/>
              <w:ind w:left="17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3" w:right="70" w:firstLine="57"/>
              <w:jc w:val="left"/>
              <w:rPr>
                <w:rFonts w:ascii="宋体" w:hAnsi="宋体" w:cs="宋体" w:eastAsia="宋体" w:hint="default"/>
                <w:sz w:val="18"/>
                <w:szCs w:val="18"/>
              </w:rPr>
            </w:pPr>
            <w:r>
              <w:rPr>
                <w:rFonts w:ascii="宋体" w:hAnsi="宋体" w:cs="宋体" w:eastAsia="宋体" w:hint="default"/>
                <w:sz w:val="18"/>
                <w:szCs w:val="18"/>
              </w:rPr>
              <w:t>其他增减</w:t>
            </w:r>
            <w:r>
              <w:rPr>
                <w:rFonts w:ascii="宋体" w:hAnsi="宋体" w:cs="宋体" w:eastAsia="宋体" w:hint="default"/>
                <w:w w:val="101"/>
                <w:sz w:val="18"/>
                <w:szCs w:val="18"/>
              </w:rPr>
              <w:t> </w:t>
            </w:r>
            <w:r>
              <w:rPr>
                <w:rFonts w:ascii="宋体" w:hAnsi="宋体" w:cs="宋体" w:eastAsia="宋体" w:hint="default"/>
                <w:sz w:val="18"/>
                <w:szCs w:val="18"/>
              </w:rPr>
              <w:t>变动（股</w:t>
            </w:r>
          </w:p>
        </w:tc>
        <w:tc>
          <w:tcPr>
            <w:tcW w:w="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期末持股</w:t>
            </w:r>
          </w:p>
          <w:p>
            <w:pPr>
              <w:pStyle w:val="TableParagraph"/>
              <w:spacing w:line="240" w:lineRule="auto" w:before="76"/>
              <w:ind w:left="-14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40"/>
                <w:sz w:val="18"/>
                <w:szCs w:val="18"/>
              </w:rPr>
              <w:t> </w:t>
            </w:r>
            <w:r>
              <w:rPr>
                <w:rFonts w:ascii="宋体" w:hAnsi="宋体" w:cs="宋体" w:eastAsia="宋体" w:hint="default"/>
                <w:sz w:val="18"/>
                <w:szCs w:val="18"/>
              </w:rPr>
              <w:t>数（股）</w:t>
            </w:r>
          </w:p>
        </w:tc>
      </w:tr>
      <w:tr>
        <w:trPr>
          <w:trHeight w:val="1018" w:hRule="exact"/>
        </w:trPr>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杨一兵</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51</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34,612,680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13,845,072</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48,457,752</w:t>
            </w:r>
          </w:p>
        </w:tc>
      </w:tr>
      <w:tr>
        <w:trPr>
          <w:trHeight w:val="1004" w:hRule="exact"/>
        </w:trPr>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戴泽宇</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8"/>
              <w:ind w:right="12"/>
              <w:jc w:val="right"/>
              <w:rPr>
                <w:rFonts w:ascii="Times New Roman" w:hAnsi="Times New Roman" w:cs="Times New Roman" w:eastAsia="Times New Roman" w:hint="default"/>
                <w:sz w:val="18"/>
                <w:szCs w:val="18"/>
              </w:rPr>
            </w:pPr>
            <w:r>
              <w:rPr>
                <w:rFonts w:ascii="Times New Roman"/>
                <w:sz w:val="18"/>
              </w:rPr>
              <w:t>55</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13" w:hRule="exact"/>
        </w:trPr>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杨家军</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48</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04" w:hRule="exact"/>
        </w:trPr>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left="24" w:right="0"/>
              <w:jc w:val="left"/>
              <w:rPr>
                <w:rFonts w:ascii="宋体" w:hAnsi="宋体" w:cs="宋体" w:eastAsia="宋体" w:hint="default"/>
                <w:sz w:val="18"/>
                <w:szCs w:val="18"/>
              </w:rPr>
            </w:pPr>
            <w:r>
              <w:rPr>
                <w:rFonts w:ascii="宋体" w:hAnsi="宋体" w:cs="宋体" w:eastAsia="宋体" w:hint="default"/>
                <w:sz w:val="18"/>
                <w:szCs w:val="18"/>
              </w:rPr>
              <w:t>杨波</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316" w:lineRule="auto"/>
              <w:ind w:left="23" w:right="17"/>
              <w:jc w:val="left"/>
              <w:rPr>
                <w:rFonts w:ascii="宋体" w:hAnsi="宋体" w:cs="宋体" w:eastAsia="宋体" w:hint="default"/>
                <w:sz w:val="18"/>
                <w:szCs w:val="18"/>
              </w:rPr>
            </w:pPr>
            <w:r>
              <w:rPr>
                <w:rFonts w:ascii="宋体" w:hAnsi="宋体" w:cs="宋体" w:eastAsia="宋体" w:hint="default"/>
                <w:spacing w:val="-16"/>
                <w:sz w:val="18"/>
                <w:szCs w:val="18"/>
              </w:rPr>
              <w:t>董事、副总</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经理</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43</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5,763,840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2,305,536</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8,069,376</w:t>
            </w:r>
          </w:p>
        </w:tc>
      </w:tr>
      <w:tr>
        <w:trPr>
          <w:trHeight w:val="999" w:hRule="exact"/>
        </w:trPr>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傅烈勇</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8"/>
              <w:ind w:right="12"/>
              <w:jc w:val="right"/>
              <w:rPr>
                <w:rFonts w:ascii="Times New Roman" w:hAnsi="Times New Roman" w:cs="Times New Roman" w:eastAsia="Times New Roman" w:hint="default"/>
                <w:sz w:val="18"/>
                <w:szCs w:val="18"/>
              </w:rPr>
            </w:pPr>
            <w:r>
              <w:rPr>
                <w:rFonts w:ascii="Times New Roman"/>
                <w:sz w:val="18"/>
              </w:rPr>
              <w:t>51</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8"/>
              <w:ind w:right="13"/>
              <w:jc w:val="right"/>
              <w:rPr>
                <w:rFonts w:ascii="Times New Roman" w:hAnsi="Times New Roman" w:cs="Times New Roman" w:eastAsia="Times New Roman" w:hint="default"/>
                <w:sz w:val="18"/>
                <w:szCs w:val="18"/>
              </w:rPr>
            </w:pPr>
            <w:r>
              <w:rPr>
                <w:rFonts w:ascii="Times New Roman"/>
                <w:spacing w:val="-1"/>
                <w:sz w:val="18"/>
              </w:rPr>
              <w:t>5,130,000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8"/>
              <w:ind w:right="13"/>
              <w:jc w:val="right"/>
              <w:rPr>
                <w:rFonts w:ascii="Times New Roman" w:hAnsi="Times New Roman" w:cs="Times New Roman" w:eastAsia="Times New Roman" w:hint="default"/>
                <w:sz w:val="18"/>
                <w:szCs w:val="18"/>
              </w:rPr>
            </w:pPr>
            <w:r>
              <w:rPr>
                <w:rFonts w:ascii="Times New Roman"/>
                <w:spacing w:val="-1"/>
                <w:sz w:val="18"/>
              </w:rPr>
              <w:t>2,052,000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8"/>
              <w:ind w:right="12"/>
              <w:jc w:val="right"/>
              <w:rPr>
                <w:rFonts w:ascii="Times New Roman" w:hAnsi="Times New Roman" w:cs="Times New Roman" w:eastAsia="Times New Roman" w:hint="default"/>
                <w:sz w:val="18"/>
                <w:szCs w:val="18"/>
              </w:rPr>
            </w:pPr>
            <w:r>
              <w:rPr>
                <w:rFonts w:ascii="Times New Roman"/>
                <w:spacing w:val="-1"/>
                <w:sz w:val="18"/>
              </w:rPr>
              <w:t>7,182,000</w:t>
            </w:r>
          </w:p>
        </w:tc>
      </w:tr>
      <w:tr>
        <w:trPr>
          <w:trHeight w:val="1018" w:hRule="exact"/>
        </w:trPr>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罗杰</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3" w:right="17"/>
              <w:jc w:val="left"/>
              <w:rPr>
                <w:rFonts w:ascii="宋体" w:hAnsi="宋体" w:cs="宋体" w:eastAsia="宋体" w:hint="default"/>
                <w:sz w:val="18"/>
                <w:szCs w:val="18"/>
              </w:rPr>
            </w:pPr>
            <w:r>
              <w:rPr>
                <w:rFonts w:ascii="宋体" w:hAnsi="宋体" w:cs="宋体" w:eastAsia="宋体" w:hint="default"/>
                <w:spacing w:val="-16"/>
                <w:sz w:val="18"/>
                <w:szCs w:val="18"/>
              </w:rPr>
              <w:t>董事、副总</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经理</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35</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999" w:hRule="exact"/>
        </w:trPr>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夏红</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8"/>
              <w:ind w:right="12"/>
              <w:jc w:val="right"/>
              <w:rPr>
                <w:rFonts w:ascii="Times New Roman" w:hAnsi="Times New Roman" w:cs="Times New Roman" w:eastAsia="Times New Roman" w:hint="default"/>
                <w:sz w:val="18"/>
                <w:szCs w:val="18"/>
              </w:rPr>
            </w:pPr>
            <w:r>
              <w:rPr>
                <w:rFonts w:ascii="Times New Roman"/>
                <w:sz w:val="18"/>
              </w:rPr>
              <w:t>51</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18" w:hRule="exact"/>
        </w:trPr>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沈红</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51</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04" w:hRule="exact"/>
        </w:trPr>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left="24" w:right="0"/>
              <w:jc w:val="left"/>
              <w:rPr>
                <w:rFonts w:ascii="宋体" w:hAnsi="宋体" w:cs="宋体" w:eastAsia="宋体" w:hint="default"/>
                <w:sz w:val="18"/>
                <w:szCs w:val="18"/>
              </w:rPr>
            </w:pPr>
            <w:r>
              <w:rPr>
                <w:rFonts w:ascii="宋体" w:hAnsi="宋体" w:cs="宋体" w:eastAsia="宋体" w:hint="default"/>
                <w:sz w:val="18"/>
                <w:szCs w:val="18"/>
              </w:rPr>
              <w:t>冯忆文</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50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999" w:hRule="exact"/>
        </w:trPr>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曹健</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8"/>
              <w:ind w:right="12"/>
              <w:jc w:val="right"/>
              <w:rPr>
                <w:rFonts w:ascii="Times New Roman" w:hAnsi="Times New Roman" w:cs="Times New Roman" w:eastAsia="Times New Roman" w:hint="default"/>
                <w:sz w:val="18"/>
                <w:szCs w:val="18"/>
              </w:rPr>
            </w:pPr>
            <w:r>
              <w:rPr>
                <w:rFonts w:ascii="Times New Roman"/>
                <w:sz w:val="18"/>
              </w:rPr>
              <w:t>50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5" w:hRule="exact"/>
        </w:trPr>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洪伟荣</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55</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889"/>
        <w:gridCol w:w="888"/>
        <w:gridCol w:w="888"/>
        <w:gridCol w:w="889"/>
        <w:gridCol w:w="888"/>
        <w:gridCol w:w="888"/>
        <w:gridCol w:w="893"/>
        <w:gridCol w:w="889"/>
        <w:gridCol w:w="888"/>
        <w:gridCol w:w="888"/>
        <w:gridCol w:w="889"/>
        <w:gridCol w:w="893"/>
      </w:tblGrid>
      <w:tr>
        <w:trPr>
          <w:trHeight w:val="1003" w:hRule="exact"/>
        </w:trPr>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黄海</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8"/>
              <w:ind w:right="12"/>
              <w:jc w:val="right"/>
              <w:rPr>
                <w:rFonts w:ascii="Times New Roman" w:hAnsi="Times New Roman" w:cs="Times New Roman" w:eastAsia="Times New Roman" w:hint="default"/>
                <w:sz w:val="18"/>
                <w:szCs w:val="18"/>
              </w:rPr>
            </w:pPr>
            <w:r>
              <w:rPr>
                <w:rFonts w:ascii="Times New Roman"/>
                <w:sz w:val="18"/>
              </w:rPr>
              <w:t>61</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8"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13" w:hRule="exact"/>
        </w:trPr>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蔡钰如</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35</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04" w:hRule="exact"/>
        </w:trPr>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0"/>
              <w:ind w:left="24" w:right="0"/>
              <w:jc w:val="left"/>
              <w:rPr>
                <w:rFonts w:ascii="宋体" w:hAnsi="宋体" w:cs="宋体" w:eastAsia="宋体" w:hint="default"/>
                <w:sz w:val="18"/>
                <w:szCs w:val="18"/>
              </w:rPr>
            </w:pPr>
            <w:r>
              <w:rPr>
                <w:rFonts w:ascii="宋体" w:hAnsi="宋体" w:cs="宋体" w:eastAsia="宋体" w:hint="default"/>
                <w:sz w:val="18"/>
                <w:szCs w:val="18"/>
              </w:rPr>
              <w:t>陈军兵</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321" w:lineRule="auto"/>
              <w:ind w:left="23" w:right="127"/>
              <w:jc w:val="left"/>
              <w:rPr>
                <w:rFonts w:ascii="宋体" w:hAnsi="宋体" w:cs="宋体" w:eastAsia="宋体" w:hint="default"/>
                <w:sz w:val="18"/>
                <w:szCs w:val="18"/>
              </w:rPr>
            </w:pPr>
            <w:r>
              <w:rPr>
                <w:rFonts w:ascii="宋体" w:hAnsi="宋体" w:cs="宋体" w:eastAsia="宋体" w:hint="default"/>
                <w:sz w:val="18"/>
                <w:szCs w:val="18"/>
              </w:rPr>
              <w:t>监事会主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席</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42</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13" w:hRule="exact"/>
        </w:trPr>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陶蓉</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321" w:lineRule="auto"/>
              <w:ind w:left="23" w:right="127"/>
              <w:jc w:val="left"/>
              <w:rPr>
                <w:rFonts w:ascii="宋体" w:hAnsi="宋体" w:cs="宋体" w:eastAsia="宋体" w:hint="default"/>
                <w:sz w:val="18"/>
                <w:szCs w:val="18"/>
              </w:rPr>
            </w:pPr>
            <w:r>
              <w:rPr>
                <w:rFonts w:ascii="宋体" w:hAnsi="宋体" w:cs="宋体" w:eastAsia="宋体" w:hint="default"/>
                <w:sz w:val="18"/>
                <w:szCs w:val="18"/>
              </w:rPr>
              <w:t>职工代表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监事</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39</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04" w:hRule="exact"/>
        </w:trPr>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left="24" w:right="0"/>
              <w:jc w:val="left"/>
              <w:rPr>
                <w:rFonts w:ascii="宋体" w:hAnsi="宋体" w:cs="宋体" w:eastAsia="宋体" w:hint="default"/>
                <w:sz w:val="18"/>
                <w:szCs w:val="18"/>
              </w:rPr>
            </w:pPr>
            <w:r>
              <w:rPr>
                <w:rFonts w:ascii="宋体" w:hAnsi="宋体" w:cs="宋体" w:eastAsia="宋体" w:hint="default"/>
                <w:sz w:val="18"/>
                <w:szCs w:val="18"/>
              </w:rPr>
              <w:t>曹洁</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38</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7" w:hRule="exact"/>
        </w:trPr>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章逸</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7"/>
              <w:jc w:val="left"/>
              <w:rPr>
                <w:rFonts w:ascii="宋体" w:hAnsi="宋体" w:cs="宋体" w:eastAsia="宋体" w:hint="default"/>
                <w:sz w:val="18"/>
                <w:szCs w:val="18"/>
              </w:rPr>
            </w:pPr>
            <w:r>
              <w:rPr>
                <w:rFonts w:ascii="宋体" w:hAnsi="宋体" w:cs="宋体" w:eastAsia="宋体" w:hint="default"/>
                <w:sz w:val="18"/>
                <w:szCs w:val="18"/>
              </w:rPr>
              <w:t>董事会秘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6"/>
                <w:w w:val="101"/>
                <w:sz w:val="18"/>
                <w:szCs w:val="18"/>
              </w:rPr>
              <w:t>书、副总经</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理</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35</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200,000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80,000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280,000</w:t>
            </w:r>
          </w:p>
        </w:tc>
      </w:tr>
      <w:tr>
        <w:trPr>
          <w:trHeight w:val="1013" w:hRule="exact"/>
        </w:trPr>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张雪峰</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321" w:lineRule="auto"/>
              <w:ind w:left="23" w:right="127"/>
              <w:jc w:val="left"/>
              <w:rPr>
                <w:rFonts w:ascii="宋体" w:hAnsi="宋体" w:cs="宋体" w:eastAsia="宋体" w:hint="default"/>
                <w:sz w:val="18"/>
                <w:szCs w:val="18"/>
              </w:rPr>
            </w:pPr>
            <w:r>
              <w:rPr>
                <w:rFonts w:ascii="宋体" w:hAnsi="宋体" w:cs="宋体" w:eastAsia="宋体" w:hint="default"/>
                <w:sz w:val="18"/>
                <w:szCs w:val="18"/>
              </w:rPr>
              <w:t>财务负责</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37</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200,000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80,000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280,000</w:t>
            </w:r>
          </w:p>
        </w:tc>
      </w:tr>
      <w:tr>
        <w:trPr>
          <w:trHeight w:val="1028" w:hRule="exact"/>
        </w:trPr>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姚建民</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04" w:lineRule="auto" w:before="63"/>
              <w:ind w:left="23"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日换</w:t>
            </w:r>
            <w:r>
              <w:rPr>
                <w:rFonts w:ascii="宋体" w:hAnsi="宋体" w:cs="宋体" w:eastAsia="宋体" w:hint="default"/>
                <w:spacing w:val="-5"/>
                <w:w w:val="101"/>
                <w:sz w:val="18"/>
                <w:szCs w:val="18"/>
              </w:rPr>
              <w:t> </w:t>
            </w:r>
            <w:r>
              <w:rPr>
                <w:rFonts w:ascii="宋体" w:hAnsi="宋体" w:cs="宋体" w:eastAsia="宋体" w:hint="default"/>
                <w:spacing w:val="-4"/>
                <w:sz w:val="18"/>
                <w:szCs w:val="18"/>
              </w:rPr>
              <w:t>届离任</w:t>
            </w:r>
            <w:r>
              <w:rPr>
                <w:rFonts w:ascii="宋体" w:hAnsi="宋体" w:cs="宋体" w:eastAsia="宋体" w:hint="default"/>
                <w:sz w:val="18"/>
                <w:szCs w:val="18"/>
              </w:rPr>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53</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600,000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240,000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840,000</w:t>
            </w:r>
          </w:p>
        </w:tc>
      </w:tr>
      <w:tr>
        <w:trPr>
          <w:trHeight w:val="1018" w:hRule="exact"/>
        </w:trPr>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任洪明</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43</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600,000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240,000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840,000</w:t>
            </w:r>
          </w:p>
        </w:tc>
      </w:tr>
      <w:tr>
        <w:trPr>
          <w:trHeight w:val="692" w:hRule="exact"/>
        </w:trPr>
        <w:tc>
          <w:tcPr>
            <w:tcW w:w="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47,106,520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18,842,608</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65,949,128</w:t>
            </w:r>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bookmarkStart w:name="二、公司董事、监事、高级管理人员变动情况" w:id="126"/>
      <w:bookmarkEnd w:id="126"/>
      <w:r>
        <w:rPr>
          <w:b w:val="0"/>
          <w:bCs w:val="0"/>
        </w:rPr>
      </w:r>
      <w:r>
        <w:rPr/>
        <w:t>二、公司董事、监事、高级管理人员变动情况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404"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罗杰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05</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个人原因辞职</w:t>
            </w:r>
          </w:p>
        </w:tc>
      </w:tr>
      <w:tr>
        <w:trPr>
          <w:trHeight w:val="71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罗杰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05</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个人原因辞职</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杨家军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12</w:t>
            </w:r>
            <w:r>
              <w:rPr>
                <w:rFonts w:ascii="Times New Roman" w:hAnsi="Times New Roman" w:cs="Times New Roman" w:eastAsia="Times New Roman" w:hint="default"/>
                <w:sz w:val="18"/>
                <w:szCs w:val="18"/>
              </w:rPr>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个人原因辞职</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杨家军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13</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个人原因辞职</w:t>
            </w:r>
          </w:p>
        </w:tc>
      </w:tr>
      <w:tr>
        <w:trPr>
          <w:trHeight w:val="71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姚建民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06</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30</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71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冯忆文</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30</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沈红</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30</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bl>
    <w:p>
      <w:pPr>
        <w:spacing w:line="240" w:lineRule="auto" w:before="9"/>
        <w:rPr>
          <w:rFonts w:ascii="宋体" w:hAnsi="宋体" w:cs="宋体" w:eastAsia="宋体" w:hint="default"/>
          <w:sz w:val="17"/>
          <w:szCs w:val="17"/>
        </w:rPr>
      </w:pPr>
    </w:p>
    <w:p>
      <w:pPr>
        <w:pStyle w:val="Heading2"/>
        <w:spacing w:line="240" w:lineRule="auto" w:before="26"/>
        <w:ind w:right="0"/>
        <w:jc w:val="both"/>
        <w:rPr>
          <w:b w:val="0"/>
          <w:bCs w:val="0"/>
        </w:rPr>
      </w:pPr>
      <w:bookmarkStart w:name="三、任职情况" w:id="127"/>
      <w:bookmarkEnd w:id="127"/>
      <w:r>
        <w:rPr>
          <w:b w:val="0"/>
          <w:bCs w:val="0"/>
        </w:rPr>
      </w:r>
      <w:r>
        <w:rPr/>
        <w:t>三、任职情况</w:t>
      </w:r>
      <w:r>
        <w:rPr>
          <w:b w:val="0"/>
          <w:bCs w:val="0"/>
        </w:rPr>
      </w:r>
    </w:p>
    <w:p>
      <w:pPr>
        <w:spacing w:line="240" w:lineRule="auto" w:before="3"/>
        <w:rPr>
          <w:rFonts w:ascii="宋体" w:hAnsi="宋体" w:cs="宋体" w:eastAsia="宋体" w:hint="default"/>
          <w:b/>
          <w:bCs/>
          <w:sz w:val="27"/>
          <w:szCs w:val="27"/>
        </w:rPr>
      </w:pPr>
    </w:p>
    <w:p>
      <w:pPr>
        <w:pStyle w:val="BodyText"/>
        <w:spacing w:line="357" w:lineRule="auto"/>
        <w:ind w:right="3109"/>
        <w:jc w:val="left"/>
      </w:pPr>
      <w:r>
        <w:rPr>
          <w:spacing w:val="-3"/>
        </w:rPr>
        <w:t>公司现任董事、监事、高级管理人员专业背景、主要工作经历以及目前在公司的主要职责</w:t>
      </w:r>
      <w:r>
        <w:rPr>
          <w:spacing w:val="25"/>
        </w:rPr>
        <w:t> </w:t>
      </w:r>
      <w:r>
        <w:rPr>
          <w:spacing w:val="25"/>
        </w:rPr>
      </w:r>
      <w:r>
        <w:rPr/>
        <w:t>一、董事简历情况</w:t>
      </w:r>
    </w:p>
    <w:p>
      <w:pPr>
        <w:pStyle w:val="BodyText"/>
        <w:spacing w:line="302" w:lineRule="auto" w:before="26"/>
        <w:ind w:right="1122"/>
        <w:jc w:val="both"/>
      </w:pPr>
      <w:r>
        <w:rPr>
          <w:spacing w:val="-4"/>
        </w:rPr>
        <w:t>杨一兵，男，</w:t>
      </w:r>
      <w:r>
        <w:rPr>
          <w:rFonts w:ascii="Times New Roman" w:hAnsi="Times New Roman" w:cs="Times New Roman" w:eastAsia="Times New Roman" w:hint="default"/>
          <w:spacing w:val="-4"/>
        </w:rPr>
        <w:t>1968 </w:t>
      </w:r>
      <w:r>
        <w:rPr>
          <w:spacing w:val="-4"/>
        </w:rPr>
        <w:t>年出生，中国国籍，无境外永久居留权，工业自动化专业，工学博士。</w:t>
      </w:r>
      <w:r>
        <w:rPr>
          <w:rFonts w:ascii="Times New Roman" w:hAnsi="Times New Roman" w:cs="Times New Roman" w:eastAsia="Times New Roman" w:hint="default"/>
          <w:spacing w:val="-4"/>
        </w:rPr>
        <w:t>1996 </w:t>
      </w:r>
      <w:r>
        <w:rPr>
          <w:spacing w:val="-3"/>
        </w:rPr>
        <w:t>年至 </w:t>
      </w:r>
      <w:r>
        <w:rPr>
          <w:rFonts w:ascii="Times New Roman" w:hAnsi="Times New Roman" w:cs="Times New Roman" w:eastAsia="Times New Roman" w:hint="default"/>
        </w:rPr>
        <w:t>2013 </w:t>
      </w:r>
      <w:r>
        <w:rPr>
          <w:spacing w:val="-4"/>
        </w:rPr>
        <w:t>年，担任浙江大学</w:t>
      </w:r>
      <w:r>
        <w:rPr>
          <w:spacing w:val="-72"/>
        </w:rPr>
        <w:t> </w:t>
      </w:r>
      <w:r>
        <w:rPr>
          <w:spacing w:val="-72"/>
        </w:rPr>
      </w:r>
      <w:r>
        <w:rPr/>
        <w:t>教师；</w:t>
      </w:r>
      <w:r>
        <w:rPr>
          <w:rFonts w:ascii="Times New Roman" w:hAnsi="Times New Roman" w:cs="Times New Roman" w:eastAsia="Times New Roman" w:hint="default"/>
        </w:rPr>
        <w:t>2001 </w:t>
      </w:r>
      <w:r>
        <w:rPr/>
        <w:t>年至 </w:t>
      </w:r>
      <w:r>
        <w:rPr>
          <w:rFonts w:ascii="Times New Roman" w:hAnsi="Times New Roman" w:cs="Times New Roman" w:eastAsia="Times New Roman" w:hint="default"/>
        </w:rPr>
        <w:t>2009 </w:t>
      </w:r>
      <w:r>
        <w:rPr>
          <w:spacing w:val="-3"/>
        </w:rPr>
        <w:t>年，历任浙江浙大中控信息技术有限公司副总经理、总工程师、副总裁；</w:t>
      </w:r>
      <w:r>
        <w:rPr>
          <w:rFonts w:ascii="Times New Roman" w:hAnsi="Times New Roman" w:cs="Times New Roman" w:eastAsia="Times New Roman" w:hint="default"/>
          <w:spacing w:val="-3"/>
        </w:rPr>
        <w:t>2006 </w:t>
      </w:r>
      <w:r>
        <w:rPr/>
        <w:t>年至 </w:t>
      </w:r>
      <w:r>
        <w:rPr>
          <w:rFonts w:ascii="Times New Roman" w:hAnsi="Times New Roman" w:cs="Times New Roman" w:eastAsia="Times New Roman" w:hint="default"/>
        </w:rPr>
        <w:t>2012 </w:t>
      </w:r>
      <w:r>
        <w:rPr/>
        <w:t>年，担任北</w:t>
      </w:r>
      <w:r>
        <w:rPr>
          <w:spacing w:val="-72"/>
        </w:rPr>
        <w:t> </w:t>
      </w:r>
      <w:r>
        <w:rPr>
          <w:spacing w:val="-72"/>
        </w:rPr>
      </w:r>
      <w:r>
        <w:rPr>
          <w:spacing w:val="-7"/>
        </w:rPr>
        <w:t>京和仁中控数字医疗技术有限公司董事、总经理；</w:t>
      </w:r>
      <w:r>
        <w:rPr>
          <w:rFonts w:ascii="Times New Roman" w:hAnsi="Times New Roman" w:cs="Times New Roman" w:eastAsia="Times New Roman" w:hint="default"/>
          <w:spacing w:val="-7"/>
        </w:rPr>
        <w:t>2013 </w:t>
      </w:r>
      <w:r>
        <w:rPr/>
        <w:t>年 </w:t>
      </w:r>
      <w:r>
        <w:rPr>
          <w:rFonts w:ascii="Times New Roman" w:hAnsi="Times New Roman" w:cs="Times New Roman" w:eastAsia="Times New Roman" w:hint="default"/>
        </w:rPr>
        <w:t>7 </w:t>
      </w:r>
      <w:r>
        <w:rPr>
          <w:spacing w:val="-7"/>
        </w:rPr>
        <w:t>月至今，任杭州复贞投资管理有限公司执行董事；</w:t>
      </w:r>
      <w:r>
        <w:rPr>
          <w:rFonts w:ascii="Times New Roman" w:hAnsi="Times New Roman" w:cs="Times New Roman" w:eastAsia="Times New Roman" w:hint="default"/>
          <w:spacing w:val="-7"/>
        </w:rPr>
        <w:t>2010 </w:t>
      </w:r>
      <w:r>
        <w:rPr/>
        <w:t>年至 </w:t>
      </w:r>
      <w:r>
        <w:rPr>
          <w:rFonts w:ascii="Times New Roman" w:hAnsi="Times New Roman" w:cs="Times New Roman" w:eastAsia="Times New Roman" w:hint="default"/>
        </w:rPr>
        <w:t>2018</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18"/>
        </w:rPr>
      </w:r>
      <w:r>
        <w:rPr/>
        <w:t>年担任公司总经理；</w:t>
      </w:r>
      <w:r>
        <w:rPr>
          <w:rFonts w:ascii="Times New Roman" w:hAnsi="Times New Roman" w:cs="Times New Roman" w:eastAsia="Times New Roman" w:hint="default"/>
        </w:rPr>
        <w:t>2010</w:t>
      </w:r>
      <w:r>
        <w:rPr>
          <w:rFonts w:ascii="Times New Roman" w:hAnsi="Times New Roman" w:cs="Times New Roman" w:eastAsia="Times New Roman" w:hint="default"/>
          <w:spacing w:val="39"/>
        </w:rPr>
        <w:t> </w:t>
      </w:r>
      <w:r>
        <w:rPr>
          <w:spacing w:val="-3"/>
        </w:rPr>
        <w:t>年至今，担任公司董事长。</w:t>
      </w:r>
    </w:p>
    <w:p>
      <w:pPr>
        <w:pStyle w:val="BodyText"/>
        <w:spacing w:line="302" w:lineRule="auto" w:before="44"/>
        <w:ind w:right="1122"/>
        <w:jc w:val="left"/>
      </w:pPr>
      <w:r>
        <w:rPr>
          <w:spacing w:val="-3"/>
        </w:rPr>
        <w:t>戴泽宇，男，</w:t>
      </w:r>
      <w:r>
        <w:rPr>
          <w:rFonts w:ascii="Times New Roman" w:hAnsi="Times New Roman" w:cs="Times New Roman" w:eastAsia="Times New Roman" w:hint="default"/>
          <w:spacing w:val="-3"/>
        </w:rPr>
        <w:t>1965 </w:t>
      </w:r>
      <w:r>
        <w:rPr>
          <w:spacing w:val="-3"/>
        </w:rPr>
        <w:t>年出生，中国国籍，</w:t>
      </w:r>
      <w:r>
        <w:rPr>
          <w:rFonts w:ascii="Times New Roman" w:hAnsi="Times New Roman" w:cs="Times New Roman" w:eastAsia="Times New Roman" w:hint="default"/>
          <w:spacing w:val="-3"/>
        </w:rPr>
        <w:t>MBA</w:t>
      </w:r>
      <w:r>
        <w:rPr>
          <w:spacing w:val="-3"/>
        </w:rPr>
        <w:t>，</w:t>
      </w:r>
      <w:r>
        <w:rPr>
          <w:rFonts w:ascii="Times New Roman" w:hAnsi="Times New Roman" w:cs="Times New Roman" w:eastAsia="Times New Roman" w:hint="default"/>
          <w:spacing w:val="-3"/>
        </w:rPr>
        <w:t>2003-2008 </w:t>
      </w:r>
      <w:r>
        <w:rPr>
          <w:spacing w:val="-3"/>
        </w:rPr>
        <w:t>年任西南合成制药股份有限公司董事长兼总经理；</w:t>
      </w:r>
      <w:r>
        <w:rPr>
          <w:rFonts w:ascii="Times New Roman" w:hAnsi="Times New Roman" w:cs="Times New Roman" w:eastAsia="Times New Roman" w:hint="default"/>
          <w:spacing w:val="-3"/>
        </w:rPr>
        <w:t>2006-2015 </w:t>
      </w:r>
      <w:r>
        <w:rPr/>
        <w:t>年任</w:t>
      </w:r>
      <w:r>
        <w:rPr>
          <w:spacing w:val="-49"/>
        </w:rPr>
        <w:t> </w:t>
      </w:r>
      <w:r>
        <w:rPr>
          <w:spacing w:val="-2"/>
        </w:rPr>
        <w:t>北大方正集团有限公司助理总裁、副总裁；</w:t>
      </w:r>
      <w:r>
        <w:rPr>
          <w:rFonts w:ascii="Times New Roman" w:hAnsi="Times New Roman" w:cs="Times New Roman" w:eastAsia="Times New Roman" w:hint="default"/>
          <w:spacing w:val="-2"/>
        </w:rPr>
        <w:t>2006-2016</w:t>
      </w:r>
      <w:r>
        <w:rPr>
          <w:rFonts w:ascii="Times New Roman" w:hAnsi="Times New Roman" w:cs="Times New Roman" w:eastAsia="Times New Roman" w:hint="default"/>
        </w:rPr>
        <w:t> </w:t>
      </w:r>
      <w:r>
        <w:rPr>
          <w:spacing w:val="-2"/>
        </w:rPr>
        <w:t>年任北大医疗产业集团有限公司副总裁、</w:t>
      </w:r>
      <w:r>
        <w:rPr>
          <w:rFonts w:ascii="Times New Roman" w:hAnsi="Times New Roman" w:cs="Times New Roman" w:eastAsia="Times New Roman" w:hint="default"/>
          <w:spacing w:val="-2"/>
        </w:rPr>
        <w:t>CEO</w:t>
      </w:r>
      <w:r>
        <w:rPr>
          <w:spacing w:val="-2"/>
        </w:rPr>
        <w:t>；</w:t>
      </w:r>
      <w:r>
        <w:rPr>
          <w:rFonts w:ascii="Times New Roman" w:hAnsi="Times New Roman" w:cs="Times New Roman" w:eastAsia="Times New Roman" w:hint="default"/>
          <w:spacing w:val="-2"/>
        </w:rPr>
        <w:t>2009-2016</w:t>
      </w:r>
      <w:r>
        <w:rPr>
          <w:rFonts w:ascii="Times New Roman" w:hAnsi="Times New Roman" w:cs="Times New Roman" w:eastAsia="Times New Roman" w:hint="default"/>
        </w:rPr>
        <w:t> </w:t>
      </w:r>
      <w:r>
        <w:rPr>
          <w:spacing w:val="-2"/>
        </w:rPr>
        <w:t>年任北京</w:t>
      </w:r>
      <w:r>
        <w:rPr>
          <w:spacing w:val="-57"/>
        </w:rPr>
        <w:t> </w:t>
      </w:r>
      <w:r>
        <w:rPr>
          <w:spacing w:val="-57"/>
        </w:rPr>
      </w:r>
      <w:r>
        <w:rPr>
          <w:spacing w:val="-3"/>
        </w:rPr>
        <w:t>大学国际医院行政院长等。目前担任公司总经理职务。</w:t>
      </w:r>
    </w:p>
    <w:p>
      <w:pPr>
        <w:pStyle w:val="BodyText"/>
        <w:spacing w:line="302" w:lineRule="auto" w:before="63"/>
        <w:ind w:right="1122"/>
        <w:jc w:val="both"/>
      </w:pPr>
      <w:r>
        <w:rPr>
          <w:spacing w:val="-4"/>
        </w:rPr>
        <w:t>杨波，男，</w:t>
      </w:r>
      <w:r>
        <w:rPr>
          <w:rFonts w:ascii="Times New Roman" w:hAnsi="Times New Roman" w:cs="Times New Roman" w:eastAsia="Times New Roman" w:hint="default"/>
          <w:spacing w:val="-4"/>
        </w:rPr>
        <w:t>1976 </w:t>
      </w:r>
      <w:r>
        <w:rPr>
          <w:spacing w:val="-4"/>
        </w:rPr>
        <w:t>年出生，中国国籍，希腊共和国永久居留权，工业设计专业本科学历。</w:t>
      </w:r>
      <w:r>
        <w:rPr>
          <w:rFonts w:ascii="Times New Roman" w:hAnsi="Times New Roman" w:cs="Times New Roman" w:eastAsia="Times New Roman" w:hint="default"/>
          <w:spacing w:val="-4"/>
        </w:rPr>
        <w:t>1999 </w:t>
      </w:r>
      <w:r>
        <w:rPr/>
        <w:t>年至 </w:t>
      </w:r>
      <w:r>
        <w:rPr>
          <w:rFonts w:ascii="Times New Roman" w:hAnsi="Times New Roman" w:cs="Times New Roman" w:eastAsia="Times New Roman" w:hint="default"/>
        </w:rPr>
        <w:t>2000 </w:t>
      </w:r>
      <w:r>
        <w:rPr>
          <w:spacing w:val="-4"/>
        </w:rPr>
        <w:t>年，担任浙江易商软</w:t>
      </w:r>
      <w:r>
        <w:rPr>
          <w:spacing w:val="-85"/>
        </w:rPr>
        <w:t> </w:t>
      </w:r>
      <w:r>
        <w:rPr>
          <w:spacing w:val="-85"/>
        </w:rPr>
      </w:r>
      <w:r>
        <w:rPr>
          <w:spacing w:val="-3"/>
        </w:rPr>
        <w:t>件有限公司网站设计工程师；</w:t>
      </w:r>
      <w:r>
        <w:rPr>
          <w:rFonts w:ascii="Times New Roman" w:hAnsi="Times New Roman" w:cs="Times New Roman" w:eastAsia="Times New Roman" w:hint="default"/>
          <w:spacing w:val="-3"/>
        </w:rPr>
        <w:t>2001 </w:t>
      </w:r>
      <w:r>
        <w:rPr/>
        <w:t>年至 </w:t>
      </w:r>
      <w:r>
        <w:rPr>
          <w:rFonts w:ascii="Times New Roman" w:hAnsi="Times New Roman" w:cs="Times New Roman" w:eastAsia="Times New Roman" w:hint="default"/>
        </w:rPr>
        <w:t>2012 </w:t>
      </w:r>
      <w:r>
        <w:rPr>
          <w:spacing w:val="-4"/>
        </w:rPr>
        <w:t>年，历任浙江浙大中控信息技术有限公司智能建筑事业部商务总监、智能建筑</w:t>
      </w:r>
      <w:r>
        <w:rPr>
          <w:spacing w:val="-69"/>
        </w:rPr>
        <w:t> </w:t>
      </w:r>
      <w:r>
        <w:rPr>
          <w:spacing w:val="-69"/>
        </w:rPr>
      </w:r>
      <w:r>
        <w:rPr>
          <w:spacing w:val="-6"/>
        </w:rPr>
        <w:t>事业部副总经理、智能建筑事业部商务中心总监；</w:t>
      </w:r>
      <w:r>
        <w:rPr>
          <w:rFonts w:ascii="Times New Roman" w:hAnsi="Times New Roman" w:cs="Times New Roman" w:eastAsia="Times New Roman" w:hint="default"/>
          <w:spacing w:val="-6"/>
        </w:rPr>
        <w:t>2013 </w:t>
      </w:r>
      <w:r>
        <w:rPr/>
        <w:t>年</w:t>
      </w:r>
      <w:r>
        <w:rPr>
          <w:spacing w:val="-12"/>
        </w:rPr>
        <w:t> </w:t>
      </w:r>
      <w:r>
        <w:rPr>
          <w:rFonts w:ascii="Times New Roman" w:hAnsi="Times New Roman" w:cs="Times New Roman" w:eastAsia="Times New Roman" w:hint="default"/>
        </w:rPr>
        <w:t>7</w:t>
      </w:r>
      <w:r>
        <w:rPr>
          <w:rFonts w:ascii="Times New Roman" w:hAnsi="Times New Roman" w:cs="Times New Roman" w:eastAsia="Times New Roman" w:hint="default"/>
          <w:spacing w:val="33"/>
        </w:rPr>
        <w:t> </w:t>
      </w:r>
      <w:r>
        <w:rPr>
          <w:spacing w:val="-6"/>
        </w:rPr>
        <w:t>月至今，任杭州云骥投资管理有限公司执行董事；</w:t>
      </w:r>
      <w:r>
        <w:rPr>
          <w:rFonts w:ascii="Times New Roman" w:hAnsi="Times New Roman" w:cs="Times New Roman" w:eastAsia="Times New Roman" w:hint="default"/>
          <w:spacing w:val="-6"/>
        </w:rPr>
        <w:t>2012</w:t>
      </w:r>
      <w:r>
        <w:rPr>
          <w:rFonts w:ascii="Times New Roman" w:hAnsi="Times New Roman" w:cs="Times New Roman" w:eastAsia="Times New Roman" w:hint="default"/>
          <w:spacing w:val="24"/>
        </w:rPr>
        <w:t> </w:t>
      </w:r>
      <w:r>
        <w:rPr/>
        <w:t>年至今，</w:t>
      </w:r>
      <w:r>
        <w:rPr>
          <w:spacing w:val="-77"/>
        </w:rPr>
        <w:t> </w:t>
      </w:r>
      <w:r>
        <w:rPr>
          <w:spacing w:val="-77"/>
        </w:rPr>
      </w:r>
      <w:r>
        <w:rPr>
          <w:spacing w:val="-3"/>
        </w:rPr>
        <w:t>担任公司董事、副总经理。</w:t>
      </w:r>
    </w:p>
    <w:p>
      <w:pPr>
        <w:pStyle w:val="BodyText"/>
        <w:spacing w:line="302" w:lineRule="auto" w:before="68"/>
        <w:ind w:right="1122"/>
        <w:jc w:val="both"/>
      </w:pPr>
      <w:r>
        <w:rPr>
          <w:spacing w:val="-4"/>
        </w:rPr>
        <w:t>傅烈勇，男，</w:t>
      </w:r>
      <w:r>
        <w:rPr>
          <w:rFonts w:ascii="Times New Roman" w:hAnsi="Times New Roman" w:cs="Times New Roman" w:eastAsia="Times New Roman" w:hint="default"/>
          <w:spacing w:val="-4"/>
        </w:rPr>
        <w:t>1968 </w:t>
      </w:r>
      <w:r>
        <w:rPr>
          <w:spacing w:val="-4"/>
        </w:rPr>
        <w:t>年出生，中国国籍，无境外永久居留权，工业自动化专业，工学博士。</w:t>
      </w:r>
      <w:r>
        <w:rPr>
          <w:rFonts w:ascii="Times New Roman" w:hAnsi="Times New Roman" w:cs="Times New Roman" w:eastAsia="Times New Roman" w:hint="default"/>
          <w:spacing w:val="-4"/>
        </w:rPr>
        <w:t>1996 </w:t>
      </w:r>
      <w:r>
        <w:rPr>
          <w:spacing w:val="-3"/>
        </w:rPr>
        <w:t>年至 </w:t>
      </w:r>
      <w:r>
        <w:rPr>
          <w:rFonts w:ascii="Times New Roman" w:hAnsi="Times New Roman" w:cs="Times New Roman" w:eastAsia="Times New Roman" w:hint="default"/>
        </w:rPr>
        <w:t>2013 </w:t>
      </w:r>
      <w:r>
        <w:rPr>
          <w:spacing w:val="-4"/>
        </w:rPr>
        <w:t>年，担任浙江大学</w:t>
      </w:r>
      <w:r>
        <w:rPr>
          <w:spacing w:val="-72"/>
        </w:rPr>
        <w:t> </w:t>
      </w:r>
      <w:r>
        <w:rPr>
          <w:spacing w:val="-72"/>
        </w:rPr>
      </w:r>
      <w:r>
        <w:rPr/>
        <w:t>教师；</w:t>
      </w:r>
      <w:r>
        <w:rPr>
          <w:rFonts w:ascii="Times New Roman" w:hAnsi="Times New Roman" w:cs="Times New Roman" w:eastAsia="Times New Roman" w:hint="default"/>
        </w:rPr>
        <w:t>2000 </w:t>
      </w:r>
      <w:r>
        <w:rPr/>
        <w:t>年至 </w:t>
      </w:r>
      <w:r>
        <w:rPr>
          <w:rFonts w:ascii="Times New Roman" w:hAnsi="Times New Roman" w:cs="Times New Roman" w:eastAsia="Times New Roman" w:hint="default"/>
        </w:rPr>
        <w:t>2006 </w:t>
      </w:r>
      <w:r>
        <w:rPr>
          <w:spacing w:val="-3"/>
        </w:rPr>
        <w:t>年，担任中恒世纪科技实业有限公司研发总监、总工程师；</w:t>
      </w:r>
      <w:r>
        <w:rPr>
          <w:rFonts w:ascii="Times New Roman" w:hAnsi="Times New Roman" w:cs="Times New Roman" w:eastAsia="Times New Roman" w:hint="default"/>
          <w:spacing w:val="-3"/>
        </w:rPr>
        <w:t>2006 </w:t>
      </w:r>
      <w:r>
        <w:rPr/>
        <w:t>年至 </w:t>
      </w:r>
      <w:r>
        <w:rPr>
          <w:rFonts w:ascii="Times New Roman" w:hAnsi="Times New Roman" w:cs="Times New Roman" w:eastAsia="Times New Roman" w:hint="default"/>
          <w:spacing w:val="-3"/>
        </w:rPr>
        <w:t>2011 </w:t>
      </w:r>
      <w:r>
        <w:rPr>
          <w:spacing w:val="-3"/>
        </w:rPr>
        <w:t>年，担任北京和仁中控数</w:t>
      </w:r>
      <w:r>
        <w:rPr>
          <w:spacing w:val="-47"/>
        </w:rPr>
        <w:t> </w:t>
      </w:r>
      <w:r>
        <w:rPr>
          <w:spacing w:val="-47"/>
        </w:rPr>
      </w:r>
      <w:r>
        <w:rPr>
          <w:spacing w:val="-3"/>
        </w:rPr>
        <w:t>字医疗技术有限公司副总经理、董事；</w:t>
      </w:r>
      <w:r>
        <w:rPr>
          <w:rFonts w:ascii="Times New Roman" w:hAnsi="Times New Roman" w:cs="Times New Roman" w:eastAsia="Times New Roman" w:hint="default"/>
          <w:spacing w:val="-3"/>
        </w:rPr>
        <w:t>2011  </w:t>
      </w:r>
      <w:r>
        <w:rPr>
          <w:rFonts w:ascii="Times New Roman" w:hAnsi="Times New Roman" w:cs="Times New Roman" w:eastAsia="Times New Roman" w:hint="default"/>
          <w:spacing w:val="2"/>
        </w:rPr>
        <w:t> </w:t>
      </w:r>
      <w:r>
        <w:rPr>
          <w:spacing w:val="-3"/>
        </w:rPr>
        <w:t>年至今，担任公司董事。</w:t>
      </w:r>
    </w:p>
    <w:p>
      <w:pPr>
        <w:pStyle w:val="BodyText"/>
        <w:spacing w:line="312" w:lineRule="auto" w:before="44"/>
        <w:ind w:right="1122"/>
        <w:jc w:val="both"/>
      </w:pPr>
      <w:r>
        <w:rPr>
          <w:spacing w:val="-4"/>
        </w:rPr>
        <w:t>夏红，女，</w:t>
      </w:r>
      <w:r>
        <w:rPr>
          <w:rFonts w:ascii="Times New Roman" w:hAnsi="Times New Roman" w:cs="Times New Roman" w:eastAsia="Times New Roman" w:hint="default"/>
          <w:spacing w:val="-4"/>
        </w:rPr>
        <w:t>1968 </w:t>
      </w:r>
      <w:r>
        <w:rPr>
          <w:spacing w:val="-4"/>
        </w:rPr>
        <w:t>年出生，中国国籍，无境外永久居留权，工业自动化专业硕士学历。</w:t>
      </w:r>
      <w:r>
        <w:rPr>
          <w:rFonts w:ascii="Times New Roman" w:hAnsi="Times New Roman" w:cs="Times New Roman" w:eastAsia="Times New Roman" w:hint="default"/>
          <w:spacing w:val="-4"/>
        </w:rPr>
        <w:t>1990 </w:t>
      </w:r>
      <w:r>
        <w:rPr/>
        <w:t>年至 </w:t>
      </w:r>
      <w:r>
        <w:rPr>
          <w:rFonts w:ascii="Times New Roman" w:hAnsi="Times New Roman" w:cs="Times New Roman" w:eastAsia="Times New Roman" w:hint="default"/>
        </w:rPr>
        <w:t>1993 </w:t>
      </w:r>
      <w:r>
        <w:rPr>
          <w:spacing w:val="-4"/>
        </w:rPr>
        <w:t>年，担任浙江省石油化</w:t>
      </w:r>
      <w:r>
        <w:rPr>
          <w:spacing w:val="-44"/>
        </w:rPr>
        <w:t> </w:t>
      </w:r>
      <w:r>
        <w:rPr>
          <w:spacing w:val="-44"/>
        </w:rPr>
      </w:r>
      <w:r>
        <w:rPr>
          <w:spacing w:val="-5"/>
        </w:rPr>
        <w:t>工自动化技术开发公司技术员；</w:t>
      </w:r>
      <w:r>
        <w:rPr>
          <w:rFonts w:ascii="Times New Roman" w:hAnsi="Times New Roman" w:cs="Times New Roman" w:eastAsia="Times New Roman" w:hint="default"/>
          <w:spacing w:val="-5"/>
        </w:rPr>
        <w:t>1993 </w:t>
      </w:r>
      <w:r>
        <w:rPr/>
        <w:t>年至 </w:t>
      </w:r>
      <w:r>
        <w:rPr>
          <w:rFonts w:ascii="Times New Roman" w:hAnsi="Times New Roman" w:cs="Times New Roman" w:eastAsia="Times New Roman" w:hint="default"/>
        </w:rPr>
        <w:t>1996 </w:t>
      </w:r>
      <w:r>
        <w:rPr>
          <w:spacing w:val="-10"/>
        </w:rPr>
        <w:t>年，在浙江大学学习；</w:t>
      </w:r>
      <w:r>
        <w:rPr>
          <w:rFonts w:ascii="Times New Roman" w:hAnsi="Times New Roman" w:cs="Times New Roman" w:eastAsia="Times New Roman" w:hint="default"/>
          <w:spacing w:val="-10"/>
        </w:rPr>
        <w:t>1996 </w:t>
      </w:r>
      <w:r>
        <w:rPr>
          <w:spacing w:val="-8"/>
        </w:rPr>
        <w:t>年至今，担任浙江科技学院教师。现任公司董事。</w:t>
      </w:r>
      <w:r>
        <w:rPr>
          <w:spacing w:val="-52"/>
        </w:rPr>
        <w:t> </w:t>
      </w:r>
      <w:r>
        <w:rPr>
          <w:spacing w:val="-52"/>
        </w:rPr>
      </w:r>
      <w:r>
        <w:rPr>
          <w:spacing w:val="-4"/>
        </w:rPr>
        <w:t>蔡钰如，女，</w:t>
      </w:r>
      <w:r>
        <w:rPr>
          <w:rFonts w:ascii="Times New Roman" w:hAnsi="Times New Roman" w:cs="Times New Roman" w:eastAsia="Times New Roman" w:hint="default"/>
          <w:spacing w:val="-4"/>
        </w:rPr>
        <w:t>1985</w:t>
      </w:r>
      <w:r>
        <w:rPr>
          <w:rFonts w:ascii="Times New Roman" w:hAnsi="Times New Roman" w:cs="Times New Roman" w:eastAsia="Times New Roman" w:hint="default"/>
          <w:spacing w:val="26"/>
        </w:rPr>
        <w:t> </w:t>
      </w:r>
      <w:r>
        <w:rPr>
          <w:spacing w:val="-4"/>
        </w:rPr>
        <w:t>年出生，中国国籍，无境外永久居留权，大学本科学历，注册会计师。</w:t>
      </w: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26"/>
        </w:rPr>
        <w:t> </w:t>
      </w:r>
      <w:r>
        <w:rPr/>
        <w:t>年至</w:t>
      </w:r>
      <w:r>
        <w:rPr>
          <w:spacing w:val="-1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6"/>
        </w:rPr>
        <w:t> </w:t>
      </w:r>
      <w:r>
        <w:rPr>
          <w:spacing w:val="-3"/>
        </w:rPr>
        <w:t>年担任毕马威华振</w:t>
      </w:r>
      <w:r>
        <w:rPr>
          <w:spacing w:val="-77"/>
        </w:rPr>
        <w:t> </w:t>
      </w:r>
      <w:r>
        <w:rPr>
          <w:spacing w:val="-77"/>
        </w:rPr>
      </w:r>
      <w:r>
        <w:rPr>
          <w:spacing w:val="-5"/>
        </w:rPr>
        <w:t>会计师事务所审计专员职务；</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21"/>
        </w:rPr>
        <w:t> </w:t>
      </w:r>
      <w:r>
        <w:rPr/>
        <w:t>年至</w:t>
      </w:r>
      <w:r>
        <w:rPr>
          <w:spacing w:val="-3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5"/>
        </w:rPr>
        <w:t> </w:t>
      </w:r>
      <w:r>
        <w:rPr>
          <w:spacing w:val="-4"/>
        </w:rPr>
        <w:t>年担任安永华明会计师事务所审计经理职务；</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21"/>
        </w:rPr>
        <w:t> </w:t>
      </w:r>
      <w:r>
        <w:rPr/>
        <w:t>年</w:t>
      </w:r>
      <w:r>
        <w:rPr>
          <w:spacing w:val="-24"/>
        </w:rPr>
        <w:t> </w:t>
      </w:r>
      <w:r>
        <w:rPr>
          <w:rFonts w:ascii="Times New Roman" w:hAnsi="Times New Roman" w:cs="Times New Roman" w:eastAsia="Times New Roman" w:hint="default"/>
        </w:rPr>
        <w:t>9</w:t>
      </w:r>
      <w:r>
        <w:rPr>
          <w:rFonts w:ascii="Times New Roman" w:hAnsi="Times New Roman" w:cs="Times New Roman" w:eastAsia="Times New Roman" w:hint="default"/>
          <w:spacing w:val="21"/>
        </w:rPr>
        <w:t> </w:t>
      </w:r>
      <w:r>
        <w:rPr>
          <w:spacing w:val="-3"/>
        </w:rPr>
        <w:t>月至今担任果麦文化传</w:t>
      </w:r>
      <w:r>
        <w:rPr>
          <w:spacing w:val="-79"/>
        </w:rPr>
        <w:t> </w:t>
      </w:r>
      <w:r>
        <w:rPr>
          <w:spacing w:val="-79"/>
        </w:rPr>
      </w:r>
      <w:r>
        <w:rPr/>
        <w:t>媒股份有限公司 </w:t>
      </w:r>
      <w:r>
        <w:rPr>
          <w:rFonts w:ascii="Times New Roman" w:hAnsi="Times New Roman" w:cs="Times New Roman" w:eastAsia="Times New Roman" w:hint="default"/>
        </w:rPr>
        <w:t>CFO </w:t>
      </w:r>
      <w:r>
        <w:rPr>
          <w:rFonts w:ascii="Times New Roman" w:hAnsi="Times New Roman" w:cs="Times New Roman" w:eastAsia="Times New Roman" w:hint="default"/>
          <w:spacing w:val="16"/>
        </w:rPr>
        <w:t> </w:t>
      </w:r>
      <w:r>
        <w:rPr>
          <w:spacing w:val="-3"/>
        </w:rPr>
        <w:t>及董事会秘书职务；目前为浙江和仁科技股份有限公司第三届董事会独立董事。</w:t>
      </w:r>
    </w:p>
    <w:p>
      <w:pPr>
        <w:pStyle w:val="BodyText"/>
        <w:spacing w:line="302" w:lineRule="auto" w:before="41"/>
        <w:ind w:right="1122"/>
        <w:jc w:val="both"/>
      </w:pPr>
      <w:r>
        <w:rPr>
          <w:spacing w:val="-4"/>
        </w:rPr>
        <w:t>洪伟荣，男，</w:t>
      </w:r>
      <w:r>
        <w:rPr>
          <w:rFonts w:ascii="Times New Roman" w:hAnsi="Times New Roman" w:cs="Times New Roman" w:eastAsia="Times New Roman" w:hint="default"/>
          <w:spacing w:val="-4"/>
        </w:rPr>
        <w:t>1965 </w:t>
      </w:r>
      <w:r>
        <w:rPr>
          <w:spacing w:val="-5"/>
        </w:rPr>
        <w:t>年出生，中国国籍，无境外永久居留权，博士研究生学历，教授。</w:t>
      </w:r>
      <w:r>
        <w:rPr>
          <w:rFonts w:ascii="Times New Roman" w:hAnsi="Times New Roman" w:cs="Times New Roman" w:eastAsia="Times New Roman" w:hint="default"/>
          <w:spacing w:val="-5"/>
        </w:rPr>
        <w:t>1989 </w:t>
      </w:r>
      <w:r>
        <w:rPr/>
        <w:t>年至 </w:t>
      </w:r>
      <w:r>
        <w:rPr>
          <w:rFonts w:ascii="Times New Roman" w:hAnsi="Times New Roman" w:cs="Times New Roman" w:eastAsia="Times New Roman" w:hint="default"/>
        </w:rPr>
        <w:t>2009 </w:t>
      </w:r>
      <w:r>
        <w:rPr>
          <w:spacing w:val="-3"/>
        </w:rPr>
        <w:t>年担任浙江大学化工机</w:t>
      </w:r>
      <w:r>
        <w:rPr>
          <w:spacing w:val="-57"/>
        </w:rPr>
        <w:t> </w:t>
      </w:r>
      <w:r>
        <w:rPr>
          <w:spacing w:val="-57"/>
        </w:rPr>
      </w:r>
      <w:r>
        <w:rPr/>
        <w:t>械研究所教师职务；</w:t>
      </w:r>
      <w:r>
        <w:rPr>
          <w:rFonts w:ascii="Times New Roman" w:hAnsi="Times New Roman" w:cs="Times New Roman" w:eastAsia="Times New Roman" w:hint="default"/>
        </w:rPr>
        <w:t>2009 </w:t>
      </w:r>
      <w:r>
        <w:rPr/>
        <w:t>年至 </w:t>
      </w:r>
      <w:r>
        <w:rPr>
          <w:rFonts w:ascii="Times New Roman" w:hAnsi="Times New Roman" w:cs="Times New Roman" w:eastAsia="Times New Roman" w:hint="default"/>
        </w:rPr>
        <w:t>2017 </w:t>
      </w:r>
      <w:r>
        <w:rPr>
          <w:spacing w:val="-3"/>
        </w:rPr>
        <w:t>年担任浙江大学化工机械研究所支部书记职务；</w:t>
      </w:r>
      <w:r>
        <w:rPr>
          <w:rFonts w:ascii="Times New Roman" w:hAnsi="Times New Roman" w:cs="Times New Roman" w:eastAsia="Times New Roman" w:hint="default"/>
          <w:spacing w:val="-3"/>
        </w:rPr>
        <w:t>2014 </w:t>
      </w:r>
      <w:r>
        <w:rPr/>
        <w:t>年至 </w:t>
      </w:r>
      <w:r>
        <w:rPr>
          <w:rFonts w:ascii="Times New Roman" w:hAnsi="Times New Roman" w:cs="Times New Roman" w:eastAsia="Times New Roman" w:hint="default"/>
        </w:rPr>
        <w:t>2018 </w:t>
      </w:r>
      <w:r>
        <w:rPr>
          <w:spacing w:val="-3"/>
        </w:rPr>
        <w:t>年担任浙江车头制药股</w:t>
      </w:r>
      <w:r>
        <w:rPr>
          <w:spacing w:val="-74"/>
        </w:rPr>
        <w:t> </w:t>
      </w:r>
      <w:r>
        <w:rPr>
          <w:spacing w:val="-74"/>
        </w:rPr>
      </w:r>
      <w:r>
        <w:rPr/>
        <w:t>份有限公司独立董事；</w:t>
      </w:r>
      <w:r>
        <w:rPr>
          <w:rFonts w:ascii="Times New Roman" w:hAnsi="Times New Roman" w:cs="Times New Roman" w:eastAsia="Times New Roman" w:hint="default"/>
        </w:rPr>
        <w:t>2017 </w:t>
      </w:r>
      <w:r>
        <w:rPr>
          <w:spacing w:val="-3"/>
        </w:rPr>
        <w:t>年至今担任浙江大学化工机械研究所所长职务；目前为浙江和仁科技股份有限公司第三届董事</w:t>
      </w:r>
      <w:r>
        <w:rPr>
          <w:spacing w:val="-12"/>
        </w:rPr>
        <w:t> </w:t>
      </w:r>
      <w:r>
        <w:rPr>
          <w:spacing w:val="-12"/>
        </w:rPr>
      </w:r>
      <w:r>
        <w:rPr/>
        <w:t>会独立董事。</w:t>
      </w:r>
    </w:p>
    <w:p>
      <w:pPr>
        <w:pStyle w:val="BodyText"/>
        <w:spacing w:line="300" w:lineRule="auto" w:before="64"/>
        <w:ind w:right="1122"/>
        <w:jc w:val="both"/>
      </w:pPr>
      <w:r>
        <w:rPr>
          <w:spacing w:val="-4"/>
        </w:rPr>
        <w:t>黄海，男，</w:t>
      </w:r>
      <w:r>
        <w:rPr>
          <w:rFonts w:ascii="Times New Roman" w:hAnsi="Times New Roman" w:cs="Times New Roman" w:eastAsia="Times New Roman" w:hint="default"/>
          <w:spacing w:val="-4"/>
        </w:rPr>
        <w:t>1959</w:t>
      </w:r>
      <w:r>
        <w:rPr>
          <w:rFonts w:ascii="Times New Roman" w:hAnsi="Times New Roman" w:cs="Times New Roman" w:eastAsia="Times New Roman" w:hint="default"/>
          <w:spacing w:val="28"/>
        </w:rPr>
        <w:t> </w:t>
      </w:r>
      <w:r>
        <w:rPr>
          <w:spacing w:val="-4"/>
        </w:rPr>
        <w:t>年出生，中国国籍，无境外永久居留权，工学博士，教授。</w:t>
      </w:r>
      <w:r>
        <w:rPr>
          <w:rFonts w:ascii="Times New Roman" w:hAnsi="Times New Roman" w:cs="Times New Roman" w:eastAsia="Times New Roman" w:hint="default"/>
          <w:spacing w:val="-4"/>
        </w:rPr>
        <w:t>1982</w:t>
      </w:r>
      <w:r>
        <w:rPr>
          <w:rFonts w:ascii="Times New Roman" w:hAnsi="Times New Roman" w:cs="Times New Roman" w:eastAsia="Times New Roman" w:hint="default"/>
          <w:spacing w:val="28"/>
        </w:rPr>
        <w:t> </w:t>
      </w:r>
      <w:r>
        <w:rPr>
          <w:spacing w:val="-3"/>
        </w:rPr>
        <w:t>年至</w:t>
      </w:r>
      <w:r>
        <w:rPr>
          <w:spacing w:val="-17"/>
        </w:rPr>
        <w:t> </w:t>
      </w:r>
      <w:r>
        <w:rPr>
          <w:rFonts w:ascii="Times New Roman" w:hAnsi="Times New Roman" w:cs="Times New Roman" w:eastAsia="Times New Roman" w:hint="default"/>
        </w:rPr>
        <w:t>1995</w:t>
      </w:r>
      <w:r>
        <w:rPr>
          <w:rFonts w:ascii="Times New Roman" w:hAnsi="Times New Roman" w:cs="Times New Roman" w:eastAsia="Times New Roman" w:hint="default"/>
          <w:spacing w:val="21"/>
        </w:rPr>
        <w:t> </w:t>
      </w:r>
      <w:r>
        <w:rPr>
          <w:spacing w:val="-3"/>
        </w:rPr>
        <w:t>年担任浙江大学科仪系助教、讲</w:t>
      </w:r>
      <w:r>
        <w:rPr>
          <w:spacing w:val="-77"/>
        </w:rPr>
        <w:t> </w:t>
      </w:r>
      <w:r>
        <w:rPr>
          <w:spacing w:val="-77"/>
        </w:rPr>
      </w:r>
      <w:r>
        <w:rPr>
          <w:spacing w:val="-4"/>
        </w:rPr>
        <w:t>师职务；</w:t>
      </w:r>
      <w:r>
        <w:rPr>
          <w:rFonts w:ascii="Times New Roman" w:hAnsi="Times New Roman" w:cs="Times New Roman" w:eastAsia="Times New Roman" w:hint="default"/>
          <w:spacing w:val="-4"/>
        </w:rPr>
        <w:t>1995 </w:t>
      </w:r>
      <w:r>
        <w:rPr/>
        <w:t>年至 </w:t>
      </w:r>
      <w:r>
        <w:rPr>
          <w:rFonts w:ascii="Times New Roman" w:hAnsi="Times New Roman" w:cs="Times New Roman" w:eastAsia="Times New Roman" w:hint="default"/>
        </w:rPr>
        <w:t>2001 </w:t>
      </w:r>
      <w:r>
        <w:rPr>
          <w:spacing w:val="-5"/>
        </w:rPr>
        <w:t>年在浙江大学科仪系（光科系）任教，任检测技术与仪器研究所副所长职务；</w:t>
      </w:r>
      <w:r>
        <w:rPr>
          <w:rFonts w:ascii="Times New Roman" w:hAnsi="Times New Roman" w:cs="Times New Roman" w:eastAsia="Times New Roman" w:hint="default"/>
          <w:spacing w:val="-5"/>
        </w:rPr>
        <w:t>2001 </w:t>
      </w:r>
      <w:r>
        <w:rPr>
          <w:spacing w:val="-3"/>
        </w:rPr>
        <w:t>年至今在浙江大</w:t>
      </w:r>
      <w:r>
        <w:rPr>
          <w:spacing w:val="-48"/>
        </w:rPr>
        <w:t> </w:t>
      </w:r>
      <w:r>
        <w:rPr>
          <w:spacing w:val="-48"/>
        </w:rPr>
      </w:r>
      <w:r>
        <w:rPr>
          <w:spacing w:val="-5"/>
          <w:w w:val="101"/>
        </w:rPr>
        <w:t>学生物医学工程与仪器科学学院仪器系任教，任博士生导师职务，曾任学院副院长（兼系主任）；</w:t>
      </w:r>
      <w:r>
        <w:rPr>
          <w:rFonts w:ascii="Times New Roman" w:hAnsi="Times New Roman" w:cs="Times New Roman" w:eastAsia="Times New Roman" w:hint="default"/>
          <w:spacing w:val="-5"/>
          <w:w w:val="101"/>
        </w:rPr>
        <w:t>2002</w:t>
      </w:r>
      <w:r>
        <w:rPr>
          <w:rFonts w:ascii="Times New Roman" w:hAnsi="Times New Roman" w:cs="Times New Roman" w:eastAsia="Times New Roman" w:hint="default"/>
          <w:spacing w:val="3"/>
          <w:w w:val="101"/>
        </w:rPr>
        <w:t> </w:t>
      </w:r>
      <w:r>
        <w:rPr>
          <w:w w:val="101"/>
        </w:rPr>
        <w:t>年</w:t>
      </w:r>
      <w:r>
        <w:rPr>
          <w:spacing w:val="-43"/>
          <w:w w:val="101"/>
        </w:rPr>
        <w:t> </w:t>
      </w:r>
      <w:r>
        <w:rPr>
          <w:rFonts w:ascii="Times New Roman" w:hAnsi="Times New Roman" w:cs="Times New Roman" w:eastAsia="Times New Roman" w:hint="default"/>
          <w:w w:val="101"/>
        </w:rPr>
        <w:t>2</w:t>
      </w:r>
      <w:r>
        <w:rPr>
          <w:rFonts w:ascii="Times New Roman" w:hAnsi="Times New Roman" w:cs="Times New Roman" w:eastAsia="Times New Roman" w:hint="default"/>
          <w:spacing w:val="3"/>
          <w:w w:val="101"/>
        </w:rPr>
        <w:t> </w:t>
      </w:r>
      <w:r>
        <w:rPr>
          <w:w w:val="101"/>
        </w:rPr>
        <w:t>月至</w:t>
      </w:r>
      <w:r>
        <w:rPr>
          <w:spacing w:val="-43"/>
          <w:w w:val="101"/>
        </w:rPr>
        <w:t> </w:t>
      </w:r>
      <w:r>
        <w:rPr>
          <w:rFonts w:ascii="Times New Roman" w:hAnsi="Times New Roman" w:cs="Times New Roman" w:eastAsia="Times New Roman" w:hint="default"/>
          <w:spacing w:val="-2"/>
          <w:w w:val="101"/>
        </w:rPr>
        <w:t>2002</w:t>
      </w:r>
      <w:r>
        <w:rPr>
          <w:rFonts w:ascii="Times New Roman" w:hAnsi="Times New Roman" w:cs="Times New Roman" w:eastAsia="Times New Roman" w:hint="default"/>
          <w:spacing w:val="3"/>
          <w:w w:val="101"/>
        </w:rPr>
        <w:t> </w:t>
      </w:r>
      <w:r>
        <w:rPr>
          <w:w w:val="101"/>
        </w:rPr>
        <w:t>年</w:t>
      </w:r>
      <w:r>
        <w:rPr>
          <w:spacing w:val="-43"/>
          <w:w w:val="101"/>
        </w:rPr>
        <w:t> </w:t>
      </w:r>
      <w:r>
        <w:rPr>
          <w:rFonts w:ascii="Times New Roman" w:hAnsi="Times New Roman" w:cs="Times New Roman" w:eastAsia="Times New Roman" w:hint="default"/>
          <w:w w:val="101"/>
        </w:rPr>
        <w:t>12</w:t>
      </w:r>
      <w:r>
        <w:rPr>
          <w:rFonts w:ascii="Times New Roman" w:hAnsi="Times New Roman" w:cs="Times New Roman" w:eastAsia="Times New Roman" w:hint="default"/>
          <w:spacing w:val="-43"/>
          <w:w w:val="101"/>
        </w:rPr>
        <w:t> </w:t>
      </w:r>
      <w:r>
        <w:rPr/>
        <w:t>月为丹麦技术大学声学系</w:t>
      </w:r>
      <w:r>
        <w:rPr>
          <w:rFonts w:ascii="Times New Roman" w:hAnsi="Times New Roman" w:cs="Times New Roman" w:eastAsia="Times New Roman" w:hint="default"/>
        </w:rPr>
        <w:t>(Acoustic </w:t>
      </w:r>
      <w:r>
        <w:rPr>
          <w:rFonts w:ascii="Times New Roman" w:hAnsi="Times New Roman" w:cs="Times New Roman" w:eastAsia="Times New Roman" w:hint="default"/>
          <w:spacing w:val="-4"/>
        </w:rPr>
        <w:t>Technology</w:t>
      </w:r>
      <w:r>
        <w:rPr>
          <w:spacing w:val="-4"/>
        </w:rPr>
        <w:t>，</w:t>
      </w:r>
      <w:r>
        <w:rPr>
          <w:rFonts w:ascii="Times New Roman" w:hAnsi="Times New Roman" w:cs="Times New Roman" w:eastAsia="Times New Roman" w:hint="default"/>
          <w:spacing w:val="-4"/>
        </w:rPr>
        <w:t>Technical</w:t>
      </w:r>
      <w:r>
        <w:rPr>
          <w:rFonts w:ascii="Times New Roman" w:hAnsi="Times New Roman" w:cs="Times New Roman" w:eastAsia="Times New Roman" w:hint="default"/>
          <w:spacing w:val="7"/>
        </w:rPr>
        <w:t> </w:t>
      </w:r>
      <w:r>
        <w:rPr>
          <w:rFonts w:ascii="Times New Roman" w:hAnsi="Times New Roman" w:cs="Times New Roman" w:eastAsia="Times New Roman" w:hint="default"/>
        </w:rPr>
        <w:t>University</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3"/>
        </w:rPr>
        <w:t>of</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3"/>
        </w:rPr>
        <w:t>Denmark)</w:t>
      </w:r>
      <w:r>
        <w:rPr>
          <w:spacing w:val="-3"/>
        </w:rPr>
        <w:t>访问教授；</w:t>
      </w:r>
      <w:r>
        <w:rPr>
          <w:rFonts w:ascii="Times New Roman" w:hAnsi="Times New Roman" w:cs="Times New Roman" w:eastAsia="Times New Roman" w:hint="default"/>
          <w:spacing w:val="-3"/>
        </w:rPr>
        <w:t>2006</w:t>
      </w:r>
      <w:r>
        <w:rPr>
          <w:rFonts w:ascii="Times New Roman" w:hAnsi="Times New Roman" w:cs="Times New Roman" w:eastAsia="Times New Roman" w:hint="default"/>
          <w:spacing w:val="5"/>
        </w:rPr>
        <w:t> </w:t>
      </w:r>
      <w:r>
        <w:rPr/>
        <w:t>年</w:t>
      </w:r>
      <w:r>
        <w:rPr>
          <w:spacing w:val="-40"/>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月至</w:t>
      </w:r>
      <w:r>
        <w:rPr>
          <w:spacing w:val="-46"/>
        </w:rPr>
        <w:t> </w:t>
      </w:r>
      <w:r>
        <w:rPr>
          <w:rFonts w:ascii="Times New Roman" w:hAnsi="Times New Roman" w:cs="Times New Roman" w:eastAsia="Times New Roman" w:hint="default"/>
        </w:rPr>
        <w:t>2007</w:t>
      </w:r>
      <w:r>
        <w:rPr>
          <w:rFonts w:ascii="Times New Roman" w:hAnsi="Times New Roman" w:cs="Times New Roman" w:eastAsia="Times New Roman" w:hint="default"/>
          <w:spacing w:val="5"/>
        </w:rPr>
        <w:t> </w:t>
      </w:r>
      <w:r>
        <w:rPr/>
        <w:t>年</w:t>
      </w:r>
      <w:r>
        <w:rPr>
          <w:spacing w:val="-40"/>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月为澳</w:t>
      </w:r>
    </w:p>
    <w:p>
      <w:pPr>
        <w:spacing w:after="0" w:line="300" w:lineRule="auto"/>
        <w:jc w:val="both"/>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02" w:lineRule="auto" w:before="46"/>
        <w:ind w:right="1122"/>
        <w:jc w:val="both"/>
      </w:pPr>
      <w:r>
        <w:rPr>
          <w:spacing w:val="-3"/>
        </w:rPr>
        <w:t>大利亚西澳大学工程、计算机与数学学院</w:t>
      </w:r>
      <w:r>
        <w:rPr>
          <w:rFonts w:ascii="Times New Roman" w:hAnsi="Times New Roman" w:cs="Times New Roman" w:eastAsia="Times New Roman" w:hint="default"/>
          <w:spacing w:val="-3"/>
        </w:rPr>
        <w:t>(Engineering,</w:t>
      </w:r>
      <w:r>
        <w:rPr>
          <w:rFonts w:ascii="Times New Roman" w:hAnsi="Times New Roman" w:cs="Times New Roman" w:eastAsia="Times New Roman" w:hint="default"/>
          <w:spacing w:val="12"/>
        </w:rPr>
        <w:t> </w:t>
      </w:r>
      <w:r>
        <w:rPr>
          <w:rFonts w:ascii="Times New Roman" w:hAnsi="Times New Roman" w:cs="Times New Roman" w:eastAsia="Times New Roman" w:hint="default"/>
        </w:rPr>
        <w:t>Computing</w:t>
      </w:r>
      <w:r>
        <w:rPr>
          <w:rFonts w:ascii="Times New Roman" w:hAnsi="Times New Roman" w:cs="Times New Roman" w:eastAsia="Times New Roman" w:hint="default"/>
          <w:spacing w:val="7"/>
        </w:rPr>
        <w:t> </w:t>
      </w:r>
      <w:r>
        <w:rPr>
          <w:rFonts w:ascii="Times New Roman" w:hAnsi="Times New Roman" w:cs="Times New Roman" w:eastAsia="Times New Roman" w:hint="default"/>
        </w:rPr>
        <w:t>and</w:t>
      </w:r>
      <w:r>
        <w:rPr>
          <w:rFonts w:ascii="Times New Roman" w:hAnsi="Times New Roman" w:cs="Times New Roman" w:eastAsia="Times New Roman" w:hint="default"/>
          <w:spacing w:val="7"/>
        </w:rPr>
        <w:t> </w:t>
      </w:r>
      <w:r>
        <w:rPr>
          <w:rFonts w:ascii="Times New Roman" w:hAnsi="Times New Roman" w:cs="Times New Roman" w:eastAsia="Times New Roman" w:hint="default"/>
        </w:rPr>
        <w:t>Mathematics,</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3"/>
        </w:rPr>
        <w:t>The</w:t>
      </w:r>
      <w:r>
        <w:rPr>
          <w:rFonts w:ascii="Times New Roman" w:hAnsi="Times New Roman" w:cs="Times New Roman" w:eastAsia="Times New Roman" w:hint="default"/>
          <w:spacing w:val="13"/>
        </w:rPr>
        <w:t> </w:t>
      </w:r>
      <w:r>
        <w:rPr>
          <w:rFonts w:ascii="Times New Roman" w:hAnsi="Times New Roman" w:cs="Times New Roman" w:eastAsia="Times New Roman" w:hint="default"/>
        </w:rPr>
        <w:t>University</w:t>
      </w:r>
      <w:r>
        <w:rPr>
          <w:rFonts w:ascii="Times New Roman" w:hAnsi="Times New Roman" w:cs="Times New Roman" w:eastAsia="Times New Roman" w:hint="default"/>
          <w:spacing w:val="1"/>
        </w:rPr>
        <w:t> </w:t>
      </w:r>
      <w:r>
        <w:rPr>
          <w:rFonts w:ascii="Times New Roman" w:hAnsi="Times New Roman" w:cs="Times New Roman" w:eastAsia="Times New Roman" w:hint="default"/>
        </w:rPr>
        <w:t>of</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4"/>
        </w:rPr>
        <w:t>Western</w:t>
      </w:r>
      <w:r>
        <w:rPr>
          <w:rFonts w:ascii="Times New Roman" w:hAnsi="Times New Roman" w:cs="Times New Roman" w:eastAsia="Times New Roman" w:hint="default"/>
          <w:spacing w:val="1"/>
        </w:rPr>
        <w:t> </w:t>
      </w:r>
      <w:r>
        <w:rPr>
          <w:rFonts w:ascii="Times New Roman" w:hAnsi="Times New Roman" w:cs="Times New Roman" w:eastAsia="Times New Roman" w:hint="default"/>
        </w:rPr>
        <w:t>Australia)</w:t>
      </w:r>
      <w:r>
        <w:rPr/>
        <w:t>的访问</w:t>
      </w:r>
      <w:r>
        <w:rPr>
          <w:spacing w:val="-81"/>
        </w:rPr>
        <w:t> </w:t>
      </w:r>
      <w:r>
        <w:rPr>
          <w:spacing w:val="-81"/>
        </w:rPr>
      </w:r>
      <w:r>
        <w:rPr>
          <w:spacing w:val="-5"/>
        </w:rPr>
        <w:t>教授；</w:t>
      </w:r>
      <w:r>
        <w:rPr>
          <w:rFonts w:ascii="Times New Roman" w:hAnsi="Times New Roman" w:cs="Times New Roman" w:eastAsia="Times New Roman" w:hint="default"/>
          <w:spacing w:val="-5"/>
        </w:rPr>
        <w:t>2013</w:t>
      </w:r>
      <w:r>
        <w:rPr>
          <w:rFonts w:ascii="Times New Roman" w:hAnsi="Times New Roman" w:cs="Times New Roman" w:eastAsia="Times New Roman" w:hint="default"/>
          <w:spacing w:val="18"/>
        </w:rPr>
        <w:t> </w:t>
      </w:r>
      <w:r>
        <w:rPr/>
        <w:t>年</w:t>
      </w:r>
      <w:r>
        <w:rPr>
          <w:spacing w:val="-27"/>
        </w:rPr>
        <w:t> </w:t>
      </w:r>
      <w:r>
        <w:rPr>
          <w:rFonts w:ascii="Times New Roman" w:hAnsi="Times New Roman" w:cs="Times New Roman" w:eastAsia="Times New Roman" w:hint="default"/>
        </w:rPr>
        <w:t>3</w:t>
      </w:r>
      <w:r>
        <w:rPr>
          <w:rFonts w:ascii="Times New Roman" w:hAnsi="Times New Roman" w:cs="Times New Roman" w:eastAsia="Times New Roman" w:hint="default"/>
          <w:spacing w:val="18"/>
        </w:rPr>
        <w:t> </w:t>
      </w:r>
      <w:r>
        <w:rPr>
          <w:spacing w:val="-4"/>
        </w:rPr>
        <w:t>月至今担任浙江铭众生物医用材料与器械研究院副院长、院长职务；</w:t>
      </w:r>
      <w:r>
        <w:rPr>
          <w:spacing w:val="-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8"/>
        </w:rPr>
        <w:t> </w:t>
      </w:r>
      <w:r>
        <w:rPr/>
        <w:t>年</w:t>
      </w:r>
      <w:r>
        <w:rPr>
          <w:spacing w:val="-27"/>
        </w:rPr>
        <w:t> </w:t>
      </w:r>
      <w:r>
        <w:rPr>
          <w:rFonts w:ascii="Times New Roman" w:hAnsi="Times New Roman" w:cs="Times New Roman" w:eastAsia="Times New Roman" w:hint="default"/>
        </w:rPr>
        <w:t>8</w:t>
      </w:r>
      <w:r>
        <w:rPr>
          <w:rFonts w:ascii="Times New Roman" w:hAnsi="Times New Roman" w:cs="Times New Roman" w:eastAsia="Times New Roman" w:hint="default"/>
          <w:spacing w:val="11"/>
        </w:rPr>
        <w:t> </w:t>
      </w:r>
      <w:r>
        <w:rPr>
          <w:spacing w:val="-3"/>
        </w:rPr>
        <w:t>月至今担任浙江铭众医疗器</w:t>
      </w:r>
      <w:r>
        <w:rPr>
          <w:spacing w:val="-82"/>
        </w:rPr>
        <w:t> </w:t>
      </w:r>
      <w:r>
        <w:rPr>
          <w:spacing w:val="-82"/>
        </w:rPr>
      </w:r>
      <w:r>
        <w:rPr/>
        <w:t>械有限公司法定代表人、董事长职务；</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1 </w:t>
      </w:r>
      <w:r>
        <w:rPr>
          <w:spacing w:val="-3"/>
        </w:rPr>
        <w:t>月至今担任浙江铭众科技有限公司总经理职务，目前为浙江和仁科技股份</w:t>
      </w:r>
      <w:r>
        <w:rPr>
          <w:spacing w:val="-39"/>
        </w:rPr>
        <w:t> </w:t>
      </w:r>
      <w:r>
        <w:rPr>
          <w:spacing w:val="-39"/>
        </w:rPr>
      </w:r>
      <w:r>
        <w:rPr>
          <w:spacing w:val="-3"/>
        </w:rPr>
        <w:t>有限公司第三届董事会独立董事。</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4"/>
          <w:szCs w:val="14"/>
        </w:rPr>
      </w:pPr>
    </w:p>
    <w:p>
      <w:pPr>
        <w:pStyle w:val="BodyText"/>
        <w:spacing w:line="240" w:lineRule="auto"/>
        <w:ind w:right="0"/>
        <w:jc w:val="both"/>
      </w:pPr>
      <w:r>
        <w:rPr/>
        <w:t>二、监事人员简历情况</w:t>
      </w:r>
    </w:p>
    <w:p>
      <w:pPr>
        <w:pStyle w:val="BodyText"/>
        <w:spacing w:line="302" w:lineRule="auto" w:before="110"/>
        <w:ind w:right="1122"/>
        <w:jc w:val="both"/>
      </w:pPr>
      <w:r>
        <w:rPr>
          <w:spacing w:val="-4"/>
        </w:rPr>
        <w:t>陈军兵，男，</w:t>
      </w:r>
      <w:r>
        <w:rPr>
          <w:rFonts w:ascii="Times New Roman" w:hAnsi="Times New Roman" w:cs="Times New Roman" w:eastAsia="Times New Roman" w:hint="default"/>
          <w:spacing w:val="-4"/>
        </w:rPr>
        <w:t>1977 </w:t>
      </w:r>
      <w:r>
        <w:rPr>
          <w:spacing w:val="-4"/>
        </w:rPr>
        <w:t>年出生，中国国籍，无境外永久居留权，工业设计专业本科学历。</w:t>
      </w:r>
      <w:r>
        <w:rPr>
          <w:rFonts w:ascii="Times New Roman" w:hAnsi="Times New Roman" w:cs="Times New Roman" w:eastAsia="Times New Roman" w:hint="default"/>
          <w:spacing w:val="-4"/>
        </w:rPr>
        <w:t>1999 </w:t>
      </w:r>
      <w:r>
        <w:rPr/>
        <w:t>年至 </w:t>
      </w:r>
      <w:r>
        <w:rPr>
          <w:rFonts w:ascii="Times New Roman" w:hAnsi="Times New Roman" w:cs="Times New Roman" w:eastAsia="Times New Roman" w:hint="default"/>
        </w:rPr>
        <w:t>2001 </w:t>
      </w:r>
      <w:r>
        <w:rPr>
          <w:spacing w:val="-4"/>
        </w:rPr>
        <w:t>年，担任浙江大学方圆</w:t>
      </w:r>
      <w:r>
        <w:rPr>
          <w:spacing w:val="-41"/>
        </w:rPr>
        <w:t> </w:t>
      </w:r>
      <w:r>
        <w:rPr>
          <w:spacing w:val="-41"/>
        </w:rPr>
      </w:r>
      <w:r>
        <w:rPr>
          <w:spacing w:val="-4"/>
        </w:rPr>
        <w:t>科技产业有限公司开发工程师；</w:t>
      </w:r>
      <w:r>
        <w:rPr>
          <w:rFonts w:ascii="Times New Roman" w:hAnsi="Times New Roman" w:cs="Times New Roman" w:eastAsia="Times New Roman" w:hint="default"/>
          <w:spacing w:val="-4"/>
        </w:rPr>
        <w:t>2001 </w:t>
      </w:r>
      <w:r>
        <w:rPr/>
        <w:t>年至 </w:t>
      </w:r>
      <w:r>
        <w:rPr>
          <w:rFonts w:ascii="Times New Roman" w:hAnsi="Times New Roman" w:cs="Times New Roman" w:eastAsia="Times New Roman" w:hint="default"/>
        </w:rPr>
        <w:t>2013 </w:t>
      </w:r>
      <w:r>
        <w:rPr>
          <w:spacing w:val="-5"/>
        </w:rPr>
        <w:t>年，担任浙江浙大中控信息技术有限公司商务主管；</w:t>
      </w:r>
      <w:r>
        <w:rPr>
          <w:rFonts w:ascii="Times New Roman" w:hAnsi="Times New Roman" w:cs="Times New Roman" w:eastAsia="Times New Roman" w:hint="default"/>
          <w:spacing w:val="-5"/>
        </w:rPr>
        <w:t>2013 </w:t>
      </w:r>
      <w:r>
        <w:rPr>
          <w:spacing w:val="-3"/>
        </w:rPr>
        <w:t>年至今历任公司商</w:t>
      </w:r>
      <w:r>
        <w:rPr>
          <w:spacing w:val="-58"/>
        </w:rPr>
        <w:t> </w:t>
      </w:r>
      <w:r>
        <w:rPr>
          <w:spacing w:val="-58"/>
        </w:rPr>
      </w:r>
      <w:r>
        <w:rPr>
          <w:spacing w:val="-3"/>
        </w:rPr>
        <w:t>务及投资发展部商务主管、商务中心经理，现任公司采购部经理、监事会主席。</w:t>
      </w:r>
    </w:p>
    <w:p>
      <w:pPr>
        <w:pStyle w:val="BodyText"/>
        <w:spacing w:line="314" w:lineRule="auto" w:before="63"/>
        <w:ind w:right="1037"/>
        <w:jc w:val="left"/>
      </w:pPr>
      <w:r>
        <w:rPr>
          <w:spacing w:val="-4"/>
        </w:rPr>
        <w:t>曹洁，女，</w:t>
      </w:r>
      <w:r>
        <w:rPr>
          <w:rFonts w:ascii="Times New Roman" w:hAnsi="Times New Roman" w:cs="Times New Roman" w:eastAsia="Times New Roman" w:hint="default"/>
          <w:spacing w:val="-4"/>
        </w:rPr>
        <w:t>1981 </w:t>
      </w:r>
      <w:r>
        <w:rPr>
          <w:spacing w:val="-4"/>
        </w:rPr>
        <w:t>年出生，中国国籍，无境外永久居留权，电子商务专业大专学历。</w:t>
      </w:r>
      <w:r>
        <w:rPr>
          <w:rFonts w:ascii="Times New Roman" w:hAnsi="Times New Roman" w:cs="Times New Roman" w:eastAsia="Times New Roman" w:hint="default"/>
          <w:spacing w:val="-4"/>
        </w:rPr>
        <w:t>2003 </w:t>
      </w:r>
      <w:r>
        <w:rPr/>
        <w:t>年至 </w:t>
      </w:r>
      <w:r>
        <w:rPr>
          <w:rFonts w:ascii="Times New Roman" w:hAnsi="Times New Roman" w:cs="Times New Roman" w:eastAsia="Times New Roman" w:hint="default"/>
        </w:rPr>
        <w:t>2007 </w:t>
      </w:r>
      <w:r>
        <w:rPr>
          <w:spacing w:val="-4"/>
        </w:rPr>
        <w:t>年，担任新太科技股份有</w:t>
      </w:r>
      <w:r>
        <w:rPr>
          <w:spacing w:val="-39"/>
        </w:rPr>
        <w:t> </w:t>
      </w:r>
      <w:r>
        <w:rPr>
          <w:spacing w:val="-39"/>
        </w:rPr>
      </w:r>
      <w:r>
        <w:rPr/>
        <w:t>限公司总经理助理；</w:t>
      </w:r>
      <w:r>
        <w:rPr>
          <w:rFonts w:ascii="Times New Roman" w:hAnsi="Times New Roman" w:cs="Times New Roman" w:eastAsia="Times New Roman" w:hint="default"/>
        </w:rPr>
        <w:t>2007 </w:t>
      </w:r>
      <w:r>
        <w:rPr/>
        <w:t>年至 </w:t>
      </w:r>
      <w:r>
        <w:rPr>
          <w:rFonts w:ascii="Times New Roman" w:hAnsi="Times New Roman" w:cs="Times New Roman" w:eastAsia="Times New Roman" w:hint="default"/>
          <w:spacing w:val="-3"/>
        </w:rPr>
        <w:t>2011 </w:t>
      </w:r>
      <w:r>
        <w:rPr>
          <w:spacing w:val="-3"/>
        </w:rPr>
        <w:t>年，担任杭州正方软件股份有限公司办公室主任；</w:t>
      </w:r>
      <w:r>
        <w:rPr>
          <w:rFonts w:ascii="Times New Roman" w:hAnsi="Times New Roman" w:cs="Times New Roman" w:eastAsia="Times New Roman" w:hint="default"/>
          <w:spacing w:val="-3"/>
        </w:rPr>
        <w:t>2011 </w:t>
      </w:r>
      <w:r>
        <w:rPr/>
        <w:t>年至 </w:t>
      </w:r>
      <w:r>
        <w:rPr>
          <w:rFonts w:ascii="Times New Roman" w:hAnsi="Times New Roman" w:cs="Times New Roman" w:eastAsia="Times New Roman" w:hint="default"/>
        </w:rPr>
        <w:t>2012 </w:t>
      </w:r>
      <w:r>
        <w:rPr>
          <w:spacing w:val="-3"/>
        </w:rPr>
        <w:t>年，担任浙江大华技</w:t>
      </w:r>
      <w:r>
        <w:rPr>
          <w:spacing w:val="-70"/>
        </w:rPr>
        <w:t> </w:t>
      </w:r>
      <w:r>
        <w:rPr>
          <w:spacing w:val="-70"/>
        </w:rPr>
      </w:r>
      <w:r>
        <w:rPr/>
        <w:t>术股份有限公司资质管理专员；</w:t>
      </w:r>
      <w:r>
        <w:rPr>
          <w:rFonts w:ascii="Times New Roman" w:hAnsi="Times New Roman" w:cs="Times New Roman" w:eastAsia="Times New Roman" w:hint="default"/>
        </w:rPr>
        <w:t>2012 </w:t>
      </w:r>
      <w:r>
        <w:rPr>
          <w:spacing w:val="-3"/>
        </w:rPr>
        <w:t>年至今历任公司技术管理工程师、总经理助理，现任公司副总经理助理、监事。</w:t>
      </w:r>
      <w:r>
        <w:rPr>
          <w:spacing w:val="15"/>
        </w:rPr>
        <w:t> </w:t>
      </w:r>
      <w:r>
        <w:rPr>
          <w:spacing w:val="15"/>
        </w:rPr>
      </w:r>
      <w:r>
        <w:rPr>
          <w:spacing w:val="-4"/>
        </w:rPr>
        <w:t>陶蓉，女，</w:t>
      </w:r>
      <w:r>
        <w:rPr>
          <w:rFonts w:ascii="Times New Roman" w:hAnsi="Times New Roman" w:cs="Times New Roman" w:eastAsia="Times New Roman" w:hint="default"/>
          <w:spacing w:val="-4"/>
        </w:rPr>
        <w:t>1980  </w:t>
      </w:r>
      <w:r>
        <w:rPr>
          <w:spacing w:val="-4"/>
        </w:rPr>
        <w:t>年出生，护理学专业本科学历，中国国籍，希腊共和国永久居留权。</w:t>
      </w:r>
      <w:r>
        <w:rPr>
          <w:rFonts w:ascii="Times New Roman" w:hAnsi="Times New Roman" w:cs="Times New Roman" w:eastAsia="Times New Roman" w:hint="default"/>
          <w:spacing w:val="-4"/>
        </w:rPr>
        <w:t>2001  </w:t>
      </w:r>
      <w:r>
        <w:rPr/>
        <w:t>年至 </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spacing w:val="-4"/>
        </w:rPr>
        <w:t>年，浙江省台州市立医</w:t>
      </w:r>
    </w:p>
    <w:p>
      <w:pPr>
        <w:pStyle w:val="BodyText"/>
        <w:spacing w:line="304" w:lineRule="auto" w:before="1"/>
        <w:ind w:right="0"/>
        <w:jc w:val="left"/>
      </w:pPr>
      <w:r>
        <w:rPr/>
        <w:t>院护理部护师。</w:t>
      </w:r>
      <w:r>
        <w:rPr>
          <w:rFonts w:ascii="Times New Roman" w:hAnsi="Times New Roman" w:cs="Times New Roman" w:eastAsia="Times New Roman" w:hint="default"/>
        </w:rPr>
        <w:t>2010</w:t>
      </w:r>
      <w:r>
        <w:rPr>
          <w:rFonts w:ascii="Times New Roman" w:hAnsi="Times New Roman" w:cs="Times New Roman" w:eastAsia="Times New Roman" w:hint="default"/>
          <w:spacing w:val="17"/>
        </w:rPr>
        <w:t> </w:t>
      </w:r>
      <w:r>
        <w:rPr/>
        <w:t>年至</w:t>
      </w:r>
      <w:r>
        <w:rPr>
          <w:spacing w:val="-2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5"/>
        </w:rPr>
        <w:t> </w:t>
      </w:r>
      <w:r>
        <w:rPr>
          <w:spacing w:val="-3"/>
        </w:rPr>
        <w:t>年，担任北京和仁中控数字医疗技术有限公司市场部职员；</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5"/>
        </w:rPr>
        <w:t> </w:t>
      </w:r>
      <w:r>
        <w:rPr/>
        <w:t>年至今历任公司技术中心、</w:t>
      </w:r>
      <w:r>
        <w:rPr>
          <w:spacing w:val="-79"/>
        </w:rPr>
        <w:t> </w:t>
      </w:r>
      <w:r>
        <w:rPr>
          <w:spacing w:val="-79"/>
        </w:rPr>
      </w:r>
      <w:r>
        <w:rPr>
          <w:spacing w:val="-3"/>
        </w:rPr>
        <w:t>商务及投资发展部职员，现任公司董事会办公室主任、职工代表监事。</w:t>
      </w:r>
    </w:p>
    <w:p>
      <w:pPr>
        <w:pStyle w:val="BodyText"/>
        <w:spacing w:line="350" w:lineRule="auto" w:before="66"/>
        <w:ind w:right="7956"/>
        <w:jc w:val="left"/>
      </w:pPr>
      <w:r>
        <w:rPr>
          <w:spacing w:val="-3"/>
        </w:rPr>
        <w:t>三、高级管理人员简历情况</w:t>
      </w:r>
      <w:r>
        <w:rPr>
          <w:spacing w:val="-51"/>
        </w:rPr>
        <w:t> </w:t>
      </w:r>
      <w:r>
        <w:rPr>
          <w:spacing w:val="-51"/>
        </w:rPr>
      </w:r>
      <w:r>
        <w:rPr>
          <w:spacing w:val="-3"/>
        </w:rPr>
        <w:t>杨波，详见</w:t>
      </w:r>
      <w:r>
        <w:rPr>
          <w:rFonts w:ascii="Times New Roman" w:hAnsi="Times New Roman" w:cs="Times New Roman" w:eastAsia="Times New Roman" w:hint="default"/>
          <w:spacing w:val="-3"/>
        </w:rPr>
        <w:t>“</w:t>
      </w:r>
      <w:r>
        <w:rPr>
          <w:spacing w:val="-3"/>
        </w:rPr>
        <w:t>董事简历情况</w:t>
      </w:r>
      <w:r>
        <w:rPr>
          <w:rFonts w:ascii="Times New Roman" w:hAnsi="Times New Roman" w:cs="Times New Roman" w:eastAsia="Times New Roman" w:hint="default"/>
          <w:spacing w:val="-3"/>
        </w:rPr>
        <w:t>”</w:t>
      </w:r>
      <w:r>
        <w:rPr>
          <w:spacing w:val="-3"/>
        </w:rPr>
        <w:t>。</w:t>
      </w:r>
      <w:r>
        <w:rPr>
          <w:spacing w:val="-48"/>
        </w:rPr>
        <w:t> </w:t>
      </w:r>
      <w:r>
        <w:rPr>
          <w:spacing w:val="-2"/>
        </w:rPr>
        <w:t>戴泽宇，详见</w:t>
      </w:r>
      <w:r>
        <w:rPr>
          <w:rFonts w:ascii="Times New Roman" w:hAnsi="Times New Roman" w:cs="Times New Roman" w:eastAsia="Times New Roman" w:hint="default"/>
          <w:spacing w:val="-2"/>
        </w:rPr>
        <w:t>“</w:t>
      </w:r>
      <w:r>
        <w:rPr>
          <w:spacing w:val="-2"/>
        </w:rPr>
        <w:t>董事简历情况</w:t>
      </w:r>
      <w:r>
        <w:rPr>
          <w:rFonts w:ascii="Times New Roman" w:hAnsi="Times New Roman" w:cs="Times New Roman" w:eastAsia="Times New Roman" w:hint="default"/>
          <w:spacing w:val="-2"/>
        </w:rPr>
        <w:t>”</w:t>
      </w:r>
      <w:r>
        <w:rPr>
          <w:spacing w:val="-2"/>
        </w:rPr>
        <w:t>。</w:t>
      </w:r>
    </w:p>
    <w:p>
      <w:pPr>
        <w:pStyle w:val="BodyText"/>
        <w:spacing w:line="302" w:lineRule="auto" w:before="5"/>
        <w:ind w:right="1122"/>
        <w:jc w:val="both"/>
      </w:pPr>
      <w:r>
        <w:rPr>
          <w:spacing w:val="-4"/>
        </w:rPr>
        <w:t>章逸，女，</w:t>
      </w:r>
      <w:r>
        <w:rPr>
          <w:rFonts w:ascii="Times New Roman" w:hAnsi="Times New Roman" w:cs="Times New Roman" w:eastAsia="Times New Roman" w:hint="default"/>
          <w:spacing w:val="-4"/>
        </w:rPr>
        <w:t>1984 </w:t>
      </w:r>
      <w:r>
        <w:rPr>
          <w:spacing w:val="-4"/>
        </w:rPr>
        <w:t>年出生，中国国籍，无境外永久居留权，国际经济与贸易专业本科学历。</w:t>
      </w:r>
      <w:r>
        <w:rPr>
          <w:rFonts w:ascii="Times New Roman" w:hAnsi="Times New Roman" w:cs="Times New Roman" w:eastAsia="Times New Roman" w:hint="default"/>
          <w:spacing w:val="-4"/>
        </w:rPr>
        <w:t>2005 </w:t>
      </w:r>
      <w:r>
        <w:rPr/>
        <w:t>年至 </w:t>
      </w:r>
      <w:r>
        <w:rPr>
          <w:rFonts w:ascii="Times New Roman" w:hAnsi="Times New Roman" w:cs="Times New Roman" w:eastAsia="Times New Roman" w:hint="default"/>
        </w:rPr>
        <w:t>2006 </w:t>
      </w:r>
      <w:r>
        <w:rPr>
          <w:spacing w:val="-4"/>
        </w:rPr>
        <w:t>年，担任北京现代</w:t>
      </w:r>
      <w:r>
        <w:rPr>
          <w:spacing w:val="-84"/>
        </w:rPr>
        <w:t> </w:t>
      </w:r>
      <w:r>
        <w:rPr>
          <w:spacing w:val="-84"/>
        </w:rPr>
      </w:r>
      <w:r>
        <w:rPr/>
        <w:t>乐手广告有限公司策划事业部总监；</w:t>
      </w:r>
      <w:r>
        <w:rPr>
          <w:rFonts w:ascii="Times New Roman" w:hAnsi="Times New Roman" w:cs="Times New Roman" w:eastAsia="Times New Roman" w:hint="default"/>
        </w:rPr>
        <w:t>2006</w:t>
      </w:r>
      <w:r>
        <w:rPr>
          <w:rFonts w:ascii="Times New Roman" w:hAnsi="Times New Roman" w:cs="Times New Roman" w:eastAsia="Times New Roman" w:hint="default"/>
          <w:spacing w:val="15"/>
        </w:rPr>
        <w:t> </w:t>
      </w:r>
      <w:r>
        <w:rPr/>
        <w:t>年至</w:t>
      </w:r>
      <w:r>
        <w:rPr>
          <w:spacing w:val="-37"/>
        </w:rPr>
        <w:t> </w:t>
      </w:r>
      <w:r>
        <w:rPr>
          <w:rFonts w:ascii="Times New Roman" w:hAnsi="Times New Roman" w:cs="Times New Roman" w:eastAsia="Times New Roman" w:hint="default"/>
        </w:rPr>
        <w:t>2007</w:t>
      </w:r>
      <w:r>
        <w:rPr>
          <w:rFonts w:ascii="Times New Roman" w:hAnsi="Times New Roman" w:cs="Times New Roman" w:eastAsia="Times New Roman" w:hint="default"/>
          <w:spacing w:val="8"/>
        </w:rPr>
        <w:t> </w:t>
      </w:r>
      <w:r>
        <w:rPr>
          <w:spacing w:val="-3"/>
        </w:rPr>
        <w:t>年，担任北京蔼迪垦文化发展有限公司高级项目经理；</w:t>
      </w:r>
      <w:r>
        <w:rPr>
          <w:rFonts w:ascii="Times New Roman" w:hAnsi="Times New Roman" w:cs="Times New Roman" w:eastAsia="Times New Roman" w:hint="default"/>
          <w:spacing w:val="-3"/>
        </w:rPr>
        <w:t>2007</w:t>
      </w:r>
      <w:r>
        <w:rPr>
          <w:rFonts w:ascii="Times New Roman" w:hAnsi="Times New Roman" w:cs="Times New Roman" w:eastAsia="Times New Roman" w:hint="default"/>
          <w:spacing w:val="15"/>
        </w:rPr>
        <w:t> </w:t>
      </w:r>
      <w:r>
        <w:rPr/>
        <w:t>年至</w:t>
      </w:r>
      <w:r>
        <w:rPr>
          <w:spacing w:val="-3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7"/>
        </w:rPr>
        <w:t> </w:t>
      </w:r>
      <w:r>
        <w:rPr>
          <w:spacing w:val="-3"/>
        </w:rPr>
        <w:t>年，担任北京七海达之国际广告有限公司客户总监；</w:t>
      </w:r>
      <w:r>
        <w:rPr>
          <w:rFonts w:ascii="Times New Roman" w:hAnsi="Times New Roman" w:cs="Times New Roman" w:eastAsia="Times New Roman" w:hint="default"/>
          <w:spacing w:val="-3"/>
        </w:rPr>
        <w:t>2009 </w:t>
      </w:r>
      <w:r>
        <w:rPr>
          <w:spacing w:val="-3"/>
        </w:rPr>
        <w:t>年至 </w:t>
      </w:r>
      <w:r>
        <w:rPr>
          <w:rFonts w:ascii="Times New Roman" w:hAnsi="Times New Roman" w:cs="Times New Roman" w:eastAsia="Times New Roman" w:hint="default"/>
        </w:rPr>
        <w:t>2011 </w:t>
      </w:r>
      <w:r>
        <w:rPr>
          <w:spacing w:val="-3"/>
        </w:rPr>
        <w:t>年，担任西藏珠峰冰川水资源开发有限公司品牌管理中</w:t>
      </w:r>
      <w:r>
        <w:rPr>
          <w:spacing w:val="-55"/>
        </w:rPr>
        <w:t> </w:t>
      </w:r>
      <w:r>
        <w:rPr>
          <w:spacing w:val="-55"/>
        </w:rPr>
      </w:r>
      <w:r>
        <w:rPr>
          <w:spacing w:val="-3"/>
        </w:rPr>
        <w:t>心负责人；</w:t>
      </w:r>
      <w:r>
        <w:rPr>
          <w:rFonts w:ascii="Times New Roman" w:hAnsi="Times New Roman" w:cs="Times New Roman" w:eastAsia="Times New Roman" w:hint="default"/>
          <w:spacing w:val="-3"/>
        </w:rPr>
        <w:t>2011 </w:t>
      </w:r>
      <w:r>
        <w:rPr>
          <w:spacing w:val="-3"/>
        </w:rPr>
        <w:t>年至今历任公司商务及投资发展部副经理、公司副总经理、董事会秘书。</w:t>
      </w:r>
      <w:r>
        <w:rPr>
          <w:rFonts w:ascii="Times New Roman" w:hAnsi="Times New Roman" w:cs="Times New Roman" w:eastAsia="Times New Roman" w:hint="default"/>
          <w:spacing w:val="-3"/>
        </w:rPr>
        <w:t>2014 </w:t>
      </w:r>
      <w:r>
        <w:rPr/>
        <w:t>年 </w:t>
      </w:r>
      <w:r>
        <w:rPr>
          <w:rFonts w:ascii="Times New Roman" w:hAnsi="Times New Roman" w:cs="Times New Roman" w:eastAsia="Times New Roman" w:hint="default"/>
        </w:rPr>
        <w:t>5 </w:t>
      </w:r>
      <w:r>
        <w:rPr>
          <w:spacing w:val="-3"/>
        </w:rPr>
        <w:t>月取得深圳证券交易所</w:t>
      </w:r>
      <w:r>
        <w:rPr>
          <w:spacing w:val="-59"/>
        </w:rPr>
        <w:t> </w:t>
      </w:r>
      <w:r>
        <w:rPr>
          <w:spacing w:val="-59"/>
        </w:rPr>
      </w:r>
      <w:r>
        <w:rPr>
          <w:spacing w:val="-9"/>
          <w:w w:val="101"/>
        </w:rPr>
        <w:t>颁发的《董事会秘书资格证书》。</w:t>
      </w:r>
      <w:r>
        <w:rPr>
          <w:spacing w:val="-9"/>
        </w:rPr>
      </w:r>
    </w:p>
    <w:p>
      <w:pPr>
        <w:pStyle w:val="BodyText"/>
        <w:spacing w:line="302" w:lineRule="auto" w:before="63"/>
        <w:ind w:right="1122"/>
        <w:jc w:val="both"/>
      </w:pPr>
      <w:r>
        <w:rPr>
          <w:spacing w:val="-5"/>
        </w:rPr>
        <w:t>张雪峰，女，</w:t>
      </w:r>
      <w:r>
        <w:rPr>
          <w:rFonts w:ascii="Times New Roman" w:hAnsi="Times New Roman" w:cs="Times New Roman" w:eastAsia="Times New Roman" w:hint="default"/>
          <w:spacing w:val="-5"/>
        </w:rPr>
        <w:t>1982 </w:t>
      </w:r>
      <w:r>
        <w:rPr>
          <w:spacing w:val="-5"/>
        </w:rPr>
        <w:t>年出生，中国国籍，无境外永久居留权，会计学专业本科学历，中国注册会计师，</w:t>
      </w:r>
      <w:r>
        <w:rPr>
          <w:rFonts w:ascii="Times New Roman" w:hAnsi="Times New Roman" w:cs="Times New Roman" w:eastAsia="Times New Roman" w:hint="default"/>
          <w:spacing w:val="-5"/>
        </w:rPr>
        <w:t>ACCA </w:t>
      </w:r>
      <w:r>
        <w:rPr>
          <w:spacing w:val="-3"/>
        </w:rPr>
        <w:t>注册会员。</w:t>
      </w:r>
      <w:r>
        <w:rPr>
          <w:rFonts w:ascii="Times New Roman" w:hAnsi="Times New Roman" w:cs="Times New Roman" w:eastAsia="Times New Roman" w:hint="default"/>
          <w:spacing w:val="-3"/>
        </w:rPr>
        <w:t>2005</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15"/>
        </w:rPr>
      </w:r>
      <w:r>
        <w:rPr/>
        <w:t>年至 </w:t>
      </w:r>
      <w:r>
        <w:rPr>
          <w:rFonts w:ascii="Times New Roman" w:hAnsi="Times New Roman" w:cs="Times New Roman" w:eastAsia="Times New Roman" w:hint="default"/>
        </w:rPr>
        <w:t>2007 </w:t>
      </w:r>
      <w:r>
        <w:rPr>
          <w:spacing w:val="-3"/>
        </w:rPr>
        <w:t>年，担任中国银行股份有限公司镇江分行计划财务部产品及资金经理；</w:t>
      </w:r>
      <w:r>
        <w:rPr>
          <w:rFonts w:ascii="Times New Roman" w:hAnsi="Times New Roman" w:cs="Times New Roman" w:eastAsia="Times New Roman" w:hint="default"/>
          <w:spacing w:val="-3"/>
        </w:rPr>
        <w:t>2007 </w:t>
      </w:r>
      <w:r>
        <w:rPr/>
        <w:t>年至 </w:t>
      </w:r>
      <w:r>
        <w:rPr>
          <w:rFonts w:ascii="Times New Roman" w:hAnsi="Times New Roman" w:cs="Times New Roman" w:eastAsia="Times New Roman" w:hint="default"/>
        </w:rPr>
        <w:t>2014 </w:t>
      </w:r>
      <w:r>
        <w:rPr>
          <w:spacing w:val="-3"/>
        </w:rPr>
        <w:t>年，担任立信会计师事务</w:t>
      </w:r>
      <w:r>
        <w:rPr>
          <w:spacing w:val="-40"/>
        </w:rPr>
        <w:t> </w:t>
      </w:r>
      <w:r>
        <w:rPr>
          <w:spacing w:val="-40"/>
        </w:rPr>
      </w:r>
      <w:r>
        <w:rPr>
          <w:spacing w:val="-3"/>
        </w:rPr>
        <w:t>所（特殊普通合伙）浙江分所审计经理；</w:t>
      </w:r>
      <w:r>
        <w:rPr>
          <w:rFonts w:ascii="Times New Roman" w:hAnsi="Times New Roman" w:cs="Times New Roman" w:eastAsia="Times New Roman" w:hint="default"/>
          <w:spacing w:val="-3"/>
        </w:rPr>
        <w:t>2014  </w:t>
      </w:r>
      <w:r>
        <w:rPr>
          <w:rFonts w:ascii="Times New Roman" w:hAnsi="Times New Roman" w:cs="Times New Roman" w:eastAsia="Times New Roman" w:hint="default"/>
          <w:spacing w:val="23"/>
        </w:rPr>
        <w:t> </w:t>
      </w:r>
      <w:r>
        <w:rPr>
          <w:spacing w:val="-3"/>
        </w:rPr>
        <w:t>年至今担任公司财务负责人。</w:t>
      </w:r>
    </w:p>
    <w:p>
      <w:pPr>
        <w:pStyle w:val="BodyText"/>
        <w:spacing w:line="309" w:lineRule="auto" w:before="49"/>
        <w:ind w:right="1037"/>
        <w:jc w:val="left"/>
      </w:pPr>
      <w:r>
        <w:rPr/>
        <w:t>任洪明，男，</w:t>
      </w:r>
      <w:r>
        <w:rPr>
          <w:rFonts w:ascii="Times New Roman" w:hAnsi="Times New Roman" w:cs="Times New Roman" w:eastAsia="Times New Roman" w:hint="default"/>
        </w:rPr>
        <w:t>1976 </w:t>
      </w:r>
      <w:r>
        <w:rPr>
          <w:spacing w:val="-3"/>
        </w:rPr>
        <w:t>年出生，中国国籍，大学本科学历，高级工程师，</w:t>
      </w:r>
      <w:r>
        <w:rPr>
          <w:rFonts w:ascii="Times New Roman" w:hAnsi="Times New Roman" w:cs="Times New Roman" w:eastAsia="Times New Roman" w:hint="default"/>
          <w:spacing w:val="-3"/>
        </w:rPr>
        <w:t>2001 </w:t>
      </w:r>
      <w:r>
        <w:rPr/>
        <w:t>年</w:t>
      </w:r>
      <w:r>
        <w:rPr>
          <w:rFonts w:ascii="Times New Roman" w:hAnsi="Times New Roman" w:cs="Times New Roman" w:eastAsia="Times New Roman" w:hint="default"/>
        </w:rPr>
        <w:t>-2014 </w:t>
      </w:r>
      <w:r>
        <w:rPr>
          <w:spacing w:val="-3"/>
        </w:rPr>
        <w:t>年任浙江浙大中控信息技术有限公司建</w:t>
      </w:r>
      <w:r>
        <w:rPr>
          <w:spacing w:val="-62"/>
        </w:rPr>
        <w:t> </w:t>
      </w:r>
      <w:r>
        <w:rPr>
          <w:spacing w:val="-62"/>
        </w:rPr>
      </w:r>
      <w:r>
        <w:rPr>
          <w:spacing w:val="-3"/>
        </w:rPr>
        <w:t>筑事业部工程师，技术部经理，事业部副总经理。</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11"/>
        </w:rPr>
        <w:t> </w:t>
      </w:r>
      <w:r>
        <w:rPr/>
        <w:t>年</w:t>
      </w:r>
      <w:r>
        <w:rPr>
          <w:spacing w:val="14"/>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14"/>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日至</w:t>
      </w:r>
      <w:r>
        <w:rPr>
          <w:spacing w:val="8"/>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4"/>
        </w:rPr>
        <w:t> </w:t>
      </w:r>
      <w:r>
        <w:rPr/>
        <w:t>年</w:t>
      </w:r>
      <w:r>
        <w:rPr>
          <w:spacing w:val="8"/>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14"/>
        </w:rPr>
        <w:t> </w:t>
      </w:r>
      <w:r>
        <w:rPr>
          <w:rFonts w:ascii="Times New Roman" w:hAnsi="Times New Roman" w:cs="Times New Roman" w:eastAsia="Times New Roman" w:hint="default"/>
          <w:spacing w:val="-3"/>
        </w:rPr>
        <w:t>30</w:t>
      </w:r>
      <w:r>
        <w:rPr>
          <w:rFonts w:ascii="Times New Roman" w:hAnsi="Times New Roman" w:cs="Times New Roman" w:eastAsia="Times New Roman" w:hint="default"/>
          <w:spacing w:val="17"/>
        </w:rPr>
        <w:t> </w:t>
      </w:r>
      <w:r>
        <w:rPr>
          <w:spacing w:val="-3"/>
        </w:rPr>
        <w:t>日在杭州点触科技有限公司工</w:t>
      </w:r>
      <w:r>
        <w:rPr>
          <w:spacing w:val="-87"/>
        </w:rPr>
        <w:t> </w:t>
      </w:r>
      <w:r>
        <w:rPr>
          <w:spacing w:val="-87"/>
        </w:rPr>
      </w:r>
      <w:r>
        <w:rPr/>
        <w:t>作，</w:t>
      </w:r>
      <w:r>
        <w:rPr>
          <w:rFonts w:ascii="Times New Roman" w:hAnsi="Times New Roman" w:cs="Times New Roman" w:eastAsia="Times New Roman" w:hint="default"/>
        </w:rPr>
        <w:t>2017 </w:t>
      </w:r>
      <w:r>
        <w:rPr>
          <w:spacing w:val="-3"/>
        </w:rPr>
        <w:t>年至今在浙江和仁科技股份有限公司任营销中心总经理。现任浙江和仁科技股份有限公司副总经理。</w:t>
      </w:r>
      <w:r>
        <w:rPr>
          <w:spacing w:val="43"/>
        </w:rPr>
        <w:t> </w:t>
      </w:r>
      <w:r>
        <w:rPr>
          <w:spacing w:val="43"/>
        </w:rPr>
      </w:r>
      <w:r>
        <w:rPr>
          <w:spacing w:val="-5"/>
        </w:rPr>
        <w:t>孙霆，男，</w:t>
      </w:r>
      <w:r>
        <w:rPr>
          <w:rFonts w:ascii="Times New Roman" w:hAnsi="Times New Roman" w:cs="Times New Roman" w:eastAsia="Times New Roman" w:hint="default"/>
          <w:spacing w:val="-5"/>
        </w:rPr>
        <w:t>1975 </w:t>
      </w:r>
      <w:r>
        <w:rPr>
          <w:spacing w:val="-5"/>
        </w:rPr>
        <w:t>年出生，中国国籍，无境外永久居留权，外贸经济专业专科学历。</w:t>
      </w:r>
      <w:r>
        <w:rPr>
          <w:rFonts w:ascii="Times New Roman" w:hAnsi="Times New Roman" w:cs="Times New Roman" w:eastAsia="Times New Roman" w:hint="default"/>
          <w:spacing w:val="-5"/>
        </w:rPr>
        <w:t>2005 </w:t>
      </w:r>
      <w:r>
        <w:rPr/>
        <w:t>年至 </w:t>
      </w:r>
      <w:r>
        <w:rPr>
          <w:rFonts w:ascii="Times New Roman" w:hAnsi="Times New Roman" w:cs="Times New Roman" w:eastAsia="Times New Roman" w:hint="default"/>
        </w:rPr>
        <w:t>2008 </w:t>
      </w:r>
      <w:r>
        <w:rPr>
          <w:spacing w:val="-3"/>
        </w:rPr>
        <w:t>年在浙江浙大网新科技公</w:t>
      </w:r>
      <w:r>
        <w:rPr>
          <w:spacing w:val="-51"/>
        </w:rPr>
        <w:t> </w:t>
      </w:r>
      <w:r>
        <w:rPr>
          <w:spacing w:val="-51"/>
        </w:rPr>
      </w:r>
      <w:r>
        <w:rPr/>
        <w:t>司担任销售职务；</w:t>
      </w:r>
      <w:r>
        <w:rPr>
          <w:rFonts w:ascii="Times New Roman" w:hAnsi="Times New Roman" w:cs="Times New Roman" w:eastAsia="Times New Roman" w:hint="default"/>
        </w:rPr>
        <w:t>2008 </w:t>
      </w:r>
      <w:r>
        <w:rPr/>
        <w:t>年至 </w:t>
      </w:r>
      <w:r>
        <w:rPr>
          <w:rFonts w:ascii="Times New Roman" w:hAnsi="Times New Roman" w:cs="Times New Roman" w:eastAsia="Times New Roman" w:hint="default"/>
        </w:rPr>
        <w:t>2011 </w:t>
      </w:r>
      <w:r>
        <w:rPr>
          <w:spacing w:val="-3"/>
        </w:rPr>
        <w:t>年在上海中电电子系统工程公司担任销售职务；</w:t>
      </w:r>
      <w:r>
        <w:rPr>
          <w:rFonts w:ascii="Times New Roman" w:hAnsi="Times New Roman" w:cs="Times New Roman" w:eastAsia="Times New Roman" w:hint="default"/>
          <w:spacing w:val="-3"/>
        </w:rPr>
        <w:t>2011 </w:t>
      </w:r>
      <w:r>
        <w:rPr/>
        <w:t>年至 </w:t>
      </w:r>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spacing w:val="-3"/>
        </w:rPr>
        <w:t>年在浙江泰源科技有限公</w:t>
      </w:r>
    </w:p>
    <w:p>
      <w:pPr>
        <w:pStyle w:val="BodyText"/>
        <w:spacing w:line="338" w:lineRule="auto" w:before="10"/>
        <w:ind w:right="3109"/>
        <w:jc w:val="left"/>
      </w:pPr>
      <w:r>
        <w:rPr/>
        <w:t>司任销售部总经理；</w:t>
      </w:r>
      <w:r>
        <w:rPr>
          <w:rFonts w:ascii="Times New Roman" w:hAnsi="Times New Roman" w:cs="Times New Roman" w:eastAsia="Times New Roman" w:hint="default"/>
        </w:rPr>
        <w:t>2014 </w:t>
      </w:r>
      <w:r>
        <w:rPr>
          <w:spacing w:val="-3"/>
        </w:rPr>
        <w:t>年至今在浙江和仁科技股份有限公司任职，目前为公司副总经理。</w:t>
      </w:r>
      <w:r>
        <w:rPr>
          <w:spacing w:val="-49"/>
        </w:rPr>
        <w:t> </w:t>
      </w:r>
      <w:r>
        <w:rPr>
          <w:spacing w:val="-49"/>
        </w:rPr>
      </w:r>
      <w:r>
        <w:rPr>
          <w:spacing w:val="-3"/>
        </w:rPr>
        <w:t>在股东单位任职情况</w:t>
      </w:r>
    </w:p>
    <w:p>
      <w:pPr>
        <w:pStyle w:val="BodyText"/>
        <w:spacing w:line="240" w:lineRule="auto" w:before="46"/>
        <w:ind w:right="0"/>
        <w:jc w:val="both"/>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201"/>
        <w:gridCol w:w="3193"/>
        <w:gridCol w:w="1061"/>
        <w:gridCol w:w="1196"/>
        <w:gridCol w:w="1335"/>
        <w:gridCol w:w="1584"/>
      </w:tblGrid>
      <w:tr>
        <w:trPr>
          <w:trHeight w:val="710"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76" w:right="70"/>
              <w:jc w:val="left"/>
              <w:rPr>
                <w:rFonts w:ascii="宋体" w:hAnsi="宋体" w:cs="宋体" w:eastAsia="宋体" w:hint="default"/>
                <w:sz w:val="18"/>
                <w:szCs w:val="18"/>
              </w:rPr>
            </w:pPr>
            <w:r>
              <w:rPr>
                <w:rFonts w:ascii="宋体" w:hAnsi="宋体" w:cs="宋体" w:eastAsia="宋体" w:hint="default"/>
                <w:spacing w:val="-2"/>
                <w:sz w:val="18"/>
                <w:szCs w:val="18"/>
              </w:rPr>
              <w:t>在股东单位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41" w:right="60" w:hanging="274"/>
              <w:jc w:val="left"/>
              <w:rPr>
                <w:rFonts w:ascii="宋体" w:hAnsi="宋体" w:cs="宋体" w:eastAsia="宋体" w:hint="default"/>
                <w:sz w:val="18"/>
                <w:szCs w:val="18"/>
              </w:rPr>
            </w:pPr>
            <w:r>
              <w:rPr>
                <w:rFonts w:ascii="宋体" w:hAnsi="宋体" w:cs="宋体" w:eastAsia="宋体" w:hint="default"/>
                <w:spacing w:val="-2"/>
                <w:sz w:val="18"/>
                <w:szCs w:val="18"/>
              </w:rPr>
              <w:t>在股东单位是否领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取报酬津贴</w:t>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杨一兵</w:t>
            </w:r>
          </w:p>
        </w:tc>
        <w:tc>
          <w:tcPr>
            <w:tcW w:w="3193"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4"/>
                <w:sz w:val="18"/>
                <w:szCs w:val="18"/>
              </w:rPr>
              <w:t>杭州磐鸿投资管理合伙企业（有限合伙</w:t>
            </w:r>
          </w:p>
        </w:tc>
        <w:tc>
          <w:tcPr>
            <w:tcW w:w="1061" w:type="dxa"/>
            <w:tcBorders>
              <w:top w:val="single" w:sz="4" w:space="0" w:color="000000"/>
              <w:left w:val="single" w:sz="13" w:space="0" w:color="FFFFFF"/>
              <w:bottom w:val="single" w:sz="4" w:space="0" w:color="000000"/>
              <w:right w:val="single" w:sz="4" w:space="0" w:color="000000"/>
            </w:tcBorders>
          </w:tcPr>
          <w:p>
            <w:pPr>
              <w:pStyle w:val="TableParagraph"/>
              <w:spacing w:line="195" w:lineRule="exact" w:before="58"/>
              <w:ind w:left="12" w:right="0"/>
              <w:jc w:val="left"/>
              <w:rPr>
                <w:rFonts w:ascii="宋体" w:hAnsi="宋体" w:cs="宋体" w:eastAsia="宋体" w:hint="default"/>
                <w:sz w:val="18"/>
                <w:szCs w:val="18"/>
              </w:rPr>
            </w:pPr>
            <w:r>
              <w:rPr>
                <w:rFonts w:ascii="宋体" w:hAnsi="宋体" w:cs="宋体" w:eastAsia="宋体" w:hint="default"/>
                <w:sz w:val="18"/>
                <w:szCs w:val="18"/>
              </w:rPr>
              <w:t>执行事务合</w:t>
            </w:r>
          </w:p>
          <w:p>
            <w:pPr>
              <w:pStyle w:val="TableParagraph"/>
              <w:spacing w:line="156" w:lineRule="exact"/>
              <w:ind w:left="-133"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197" w:lineRule="exact"/>
              <w:ind w:left="12" w:right="0"/>
              <w:jc w:val="left"/>
              <w:rPr>
                <w:rFonts w:ascii="宋体" w:hAnsi="宋体" w:cs="宋体" w:eastAsia="宋体" w:hint="default"/>
                <w:sz w:val="18"/>
                <w:szCs w:val="18"/>
              </w:rPr>
            </w:pPr>
            <w:r>
              <w:rPr>
                <w:rFonts w:ascii="宋体" w:hAnsi="宋体" w:cs="宋体" w:eastAsia="宋体" w:hint="default"/>
                <w:sz w:val="18"/>
                <w:szCs w:val="18"/>
              </w:rPr>
              <w:t>伙人</w:t>
            </w:r>
          </w:p>
          <w:p>
            <w:pPr>
              <w:pStyle w:val="TableParagraph"/>
              <w:spacing w:line="700" w:lineRule="exact"/>
              <w:ind w:left="12" w:right="-32"/>
              <w:jc w:val="left"/>
              <w:rPr>
                <w:rFonts w:ascii="宋体" w:hAnsi="宋体" w:cs="宋体" w:eastAsia="宋体" w:hint="default"/>
                <w:sz w:val="20"/>
                <w:szCs w:val="20"/>
              </w:rPr>
            </w:pPr>
            <w:r>
              <w:rPr>
                <w:rFonts w:ascii="宋体" w:hAnsi="宋体" w:cs="宋体" w:eastAsia="宋体" w:hint="default"/>
                <w:position w:val="-13"/>
                <w:sz w:val="20"/>
                <w:szCs w:val="20"/>
              </w:rPr>
              <w:pict>
                <v:group style="width:50.45pt;height:35.050pt;mso-position-horizontal-relative:char;mso-position-vertical-relative:line" coordorigin="0,0" coordsize="1009,701">
                  <v:group style="position:absolute;left:0;top:0;width:1009;height:351" coordorigin="0,0" coordsize="1009,351">
                    <v:shape style="position:absolute;left:0;top:0;width:1009;height:351" coordorigin="0,0" coordsize="1009,351" path="m0,350l1008,350,1008,0,0,0,0,350xe" filled="true" fillcolor="#ffffff" stroked="false">
                      <v:path arrowok="t"/>
                      <v:fill type="solid"/>
                    </v:shape>
                  </v:group>
                  <v:group style="position:absolute;left:0;top:350;width:1009;height:351" coordorigin="0,350" coordsize="1009,351">
                    <v:shape style="position:absolute;left:0;top:350;width:1009;height:351" coordorigin="0,350" coordsize="1009,351" path="m0,701l1008,701,1008,350,0,350,0,701xe" filled="true" fillcolor="#ffffff" stroked="false">
                      <v:path arrowok="t"/>
                      <v:fill type="solid"/>
                    </v:shape>
                  </v:group>
                </v:group>
              </w:pict>
            </w:r>
            <w:r>
              <w:rPr>
                <w:rFonts w:ascii="宋体" w:hAnsi="宋体" w:cs="宋体" w:eastAsia="宋体" w:hint="default"/>
                <w:position w:val="-13"/>
                <w:sz w:val="20"/>
                <w:szCs w:val="20"/>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5"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8" w:space="0" w:color="D2D2D2"/>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杨波</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杭州磐源投资管理有限公司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35"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在股东单位任</w:t>
            </w:r>
          </w:p>
        </w:tc>
        <w:tc>
          <w:tcPr>
            <w:tcW w:w="8369"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left="1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6"/>
        <w:rPr>
          <w:rFonts w:ascii="宋体" w:hAnsi="宋体" w:cs="宋体" w:eastAsia="宋体" w:hint="default"/>
          <w:sz w:val="28"/>
          <w:szCs w:val="28"/>
        </w:rPr>
      </w:pPr>
    </w:p>
    <w:p>
      <w:pPr>
        <w:spacing w:line="379"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pt;height:19pt;mso-position-horizontal-relative:char;mso-position-vertical-relative:line" coordorigin="0,0" coordsize="9580,380">
            <v:group style="position:absolute;left:22;top:14;width:2;height:351" coordorigin="22,14" coordsize="2,351">
              <v:shape style="position:absolute;left:22;top:14;width:2;height:351" coordorigin="22,14" coordsize="0,351" path="m22,14l22,365e" filled="false" stroked="true" strokeweight="1.2pt" strokecolor="#d2d2d2">
                <v:path arrowok="t"/>
              </v:shape>
            </v:group>
            <v:group style="position:absolute;left:1191;top:14;width:2;height:351" coordorigin="1191,14" coordsize="2,351">
              <v:shape style="position:absolute;left:1191;top:14;width:2;height:351" coordorigin="1191,14" coordsize="0,351" path="m1191,14l1191,365e" filled="false" stroked="true" strokeweight=".96pt" strokecolor="#d2d2d2">
                <v:path arrowok="t"/>
              </v:shape>
            </v:group>
            <v:group style="position:absolute;left:34;top:14;width:1148;height:351" coordorigin="34,14" coordsize="1148,351">
              <v:shape style="position:absolute;left:34;top:14;width:1148;height:351" coordorigin="34,14" coordsize="1148,351" path="m34,365l1181,365,1181,14,34,14,34,365xe" filled="true" fillcolor="#d2d2d2" stroked="false">
                <v:path arrowok="t"/>
                <v:fill type="solid"/>
              </v:shape>
            </v:group>
            <v:group style="position:absolute;left:10;top:10;width:1191;height:2" coordorigin="10,10" coordsize="1191,2">
              <v:shape style="position:absolute;left:10;top:10;width:1191;height:2" coordorigin="10,10" coordsize="1191,0" path="m10,10l1200,10e" filled="false" stroked="true" strokeweight=".48pt" strokecolor="#000000">
                <v:path arrowok="t"/>
              </v:shape>
            </v:group>
            <v:group style="position:absolute;left:1210;top:10;width:8360;height:2" coordorigin="1210,10" coordsize="8360,2">
              <v:shape style="position:absolute;left:1210;top:10;width:8360;height:2" coordorigin="1210,10" coordsize="8360,0" path="m1210,10l9570,10e" filled="false" stroked="true" strokeweight=".48pt" strokecolor="#000000">
                <v:path arrowok="t"/>
              </v:shape>
            </v:group>
            <v:group style="position:absolute;left:5;top:5;width:2;height:370" coordorigin="5,5" coordsize="2,370">
              <v:shape style="position:absolute;left:5;top:5;width:2;height:370" coordorigin="5,5" coordsize="0,370" path="m5,5l5,374e" filled="false" stroked="true" strokeweight=".48pt" strokecolor="#000000">
                <v:path arrowok="t"/>
              </v:shape>
            </v:group>
            <v:group style="position:absolute;left:10;top:370;width:1191;height:2" coordorigin="10,370" coordsize="1191,2">
              <v:shape style="position:absolute;left:10;top:370;width:1191;height:2" coordorigin="10,370" coordsize="1191,0" path="m10,370l1200,370e" filled="false" stroked="true" strokeweight=".48pt" strokecolor="#000000">
                <v:path arrowok="t"/>
              </v:shape>
            </v:group>
            <v:group style="position:absolute;left:1205;top:5;width:2;height:370" coordorigin="1205,5" coordsize="2,370">
              <v:shape style="position:absolute;left:1205;top:5;width:2;height:370" coordorigin="1205,5" coordsize="0,370" path="m1205,5l1205,374e" filled="false" stroked="true" strokeweight=".48pt" strokecolor="#000000">
                <v:path arrowok="t"/>
              </v:shape>
            </v:group>
            <v:group style="position:absolute;left:1210;top:370;width:8360;height:2" coordorigin="1210,370" coordsize="8360,2">
              <v:shape style="position:absolute;left:1210;top:370;width:8360;height:2" coordorigin="1210,370" coordsize="8360,0" path="m1210,370l9570,370e" filled="false" stroked="true" strokeweight=".48pt" strokecolor="#000000">
                <v:path arrowok="t"/>
              </v:shape>
            </v:group>
            <v:group style="position:absolute;left:9575;top:5;width:2;height:370" coordorigin="9575,5" coordsize="2,370">
              <v:shape style="position:absolute;left:9575;top:5;width:2;height:370" coordorigin="9575,5" coordsize="0,370" path="m9575,5l9575,374e" filled="false" stroked="true" strokeweight=".48004pt" strokecolor="#000000">
                <v:path arrowok="t"/>
              </v:shape>
              <v:shape style="position:absolute;left:5;top:10;width:1191;height:360" type="#_x0000_t202" filled="false" stroked="false">
                <v:textbox inset="0,0,0,0">
                  <w:txbxContent>
                    <w:p>
                      <w:pPr>
                        <w:spacing w:before="20"/>
                        <w:ind w:left="28" w:right="0" w:firstLine="0"/>
                        <w:jc w:val="left"/>
                        <w:rPr>
                          <w:rFonts w:ascii="宋体" w:hAnsi="宋体" w:cs="宋体" w:eastAsia="宋体" w:hint="default"/>
                          <w:sz w:val="18"/>
                          <w:szCs w:val="18"/>
                        </w:rPr>
                      </w:pPr>
                      <w:r>
                        <w:rPr>
                          <w:rFonts w:ascii="宋体" w:hAnsi="宋体" w:cs="宋体" w:eastAsia="宋体" w:hint="default"/>
                          <w:sz w:val="18"/>
                          <w:szCs w:val="18"/>
                        </w:rPr>
                        <w:t>职情况的说明</w:t>
                      </w:r>
                    </w:p>
                  </w:txbxContent>
                </v:textbox>
                <w10:wrap type="none"/>
              </v:shape>
            </v:group>
          </v:group>
        </w:pict>
      </w:r>
      <w:r>
        <w:rPr>
          <w:rFonts w:ascii="宋体" w:hAnsi="宋体" w:cs="宋体" w:eastAsia="宋体" w:hint="default"/>
          <w:position w:val="-7"/>
          <w:sz w:val="20"/>
          <w:szCs w:val="20"/>
        </w:rPr>
      </w:r>
    </w:p>
    <w:p>
      <w:pPr>
        <w:pStyle w:val="BodyText"/>
        <w:spacing w:line="240" w:lineRule="auto" w:before="49"/>
        <w:ind w:right="0"/>
        <w:jc w:val="left"/>
      </w:pPr>
      <w:r>
        <w:rPr>
          <w:spacing w:val="-3"/>
        </w:rPr>
        <w:t>在其他单位任职情况</w:t>
      </w:r>
    </w:p>
    <w:p>
      <w:pPr>
        <w:pStyle w:val="BodyText"/>
        <w:spacing w:line="240" w:lineRule="auto" w:before="119"/>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201"/>
        <w:gridCol w:w="3193"/>
        <w:gridCol w:w="1061"/>
        <w:gridCol w:w="1196"/>
        <w:gridCol w:w="1325"/>
        <w:gridCol w:w="1594"/>
      </w:tblGrid>
      <w:tr>
        <w:trPr>
          <w:trHeight w:val="713"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76" w:right="70"/>
              <w:jc w:val="left"/>
              <w:rPr>
                <w:rFonts w:ascii="宋体" w:hAnsi="宋体" w:cs="宋体" w:eastAsia="宋体" w:hint="default"/>
                <w:sz w:val="18"/>
                <w:szCs w:val="18"/>
              </w:rPr>
            </w:pPr>
            <w:r>
              <w:rPr>
                <w:rFonts w:ascii="宋体" w:hAnsi="宋体" w:cs="宋体" w:eastAsia="宋体" w:hint="default"/>
                <w:spacing w:val="-2"/>
                <w:sz w:val="18"/>
                <w:szCs w:val="18"/>
              </w:rPr>
              <w:t>在其他单位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341" w:right="65" w:hanging="270"/>
              <w:jc w:val="left"/>
              <w:rPr>
                <w:rFonts w:ascii="宋体" w:hAnsi="宋体" w:cs="宋体" w:eastAsia="宋体" w:hint="default"/>
                <w:sz w:val="18"/>
                <w:szCs w:val="18"/>
              </w:rPr>
            </w:pPr>
            <w:r>
              <w:rPr>
                <w:rFonts w:ascii="宋体" w:hAnsi="宋体" w:cs="宋体" w:eastAsia="宋体" w:hint="default"/>
                <w:spacing w:val="-2"/>
                <w:sz w:val="18"/>
                <w:szCs w:val="18"/>
              </w:rPr>
              <w:t>在其他单位是否领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取报酬津贴</w:t>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蔡钰如</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果麦文化传媒股份有限公司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4" w:right="84"/>
              <w:jc w:val="left"/>
              <w:rPr>
                <w:rFonts w:ascii="宋体" w:hAnsi="宋体" w:cs="宋体" w:eastAsia="宋体" w:hint="default"/>
                <w:sz w:val="18"/>
                <w:szCs w:val="18"/>
              </w:rPr>
            </w:pPr>
            <w:r>
              <w:rPr>
                <w:rFonts w:ascii="Times New Roman" w:hAnsi="Times New Roman" w:cs="Times New Roman" w:eastAsia="Times New Roman" w:hint="default"/>
                <w:sz w:val="18"/>
                <w:szCs w:val="18"/>
              </w:rPr>
              <w:t>CFO </w:t>
            </w:r>
            <w:r>
              <w:rPr>
                <w:rFonts w:ascii="宋体" w:hAnsi="宋体" w:cs="宋体" w:eastAsia="宋体" w:hint="default"/>
                <w:sz w:val="18"/>
                <w:szCs w:val="18"/>
              </w:rPr>
              <w:t>及董事</w:t>
            </w:r>
            <w:r>
              <w:rPr>
                <w:rFonts w:ascii="宋体" w:hAnsi="宋体" w:cs="宋体" w:eastAsia="宋体" w:hint="default"/>
                <w:spacing w:val="-86"/>
                <w:sz w:val="18"/>
                <w:szCs w:val="18"/>
              </w:rPr>
              <w:t> </w:t>
            </w:r>
            <w:r>
              <w:rPr>
                <w:rFonts w:ascii="宋体" w:hAnsi="宋体" w:cs="宋体" w:eastAsia="宋体" w:hint="default"/>
                <w:sz w:val="18"/>
                <w:szCs w:val="18"/>
              </w:rPr>
              <w:t>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洪伟荣</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浙江大学化工机械研究所</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所长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0"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黄海</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94"/>
              <w:jc w:val="left"/>
              <w:rPr>
                <w:rFonts w:ascii="宋体" w:hAnsi="宋体" w:cs="宋体" w:eastAsia="宋体" w:hint="default"/>
                <w:sz w:val="18"/>
                <w:szCs w:val="18"/>
              </w:rPr>
            </w:pPr>
            <w:r>
              <w:rPr>
                <w:rFonts w:ascii="宋体" w:hAnsi="宋体" w:cs="宋体" w:eastAsia="宋体" w:hint="default"/>
                <w:spacing w:val="-3"/>
                <w:sz w:val="18"/>
                <w:szCs w:val="18"/>
              </w:rPr>
              <w:t>浙江铭众生物医用材料与器械研究院院</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长</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院长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黄海</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浙江铭众医疗器械有限公司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黄海</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浙江铭众科技有限公司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黄海</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浙江大学</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
              <w:jc w:val="left"/>
              <w:rPr>
                <w:rFonts w:ascii="宋体" w:hAnsi="宋体" w:cs="宋体" w:eastAsia="宋体" w:hint="default"/>
                <w:sz w:val="18"/>
                <w:szCs w:val="18"/>
              </w:rPr>
            </w:pPr>
            <w:r>
              <w:rPr>
                <w:rFonts w:ascii="宋体" w:hAnsi="宋体" w:cs="宋体" w:eastAsia="宋体" w:hint="default"/>
                <w:spacing w:val="-14"/>
                <w:w w:val="101"/>
                <w:sz w:val="18"/>
                <w:szCs w:val="18"/>
              </w:rPr>
              <w:t>教授，退休返</w:t>
            </w:r>
            <w:r>
              <w:rPr>
                <w:rFonts w:ascii="宋体" w:hAnsi="宋体" w:cs="宋体" w:eastAsia="宋体" w:hint="default"/>
                <w:w w:val="101"/>
                <w:sz w:val="18"/>
                <w:szCs w:val="18"/>
              </w:rPr>
              <w:t> </w:t>
            </w:r>
            <w:r>
              <w:rPr>
                <w:rFonts w:ascii="宋体" w:hAnsi="宋体" w:cs="宋体" w:eastAsia="宋体" w:hint="default"/>
                <w:sz w:val="18"/>
                <w:szCs w:val="18"/>
              </w:rPr>
              <w:t>聘</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杨波</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杭州云骥投资管理有限公司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杨一兵</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杭州复贞投资管理有限公司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4" w:right="80"/>
              <w:jc w:val="left"/>
              <w:rPr>
                <w:rFonts w:ascii="宋体" w:hAnsi="宋体" w:cs="宋体" w:eastAsia="宋体" w:hint="default"/>
                <w:sz w:val="18"/>
                <w:szCs w:val="18"/>
              </w:rPr>
            </w:pPr>
            <w:r>
              <w:rPr>
                <w:rFonts w:ascii="宋体" w:hAnsi="宋体" w:cs="宋体" w:eastAsia="宋体" w:hint="default"/>
                <w:spacing w:val="-2"/>
                <w:sz w:val="18"/>
                <w:szCs w:val="18"/>
              </w:rPr>
              <w:t>在其他单位任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职情况的说明</w:t>
            </w:r>
          </w:p>
        </w:tc>
        <w:tc>
          <w:tcPr>
            <w:tcW w:w="8369"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pStyle w:val="BodyText"/>
        <w:spacing w:line="240" w:lineRule="auto" w:before="53"/>
        <w:ind w:right="0"/>
        <w:jc w:val="left"/>
      </w:pPr>
      <w:r>
        <w:rPr>
          <w:spacing w:val="-3"/>
        </w:rPr>
        <w:t>公司现任及报告期内离任董事、监事和高级管理人员近三年证券监管机构处罚的情况</w:t>
      </w:r>
    </w:p>
    <w:p>
      <w:pPr>
        <w:pStyle w:val="BodyText"/>
        <w:spacing w:line="240" w:lineRule="auto" w:before="119"/>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3"/>
        <w:rPr>
          <w:rFonts w:ascii="宋体" w:hAnsi="宋体" w:cs="宋体" w:eastAsia="宋体" w:hint="default"/>
          <w:sz w:val="22"/>
          <w:szCs w:val="22"/>
        </w:rPr>
      </w:pPr>
    </w:p>
    <w:p>
      <w:pPr>
        <w:pStyle w:val="Heading2"/>
        <w:spacing w:line="240" w:lineRule="auto"/>
        <w:ind w:right="0"/>
        <w:jc w:val="left"/>
        <w:rPr>
          <w:b w:val="0"/>
          <w:bCs w:val="0"/>
        </w:rPr>
      </w:pPr>
      <w:bookmarkStart w:name="四、董事、监事、高级管理人员报酬情况" w:id="128"/>
      <w:bookmarkEnd w:id="128"/>
      <w:r>
        <w:rPr>
          <w:b w:val="0"/>
          <w:bCs w:val="0"/>
        </w:rPr>
      </w:r>
      <w:r>
        <w:rPr/>
        <w:t>四、董事、监事、高级管理人员报酬情况</w:t>
      </w:r>
      <w:r>
        <w:rPr>
          <w:b w:val="0"/>
          <w:bCs w:val="0"/>
        </w:rPr>
      </w:r>
    </w:p>
    <w:p>
      <w:pPr>
        <w:spacing w:line="240" w:lineRule="auto" w:before="7"/>
        <w:rPr>
          <w:rFonts w:ascii="宋体" w:hAnsi="宋体" w:cs="宋体" w:eastAsia="宋体" w:hint="default"/>
          <w:b/>
          <w:bCs/>
          <w:sz w:val="27"/>
          <w:szCs w:val="27"/>
        </w:rPr>
      </w:pPr>
    </w:p>
    <w:p>
      <w:pPr>
        <w:pStyle w:val="BodyText"/>
        <w:spacing w:line="333" w:lineRule="auto"/>
        <w:ind w:right="1037"/>
        <w:jc w:val="left"/>
      </w:pPr>
      <w:r>
        <w:rPr>
          <w:spacing w:val="-3"/>
        </w:rPr>
        <w:t>董事、监事、高级管理人员报酬的决策程序、确定依据、实际支付情况</w:t>
      </w:r>
      <w:r>
        <w:rPr>
          <w:spacing w:val="2"/>
        </w:rPr>
        <w:t> </w:t>
      </w:r>
      <w:r>
        <w:rPr>
          <w:spacing w:val="2"/>
        </w:rPr>
      </w:r>
      <w:r>
        <w:rPr>
          <w:spacing w:val="-4"/>
        </w:rPr>
        <w:t>决策程序：公司董事、监事、高级管理人员根据公司薪酬制度，依据经营业绩和个人绩效考核结果确定薪酬。公司严格按照</w:t>
      </w:r>
      <w:r>
        <w:rPr>
          <w:spacing w:val="40"/>
        </w:rPr>
        <w:t> </w:t>
      </w:r>
      <w:r>
        <w:rPr>
          <w:spacing w:val="40"/>
        </w:rPr>
      </w:r>
      <w:r>
        <w:rPr>
          <w:spacing w:val="-4"/>
        </w:rPr>
        <w:t>董事、监事、高级管理人员薪酬的决策程序与确定依据支付薪酬。公司董事、监事报酬由股东大会决定，高级管理人员报酬</w:t>
      </w:r>
      <w:r>
        <w:rPr>
          <w:spacing w:val="40"/>
        </w:rPr>
        <w:t> </w:t>
      </w:r>
      <w:r>
        <w:rPr>
          <w:spacing w:val="40"/>
        </w:rPr>
      </w:r>
      <w:r>
        <w:rPr>
          <w:spacing w:val="-3"/>
        </w:rPr>
        <w:t>由董事会决定。</w:t>
      </w:r>
      <w:r>
        <w:rPr>
          <w:spacing w:val="-68"/>
        </w:rPr>
        <w:t> </w:t>
      </w:r>
      <w:r>
        <w:rPr>
          <w:spacing w:val="-68"/>
        </w:rPr>
      </w:r>
      <w:r>
        <w:rPr>
          <w:spacing w:val="-8"/>
        </w:rPr>
        <w:t>确定依据：公司董事、监事和高级管理人员的报酬按照公司董事会《薪酬与考核委员会工作细则》的规定，结合其绩效考核、</w:t>
      </w:r>
      <w:r>
        <w:rPr>
          <w:spacing w:val="5"/>
        </w:rPr>
        <w:t> </w:t>
      </w:r>
      <w:r>
        <w:rPr>
          <w:spacing w:val="5"/>
        </w:rPr>
      </w:r>
      <w:r>
        <w:rPr>
          <w:spacing w:val="-3"/>
        </w:rPr>
        <w:t>工作职级等确定并发放。</w:t>
      </w:r>
    </w:p>
    <w:p>
      <w:pPr>
        <w:pStyle w:val="BodyText"/>
        <w:spacing w:line="338" w:lineRule="auto" w:before="44"/>
        <w:ind w:right="1037"/>
        <w:jc w:val="left"/>
      </w:pPr>
      <w:r>
        <w:rPr>
          <w:spacing w:val="-3"/>
        </w:rPr>
        <w:t>实际支付情况：</w:t>
      </w:r>
      <w:r>
        <w:rPr>
          <w:rFonts w:ascii="Times New Roman" w:hAnsi="Times New Roman" w:cs="Times New Roman" w:eastAsia="Times New Roman" w:hint="default"/>
          <w:spacing w:val="-3"/>
        </w:rPr>
        <w:t>2019</w:t>
      </w:r>
      <w:r>
        <w:rPr>
          <w:spacing w:val="-3"/>
        </w:rPr>
        <w:t>年度，董事、监事和高级高管理人员税前报酬总额为</w:t>
      </w:r>
      <w:r>
        <w:rPr>
          <w:rFonts w:ascii="Times New Roman" w:hAnsi="Times New Roman" w:cs="Times New Roman" w:eastAsia="Times New Roman" w:hint="default"/>
          <w:spacing w:val="-3"/>
        </w:rPr>
        <w:t>644.3</w:t>
      </w:r>
      <w:r>
        <w:rPr>
          <w:spacing w:val="-3"/>
        </w:rPr>
        <w:t>万元。</w:t>
      </w:r>
      <w:r>
        <w:rPr>
          <w:spacing w:val="31"/>
        </w:rPr>
        <w:t> </w:t>
      </w:r>
      <w:r>
        <w:rPr>
          <w:spacing w:val="31"/>
        </w:rPr>
      </w:r>
      <w:r>
        <w:rPr>
          <w:spacing w:val="-3"/>
        </w:rPr>
        <w:t>公司报告期内董事、监事和高级管理人员报酬情况</w:t>
      </w:r>
    </w:p>
    <w:p>
      <w:pPr>
        <w:pStyle w:val="BodyText"/>
        <w:spacing w:line="240" w:lineRule="auto" w:before="46"/>
        <w:ind w:left="0" w:right="1122"/>
        <w:jc w:val="right"/>
      </w:pPr>
      <w:r>
        <w:rPr>
          <w:spacing w:val="-2"/>
        </w:rPr>
        <w:t>单位：万元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71"/>
        <w:gridCol w:w="1366"/>
      </w:tblGrid>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31" w:right="48" w:hanging="183"/>
              <w:jc w:val="left"/>
              <w:rPr>
                <w:rFonts w:ascii="宋体" w:hAnsi="宋体" w:cs="宋体" w:eastAsia="宋体" w:hint="default"/>
                <w:sz w:val="18"/>
                <w:szCs w:val="18"/>
              </w:rPr>
            </w:pPr>
            <w:r>
              <w:rPr>
                <w:rFonts w:ascii="宋体" w:hAnsi="宋体" w:cs="宋体" w:eastAsia="宋体" w:hint="default"/>
                <w:spacing w:val="-3"/>
                <w:sz w:val="18"/>
                <w:szCs w:val="18"/>
              </w:rPr>
              <w:t>从公司获得的税</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前报酬总额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8" w:right="46" w:hanging="183"/>
              <w:jc w:val="left"/>
              <w:rPr>
                <w:rFonts w:ascii="宋体" w:hAnsi="宋体" w:cs="宋体" w:eastAsia="宋体" w:hint="default"/>
                <w:sz w:val="18"/>
                <w:szCs w:val="18"/>
              </w:rPr>
            </w:pPr>
            <w:r>
              <w:rPr>
                <w:rFonts w:ascii="宋体" w:hAnsi="宋体" w:cs="宋体" w:eastAsia="宋体" w:hint="default"/>
                <w:spacing w:val="-3"/>
                <w:sz w:val="18"/>
                <w:szCs w:val="18"/>
              </w:rPr>
              <w:t>是否在公司关联</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方获取报酬</w:t>
            </w:r>
          </w:p>
        </w:tc>
      </w:tr>
    </w:tbl>
    <w:p>
      <w:pPr>
        <w:spacing w:after="0" w:line="316"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杨一兵</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70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戴泽宇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94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杨家军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49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29.9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杨波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董事、副总经理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73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傅烈勇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70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罗杰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董事、副总经理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14.5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任洪明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44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55.9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姚建民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54.6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夏红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沈红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曹健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51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冯忆文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洪伟荣</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黄海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61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蔡钰如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34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陈军兵</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29.4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陶蓉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21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曹洁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22.9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章逸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3" w:right="70"/>
              <w:jc w:val="left"/>
              <w:rPr>
                <w:rFonts w:ascii="宋体" w:hAnsi="宋体" w:cs="宋体" w:eastAsia="宋体" w:hint="default"/>
                <w:sz w:val="18"/>
                <w:szCs w:val="18"/>
              </w:rPr>
            </w:pPr>
            <w:r>
              <w:rPr>
                <w:rFonts w:ascii="宋体" w:hAnsi="宋体" w:cs="宋体" w:eastAsia="宋体" w:hint="default"/>
                <w:spacing w:val="-3"/>
                <w:sz w:val="18"/>
                <w:szCs w:val="18"/>
              </w:rPr>
              <w:t>副总经理、董事</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会秘书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张雪峰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50.5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6"/>
              <w:ind w:right="9"/>
              <w:jc w:val="right"/>
              <w:rPr>
                <w:rFonts w:ascii="Times New Roman" w:hAnsi="Times New Roman" w:cs="Times New Roman" w:eastAsia="Times New Roman" w:hint="default"/>
                <w:sz w:val="18"/>
                <w:szCs w:val="18"/>
              </w:rPr>
            </w:pPr>
            <w:r>
              <w:rPr>
                <w:rFonts w:ascii="Times New Roman"/>
                <w:spacing w:val="-1"/>
                <w:sz w:val="18"/>
              </w:rPr>
              <w:t>644.3</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741" w:footer="979" w:top="1060" w:bottom="1160" w:left="980" w:right="0"/>
        </w:sectPr>
      </w:pPr>
    </w:p>
    <w:p>
      <w:pPr>
        <w:pStyle w:val="BodyText"/>
        <w:spacing w:line="240" w:lineRule="auto" w:before="53"/>
        <w:ind w:right="0"/>
        <w:jc w:val="left"/>
      </w:pPr>
      <w:r>
        <w:rPr>
          <w:spacing w:val="-3"/>
        </w:rPr>
        <w:t>公司董事、高级管理人员报告期内被授予的股权激励情况</w:t>
      </w:r>
    </w:p>
    <w:p>
      <w:pPr>
        <w:pStyle w:val="BodyText"/>
        <w:spacing w:line="240" w:lineRule="auto" w:before="115"/>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BodyText"/>
        <w:spacing w:line="240" w:lineRule="auto"/>
        <w:ind w:right="0"/>
        <w:jc w:val="left"/>
      </w:pPr>
      <w:r>
        <w:rPr/>
        <w:pict>
          <v:shape style="position:absolute;margin-left:119.332878pt;margin-top:84.211716pt;width:67.5pt;height:15.6pt;mso-position-horizontal-relative:page;mso-position-vertical-relative:paragraph;z-index:-1110352" type="#_x0000_t202" filled="false" stroked="false">
            <v:textbox inset="0,0,0,0">
              <w:txbxContent>
                <w:p>
                  <w:pPr>
                    <w:pStyle w:val="BodyText"/>
                    <w:spacing w:line="240" w:lineRule="auto" w:before="53"/>
                    <w:ind w:left="0" w:right="0"/>
                    <w:jc w:val="left"/>
                  </w:pPr>
                  <w:r>
                    <w:rPr/>
                    <w:t>经理、</w:t>
                  </w:r>
                </w:p>
              </w:txbxContent>
            </v:textbox>
            <w10:wrap type="none"/>
          </v:shape>
        </w:pict>
      </w:r>
      <w:r>
        <w:rPr/>
        <w:t>单位：股</w:t>
      </w:r>
    </w:p>
    <w:p>
      <w:pPr>
        <w:spacing w:after="0" w:line="240" w:lineRule="auto"/>
        <w:jc w:val="left"/>
        <w:sectPr>
          <w:type w:val="continuous"/>
          <w:pgSz w:w="11910" w:h="16840"/>
          <w:pgMar w:top="1060" w:bottom="1160" w:left="980" w:right="0"/>
          <w:cols w:num="2" w:equalWidth="0">
            <w:col w:w="4657" w:space="4265"/>
            <w:col w:w="2008"/>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4"/>
        <w:gridCol w:w="869"/>
        <w:gridCol w:w="869"/>
        <w:gridCol w:w="869"/>
        <w:gridCol w:w="869"/>
        <w:gridCol w:w="874"/>
        <w:gridCol w:w="869"/>
        <w:gridCol w:w="869"/>
        <w:gridCol w:w="869"/>
      </w:tblGrid>
      <w:tr>
        <w:trPr>
          <w:trHeight w:val="1340"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71" w:right="65"/>
              <w:jc w:val="center"/>
              <w:rPr>
                <w:rFonts w:ascii="宋体" w:hAnsi="宋体" w:cs="宋体" w:eastAsia="宋体" w:hint="default"/>
                <w:sz w:val="18"/>
                <w:szCs w:val="18"/>
              </w:rPr>
            </w:pPr>
            <w:r>
              <w:rPr>
                <w:rFonts w:ascii="宋体" w:hAnsi="宋体" w:cs="宋体" w:eastAsia="宋体" w:hint="default"/>
                <w:spacing w:val="-2"/>
                <w:sz w:val="18"/>
                <w:szCs w:val="18"/>
              </w:rPr>
              <w:t>报告期内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可行权股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pacing w:val="-2"/>
                <w:sz w:val="18"/>
                <w:szCs w:val="18"/>
              </w:rPr>
              <w:t>报告期内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已行权股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3" w:right="60" w:firstLine="48"/>
              <w:jc w:val="both"/>
              <w:rPr>
                <w:rFonts w:ascii="宋体" w:hAnsi="宋体" w:cs="宋体" w:eastAsia="宋体" w:hint="default"/>
                <w:sz w:val="18"/>
                <w:szCs w:val="18"/>
              </w:rPr>
            </w:pPr>
            <w:r>
              <w:rPr>
                <w:rFonts w:ascii="宋体" w:hAnsi="宋体" w:cs="宋体" w:eastAsia="宋体" w:hint="default"/>
                <w:sz w:val="18"/>
                <w:szCs w:val="18"/>
              </w:rPr>
              <w:t>报告期内</w:t>
            </w:r>
            <w:r>
              <w:rPr>
                <w:rFonts w:ascii="宋体" w:hAnsi="宋体" w:cs="宋体" w:eastAsia="宋体" w:hint="default"/>
                <w:w w:val="101"/>
                <w:sz w:val="18"/>
                <w:szCs w:val="18"/>
              </w:rPr>
              <w:t> </w:t>
            </w:r>
            <w:r>
              <w:rPr>
                <w:rFonts w:ascii="宋体" w:hAnsi="宋体" w:cs="宋体" w:eastAsia="宋体" w:hint="default"/>
                <w:sz w:val="18"/>
                <w:szCs w:val="18"/>
              </w:rPr>
              <w:t>已行权股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数行权价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1"/>
                <w:sz w:val="18"/>
                <w:szCs w:val="18"/>
              </w:rPr>
              <w:t>格（元</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2" w:lineRule="auto"/>
              <w:ind w:left="48" w:right="38" w:firstLine="1"/>
              <w:jc w:val="center"/>
              <w:rPr>
                <w:rFonts w:ascii="Times New Roman" w:hAnsi="Times New Roman" w:cs="Times New Roman" w:eastAsia="Times New Roman" w:hint="default"/>
                <w:sz w:val="18"/>
                <w:szCs w:val="18"/>
              </w:rPr>
            </w:pPr>
            <w:r>
              <w:rPr>
                <w:rFonts w:ascii="宋体" w:hAnsi="宋体" w:cs="宋体" w:eastAsia="宋体" w:hint="default"/>
                <w:sz w:val="18"/>
                <w:szCs w:val="18"/>
              </w:rPr>
              <w:t>报告期末</w:t>
            </w:r>
            <w:r>
              <w:rPr>
                <w:rFonts w:ascii="宋体" w:hAnsi="宋体" w:cs="宋体" w:eastAsia="宋体" w:hint="default"/>
                <w:w w:val="101"/>
                <w:sz w:val="18"/>
                <w:szCs w:val="18"/>
              </w:rPr>
              <w:t> </w:t>
            </w:r>
            <w:r>
              <w:rPr>
                <w:rFonts w:ascii="宋体" w:hAnsi="宋体" w:cs="宋体" w:eastAsia="宋体" w:hint="default"/>
                <w:spacing w:val="-2"/>
                <w:sz w:val="18"/>
                <w:szCs w:val="18"/>
              </w:rPr>
              <w:t>市价（元</w:t>
            </w:r>
            <w:r>
              <w:rPr>
                <w:rFonts w:ascii="Times New Roman" w:hAnsi="Times New Roman" w:cs="Times New Roman" w:eastAsia="Times New Roman" w:hint="default"/>
                <w:spacing w:val="-2"/>
                <w:sz w:val="18"/>
                <w:szCs w:val="18"/>
              </w:rPr>
              <w:t>/</w:t>
            </w:r>
          </w:p>
          <w:p>
            <w:pPr>
              <w:pStyle w:val="TableParagraph"/>
              <w:spacing w:line="197" w:lineRule="exact" w:before="8"/>
              <w:ind w:left="5" w:right="0"/>
              <w:jc w:val="center"/>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197" w:lineRule="exact"/>
              <w:ind w:left="-116"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71" w:right="60"/>
              <w:jc w:val="both"/>
              <w:rPr>
                <w:rFonts w:ascii="宋体" w:hAnsi="宋体" w:cs="宋体" w:eastAsia="宋体" w:hint="default"/>
                <w:sz w:val="18"/>
                <w:szCs w:val="18"/>
              </w:rPr>
            </w:pPr>
            <w:r>
              <w:rPr>
                <w:rFonts w:ascii="宋体" w:hAnsi="宋体" w:cs="宋体" w:eastAsia="宋体" w:hint="default"/>
                <w:sz w:val="18"/>
                <w:szCs w:val="18"/>
              </w:rPr>
              <w:t>期初持有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限制性股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票数量</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71" w:right="65"/>
              <w:jc w:val="center"/>
              <w:rPr>
                <w:rFonts w:ascii="宋体" w:hAnsi="宋体" w:cs="宋体" w:eastAsia="宋体" w:hint="default"/>
                <w:sz w:val="18"/>
                <w:szCs w:val="18"/>
              </w:rPr>
            </w:pPr>
            <w:r>
              <w:rPr>
                <w:rFonts w:ascii="宋体" w:hAnsi="宋体" w:cs="宋体" w:eastAsia="宋体" w:hint="default"/>
                <w:spacing w:val="-2"/>
                <w:sz w:val="18"/>
                <w:szCs w:val="18"/>
              </w:rPr>
              <w:t>本期已解</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锁股份数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2" w:right="60"/>
              <w:jc w:val="center"/>
              <w:rPr>
                <w:rFonts w:ascii="宋体" w:hAnsi="宋体" w:cs="宋体" w:eastAsia="宋体" w:hint="default"/>
                <w:sz w:val="18"/>
                <w:szCs w:val="18"/>
              </w:rPr>
            </w:pPr>
            <w:r>
              <w:rPr>
                <w:rFonts w:ascii="宋体" w:hAnsi="宋体" w:cs="宋体" w:eastAsia="宋体" w:hint="default"/>
                <w:spacing w:val="-2"/>
                <w:sz w:val="18"/>
                <w:szCs w:val="18"/>
              </w:rPr>
              <w:t>报告期新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授予限制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性股票数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47" w:right="38" w:firstLine="1"/>
              <w:jc w:val="center"/>
              <w:rPr>
                <w:rFonts w:ascii="宋体" w:hAnsi="宋体" w:cs="宋体" w:eastAsia="宋体" w:hint="default"/>
                <w:sz w:val="18"/>
                <w:szCs w:val="18"/>
              </w:rPr>
            </w:pPr>
            <w:r>
              <w:rPr>
                <w:rFonts w:ascii="宋体" w:hAnsi="宋体" w:cs="宋体" w:eastAsia="宋体" w:hint="default"/>
                <w:sz w:val="18"/>
                <w:szCs w:val="18"/>
              </w:rPr>
              <w:t>限制性股</w:t>
            </w:r>
            <w:r>
              <w:rPr>
                <w:rFonts w:ascii="宋体" w:hAnsi="宋体" w:cs="宋体" w:eastAsia="宋体" w:hint="default"/>
                <w:w w:val="101"/>
                <w:sz w:val="18"/>
                <w:szCs w:val="18"/>
              </w:rPr>
              <w:t> </w:t>
            </w:r>
            <w:r>
              <w:rPr>
                <w:rFonts w:ascii="宋体" w:hAnsi="宋体" w:cs="宋体" w:eastAsia="宋体" w:hint="default"/>
                <w:sz w:val="18"/>
                <w:szCs w:val="18"/>
              </w:rPr>
              <w:t>票的授予</w:t>
            </w:r>
            <w:r>
              <w:rPr>
                <w:rFonts w:ascii="宋体" w:hAnsi="宋体" w:cs="宋体" w:eastAsia="宋体" w:hint="default"/>
                <w:w w:val="101"/>
                <w:sz w:val="18"/>
                <w:szCs w:val="18"/>
              </w:rPr>
              <w:t> </w:t>
            </w:r>
            <w:r>
              <w:rPr>
                <w:rFonts w:ascii="宋体" w:hAnsi="宋体" w:cs="宋体" w:eastAsia="宋体" w:hint="default"/>
                <w:spacing w:val="-2"/>
                <w:sz w:val="18"/>
                <w:szCs w:val="18"/>
              </w:rPr>
              <w:t>价格（元</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71" w:right="60"/>
              <w:jc w:val="both"/>
              <w:rPr>
                <w:rFonts w:ascii="宋体" w:hAnsi="宋体" w:cs="宋体" w:eastAsia="宋体" w:hint="default"/>
                <w:sz w:val="18"/>
                <w:szCs w:val="18"/>
              </w:rPr>
            </w:pPr>
            <w:r>
              <w:rPr>
                <w:rFonts w:ascii="宋体" w:hAnsi="宋体" w:cs="宋体" w:eastAsia="宋体" w:hint="default"/>
                <w:sz w:val="18"/>
                <w:szCs w:val="18"/>
              </w:rPr>
              <w:t>期末持有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限制性股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票数量</w:t>
            </w: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章逸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08"/>
              <w:jc w:val="left"/>
              <w:rPr>
                <w:rFonts w:ascii="宋体" w:hAnsi="宋体" w:cs="宋体" w:eastAsia="宋体" w:hint="default"/>
                <w:sz w:val="18"/>
                <w:szCs w:val="18"/>
              </w:rPr>
            </w:pPr>
            <w:r>
              <w:rPr>
                <w:rFonts w:ascii="宋体" w:hAnsi="宋体" w:cs="宋体" w:eastAsia="宋体" w:hint="default"/>
                <w:sz w:val="18"/>
                <w:szCs w:val="18"/>
              </w:rPr>
              <w:t>副总</w:t>
            </w:r>
            <w:r>
              <w:rPr>
                <w:rFonts w:ascii="宋体" w:hAnsi="宋体" w:cs="宋体" w:eastAsia="宋体" w:hint="default"/>
                <w:spacing w:val="-86"/>
                <w:sz w:val="18"/>
                <w:szCs w:val="18"/>
              </w:rPr>
              <w:t> </w:t>
            </w:r>
            <w:r>
              <w:rPr>
                <w:rFonts w:ascii="宋体" w:hAnsi="宋体" w:cs="宋体" w:eastAsia="宋体" w:hint="default"/>
                <w:sz w:val="18"/>
                <w:szCs w:val="18"/>
              </w:rPr>
              <w:t>董事会秘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书</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left="4"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43pt;height:15.6pt;mso-position-horizontal-relative:char;mso-position-vertical-relative:line" coordorigin="0,0" coordsize="860,312">
                  <v:group style="position:absolute;left:0;top:0;width:860;height:312" coordorigin="0,0" coordsize="860,312">
                    <v:shape style="position:absolute;left:0;top:0;width:860;height:312" coordorigin="0,0" coordsize="860,312" path="m0,312l860,312,860,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27.87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200,000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16.53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210,000</w:t>
            </w:r>
          </w:p>
        </w:tc>
      </w:tr>
      <w:tr>
        <w:trPr>
          <w:trHeight w:val="398"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张雪峰</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4"/>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27.87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200,000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16.53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210,000</w:t>
            </w:r>
          </w:p>
        </w:tc>
      </w:tr>
      <w:tr>
        <w:trPr>
          <w:trHeight w:val="40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任洪明</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84"/>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27.87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600,000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16.53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630,000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姚建民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4"/>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27.87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600,000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16.53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630,000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1,600,000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1,680,000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55"/>
        <w:gridCol w:w="8710"/>
      </w:tblGrid>
      <w:tr>
        <w:trPr>
          <w:trHeight w:val="715" w:hRule="exact"/>
        </w:trPr>
        <w:tc>
          <w:tcPr>
            <w:tcW w:w="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94"/>
              <w:jc w:val="left"/>
              <w:rPr>
                <w:rFonts w:ascii="宋体" w:hAnsi="宋体" w:cs="宋体" w:eastAsia="宋体" w:hint="default"/>
                <w:sz w:val="18"/>
                <w:szCs w:val="18"/>
              </w:rPr>
            </w:pPr>
            <w:r>
              <w:rPr>
                <w:rFonts w:ascii="宋体" w:hAnsi="宋体" w:cs="宋体" w:eastAsia="宋体" w:hint="default"/>
                <w:sz w:val="18"/>
                <w:szCs w:val="18"/>
              </w:rPr>
              <w:t>备注（如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w:t>
            </w:r>
          </w:p>
        </w:tc>
        <w:tc>
          <w:tcPr>
            <w:tcW w:w="87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姚建民已经于</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日届满离任。不在公司继续担任副总经理职务，继续在公司担任其他职务。</w:t>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五、公司员工情况" w:id="129"/>
      <w:bookmarkEnd w:id="129"/>
      <w:r>
        <w:rPr>
          <w:b w:val="0"/>
          <w:bCs w:val="0"/>
        </w:rPr>
      </w:r>
      <w:r>
        <w:rPr/>
        <w:t>五、公司员工情况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员工数量、专业构成及教育程度" w:id="130"/>
      <w:bookmarkEnd w:id="130"/>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8"/>
        <w:gridCol w:w="4790"/>
      </w:tblGrid>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母公司在职员工的数量（人）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465</w:t>
            </w:r>
          </w:p>
        </w:tc>
      </w:tr>
      <w:tr>
        <w:trPr>
          <w:trHeight w:val="399"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主要子公司在职员工的数量（人）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126</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在职员工的数量合计（人）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591</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当期领取薪酬员工总人数（人）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591</w:t>
            </w:r>
          </w:p>
        </w:tc>
      </w:tr>
      <w:tr>
        <w:trPr>
          <w:trHeight w:val="408"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母公司及主要子公司需承担费用的离退休职工人数（人）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89" w:hRule="exact"/>
        </w:trPr>
        <w:tc>
          <w:tcPr>
            <w:tcW w:w="9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8"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587" w:right="0"/>
              <w:jc w:val="left"/>
              <w:rPr>
                <w:rFonts w:ascii="宋体" w:hAnsi="宋体" w:cs="宋体" w:eastAsia="宋体" w:hint="default"/>
                <w:sz w:val="18"/>
                <w:szCs w:val="18"/>
              </w:rPr>
            </w:pPr>
            <w:r>
              <w:rPr>
                <w:rFonts w:ascii="宋体" w:hAnsi="宋体" w:cs="宋体" w:eastAsia="宋体" w:hint="default"/>
                <w:spacing w:val="-3"/>
                <w:sz w:val="18"/>
                <w:szCs w:val="18"/>
              </w:rPr>
              <w:t>专业构成人数（人）</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82</w:t>
            </w:r>
          </w:p>
        </w:tc>
      </w:tr>
      <w:tr>
        <w:trPr>
          <w:trHeight w:val="399"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422</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21</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66</w:t>
            </w:r>
          </w:p>
        </w:tc>
      </w:tr>
      <w:tr>
        <w:trPr>
          <w:trHeight w:val="408"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591</w:t>
            </w:r>
          </w:p>
        </w:tc>
      </w:tr>
      <w:tr>
        <w:trPr>
          <w:trHeight w:val="389" w:hRule="exact"/>
        </w:trPr>
        <w:tc>
          <w:tcPr>
            <w:tcW w:w="9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8"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1"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32</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413</w:t>
            </w:r>
          </w:p>
        </w:tc>
      </w:tr>
      <w:tr>
        <w:trPr>
          <w:trHeight w:val="398" w:hRule="exact"/>
        </w:trPr>
        <w:tc>
          <w:tcPr>
            <w:tcW w:w="4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专科及以下</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146</w:t>
            </w:r>
          </w:p>
        </w:tc>
      </w:tr>
      <w:tr>
        <w:trPr>
          <w:trHeight w:val="404"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591</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bookmarkStart w:name="2、薪酬政策" w:id="131"/>
      <w:bookmarkEnd w:id="131"/>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037"/>
        <w:jc w:val="left"/>
      </w:pPr>
      <w:r>
        <w:rPr>
          <w:rFonts w:ascii="Times New Roman" w:hAnsi="Times New Roman" w:cs="Times New Roman" w:eastAsia="Times New Roman" w:hint="default"/>
          <w:spacing w:val="-3"/>
        </w:rPr>
        <w:t>1</w:t>
      </w:r>
      <w:r>
        <w:rPr>
          <w:spacing w:val="-3"/>
        </w:rPr>
        <w:t>、竞争力与公平性相结合。公司薪酬水平保持适当的市场竞争力，并通过薪酬管理保持薪酬状况的对外、对内、对个人公</w:t>
      </w:r>
      <w:r>
        <w:rPr>
          <w:spacing w:val="70"/>
        </w:rPr>
        <w:t> </w:t>
      </w:r>
      <w:r>
        <w:rPr>
          <w:spacing w:val="70"/>
        </w:rPr>
      </w:r>
      <w:r>
        <w:rPr/>
        <w:t>平。</w:t>
      </w:r>
    </w:p>
    <w:p>
      <w:pPr>
        <w:pStyle w:val="BodyText"/>
        <w:spacing w:line="304" w:lineRule="auto" w:before="74"/>
        <w:ind w:right="0"/>
        <w:jc w:val="left"/>
      </w:pPr>
      <w:r>
        <w:rPr>
          <w:rFonts w:ascii="Times New Roman" w:hAnsi="Times New Roman" w:cs="Times New Roman" w:eastAsia="Times New Roman" w:hint="default"/>
          <w:spacing w:val="-3"/>
        </w:rPr>
        <w:t>2</w:t>
      </w:r>
      <w:r>
        <w:rPr>
          <w:spacing w:val="-3"/>
        </w:rPr>
        <w:t>、职位、能力与业绩导向。确定员工薪酬的主要依据是员工职位的价值、个人能力与业绩三大因素。同时参考不同区域当</w:t>
      </w:r>
      <w:r>
        <w:rPr>
          <w:spacing w:val="70"/>
        </w:rPr>
        <w:t> </w:t>
      </w:r>
      <w:r>
        <w:rPr>
          <w:spacing w:val="70"/>
        </w:rPr>
      </w:r>
      <w:r>
        <w:rPr>
          <w:spacing w:val="-3"/>
        </w:rPr>
        <w:t>地的社会薪酬水平和标准。</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BodyText"/>
        <w:spacing w:line="240" w:lineRule="auto"/>
        <w:ind w:right="0"/>
        <w:jc w:val="left"/>
      </w:pPr>
      <w:r>
        <w:rPr>
          <w:spacing w:val="-3"/>
        </w:rPr>
        <w:t>公司需遵守《深圳证券交易所行业信息披露指引第 </w:t>
      </w:r>
      <w:r>
        <w:rPr>
          <w:rFonts w:ascii="Times New Roman" w:hAnsi="Times New Roman" w:cs="Times New Roman" w:eastAsia="Times New Roman" w:hint="default"/>
        </w:rPr>
        <w:t>12  </w:t>
      </w:r>
      <w:r>
        <w:rPr>
          <w:rFonts w:ascii="Times New Roman" w:hAnsi="Times New Roman" w:cs="Times New Roman" w:eastAsia="Times New Roman" w:hint="default"/>
          <w:spacing w:val="11"/>
        </w:rPr>
        <w:t> </w:t>
      </w:r>
      <w:r>
        <w:rPr>
          <w:spacing w:val="-3"/>
        </w:rPr>
        <w:t>号</w:t>
      </w:r>
      <w:r>
        <w:rPr>
          <w:rFonts w:ascii="Times New Roman" w:hAnsi="Times New Roman" w:cs="Times New Roman" w:eastAsia="Times New Roman" w:hint="default"/>
          <w:spacing w:val="-3"/>
        </w:rPr>
        <w:t>——</w:t>
      </w:r>
      <w:r>
        <w:rPr>
          <w:spacing w:val="-3"/>
        </w:rPr>
        <w:t>上市公司从事软件与信息技术服务业务》的披露要求</w:t>
      </w:r>
    </w:p>
    <w:p>
      <w:pPr>
        <w:spacing w:line="240" w:lineRule="auto" w:before="12"/>
        <w:rPr>
          <w:rFonts w:ascii="宋体" w:hAnsi="宋体" w:cs="宋体" w:eastAsia="宋体" w:hint="default"/>
          <w:sz w:val="6"/>
          <w:szCs w:val="6"/>
        </w:rPr>
      </w:pPr>
    </w:p>
    <w:tbl>
      <w:tblPr>
        <w:tblW w:w="0" w:type="auto"/>
        <w:jc w:val="left"/>
        <w:tblInd w:w="143" w:type="dxa"/>
        <w:tblLayout w:type="fixed"/>
        <w:tblCellMar>
          <w:top w:w="0" w:type="dxa"/>
          <w:left w:w="0" w:type="dxa"/>
          <w:bottom w:w="0" w:type="dxa"/>
          <w:right w:w="0" w:type="dxa"/>
        </w:tblCellMar>
        <w:tblLook w:val="01E0"/>
      </w:tblPr>
      <w:tblGrid>
        <w:gridCol w:w="4480"/>
        <w:gridCol w:w="2276"/>
        <w:gridCol w:w="1767"/>
      </w:tblGrid>
      <w:tr>
        <w:trPr>
          <w:trHeight w:val="346" w:hRule="exact"/>
        </w:trPr>
        <w:tc>
          <w:tcPr>
            <w:tcW w:w="4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9" w:right="0"/>
              <w:jc w:val="center"/>
              <w:rPr>
                <w:rFonts w:ascii="宋体" w:hAnsi="宋体" w:cs="宋体" w:eastAsia="宋体" w:hint="default"/>
                <w:sz w:val="20"/>
                <w:szCs w:val="20"/>
              </w:rPr>
            </w:pPr>
            <w:r>
              <w:rPr>
                <w:rFonts w:ascii="宋体" w:hAnsi="宋体" w:cs="宋体" w:eastAsia="宋体" w:hint="default"/>
                <w:sz w:val="20"/>
                <w:szCs w:val="20"/>
              </w:rPr>
              <w:t>报告期</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4"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2019</w:t>
            </w:r>
            <w:r>
              <w:rPr>
                <w:rFonts w:ascii="宋体" w:hAnsi="宋体" w:cs="宋体" w:eastAsia="宋体" w:hint="default"/>
                <w:sz w:val="20"/>
                <w:szCs w:val="20"/>
              </w:rPr>
              <w:t>年</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5"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2018</w:t>
            </w:r>
            <w:r>
              <w:rPr>
                <w:rFonts w:ascii="宋体" w:hAnsi="宋体" w:cs="宋体" w:eastAsia="宋体" w:hint="default"/>
                <w:sz w:val="20"/>
                <w:szCs w:val="20"/>
              </w:rPr>
              <w:t>年</w:t>
            </w:r>
          </w:p>
        </w:tc>
      </w:tr>
      <w:tr>
        <w:trPr>
          <w:trHeight w:val="346" w:hRule="exact"/>
        </w:trPr>
        <w:tc>
          <w:tcPr>
            <w:tcW w:w="4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9" w:right="0"/>
              <w:jc w:val="center"/>
              <w:rPr>
                <w:rFonts w:ascii="宋体" w:hAnsi="宋体" w:cs="宋体" w:eastAsia="宋体" w:hint="default"/>
                <w:sz w:val="20"/>
                <w:szCs w:val="20"/>
              </w:rPr>
            </w:pPr>
            <w:r>
              <w:rPr>
                <w:rFonts w:ascii="宋体" w:hAnsi="宋体" w:cs="宋体" w:eastAsia="宋体" w:hint="default"/>
                <w:sz w:val="20"/>
                <w:szCs w:val="20"/>
              </w:rPr>
              <w:t>核心技术人员数量</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4" w:right="0"/>
              <w:jc w:val="center"/>
              <w:rPr>
                <w:rFonts w:ascii="Times New Roman" w:hAnsi="Times New Roman" w:cs="Times New Roman" w:eastAsia="Times New Roman" w:hint="default"/>
                <w:sz w:val="20"/>
                <w:szCs w:val="20"/>
              </w:rPr>
            </w:pPr>
            <w:r>
              <w:rPr>
                <w:rFonts w:ascii="Times New Roman"/>
                <w:sz w:val="20"/>
              </w:rPr>
              <w:t>74</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5" w:right="0"/>
              <w:jc w:val="center"/>
              <w:rPr>
                <w:rFonts w:ascii="Times New Roman" w:hAnsi="Times New Roman" w:cs="Times New Roman" w:eastAsia="Times New Roman" w:hint="default"/>
                <w:sz w:val="20"/>
                <w:szCs w:val="20"/>
              </w:rPr>
            </w:pPr>
            <w:r>
              <w:rPr>
                <w:rFonts w:ascii="Times New Roman"/>
                <w:sz w:val="20"/>
              </w:rPr>
              <w:t>64</w:t>
            </w:r>
          </w:p>
        </w:tc>
      </w:tr>
      <w:tr>
        <w:trPr>
          <w:trHeight w:val="350" w:hRule="exact"/>
        </w:trPr>
        <w:tc>
          <w:tcPr>
            <w:tcW w:w="4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9" w:right="0"/>
              <w:jc w:val="center"/>
              <w:rPr>
                <w:rFonts w:ascii="宋体" w:hAnsi="宋体" w:cs="宋体" w:eastAsia="宋体" w:hint="default"/>
                <w:sz w:val="20"/>
                <w:szCs w:val="20"/>
              </w:rPr>
            </w:pPr>
            <w:r>
              <w:rPr>
                <w:rFonts w:ascii="宋体" w:hAnsi="宋体" w:cs="宋体" w:eastAsia="宋体" w:hint="default"/>
                <w:sz w:val="20"/>
                <w:szCs w:val="20"/>
              </w:rPr>
              <w:t>职工人数</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9" w:right="0"/>
              <w:jc w:val="center"/>
              <w:rPr>
                <w:rFonts w:ascii="Times New Roman" w:hAnsi="Times New Roman" w:cs="Times New Roman" w:eastAsia="Times New Roman" w:hint="default"/>
                <w:sz w:val="20"/>
                <w:szCs w:val="20"/>
              </w:rPr>
            </w:pPr>
            <w:r>
              <w:rPr>
                <w:rFonts w:ascii="Times New Roman"/>
                <w:sz w:val="20"/>
              </w:rPr>
              <w:t>591</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9" w:right="0"/>
              <w:jc w:val="center"/>
              <w:rPr>
                <w:rFonts w:ascii="Times New Roman" w:hAnsi="Times New Roman" w:cs="Times New Roman" w:eastAsia="Times New Roman" w:hint="default"/>
                <w:sz w:val="20"/>
                <w:szCs w:val="20"/>
              </w:rPr>
            </w:pPr>
            <w:r>
              <w:rPr>
                <w:rFonts w:ascii="Times New Roman"/>
                <w:sz w:val="20"/>
              </w:rPr>
              <w:t>549</w:t>
            </w:r>
          </w:p>
        </w:tc>
      </w:tr>
    </w:tbl>
    <w:p>
      <w:pPr>
        <w:spacing w:after="0" w:line="240" w:lineRule="auto"/>
        <w:jc w:val="center"/>
        <w:rPr>
          <w:rFonts w:ascii="Times New Roman" w:hAnsi="Times New Roman" w:cs="Times New Roman" w:eastAsia="Times New Roman" w:hint="default"/>
          <w:sz w:val="20"/>
          <w:szCs w:val="20"/>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4480"/>
        <w:gridCol w:w="2276"/>
        <w:gridCol w:w="1767"/>
      </w:tblGrid>
      <w:tr>
        <w:trPr>
          <w:trHeight w:val="346" w:hRule="exact"/>
        </w:trPr>
        <w:tc>
          <w:tcPr>
            <w:tcW w:w="4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9" w:right="0"/>
              <w:jc w:val="center"/>
              <w:rPr>
                <w:rFonts w:ascii="宋体" w:hAnsi="宋体" w:cs="宋体" w:eastAsia="宋体" w:hint="default"/>
                <w:sz w:val="20"/>
                <w:szCs w:val="20"/>
              </w:rPr>
            </w:pPr>
            <w:r>
              <w:rPr>
                <w:rFonts w:ascii="宋体" w:hAnsi="宋体" w:cs="宋体" w:eastAsia="宋体" w:hint="default"/>
                <w:sz w:val="20"/>
                <w:szCs w:val="20"/>
              </w:rPr>
              <w:t>占比</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9" w:right="0"/>
              <w:jc w:val="center"/>
              <w:rPr>
                <w:rFonts w:ascii="Times New Roman" w:hAnsi="Times New Roman" w:cs="Times New Roman" w:eastAsia="Times New Roman" w:hint="default"/>
                <w:sz w:val="20"/>
                <w:szCs w:val="20"/>
              </w:rPr>
            </w:pPr>
            <w:r>
              <w:rPr>
                <w:rFonts w:ascii="Times New Roman"/>
                <w:sz w:val="20"/>
              </w:rPr>
              <w:t>12.52%</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9" w:right="0"/>
              <w:jc w:val="center"/>
              <w:rPr>
                <w:rFonts w:ascii="Times New Roman" w:hAnsi="Times New Roman" w:cs="Times New Roman" w:eastAsia="Times New Roman" w:hint="default"/>
                <w:sz w:val="20"/>
                <w:szCs w:val="20"/>
              </w:rPr>
            </w:pPr>
            <w:r>
              <w:rPr>
                <w:rFonts w:ascii="Times New Roman"/>
                <w:sz w:val="20"/>
              </w:rPr>
              <w:t>11.66%</w:t>
            </w:r>
          </w:p>
        </w:tc>
      </w:tr>
      <w:tr>
        <w:trPr>
          <w:trHeight w:val="350" w:hRule="exact"/>
        </w:trPr>
        <w:tc>
          <w:tcPr>
            <w:tcW w:w="4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9" w:right="0"/>
              <w:jc w:val="center"/>
              <w:rPr>
                <w:rFonts w:ascii="宋体" w:hAnsi="宋体" w:cs="宋体" w:eastAsia="宋体" w:hint="default"/>
                <w:sz w:val="20"/>
                <w:szCs w:val="20"/>
              </w:rPr>
            </w:pPr>
            <w:r>
              <w:rPr>
                <w:rFonts w:ascii="宋体" w:hAnsi="宋体" w:cs="宋体" w:eastAsia="宋体" w:hint="default"/>
                <w:sz w:val="20"/>
                <w:szCs w:val="20"/>
              </w:rPr>
              <w:t>核心技术人员职工薪酬</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8" w:right="0"/>
              <w:jc w:val="center"/>
              <w:rPr>
                <w:rFonts w:ascii="Times New Roman" w:hAnsi="Times New Roman" w:cs="Times New Roman" w:eastAsia="Times New Roman" w:hint="default"/>
                <w:sz w:val="20"/>
                <w:szCs w:val="20"/>
              </w:rPr>
            </w:pPr>
            <w:r>
              <w:rPr>
                <w:rFonts w:ascii="Times New Roman"/>
                <w:sz w:val="20"/>
              </w:rPr>
              <w:t>32,327,529.63</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9" w:right="0"/>
              <w:jc w:val="center"/>
              <w:rPr>
                <w:rFonts w:ascii="Times New Roman" w:hAnsi="Times New Roman" w:cs="Times New Roman" w:eastAsia="Times New Roman" w:hint="default"/>
                <w:sz w:val="20"/>
                <w:szCs w:val="20"/>
              </w:rPr>
            </w:pPr>
            <w:r>
              <w:rPr>
                <w:rFonts w:ascii="Times New Roman"/>
                <w:sz w:val="20"/>
              </w:rPr>
              <w:t>24,835,415.35</w:t>
            </w:r>
          </w:p>
        </w:tc>
      </w:tr>
      <w:tr>
        <w:trPr>
          <w:trHeight w:val="346" w:hRule="exact"/>
        </w:trPr>
        <w:tc>
          <w:tcPr>
            <w:tcW w:w="4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9" w:right="0"/>
              <w:jc w:val="center"/>
              <w:rPr>
                <w:rFonts w:ascii="宋体" w:hAnsi="宋体" w:cs="宋体" w:eastAsia="宋体" w:hint="default"/>
                <w:sz w:val="20"/>
                <w:szCs w:val="20"/>
              </w:rPr>
            </w:pPr>
            <w:r>
              <w:rPr>
                <w:rFonts w:ascii="宋体" w:hAnsi="宋体" w:cs="宋体" w:eastAsia="宋体" w:hint="default"/>
                <w:sz w:val="20"/>
                <w:szCs w:val="20"/>
              </w:rPr>
              <w:t>薪酬</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8" w:right="0"/>
              <w:jc w:val="center"/>
              <w:rPr>
                <w:rFonts w:ascii="Times New Roman" w:hAnsi="Times New Roman" w:cs="Times New Roman" w:eastAsia="Times New Roman" w:hint="default"/>
                <w:sz w:val="20"/>
                <w:szCs w:val="20"/>
              </w:rPr>
            </w:pPr>
            <w:r>
              <w:rPr>
                <w:rFonts w:ascii="Times New Roman"/>
                <w:sz w:val="20"/>
              </w:rPr>
              <w:t>132,926,973.07</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7" w:right="0"/>
              <w:jc w:val="center"/>
              <w:rPr>
                <w:rFonts w:ascii="Times New Roman" w:hAnsi="Times New Roman" w:cs="Times New Roman" w:eastAsia="Times New Roman" w:hint="default"/>
                <w:sz w:val="20"/>
                <w:szCs w:val="20"/>
              </w:rPr>
            </w:pPr>
            <w:r>
              <w:rPr>
                <w:rFonts w:ascii="Times New Roman"/>
                <w:sz w:val="20"/>
              </w:rPr>
              <w:t>107,957,532.12</w:t>
            </w:r>
          </w:p>
        </w:tc>
      </w:tr>
      <w:tr>
        <w:trPr>
          <w:trHeight w:val="346" w:hRule="exact"/>
        </w:trPr>
        <w:tc>
          <w:tcPr>
            <w:tcW w:w="4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9" w:right="0"/>
              <w:jc w:val="center"/>
              <w:rPr>
                <w:rFonts w:ascii="宋体" w:hAnsi="宋体" w:cs="宋体" w:eastAsia="宋体" w:hint="default"/>
                <w:sz w:val="20"/>
                <w:szCs w:val="20"/>
              </w:rPr>
            </w:pPr>
            <w:r>
              <w:rPr>
                <w:rFonts w:ascii="宋体" w:hAnsi="宋体" w:cs="宋体" w:eastAsia="宋体" w:hint="default"/>
                <w:sz w:val="20"/>
                <w:szCs w:val="20"/>
              </w:rPr>
              <w:t>薪酬占比</w:t>
            </w:r>
          </w:p>
        </w:tc>
        <w:tc>
          <w:tcPr>
            <w:tcW w:w="2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9" w:right="0"/>
              <w:jc w:val="center"/>
              <w:rPr>
                <w:rFonts w:ascii="Times New Roman" w:hAnsi="Times New Roman" w:cs="Times New Roman" w:eastAsia="Times New Roman" w:hint="default"/>
                <w:sz w:val="20"/>
                <w:szCs w:val="20"/>
              </w:rPr>
            </w:pPr>
            <w:r>
              <w:rPr>
                <w:rFonts w:ascii="Times New Roman"/>
                <w:sz w:val="20"/>
              </w:rPr>
              <w:t>24.32%</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9" w:right="0"/>
              <w:jc w:val="center"/>
              <w:rPr>
                <w:rFonts w:ascii="Times New Roman" w:hAnsi="Times New Roman" w:cs="Times New Roman" w:eastAsia="Times New Roman" w:hint="default"/>
                <w:sz w:val="20"/>
                <w:szCs w:val="20"/>
              </w:rPr>
            </w:pPr>
            <w:r>
              <w:rPr>
                <w:rFonts w:ascii="Times New Roman"/>
                <w:sz w:val="20"/>
              </w:rPr>
              <w:t>23.00%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4"/>
        <w:spacing w:line="240" w:lineRule="auto" w:before="36"/>
        <w:ind w:right="0"/>
        <w:jc w:val="both"/>
        <w:rPr>
          <w:b w:val="0"/>
          <w:bCs w:val="0"/>
        </w:rPr>
      </w:pPr>
      <w:bookmarkStart w:name="3、培训计划" w:id="132"/>
      <w:bookmarkEnd w:id="132"/>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9"/>
        <w:rPr>
          <w:rFonts w:ascii="宋体" w:hAnsi="宋体" w:cs="宋体" w:eastAsia="宋体" w:hint="default"/>
          <w:b/>
          <w:bCs/>
          <w:sz w:val="26"/>
          <w:szCs w:val="26"/>
        </w:rPr>
      </w:pPr>
    </w:p>
    <w:p>
      <w:pPr>
        <w:pStyle w:val="BodyText"/>
        <w:spacing w:line="309" w:lineRule="auto"/>
        <w:ind w:right="1122"/>
        <w:jc w:val="both"/>
      </w:pPr>
      <w:r>
        <w:rPr>
          <w:spacing w:val="-4"/>
        </w:rPr>
        <w:t>公司在现有的培训体系基础上不断完善新人培训、职业培训和管理培训，全方位提升公司整体实力。在新人培训方面，持续</w:t>
      </w:r>
      <w:r>
        <w:rPr>
          <w:spacing w:val="40"/>
        </w:rPr>
        <w:t> </w:t>
      </w:r>
      <w:r>
        <w:rPr>
          <w:spacing w:val="40"/>
        </w:rPr>
      </w:r>
      <w:r>
        <w:rPr>
          <w:spacing w:val="-4"/>
        </w:rPr>
        <w:t>优化培训课程及培训形式，促进新人快速融入团队；在职业培训方面，持续拓展与公司经营相关的专题培训与前沿讲座，深</w:t>
      </w:r>
      <w:r>
        <w:rPr>
          <w:spacing w:val="40"/>
        </w:rPr>
        <w:t> </w:t>
      </w:r>
      <w:r>
        <w:rPr>
          <w:spacing w:val="40"/>
        </w:rPr>
      </w:r>
      <w:r>
        <w:rPr>
          <w:spacing w:val="-4"/>
        </w:rPr>
        <w:t>化与国内外专家的合作；在管理培训方面，通过</w:t>
      </w:r>
      <w:r>
        <w:rPr>
          <w:rFonts w:ascii="Times New Roman" w:hAnsi="Times New Roman" w:cs="Times New Roman" w:eastAsia="Times New Roman" w:hint="default"/>
          <w:spacing w:val="-4"/>
        </w:rPr>
        <w:t>“</w:t>
      </w:r>
      <w:r>
        <w:rPr>
          <w:spacing w:val="-4"/>
        </w:rPr>
        <w:t>青训项目</w:t>
      </w:r>
      <w:r>
        <w:rPr>
          <w:rFonts w:ascii="Times New Roman" w:hAnsi="Times New Roman" w:cs="Times New Roman" w:eastAsia="Times New Roman" w:hint="default"/>
          <w:spacing w:val="-4"/>
        </w:rPr>
        <w:t>”</w:t>
      </w:r>
      <w:r>
        <w:rPr>
          <w:spacing w:val="-4"/>
        </w:rPr>
        <w:t>等专项培训着力提升现有管理人员的管理与领导力水平，不断提</w:t>
      </w:r>
      <w:r>
        <w:rPr>
          <w:spacing w:val="65"/>
        </w:rPr>
        <w:t> </w:t>
      </w:r>
      <w:r>
        <w:rPr>
          <w:spacing w:val="65"/>
        </w:rPr>
      </w:r>
      <w:r>
        <w:rPr>
          <w:spacing w:val="-3"/>
        </w:rPr>
        <w:t>升管理者的综合素质。同时大力推进在线学习和分享平台</w:t>
      </w:r>
      <w:r>
        <w:rPr>
          <w:rFonts w:ascii="Times New Roman" w:hAnsi="Times New Roman" w:cs="Times New Roman" w:eastAsia="Times New Roman" w:hint="default"/>
          <w:spacing w:val="-3"/>
        </w:rPr>
        <w:t>--</w:t>
      </w:r>
      <w:r>
        <w:rPr>
          <w:spacing w:val="-3"/>
        </w:rPr>
        <w:t>和仁云学堂的建设，支持员工通过在线学习和分享的方式，更加</w:t>
      </w:r>
      <w:r>
        <w:rPr>
          <w:spacing w:val="46"/>
        </w:rPr>
        <w:t> </w:t>
      </w:r>
      <w:r>
        <w:rPr>
          <w:spacing w:val="46"/>
        </w:rPr>
      </w:r>
      <w:r>
        <w:rPr>
          <w:spacing w:val="-3"/>
        </w:rPr>
        <w:t>便利及有效完成自身知识提升和沉淀。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3"/>
          <w:szCs w:val="13"/>
        </w:rPr>
      </w:pPr>
    </w:p>
    <w:p>
      <w:pPr>
        <w:pStyle w:val="Heading4"/>
        <w:spacing w:line="240" w:lineRule="auto"/>
        <w:ind w:right="0"/>
        <w:jc w:val="both"/>
        <w:rPr>
          <w:b w:val="0"/>
          <w:bCs w:val="0"/>
        </w:rPr>
      </w:pPr>
      <w:bookmarkStart w:name="4、劳务外包情况" w:id="133"/>
      <w:bookmarkEnd w:id="133"/>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both"/>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right="3752"/>
        <w:jc w:val="center"/>
        <w:rPr>
          <w:b w:val="0"/>
          <w:bCs w:val="0"/>
        </w:rPr>
      </w:pPr>
      <w:bookmarkStart w:name="第十节公司治理" w:id="134"/>
      <w:bookmarkEnd w:id="134"/>
      <w:r>
        <w:rPr>
          <w:b w:val="0"/>
          <w:bCs w:val="0"/>
        </w:rPr>
      </w:r>
      <w:bookmarkStart w:name="_bookmark8" w:id="135"/>
      <w:bookmarkEnd w:id="135"/>
      <w:r>
        <w:rPr>
          <w:b w:val="0"/>
          <w:bCs w:val="0"/>
        </w:rPr>
      </w:r>
      <w:r>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6"/>
      <w:bookmarkEnd w:id="136"/>
      <w:r>
        <w:rPr>
          <w:b w:val="0"/>
          <w:bCs w:val="0"/>
        </w:rPr>
      </w:r>
      <w:r>
        <w:rPr/>
        <w:t>一、公司治理的基本状况</w:t>
      </w:r>
      <w:r>
        <w:rPr>
          <w:b w:val="0"/>
          <w:bCs w:val="0"/>
        </w:rPr>
      </w:r>
    </w:p>
    <w:p>
      <w:pPr>
        <w:spacing w:line="240" w:lineRule="auto" w:before="3"/>
        <w:rPr>
          <w:rFonts w:ascii="宋体" w:hAnsi="宋体" w:cs="宋体" w:eastAsia="宋体" w:hint="default"/>
          <w:b/>
          <w:bCs/>
          <w:sz w:val="27"/>
          <w:szCs w:val="27"/>
        </w:rPr>
      </w:pPr>
    </w:p>
    <w:p>
      <w:pPr>
        <w:pStyle w:val="BodyText"/>
        <w:spacing w:line="319" w:lineRule="auto"/>
        <w:ind w:right="0" w:firstLine="360"/>
        <w:jc w:val="left"/>
      </w:pPr>
      <w:r>
        <w:rPr>
          <w:spacing w:val="-3"/>
        </w:rPr>
        <w:t>报告期内，公司严格按照《公司法》、《证券法》、《上市公司治理准则》、《深圳证券交易所创业板股票上市规则》</w:t>
      </w:r>
      <w:r>
        <w:rPr>
          <w:w w:val="101"/>
        </w:rPr>
        <w:t> </w:t>
      </w:r>
      <w:r>
        <w:rPr>
          <w:spacing w:val="-4"/>
        </w:rPr>
        <w:t>等法律、法规和中国证监会有关法律法规等的要求，不断完善公司的法人治理结构，建立健全公司内部管理和控制制度，持</w:t>
      </w:r>
      <w:r>
        <w:rPr>
          <w:spacing w:val="40"/>
        </w:rPr>
        <w:t> </w:t>
      </w:r>
      <w:r>
        <w:rPr>
          <w:spacing w:val="40"/>
        </w:rPr>
      </w:r>
      <w:r>
        <w:rPr>
          <w:spacing w:val="-4"/>
        </w:rPr>
        <w:t>续深入开展公司治理专项活动，促进了公司规范运作，提高了公司治理水平。报告期内，公司整体运作规范，独立董事、董</w:t>
      </w:r>
      <w:r>
        <w:rPr>
          <w:spacing w:val="41"/>
        </w:rPr>
        <w:t> </w:t>
      </w:r>
      <w:r>
        <w:rPr>
          <w:spacing w:val="41"/>
        </w:rPr>
      </w:r>
      <w:r>
        <w:rPr>
          <w:spacing w:val="-3"/>
        </w:rPr>
        <w:t>事会各专门委员会各司其职，不断加强公司管理，控制防范风险，规范公司运作，提高运作效率。</w:t>
      </w:r>
    </w:p>
    <w:p>
      <w:pPr>
        <w:pStyle w:val="BodyText"/>
        <w:spacing w:line="328" w:lineRule="auto" w:before="50"/>
        <w:ind w:right="1128" w:firstLine="360"/>
        <w:jc w:val="right"/>
      </w:pPr>
      <w:r>
        <w:rPr>
          <w:rFonts w:ascii="Times New Roman" w:hAnsi="Times New Roman" w:cs="Times New Roman" w:eastAsia="Times New Roman" w:hint="default"/>
          <w:spacing w:val="-3"/>
        </w:rPr>
        <w:t>1</w:t>
      </w:r>
      <w:r>
        <w:rPr>
          <w:spacing w:val="-3"/>
        </w:rPr>
        <w:t>．关于股东与股东大会：公司严格按照《公司法》、《上市公司股东大会规则》和公司《章程》、《股东大会议事规</w:t>
      </w:r>
      <w:r>
        <w:rPr>
          <w:w w:val="101"/>
        </w:rPr>
        <w:t> </w:t>
      </w:r>
      <w:r>
        <w:rPr>
          <w:spacing w:val="-8"/>
        </w:rPr>
        <w:t>则》的规定和要求，规范股东大会的召集、召开、表决程序，股东大会均为股东提供了网络投票方式，并聘请律师出席见证。</w:t>
      </w:r>
      <w:r>
        <w:rPr>
          <w:spacing w:val="61"/>
        </w:rPr>
        <w:t> </w:t>
      </w:r>
      <w:r>
        <w:rPr>
          <w:spacing w:val="61"/>
        </w:rPr>
      </w:r>
      <w:r>
        <w:rPr>
          <w:rFonts w:ascii="Times New Roman" w:hAnsi="Times New Roman" w:cs="Times New Roman" w:eastAsia="Times New Roman" w:hint="default"/>
          <w:spacing w:val="-3"/>
        </w:rPr>
        <w:t>2</w:t>
      </w:r>
      <w:r>
        <w:rPr>
          <w:spacing w:val="-3"/>
        </w:rPr>
        <w:t>．关于控股股东与上市公司：公司控股股东能严格规范自己的行为，没有超越公司股东大会，直接或间接干预公司的</w:t>
      </w:r>
    </w:p>
    <w:p>
      <w:pPr>
        <w:pStyle w:val="BodyText"/>
        <w:spacing w:line="230" w:lineRule="exact"/>
        <w:ind w:right="0"/>
        <w:jc w:val="left"/>
      </w:pPr>
      <w:r>
        <w:rPr>
          <w:spacing w:val="-3"/>
        </w:rPr>
        <w:t>决策和经营活动的行为。</w:t>
      </w:r>
    </w:p>
    <w:p>
      <w:pPr>
        <w:pStyle w:val="BodyText"/>
        <w:spacing w:line="304" w:lineRule="auto" w:before="115"/>
        <w:ind w:right="1037" w:firstLine="360"/>
        <w:jc w:val="both"/>
      </w:pPr>
      <w:r>
        <w:rPr>
          <w:rFonts w:ascii="Times New Roman" w:hAnsi="Times New Roman" w:cs="Times New Roman" w:eastAsia="Times New Roman" w:hint="default"/>
          <w:spacing w:val="-7"/>
        </w:rPr>
        <w:t>3</w:t>
      </w:r>
      <w:r>
        <w:rPr>
          <w:spacing w:val="-7"/>
        </w:rPr>
        <w:t>．关于董事和董事会：公司董事会由</w:t>
      </w:r>
      <w:r>
        <w:rPr>
          <w:rFonts w:ascii="Times New Roman" w:hAnsi="Times New Roman" w:cs="Times New Roman" w:eastAsia="Times New Roman" w:hint="default"/>
          <w:spacing w:val="-7"/>
        </w:rPr>
        <w:t>8</w:t>
      </w:r>
      <w:r>
        <w:rPr>
          <w:spacing w:val="-7"/>
        </w:rPr>
        <w:t>名董事组成，其中独立董事</w:t>
      </w:r>
      <w:r>
        <w:rPr>
          <w:rFonts w:ascii="Times New Roman" w:hAnsi="Times New Roman" w:cs="Times New Roman" w:eastAsia="Times New Roman" w:hint="default"/>
          <w:spacing w:val="-7"/>
        </w:rPr>
        <w:t>3</w:t>
      </w:r>
      <w:r>
        <w:rPr>
          <w:spacing w:val="-7"/>
        </w:rPr>
        <w:t>人，占董事总数</w:t>
      </w:r>
      <w:r>
        <w:rPr>
          <w:rFonts w:ascii="Times New Roman" w:hAnsi="Times New Roman" w:cs="Times New Roman" w:eastAsia="Times New Roman" w:hint="default"/>
          <w:spacing w:val="-7"/>
        </w:rPr>
        <w:t>1/3</w:t>
      </w:r>
      <w:r>
        <w:rPr>
          <w:spacing w:val="-7"/>
        </w:rPr>
        <w:t>以上，公司全体董事能够依据《董</w:t>
      </w:r>
      <w:r>
        <w:rPr>
          <w:w w:val="101"/>
        </w:rPr>
        <w:t> </w:t>
      </w:r>
      <w:r>
        <w:rPr>
          <w:spacing w:val="-3"/>
        </w:rPr>
        <w:t>事会议事规则》、《创业板上市公司规范运作指引》等制度开展工作，认真出席董事会和股东大会，诚实守信地履行职责。</w:t>
      </w:r>
    </w:p>
    <w:p>
      <w:pPr>
        <w:pStyle w:val="BodyText"/>
        <w:spacing w:line="240" w:lineRule="auto" w:before="61"/>
        <w:ind w:left="513" w:right="0"/>
        <w:jc w:val="left"/>
      </w:pPr>
      <w:r>
        <w:rPr>
          <w:rFonts w:ascii="Times New Roman" w:hAnsi="Times New Roman" w:cs="Times New Roman" w:eastAsia="Times New Roman" w:hint="default"/>
          <w:spacing w:val="-4"/>
        </w:rPr>
        <w:t>4</w:t>
      </w:r>
      <w:r>
        <w:rPr>
          <w:spacing w:val="-4"/>
        </w:rPr>
        <w:t>．关于监事和监事会：公司监事会由</w:t>
      </w:r>
      <w:r>
        <w:rPr>
          <w:rFonts w:ascii="Times New Roman" w:hAnsi="Times New Roman" w:cs="Times New Roman" w:eastAsia="Times New Roman" w:hint="default"/>
          <w:spacing w:val="-4"/>
        </w:rPr>
        <w:t>3</w:t>
      </w:r>
      <w:r>
        <w:rPr>
          <w:spacing w:val="-4"/>
        </w:rPr>
        <w:t>名监事组成，其人数和人员构成均符合相关法律法规的要求。公司监事能够按照</w:t>
      </w:r>
    </w:p>
    <w:p>
      <w:pPr>
        <w:pStyle w:val="BodyText"/>
        <w:spacing w:line="321" w:lineRule="auto" w:before="63"/>
        <w:ind w:right="0"/>
        <w:jc w:val="left"/>
      </w:pPr>
      <w:r>
        <w:rPr>
          <w:spacing w:val="-4"/>
        </w:rPr>
        <w:t>《监事会议事规则》等的要求，认真履行自己的职责，对公司重大事项、关联交易、财务状况、董事和经理的履职情况等进</w:t>
      </w:r>
      <w:r>
        <w:rPr>
          <w:spacing w:val="40"/>
        </w:rPr>
        <w:t> </w:t>
      </w:r>
      <w:r>
        <w:rPr>
          <w:spacing w:val="40"/>
        </w:rPr>
      </w:r>
      <w:r>
        <w:rPr>
          <w:spacing w:val="-3"/>
        </w:rPr>
        <w:t>行有效监督并发表独立意见。</w:t>
      </w:r>
    </w:p>
    <w:p>
      <w:pPr>
        <w:pStyle w:val="BodyText"/>
        <w:spacing w:line="307" w:lineRule="auto" w:before="49"/>
        <w:ind w:right="1122" w:firstLine="360"/>
        <w:jc w:val="both"/>
      </w:pPr>
      <w:r>
        <w:rPr>
          <w:rFonts w:ascii="Times New Roman" w:hAnsi="Times New Roman" w:cs="Times New Roman" w:eastAsia="Times New Roman" w:hint="default"/>
          <w:spacing w:val="-3"/>
        </w:rPr>
        <w:t>5</w:t>
      </w:r>
      <w:r>
        <w:rPr>
          <w:spacing w:val="-3"/>
        </w:rPr>
        <w:t>．关于绩效评价与激励约束机制：为进一步完善董事、监事与高级管理人员的薪酬管理，建立科学有效的激励与约束</w:t>
      </w:r>
      <w:r>
        <w:rPr>
          <w:w w:val="101"/>
        </w:rPr>
        <w:t> </w:t>
      </w:r>
      <w:r>
        <w:rPr>
          <w:spacing w:val="-8"/>
        </w:rPr>
        <w:t>机制，公司建立了完善的高级管理人员绩效考评体系和薪酬制度。高级管理人员的聘任公开、透明，符合法律、法规的规定。</w:t>
      </w:r>
      <w:r>
        <w:rPr/>
        <w:t> </w:t>
      </w:r>
      <w:r>
        <w:rPr/>
      </w:r>
      <w:r>
        <w:rPr>
          <w:spacing w:val="-4"/>
        </w:rPr>
        <w:t>公司董事会下设的提名、薪酬和考核委员会负责对公司董事及高级管理人员进行提名和绩效考核。公司</w:t>
      </w:r>
      <w:r>
        <w:rPr>
          <w:rFonts w:ascii="Times New Roman" w:hAnsi="Times New Roman" w:cs="Times New Roman" w:eastAsia="Times New Roman" w:hint="default"/>
          <w:spacing w:val="-4"/>
        </w:rPr>
        <w:t>2017</w:t>
      </w:r>
      <w:r>
        <w:rPr>
          <w:spacing w:val="-4"/>
        </w:rPr>
        <w:t>年实施开展了限</w:t>
      </w:r>
      <w:r>
        <w:rPr>
          <w:spacing w:val="52"/>
        </w:rPr>
        <w:t> </w:t>
      </w:r>
      <w:r>
        <w:rPr>
          <w:spacing w:val="52"/>
        </w:rPr>
      </w:r>
      <w:r>
        <w:rPr>
          <w:spacing w:val="-3"/>
        </w:rPr>
        <w:t>制性股票激励计划，进一步建设公司的员工激励体系。</w:t>
      </w:r>
    </w:p>
    <w:p>
      <w:pPr>
        <w:pStyle w:val="BodyText"/>
        <w:spacing w:line="312" w:lineRule="auto" w:before="64"/>
        <w:ind w:right="1124" w:firstLine="360"/>
        <w:jc w:val="both"/>
      </w:pPr>
      <w:r>
        <w:rPr>
          <w:rFonts w:ascii="Times New Roman" w:hAnsi="Times New Roman" w:cs="Times New Roman" w:eastAsia="Times New Roman" w:hint="default"/>
          <w:spacing w:val="-3"/>
        </w:rPr>
        <w:t>6</w:t>
      </w:r>
      <w:r>
        <w:rPr>
          <w:spacing w:val="-3"/>
        </w:rPr>
        <w:t>．关于利益相关者：公司尊重利益相关者的合法权益，重视利益相关者的相互作用与影响，保持与利益相关者的顺畅</w:t>
      </w:r>
      <w:r>
        <w:rPr>
          <w:w w:val="101"/>
        </w:rPr>
        <w:t> </w:t>
      </w:r>
      <w:r>
        <w:rPr>
          <w:spacing w:val="-4"/>
        </w:rPr>
        <w:t>沟通，努力实现股东、客户、员工及社会等多方利益的均衡，建立健康友好、互利互信和合作多赢的关系，共同促进公司持</w:t>
      </w:r>
      <w:r>
        <w:rPr>
          <w:spacing w:val="40"/>
        </w:rPr>
        <w:t> </w:t>
      </w:r>
      <w:r>
        <w:rPr>
          <w:spacing w:val="40"/>
        </w:rPr>
      </w:r>
      <w:r>
        <w:rPr/>
        <w:t>续稳定发展。</w:t>
      </w:r>
    </w:p>
    <w:p>
      <w:pPr>
        <w:pStyle w:val="BodyText"/>
        <w:spacing w:line="314" w:lineRule="auto" w:before="56"/>
        <w:ind w:right="1124" w:firstLine="360"/>
        <w:jc w:val="both"/>
      </w:pPr>
      <w:r>
        <w:rPr>
          <w:rFonts w:ascii="Times New Roman" w:hAnsi="Times New Roman" w:cs="Times New Roman" w:eastAsia="Times New Roman" w:hint="default"/>
          <w:spacing w:val="-3"/>
        </w:rPr>
        <w:t>7</w:t>
      </w:r>
      <w:r>
        <w:rPr>
          <w:spacing w:val="-3"/>
        </w:rPr>
        <w:t>．关于信息披露与透明度：公司严格按照《深圳证券交易所创业板股票上市规则》、《深圳证券交易所创业板上市公</w:t>
      </w:r>
      <w:r>
        <w:rPr>
          <w:w w:val="101"/>
        </w:rPr>
        <w:t> </w:t>
      </w:r>
      <w:r>
        <w:rPr>
          <w:spacing w:val="-4"/>
        </w:rPr>
        <w:t>司规范运作指引》等法律法规的规定，制定了《信息披露管理制度》、《重大信息内部报告制度》、《对外信息报送和使用</w:t>
      </w:r>
      <w:r>
        <w:rPr>
          <w:spacing w:val="40"/>
        </w:rPr>
        <w:t> </w:t>
      </w:r>
      <w:r>
        <w:rPr>
          <w:spacing w:val="40"/>
        </w:rPr>
      </w:r>
      <w:r>
        <w:rPr>
          <w:spacing w:val="-5"/>
        </w:rPr>
        <w:t>管理制度》、《内幕信息知情人登记管理制度》等制度，完善公司信息披露与投资者关系管理的制度建设，并在工作中认真</w:t>
      </w:r>
      <w:r>
        <w:rPr>
          <w:spacing w:val="5"/>
        </w:rPr>
        <w:t> </w:t>
      </w:r>
      <w:r>
        <w:rPr>
          <w:spacing w:val="5"/>
        </w:rPr>
      </w:r>
      <w:r>
        <w:rPr/>
        <w:t>严格执行。</w:t>
      </w:r>
    </w:p>
    <w:p>
      <w:pPr>
        <w:pStyle w:val="BodyText"/>
        <w:spacing w:line="314" w:lineRule="auto" w:before="54"/>
        <w:ind w:right="0" w:firstLine="360"/>
        <w:jc w:val="left"/>
      </w:pPr>
      <w:r>
        <w:rPr>
          <w:rFonts w:ascii="Times New Roman" w:hAnsi="Times New Roman" w:cs="Times New Roman" w:eastAsia="Times New Roman" w:hint="default"/>
          <w:spacing w:val="-3"/>
        </w:rPr>
        <w:t>8</w:t>
      </w:r>
      <w:r>
        <w:rPr>
          <w:spacing w:val="-3"/>
        </w:rPr>
        <w:t>．关于内部审计：为加强内部控制活动的监督和评价，有效控制风险，保证公司资产的安全与完整，由半数以上独立</w:t>
      </w:r>
      <w:r>
        <w:rPr>
          <w:w w:val="101"/>
        </w:rPr>
        <w:t> </w:t>
      </w:r>
      <w:r>
        <w:rPr>
          <w:spacing w:val="-8"/>
          <w:w w:val="101"/>
        </w:rPr>
        <w:t>董事组成的审计委员会，负责全面审查和监督公司的财务报告、内部审计方案及内部控制的有效性，审阅和审查财务、经营、</w:t>
      </w:r>
      <w:r>
        <w:rPr>
          <w:spacing w:val="-47"/>
          <w:w w:val="101"/>
        </w:rPr>
        <w:t> </w:t>
      </w:r>
      <w:r>
        <w:rPr>
          <w:spacing w:val="-47"/>
          <w:w w:val="101"/>
        </w:rPr>
      </w:r>
      <w:r>
        <w:rPr>
          <w:spacing w:val="-4"/>
        </w:rPr>
        <w:t>合规、风险管理情况。公司已经设置内部审计部门，建立了内部审计制度，审计部负责人由董事会聘任，公司内部审计部配</w:t>
      </w:r>
      <w:r>
        <w:rPr>
          <w:spacing w:val="40"/>
        </w:rPr>
        <w:t> </w:t>
      </w:r>
      <w:r>
        <w:rPr>
          <w:spacing w:val="40"/>
        </w:rPr>
      </w:r>
      <w:r>
        <w:rPr>
          <w:spacing w:val="-4"/>
        </w:rPr>
        <w:t>备专职审计人员，对审计委员会负责，向审计委员会报告工作。内部审计部对公司财务信息及内部控制制度的建立和实施等</w:t>
      </w:r>
      <w:r>
        <w:rPr>
          <w:spacing w:val="43"/>
        </w:rPr>
        <w:t> </w:t>
      </w:r>
      <w:r>
        <w:rPr>
          <w:spacing w:val="43"/>
        </w:rPr>
      </w:r>
      <w:r>
        <w:rPr>
          <w:spacing w:val="-3"/>
        </w:rPr>
        <w:t>进行检查和监督，对公司对外担保、关联交易等行为进行重点审计，及时向审计委员会提交工作计划并汇报审计工作报告，</w:t>
      </w:r>
      <w:r>
        <w:rPr>
          <w:spacing w:val="76"/>
        </w:rPr>
        <w:t> </w:t>
      </w:r>
      <w:r>
        <w:rPr>
          <w:spacing w:val="76"/>
        </w:rPr>
      </w:r>
      <w:r>
        <w:rPr>
          <w:spacing w:val="-3"/>
        </w:rPr>
        <w:t>就审计过程中发现的问题进行督促整改。</w:t>
      </w:r>
    </w:p>
    <w:p>
      <w:pPr>
        <w:pStyle w:val="BodyText"/>
        <w:spacing w:line="321" w:lineRule="auto" w:before="59"/>
        <w:ind w:right="1128" w:firstLine="292"/>
        <w:jc w:val="both"/>
      </w:pPr>
      <w:r>
        <w:rPr>
          <w:spacing w:val="-3"/>
        </w:rPr>
        <w:t>截至报告期末，公司严格按照国家法律法规、《深圳证券交易所创业板股票上市规则》和《创业板上市公司规范运作指</w:t>
      </w:r>
      <w:r>
        <w:rPr>
          <w:w w:val="101"/>
        </w:rPr>
        <w:t> </w:t>
      </w:r>
      <w:r>
        <w:rPr>
          <w:spacing w:val="-3"/>
        </w:rPr>
        <w:t>引》等规定，诚实守信，规范运作，认真及时履行信息披露义务。未收到被监管部门采取行政监管措施的有关文件。</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BodyText"/>
        <w:spacing w:line="240" w:lineRule="auto"/>
        <w:ind w:right="0"/>
        <w:jc w:val="left"/>
      </w:pPr>
      <w:r>
        <w:rPr>
          <w:spacing w:val="-3"/>
        </w:rPr>
        <w:t>公司治理的实际状况与中国证监会发布的有关上市公司治理的规范性文件是否存在重大差异</w:t>
      </w:r>
    </w:p>
    <w:p>
      <w:pPr>
        <w:pStyle w:val="BodyText"/>
        <w:spacing w:line="338" w:lineRule="auto" w:before="119"/>
        <w:ind w:right="3109"/>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3"/>
        </w:rPr>
        <w:t> </w:t>
      </w:r>
      <w:r>
        <w:rPr>
          <w:spacing w:val="-3"/>
        </w:rPr>
        <w:t>公司治理的实际状况与中国证监会发布的有关上市公司治理的规范性文件不存在重大差异。</w:t>
      </w:r>
    </w:p>
    <w:p>
      <w:pPr>
        <w:spacing w:after="0" w:line="338" w:lineRule="auto"/>
        <w:jc w:val="left"/>
        <w:sectPr>
          <w:pgSz w:w="11910" w:h="16840"/>
          <w:pgMar w:header="741" w:footer="979" w:top="1060" w:bottom="1160" w:left="980" w:right="0"/>
        </w:sectPr>
      </w:pPr>
    </w:p>
    <w:p>
      <w:pPr>
        <w:spacing w:line="240" w:lineRule="auto" w:before="5"/>
        <w:rPr>
          <w:rFonts w:ascii="宋体" w:hAnsi="宋体" w:cs="宋体" w:eastAsia="宋体" w:hint="default"/>
          <w:sz w:val="23"/>
          <w:szCs w:val="23"/>
        </w:rPr>
      </w:pPr>
    </w:p>
    <w:p>
      <w:pPr>
        <w:pStyle w:val="Heading2"/>
        <w:spacing w:line="240" w:lineRule="auto" w:before="26"/>
        <w:ind w:right="0"/>
        <w:jc w:val="both"/>
        <w:rPr>
          <w:b w:val="0"/>
          <w:bCs w:val="0"/>
        </w:rPr>
      </w:pPr>
      <w:bookmarkStart w:name="二、公司相对于控股股东在业务、人员、资产、机构、财务等方面的独立情况" w:id="137"/>
      <w:bookmarkEnd w:id="137"/>
      <w:r>
        <w:rPr>
          <w:b w:val="0"/>
          <w:bCs w:val="0"/>
        </w:rPr>
      </w:r>
      <w:r>
        <w:rPr/>
        <w:t>二、公司相对于控股股东在业务、人员、资产、机构、财务等方面的独立情况</w:t>
      </w:r>
      <w:r>
        <w:rPr>
          <w:b w:val="0"/>
          <w:bCs w:val="0"/>
        </w:rPr>
      </w:r>
    </w:p>
    <w:p>
      <w:pPr>
        <w:spacing w:line="240" w:lineRule="auto" w:before="3"/>
        <w:rPr>
          <w:rFonts w:ascii="宋体" w:hAnsi="宋体" w:cs="宋体" w:eastAsia="宋体" w:hint="default"/>
          <w:b/>
          <w:bCs/>
          <w:sz w:val="27"/>
          <w:szCs w:val="27"/>
        </w:rPr>
      </w:pPr>
    </w:p>
    <w:p>
      <w:pPr>
        <w:pStyle w:val="BodyText"/>
        <w:spacing w:line="321" w:lineRule="auto"/>
        <w:ind w:right="1122" w:firstLine="360"/>
        <w:jc w:val="both"/>
      </w:pPr>
      <w:r>
        <w:rPr>
          <w:spacing w:val="-5"/>
        </w:rPr>
        <w:t>自设立以来，公司严格按照《公司法》、《证券法》等有关法律、法规和《公司章程》的要求规范运作，建立健全了法</w:t>
      </w:r>
      <w:r>
        <w:rPr>
          <w:w w:val="101"/>
        </w:rPr>
        <w:t> </w:t>
      </w:r>
      <w:r>
        <w:rPr>
          <w:spacing w:val="-8"/>
        </w:rPr>
        <w:t>人治理结构，在资产、人员、财务、机构、业务等方面均独立于控股股东、实际控制人及其控制的其他企业，公司具有独立、</w:t>
      </w:r>
      <w:r>
        <w:rPr>
          <w:spacing w:val="3"/>
        </w:rPr>
        <w:t> </w:t>
      </w:r>
      <w:r>
        <w:rPr>
          <w:spacing w:val="3"/>
        </w:rPr>
      </w:r>
      <w:r>
        <w:rPr>
          <w:spacing w:val="-3"/>
        </w:rPr>
        <w:t>完整的资产、业务体系及面向市场独立经营的能力。</w:t>
      </w:r>
    </w:p>
    <w:p>
      <w:pPr>
        <w:pStyle w:val="BodyText"/>
        <w:spacing w:line="352" w:lineRule="auto" w:before="53"/>
        <w:ind w:left="513" w:right="0"/>
        <w:jc w:val="left"/>
      </w:pPr>
      <w:r>
        <w:rPr>
          <w:spacing w:val="-3"/>
        </w:rPr>
        <w:t>（一）资产完整情况</w:t>
      </w:r>
      <w:r>
        <w:rPr>
          <w:spacing w:val="-62"/>
        </w:rPr>
        <w:t> </w:t>
      </w:r>
      <w:r>
        <w:rPr>
          <w:spacing w:val="-62"/>
        </w:rPr>
      </w:r>
      <w:r>
        <w:rPr>
          <w:spacing w:val="-5"/>
        </w:rPr>
        <w:t>公司拥有独立于控股股东的生产经营场所，拥有独立完整的研发、采购、生产、销售及配套服务设施和资产，拥有相关</w:t>
      </w:r>
    </w:p>
    <w:p>
      <w:pPr>
        <w:pStyle w:val="BodyText"/>
        <w:spacing w:line="324" w:lineRule="auto"/>
        <w:ind w:right="0"/>
        <w:jc w:val="left"/>
      </w:pPr>
      <w:r>
        <w:rPr>
          <w:spacing w:val="-3"/>
        </w:rPr>
        <w:t>资产的合法所有权或使用权，不存在以公司资产、权益或信誉为股东提供违规担保的情况，不存在资产、资金被控股股东、</w:t>
      </w:r>
      <w:r>
        <w:rPr>
          <w:spacing w:val="76"/>
        </w:rPr>
        <w:t> </w:t>
      </w:r>
      <w:r>
        <w:rPr>
          <w:spacing w:val="76"/>
        </w:rPr>
      </w:r>
      <w:r>
        <w:rPr>
          <w:spacing w:val="-3"/>
        </w:rPr>
        <w:t>实际控制人占用而损害公司利益的情况。</w:t>
      </w:r>
    </w:p>
    <w:p>
      <w:pPr>
        <w:pStyle w:val="BodyText"/>
        <w:spacing w:line="352" w:lineRule="auto" w:before="56"/>
        <w:ind w:left="513" w:right="0"/>
        <w:jc w:val="left"/>
      </w:pPr>
      <w:r>
        <w:rPr>
          <w:spacing w:val="-3"/>
        </w:rPr>
        <w:t>（二）人员独立情况</w:t>
      </w:r>
      <w:r>
        <w:rPr>
          <w:spacing w:val="-62"/>
        </w:rPr>
        <w:t> </w:t>
      </w:r>
      <w:r>
        <w:rPr>
          <w:spacing w:val="-62"/>
        </w:rPr>
      </w:r>
      <w:r>
        <w:rPr>
          <w:spacing w:val="-5"/>
        </w:rPr>
        <w:t>公司董事、监事、高级管理人员均严格按照《公司法》、《公司章程》等规定的程序选举或聘任产生。截至本报告签署</w:t>
      </w:r>
    </w:p>
    <w:p>
      <w:pPr>
        <w:pStyle w:val="BodyText"/>
        <w:spacing w:line="319" w:lineRule="auto"/>
        <w:ind w:right="0"/>
        <w:jc w:val="left"/>
      </w:pPr>
      <w:r>
        <w:rPr>
          <w:spacing w:val="-3"/>
        </w:rPr>
        <w:t>日，公司高级管理人员不存在在控股股东、实际控制人及其控制的其他企业中担任除董事以外的其他职务，或在控股股东、</w:t>
      </w:r>
      <w:r>
        <w:rPr>
          <w:spacing w:val="76"/>
        </w:rPr>
        <w:t> </w:t>
      </w:r>
      <w:r>
        <w:rPr>
          <w:spacing w:val="76"/>
        </w:rPr>
      </w:r>
      <w:r>
        <w:rPr>
          <w:spacing w:val="-4"/>
        </w:rPr>
        <w:t>实际控制人及其控制的其他企业领薪的情形；公司财务人员不存在在控股股东、实际控制人及其控制的其他企业中兼职的情</w:t>
      </w:r>
      <w:r>
        <w:rPr>
          <w:spacing w:val="42"/>
        </w:rPr>
        <w:t> </w:t>
      </w:r>
      <w:r>
        <w:rPr>
          <w:spacing w:val="42"/>
        </w:rPr>
      </w:r>
      <w:r>
        <w:rPr>
          <w:spacing w:val="-4"/>
        </w:rPr>
        <w:t>形。公司拥有独立、完整的人事管理体系，制定了独立的劳动人事管理制度，由公司独立与员工签订劳动合同，独立为员工</w:t>
      </w:r>
      <w:r>
        <w:rPr>
          <w:spacing w:val="40"/>
        </w:rPr>
        <w:t> </w:t>
      </w:r>
      <w:r>
        <w:rPr>
          <w:spacing w:val="40"/>
        </w:rPr>
      </w:r>
      <w:r>
        <w:rPr>
          <w:spacing w:val="-3"/>
        </w:rPr>
        <w:t>发放工资，不存在由其关联方代为发放工资的情形。</w:t>
      </w:r>
    </w:p>
    <w:p>
      <w:pPr>
        <w:pStyle w:val="BodyText"/>
        <w:spacing w:line="357" w:lineRule="auto" w:before="55"/>
        <w:ind w:left="513" w:right="0"/>
        <w:jc w:val="left"/>
      </w:pPr>
      <w:r>
        <w:rPr>
          <w:spacing w:val="-3"/>
        </w:rPr>
        <w:t>（三）财务独立情况</w:t>
      </w:r>
      <w:r>
        <w:rPr>
          <w:spacing w:val="-62"/>
        </w:rPr>
        <w:t> </w:t>
      </w:r>
      <w:r>
        <w:rPr>
          <w:spacing w:val="-62"/>
        </w:rPr>
      </w:r>
      <w:r>
        <w:rPr>
          <w:spacing w:val="-5"/>
        </w:rPr>
        <w:t>公司设立了独立的财务部门，配备专职财务管理人员，建立了独立、完整的财务核算体系。公司严格执行《企业会计准</w:t>
      </w:r>
    </w:p>
    <w:p>
      <w:pPr>
        <w:pStyle w:val="BodyText"/>
        <w:spacing w:line="224" w:lineRule="exact"/>
        <w:ind w:right="0"/>
        <w:jc w:val="both"/>
      </w:pPr>
      <w:r>
        <w:rPr>
          <w:spacing w:val="-4"/>
        </w:rPr>
        <w:t>则》，建立了规范的财务规章制度，能够独立做出财务决策，不受控股股东、实际控制人干预。公司独立开设银行账户，独</w:t>
      </w:r>
    </w:p>
    <w:p>
      <w:pPr>
        <w:pStyle w:val="BodyText"/>
        <w:spacing w:line="324" w:lineRule="auto" w:before="76"/>
        <w:ind w:right="0"/>
        <w:jc w:val="left"/>
      </w:pPr>
      <w:r>
        <w:rPr>
          <w:spacing w:val="-4"/>
        </w:rPr>
        <w:t>立纳税，不存在与控股股东、实际控制人及其控制的其他企业共用银行账户的情形。公司不存在资金被控股股东、实际控制</w:t>
      </w:r>
      <w:r>
        <w:rPr>
          <w:spacing w:val="40"/>
        </w:rPr>
        <w:t> </w:t>
      </w:r>
      <w:r>
        <w:rPr>
          <w:spacing w:val="40"/>
        </w:rPr>
      </w:r>
      <w:r>
        <w:rPr>
          <w:spacing w:val="-3"/>
        </w:rPr>
        <w:t>人及其控制的其他企业以借款、代偿债务、代垫款项或者其他方式占用的情形。</w:t>
      </w:r>
    </w:p>
    <w:p>
      <w:pPr>
        <w:pStyle w:val="BodyText"/>
        <w:spacing w:line="352" w:lineRule="auto" w:before="52"/>
        <w:ind w:left="513" w:right="0"/>
        <w:jc w:val="left"/>
      </w:pPr>
      <w:r>
        <w:rPr>
          <w:spacing w:val="-3"/>
        </w:rPr>
        <w:t>（四）机构独立情况</w:t>
      </w:r>
      <w:r>
        <w:rPr>
          <w:spacing w:val="-62"/>
        </w:rPr>
        <w:t> </w:t>
      </w:r>
      <w:r>
        <w:rPr>
          <w:spacing w:val="-62"/>
        </w:rPr>
      </w:r>
      <w:r>
        <w:rPr>
          <w:spacing w:val="-5"/>
        </w:rPr>
        <w:t>公司根据《公司法》和《公司章程》的要求，设置股东大会作为最高权力机构、设置董事会为决策机构、设置监事会为</w:t>
      </w:r>
    </w:p>
    <w:p>
      <w:pPr>
        <w:pStyle w:val="BodyText"/>
        <w:spacing w:line="321" w:lineRule="auto"/>
        <w:ind w:right="1123"/>
        <w:jc w:val="both"/>
      </w:pPr>
      <w:r>
        <w:rPr>
          <w:spacing w:val="-4"/>
        </w:rPr>
        <w:t>监督机构，并设有相应的办公机构和经营部门，各职能部门分工协作，形成有机的独立运营主体，不受控股股东、实际控制</w:t>
      </w:r>
      <w:r>
        <w:rPr>
          <w:spacing w:val="40"/>
        </w:rPr>
        <w:t> </w:t>
      </w:r>
      <w:r>
        <w:rPr>
          <w:spacing w:val="40"/>
        </w:rPr>
      </w:r>
      <w:r>
        <w:rPr>
          <w:spacing w:val="-4"/>
        </w:rPr>
        <w:t>人的干预，公司与控股股东、实际控制人及其控制的其他企业在机构设置、人员及办公场所等方面完全分开，不存在混合经</w:t>
      </w:r>
      <w:r>
        <w:rPr>
          <w:spacing w:val="41"/>
        </w:rPr>
        <w:t> </w:t>
      </w:r>
      <w:r>
        <w:rPr>
          <w:spacing w:val="41"/>
        </w:rPr>
      </w:r>
      <w:r>
        <w:rPr/>
        <w:t>营、合署办公的情形。</w:t>
      </w:r>
    </w:p>
    <w:p>
      <w:pPr>
        <w:pStyle w:val="BodyText"/>
        <w:spacing w:line="352" w:lineRule="auto" w:before="58"/>
        <w:ind w:left="446" w:right="0" w:firstLine="67"/>
        <w:jc w:val="left"/>
      </w:pPr>
      <w:r>
        <w:rPr>
          <w:spacing w:val="-3"/>
        </w:rPr>
        <w:t>（五）业务独立情况</w:t>
      </w:r>
      <w:r>
        <w:rPr>
          <w:w w:val="101"/>
        </w:rPr>
        <w:t> </w:t>
      </w:r>
      <w:r>
        <w:rPr>
          <w:spacing w:val="-7"/>
        </w:rPr>
        <w:t>公司拥有从事相关业务所需的独立的生产经营场所和经营性资产，拥有自主知识产权，各职能部门分别负责研发、采购、</w:t>
      </w:r>
    </w:p>
    <w:p>
      <w:pPr>
        <w:pStyle w:val="BodyText"/>
        <w:spacing w:line="321" w:lineRule="auto"/>
        <w:ind w:right="1123"/>
        <w:jc w:val="both"/>
      </w:pPr>
      <w:r>
        <w:rPr>
          <w:spacing w:val="-4"/>
        </w:rPr>
        <w:t>生产、销售及配套服务等业务环节；公司已建立了完整的业务流程，具有直接面向市场独立经营的能力，不存在需要依赖控</w:t>
      </w:r>
      <w:r>
        <w:rPr>
          <w:spacing w:val="40"/>
        </w:rPr>
        <w:t> </w:t>
      </w:r>
      <w:r>
        <w:rPr>
          <w:spacing w:val="40"/>
        </w:rPr>
      </w:r>
      <w:r>
        <w:rPr>
          <w:spacing w:val="-4"/>
        </w:rPr>
        <w:t>股股东、实际控制人及其控制的企业进行经营的情况。公司与控股股东、实际控制人及其控制的其他企业间不存在同业竞争</w:t>
      </w:r>
      <w:r>
        <w:rPr>
          <w:spacing w:val="43"/>
        </w:rPr>
        <w:t> </w:t>
      </w:r>
      <w:r>
        <w:rPr>
          <w:spacing w:val="43"/>
        </w:rPr>
      </w:r>
      <w:r>
        <w:rPr>
          <w:spacing w:val="-3"/>
        </w:rPr>
        <w:t>或者显失公平的关联交易。</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36"/>
        <w:ind w:right="0"/>
        <w:jc w:val="both"/>
        <w:rPr>
          <w:b w:val="0"/>
          <w:bCs w:val="0"/>
        </w:rPr>
      </w:pPr>
      <w:bookmarkStart w:name="三、同业竞争情况" w:id="138"/>
      <w:bookmarkEnd w:id="138"/>
      <w:r>
        <w:rPr>
          <w:b w:val="0"/>
          <w:bCs w:val="0"/>
        </w:rPr>
      </w:r>
      <w:r>
        <w:rPr/>
        <w:t>三、同业竞争情况</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right="0"/>
        <w:jc w:val="both"/>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0"/>
        <w:jc w:val="both"/>
        <w:rPr>
          <w:b w:val="0"/>
          <w:bCs w:val="0"/>
        </w:rPr>
      </w:pPr>
      <w:bookmarkStart w:name="四、报告期内召开的年度股东大会和临时股东大会的有关情况" w:id="139"/>
      <w:bookmarkEnd w:id="139"/>
      <w:r>
        <w:rPr>
          <w:b w:val="0"/>
          <w:bCs w:val="0"/>
        </w:rPr>
      </w:r>
      <w:r>
        <w:rPr/>
        <w:t>四、报告期内召开的年度股东大会和临时股东大会的有关情况</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0"/>
        <w:jc w:val="both"/>
        <w:rPr>
          <w:b w:val="0"/>
          <w:bCs w:val="0"/>
        </w:rPr>
      </w:pPr>
      <w:bookmarkStart w:name="1、本报告期股东大会情况" w:id="140"/>
      <w:bookmarkEnd w:id="140"/>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399"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425"/>
              <w:jc w:val="right"/>
              <w:rPr>
                <w:rFonts w:ascii="宋体" w:hAnsi="宋体" w:cs="宋体" w:eastAsia="宋体" w:hint="default"/>
                <w:sz w:val="18"/>
                <w:szCs w:val="18"/>
              </w:rPr>
            </w:pPr>
            <w:r>
              <w:rPr>
                <w:rFonts w:ascii="宋体" w:hAnsi="宋体" w:cs="宋体" w:eastAsia="宋体" w:hint="default"/>
                <w:spacing w:val="-2"/>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63" w:right="0"/>
              <w:jc w:val="left"/>
              <w:rPr>
                <w:rFonts w:ascii="宋体" w:hAnsi="宋体" w:cs="宋体" w:eastAsia="宋体" w:hint="default"/>
                <w:sz w:val="18"/>
                <w:szCs w:val="18"/>
              </w:rPr>
            </w:pPr>
            <w:r>
              <w:rPr>
                <w:rFonts w:ascii="宋体" w:hAnsi="宋体" w:cs="宋体" w:eastAsia="宋体" w:hint="default"/>
                <w:spacing w:val="-3"/>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677"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年第一次临时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473"/>
              <w:jc w:val="right"/>
              <w:rPr>
                <w:rFonts w:ascii="宋体" w:hAnsi="宋体" w:cs="宋体" w:eastAsia="宋体" w:hint="default"/>
                <w:sz w:val="18"/>
                <w:szCs w:val="18"/>
              </w:rPr>
            </w:pPr>
            <w:r>
              <w:rPr>
                <w:rFonts w:ascii="宋体" w:hAnsi="宋体" w:cs="宋体" w:eastAsia="宋体" w:hint="default"/>
                <w:spacing w:val="-2"/>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left="1003" w:right="0"/>
              <w:jc w:val="left"/>
              <w:rPr>
                <w:rFonts w:ascii="Times New Roman" w:hAnsi="Times New Roman" w:cs="Times New Roman" w:eastAsia="Times New Roman" w:hint="default"/>
                <w:sz w:val="18"/>
                <w:szCs w:val="18"/>
              </w:rPr>
            </w:pPr>
            <w:r>
              <w:rPr>
                <w:rFonts w:ascii="Times New Roman"/>
                <w:sz w:val="18"/>
              </w:rPr>
              <w:t>61.15%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详见巨潮资讯网</w:t>
            </w:r>
          </w:p>
          <w:p>
            <w:pPr>
              <w:pStyle w:val="TableParagraph"/>
              <w:spacing w:line="240" w:lineRule="auto" w:before="7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1297"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3" w:right="17" w:firstLine="91"/>
              <w:jc w:val="both"/>
              <w:rPr>
                <w:rFonts w:ascii="宋体" w:hAnsi="宋体" w:cs="宋体" w:eastAsia="宋体" w:hint="default"/>
                <w:sz w:val="18"/>
                <w:szCs w:val="18"/>
              </w:rPr>
            </w:pPr>
            <w:r>
              <w:rPr>
                <w:rFonts w:ascii="Times New Roman" w:hAnsi="Times New Roman" w:cs="Times New Roman" w:eastAsia="Times New Roman" w:hint="default"/>
                <w:spacing w:val="-11"/>
                <w:w w:val="101"/>
                <w:sz w:val="18"/>
                <w:szCs w:val="18"/>
              </w:rPr>
              <w:t>.com</w:t>
            </w:r>
            <w:r>
              <w:rPr>
                <w:rFonts w:ascii="宋体" w:hAnsi="宋体" w:cs="宋体" w:eastAsia="宋体" w:hint="default"/>
                <w:spacing w:val="-11"/>
                <w:w w:val="101"/>
                <w:sz w:val="18"/>
                <w:szCs w:val="18"/>
              </w:rPr>
              <w:t>）《</w:t>
            </w:r>
            <w:r>
              <w:rPr>
                <w:rFonts w:ascii="Times New Roman" w:hAnsi="Times New Roman" w:cs="Times New Roman" w:eastAsia="Times New Roman" w:hint="default"/>
                <w:spacing w:val="-11"/>
                <w:w w:val="101"/>
                <w:sz w:val="18"/>
                <w:szCs w:val="18"/>
              </w:rPr>
              <w:t>2019</w:t>
            </w:r>
            <w:r>
              <w:rPr>
                <w:rFonts w:ascii="Times New Roman" w:hAnsi="Times New Roman" w:cs="Times New Roman" w:eastAsia="Times New Roman" w:hint="default"/>
                <w:spacing w:val="-1"/>
                <w:w w:val="101"/>
                <w:sz w:val="18"/>
                <w:szCs w:val="18"/>
              </w:rPr>
              <w:t> </w:t>
            </w:r>
            <w:r>
              <w:rPr>
                <w:rFonts w:ascii="宋体" w:hAnsi="宋体" w:cs="宋体" w:eastAsia="宋体" w:hint="default"/>
                <w:spacing w:val="-5"/>
                <w:w w:val="101"/>
                <w:sz w:val="18"/>
                <w:szCs w:val="18"/>
              </w:rPr>
              <w:t>年第 </w:t>
            </w:r>
            <w:r>
              <w:rPr>
                <w:rFonts w:ascii="宋体" w:hAnsi="宋体" w:cs="宋体" w:eastAsia="宋体" w:hint="default"/>
                <w:sz w:val="18"/>
                <w:szCs w:val="18"/>
              </w:rPr>
              <w:t>一次临时股东大会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w w:val="101"/>
                <w:sz w:val="18"/>
                <w:szCs w:val="18"/>
              </w:rPr>
              <w:t>决议公告》公告编号</w:t>
            </w:r>
            <w:r>
              <w:rPr>
                <w:rFonts w:ascii="宋体" w:hAnsi="宋体" w:cs="宋体" w:eastAsia="宋体" w:hint="default"/>
                <w:spacing w:val="-12"/>
                <w:sz w:val="18"/>
                <w:szCs w:val="18"/>
              </w:rPr>
            </w:r>
          </w:p>
          <w:p>
            <w:pPr>
              <w:pStyle w:val="TableParagraph"/>
              <w:spacing w:line="240" w:lineRule="auto" w:before="29"/>
              <w:ind w:left="23"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2019-012</w:t>
            </w:r>
            <w:r>
              <w:rPr>
                <w:rFonts w:ascii="宋体" w:hAnsi="宋体" w:cs="宋体" w:eastAsia="宋体" w:hint="default"/>
                <w:sz w:val="18"/>
                <w:szCs w:val="18"/>
              </w:rPr>
              <w:t>）</w:t>
            </w:r>
          </w:p>
        </w:tc>
      </w:tr>
      <w:tr>
        <w:trPr>
          <w:trHeight w:val="196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304" w:lineRule="auto"/>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年第二次临时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both"/>
              <w:rPr>
                <w:rFonts w:ascii="宋体" w:hAnsi="宋体" w:cs="宋体" w:eastAsia="宋体" w:hint="default"/>
                <w:sz w:val="18"/>
                <w:szCs w:val="18"/>
              </w:rPr>
            </w:pPr>
            <w:r>
              <w:rPr>
                <w:rFonts w:ascii="宋体" w:hAnsi="宋体" w:cs="宋体" w:eastAsia="宋体" w:hint="default"/>
                <w:spacing w:val="-3"/>
                <w:sz w:val="18"/>
                <w:szCs w:val="18"/>
              </w:rPr>
              <w:t>详见巨潮资讯网</w:t>
            </w:r>
          </w:p>
          <w:p>
            <w:pPr>
              <w:pStyle w:val="TableParagraph"/>
              <w:spacing w:line="240" w:lineRule="auto" w:before="76"/>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09" w:lineRule="auto" w:before="63"/>
              <w:ind w:left="23" w:right="17" w:firstLine="91"/>
              <w:jc w:val="both"/>
              <w:rPr>
                <w:rFonts w:ascii="宋体" w:hAnsi="宋体" w:cs="宋体" w:eastAsia="宋体" w:hint="default"/>
                <w:sz w:val="18"/>
                <w:szCs w:val="18"/>
              </w:rPr>
            </w:pPr>
            <w:r>
              <w:rPr>
                <w:rFonts w:ascii="Times New Roman" w:hAnsi="Times New Roman" w:cs="Times New Roman" w:eastAsia="Times New Roman" w:hint="default"/>
                <w:spacing w:val="-11"/>
                <w:w w:val="101"/>
                <w:sz w:val="18"/>
                <w:szCs w:val="18"/>
              </w:rPr>
              <w:t>.com</w:t>
            </w:r>
            <w:r>
              <w:rPr>
                <w:rFonts w:ascii="宋体" w:hAnsi="宋体" w:cs="宋体" w:eastAsia="宋体" w:hint="default"/>
                <w:spacing w:val="-11"/>
                <w:w w:val="101"/>
                <w:sz w:val="18"/>
                <w:szCs w:val="18"/>
              </w:rPr>
              <w:t>）《</w:t>
            </w:r>
            <w:r>
              <w:rPr>
                <w:rFonts w:ascii="Times New Roman" w:hAnsi="Times New Roman" w:cs="Times New Roman" w:eastAsia="Times New Roman" w:hint="default"/>
                <w:spacing w:val="-11"/>
                <w:w w:val="101"/>
                <w:sz w:val="18"/>
                <w:szCs w:val="18"/>
              </w:rPr>
              <w:t>2019</w:t>
            </w:r>
            <w:r>
              <w:rPr>
                <w:rFonts w:ascii="Times New Roman" w:hAnsi="Times New Roman" w:cs="Times New Roman" w:eastAsia="Times New Roman" w:hint="default"/>
                <w:spacing w:val="-1"/>
                <w:w w:val="101"/>
                <w:sz w:val="18"/>
                <w:szCs w:val="18"/>
              </w:rPr>
              <w:t> </w:t>
            </w:r>
            <w:r>
              <w:rPr>
                <w:rFonts w:ascii="宋体" w:hAnsi="宋体" w:cs="宋体" w:eastAsia="宋体" w:hint="default"/>
                <w:spacing w:val="-5"/>
                <w:w w:val="101"/>
                <w:sz w:val="18"/>
                <w:szCs w:val="18"/>
              </w:rPr>
              <w:t>年第 </w:t>
            </w:r>
            <w:r>
              <w:rPr>
                <w:rFonts w:ascii="宋体" w:hAnsi="宋体" w:cs="宋体" w:eastAsia="宋体" w:hint="default"/>
                <w:sz w:val="18"/>
                <w:szCs w:val="18"/>
              </w:rPr>
              <w:t>二次临时股东大会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w w:val="101"/>
                <w:sz w:val="18"/>
                <w:szCs w:val="18"/>
              </w:rPr>
              <w:t>决议公告》公告编号</w:t>
            </w:r>
            <w:r>
              <w:rPr>
                <w:rFonts w:ascii="宋体" w:hAnsi="宋体" w:cs="宋体" w:eastAsia="宋体" w:hint="default"/>
                <w:spacing w:val="-12"/>
                <w:sz w:val="18"/>
                <w:szCs w:val="18"/>
              </w:rPr>
            </w:r>
          </w:p>
          <w:p>
            <w:pPr>
              <w:pStyle w:val="TableParagraph"/>
              <w:spacing w:line="240" w:lineRule="auto" w:before="29"/>
              <w:ind w:left="23"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2019-026</w:t>
            </w:r>
            <w:r>
              <w:rPr>
                <w:rFonts w:ascii="宋体" w:hAnsi="宋体" w:cs="宋体" w:eastAsia="宋体" w:hint="default"/>
                <w:sz w:val="18"/>
                <w:szCs w:val="18"/>
              </w:rPr>
              <w:t>）</w:t>
            </w:r>
          </w:p>
        </w:tc>
      </w:tr>
      <w:tr>
        <w:trPr>
          <w:trHeight w:val="165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300" w:lineRule="auto"/>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年年度股东大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详见巨潮资讯网</w:t>
            </w:r>
          </w:p>
          <w:p>
            <w:pPr>
              <w:pStyle w:val="TableParagraph"/>
              <w:spacing w:line="240" w:lineRule="auto" w:before="7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12" w:lineRule="auto" w:before="63"/>
              <w:ind w:left="23" w:right="-34" w:firstLine="91"/>
              <w:jc w:val="left"/>
              <w:rPr>
                <w:rFonts w:ascii="宋体" w:hAnsi="宋体" w:cs="宋体" w:eastAsia="宋体" w:hint="default"/>
                <w:sz w:val="18"/>
                <w:szCs w:val="18"/>
              </w:rPr>
            </w:pPr>
            <w:r>
              <w:rPr>
                <w:rFonts w:ascii="Times New Roman" w:hAnsi="Times New Roman" w:cs="Times New Roman" w:eastAsia="Times New Roman" w:hint="default"/>
                <w:spacing w:val="-11"/>
                <w:w w:val="101"/>
                <w:sz w:val="18"/>
                <w:szCs w:val="18"/>
              </w:rPr>
              <w:t>.com</w:t>
            </w:r>
            <w:r>
              <w:rPr>
                <w:rFonts w:ascii="宋体" w:hAnsi="宋体" w:cs="宋体" w:eastAsia="宋体" w:hint="default"/>
                <w:spacing w:val="-11"/>
                <w:w w:val="101"/>
                <w:sz w:val="18"/>
                <w:szCs w:val="18"/>
              </w:rPr>
              <w:t>）《</w:t>
            </w:r>
            <w:r>
              <w:rPr>
                <w:rFonts w:ascii="Times New Roman" w:hAnsi="Times New Roman" w:cs="Times New Roman" w:eastAsia="Times New Roman" w:hint="default"/>
                <w:spacing w:val="-11"/>
                <w:w w:val="101"/>
                <w:sz w:val="18"/>
                <w:szCs w:val="18"/>
              </w:rPr>
              <w:t>2018</w:t>
            </w:r>
            <w:r>
              <w:rPr>
                <w:rFonts w:ascii="Times New Roman" w:hAnsi="Times New Roman" w:cs="Times New Roman" w:eastAsia="Times New Roman" w:hint="default"/>
                <w:spacing w:val="-1"/>
                <w:w w:val="101"/>
                <w:sz w:val="18"/>
                <w:szCs w:val="18"/>
              </w:rPr>
              <w:t> </w:t>
            </w:r>
            <w:r>
              <w:rPr>
                <w:rFonts w:ascii="宋体" w:hAnsi="宋体" w:cs="宋体" w:eastAsia="宋体" w:hint="default"/>
                <w:spacing w:val="-5"/>
                <w:w w:val="101"/>
                <w:sz w:val="18"/>
                <w:szCs w:val="18"/>
              </w:rPr>
              <w:t>年股 </w:t>
            </w:r>
            <w:r>
              <w:rPr>
                <w:rFonts w:ascii="宋体" w:hAnsi="宋体" w:cs="宋体" w:eastAsia="宋体" w:hint="default"/>
                <w:spacing w:val="-12"/>
                <w:w w:val="101"/>
                <w:sz w:val="18"/>
                <w:szCs w:val="18"/>
              </w:rPr>
              <w:t>东大会决议公告》公</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pacing w:val="-2"/>
                <w:sz w:val="18"/>
                <w:szCs w:val="18"/>
              </w:rPr>
              <w:t>告编号（</w:t>
            </w:r>
            <w:r>
              <w:rPr>
                <w:rFonts w:ascii="Times New Roman" w:hAnsi="Times New Roman" w:cs="Times New Roman" w:eastAsia="Times New Roman" w:hint="default"/>
                <w:spacing w:val="-2"/>
                <w:sz w:val="18"/>
                <w:szCs w:val="18"/>
              </w:rPr>
              <w:t>2019-046</w:t>
            </w:r>
            <w:r>
              <w:rPr>
                <w:rFonts w:ascii="宋体" w:hAnsi="宋体" w:cs="宋体" w:eastAsia="宋体" w:hint="default"/>
                <w:spacing w:val="-2"/>
                <w:sz w:val="18"/>
                <w:szCs w:val="18"/>
              </w:rPr>
              <w:t>）</w:t>
            </w:r>
          </w:p>
        </w:tc>
      </w:tr>
      <w:tr>
        <w:trPr>
          <w:trHeight w:val="196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300" w:lineRule="auto"/>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年第三次临时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both"/>
              <w:rPr>
                <w:rFonts w:ascii="宋体" w:hAnsi="宋体" w:cs="宋体" w:eastAsia="宋体" w:hint="default"/>
                <w:sz w:val="18"/>
                <w:szCs w:val="18"/>
              </w:rPr>
            </w:pPr>
            <w:r>
              <w:rPr>
                <w:rFonts w:ascii="宋体" w:hAnsi="宋体" w:cs="宋体" w:eastAsia="宋体" w:hint="default"/>
                <w:spacing w:val="-3"/>
                <w:sz w:val="18"/>
                <w:szCs w:val="18"/>
              </w:rPr>
              <w:t>详见巨潮资讯网</w:t>
            </w:r>
          </w:p>
          <w:p>
            <w:pPr>
              <w:pStyle w:val="TableParagraph"/>
              <w:spacing w:line="240" w:lineRule="auto" w:before="71"/>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09" w:lineRule="auto" w:before="63"/>
              <w:ind w:left="23" w:right="17" w:firstLine="91"/>
              <w:jc w:val="both"/>
              <w:rPr>
                <w:rFonts w:ascii="宋体" w:hAnsi="宋体" w:cs="宋体" w:eastAsia="宋体" w:hint="default"/>
                <w:sz w:val="18"/>
                <w:szCs w:val="18"/>
              </w:rPr>
            </w:pPr>
            <w:r>
              <w:rPr>
                <w:rFonts w:ascii="Times New Roman" w:hAnsi="Times New Roman" w:cs="Times New Roman" w:eastAsia="Times New Roman" w:hint="default"/>
                <w:spacing w:val="-11"/>
                <w:w w:val="101"/>
                <w:sz w:val="18"/>
                <w:szCs w:val="18"/>
              </w:rPr>
              <w:t>.com</w:t>
            </w:r>
            <w:r>
              <w:rPr>
                <w:rFonts w:ascii="宋体" w:hAnsi="宋体" w:cs="宋体" w:eastAsia="宋体" w:hint="default"/>
                <w:spacing w:val="-11"/>
                <w:w w:val="101"/>
                <w:sz w:val="18"/>
                <w:szCs w:val="18"/>
              </w:rPr>
              <w:t>）《</w:t>
            </w:r>
            <w:r>
              <w:rPr>
                <w:rFonts w:ascii="Times New Roman" w:hAnsi="Times New Roman" w:cs="Times New Roman" w:eastAsia="Times New Roman" w:hint="default"/>
                <w:spacing w:val="-11"/>
                <w:w w:val="101"/>
                <w:sz w:val="18"/>
                <w:szCs w:val="18"/>
              </w:rPr>
              <w:t>2019</w:t>
            </w:r>
            <w:r>
              <w:rPr>
                <w:rFonts w:ascii="Times New Roman" w:hAnsi="Times New Roman" w:cs="Times New Roman" w:eastAsia="Times New Roman" w:hint="default"/>
                <w:spacing w:val="-1"/>
                <w:w w:val="101"/>
                <w:sz w:val="18"/>
                <w:szCs w:val="18"/>
              </w:rPr>
              <w:t> </w:t>
            </w:r>
            <w:r>
              <w:rPr>
                <w:rFonts w:ascii="宋体" w:hAnsi="宋体" w:cs="宋体" w:eastAsia="宋体" w:hint="default"/>
                <w:spacing w:val="-5"/>
                <w:w w:val="101"/>
                <w:sz w:val="18"/>
                <w:szCs w:val="18"/>
              </w:rPr>
              <w:t>年第 </w:t>
            </w:r>
            <w:r>
              <w:rPr>
                <w:rFonts w:ascii="宋体" w:hAnsi="宋体" w:cs="宋体" w:eastAsia="宋体" w:hint="default"/>
                <w:sz w:val="18"/>
                <w:szCs w:val="18"/>
              </w:rPr>
              <w:t>三次临时股东大会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w w:val="101"/>
                <w:sz w:val="18"/>
                <w:szCs w:val="18"/>
              </w:rPr>
              <w:t>决议公告》公告编号</w:t>
            </w:r>
            <w:r>
              <w:rPr>
                <w:rFonts w:ascii="宋体" w:hAnsi="宋体" w:cs="宋体" w:eastAsia="宋体" w:hint="default"/>
                <w:spacing w:val="-12"/>
                <w:sz w:val="18"/>
                <w:szCs w:val="18"/>
              </w:rPr>
            </w:r>
          </w:p>
          <w:p>
            <w:pPr>
              <w:pStyle w:val="TableParagraph"/>
              <w:spacing w:line="240" w:lineRule="auto" w:before="29"/>
              <w:ind w:left="23"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2019-072</w:t>
            </w:r>
            <w:r>
              <w:rPr>
                <w:rFonts w:ascii="宋体" w:hAnsi="宋体" w:cs="宋体" w:eastAsia="宋体" w:hint="default"/>
                <w:sz w:val="18"/>
                <w:szCs w:val="18"/>
              </w:rPr>
              <w:t>）</w:t>
            </w:r>
          </w:p>
        </w:tc>
      </w:tr>
      <w:tr>
        <w:trPr>
          <w:trHeight w:val="1959"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300" w:lineRule="auto"/>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年第四次临时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both"/>
              <w:rPr>
                <w:rFonts w:ascii="宋体" w:hAnsi="宋体" w:cs="宋体" w:eastAsia="宋体" w:hint="default"/>
                <w:sz w:val="18"/>
                <w:szCs w:val="18"/>
              </w:rPr>
            </w:pPr>
            <w:r>
              <w:rPr>
                <w:rFonts w:ascii="宋体" w:hAnsi="宋体" w:cs="宋体" w:eastAsia="宋体" w:hint="default"/>
                <w:spacing w:val="-3"/>
                <w:sz w:val="18"/>
                <w:szCs w:val="18"/>
              </w:rPr>
              <w:t>详见巨潮资讯网</w:t>
            </w:r>
          </w:p>
          <w:p>
            <w:pPr>
              <w:pStyle w:val="TableParagraph"/>
              <w:spacing w:line="240" w:lineRule="auto" w:before="71"/>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09" w:lineRule="auto" w:before="63"/>
              <w:ind w:left="23" w:right="17" w:firstLine="91"/>
              <w:jc w:val="both"/>
              <w:rPr>
                <w:rFonts w:ascii="宋体" w:hAnsi="宋体" w:cs="宋体" w:eastAsia="宋体" w:hint="default"/>
                <w:sz w:val="18"/>
                <w:szCs w:val="18"/>
              </w:rPr>
            </w:pPr>
            <w:r>
              <w:rPr>
                <w:rFonts w:ascii="Times New Roman" w:hAnsi="Times New Roman" w:cs="Times New Roman" w:eastAsia="Times New Roman" w:hint="default"/>
                <w:spacing w:val="-11"/>
                <w:w w:val="101"/>
                <w:sz w:val="18"/>
                <w:szCs w:val="18"/>
              </w:rPr>
              <w:t>.com</w:t>
            </w:r>
            <w:r>
              <w:rPr>
                <w:rFonts w:ascii="宋体" w:hAnsi="宋体" w:cs="宋体" w:eastAsia="宋体" w:hint="default"/>
                <w:spacing w:val="-11"/>
                <w:w w:val="101"/>
                <w:sz w:val="18"/>
                <w:szCs w:val="18"/>
              </w:rPr>
              <w:t>）《</w:t>
            </w:r>
            <w:r>
              <w:rPr>
                <w:rFonts w:ascii="Times New Roman" w:hAnsi="Times New Roman" w:cs="Times New Roman" w:eastAsia="Times New Roman" w:hint="default"/>
                <w:spacing w:val="-11"/>
                <w:w w:val="101"/>
                <w:sz w:val="18"/>
                <w:szCs w:val="18"/>
              </w:rPr>
              <w:t>2019</w:t>
            </w:r>
            <w:r>
              <w:rPr>
                <w:rFonts w:ascii="Times New Roman" w:hAnsi="Times New Roman" w:cs="Times New Roman" w:eastAsia="Times New Roman" w:hint="default"/>
                <w:spacing w:val="-1"/>
                <w:w w:val="101"/>
                <w:sz w:val="18"/>
                <w:szCs w:val="18"/>
              </w:rPr>
              <w:t> </w:t>
            </w:r>
            <w:r>
              <w:rPr>
                <w:rFonts w:ascii="宋体" w:hAnsi="宋体" w:cs="宋体" w:eastAsia="宋体" w:hint="default"/>
                <w:spacing w:val="-5"/>
                <w:w w:val="101"/>
                <w:sz w:val="18"/>
                <w:szCs w:val="18"/>
              </w:rPr>
              <w:t>年第 </w:t>
            </w:r>
            <w:r>
              <w:rPr>
                <w:rFonts w:ascii="宋体" w:hAnsi="宋体" w:cs="宋体" w:eastAsia="宋体" w:hint="default"/>
                <w:sz w:val="18"/>
                <w:szCs w:val="18"/>
              </w:rPr>
              <w:t>四次临时股东大会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w w:val="101"/>
                <w:sz w:val="18"/>
                <w:szCs w:val="18"/>
              </w:rPr>
              <w:t>决议公告》公告编号</w:t>
            </w:r>
            <w:r>
              <w:rPr>
                <w:rFonts w:ascii="宋体" w:hAnsi="宋体" w:cs="宋体" w:eastAsia="宋体" w:hint="default"/>
                <w:spacing w:val="-12"/>
                <w:sz w:val="18"/>
                <w:szCs w:val="18"/>
              </w:rPr>
            </w:r>
          </w:p>
          <w:p>
            <w:pPr>
              <w:pStyle w:val="TableParagraph"/>
              <w:spacing w:line="240" w:lineRule="auto" w:before="29"/>
              <w:ind w:left="23"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2019-090</w:t>
            </w:r>
            <w:r>
              <w:rPr>
                <w:rFonts w:ascii="宋体" w:hAnsi="宋体" w:cs="宋体" w:eastAsia="宋体" w:hint="default"/>
                <w:sz w:val="18"/>
                <w:szCs w:val="18"/>
              </w:rPr>
              <w:t>）</w:t>
            </w:r>
          </w:p>
        </w:tc>
      </w:tr>
      <w:tr>
        <w:trPr>
          <w:trHeight w:val="196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5"/>
                <w:szCs w:val="15"/>
              </w:rPr>
            </w:pPr>
          </w:p>
          <w:p>
            <w:pPr>
              <w:pStyle w:val="TableParagraph"/>
              <w:spacing w:line="304" w:lineRule="auto"/>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年第五次临时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both"/>
              <w:rPr>
                <w:rFonts w:ascii="宋体" w:hAnsi="宋体" w:cs="宋体" w:eastAsia="宋体" w:hint="default"/>
                <w:sz w:val="18"/>
                <w:szCs w:val="18"/>
              </w:rPr>
            </w:pPr>
            <w:r>
              <w:rPr>
                <w:rFonts w:ascii="宋体" w:hAnsi="宋体" w:cs="宋体" w:eastAsia="宋体" w:hint="default"/>
                <w:spacing w:val="-3"/>
                <w:sz w:val="18"/>
                <w:szCs w:val="18"/>
              </w:rPr>
              <w:t>详见巨潮资讯网</w:t>
            </w:r>
          </w:p>
          <w:p>
            <w:pPr>
              <w:pStyle w:val="TableParagraph"/>
              <w:spacing w:line="240" w:lineRule="auto" w:before="76"/>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09" w:lineRule="auto" w:before="63"/>
              <w:ind w:left="23" w:right="17" w:firstLine="91"/>
              <w:jc w:val="both"/>
              <w:rPr>
                <w:rFonts w:ascii="宋体" w:hAnsi="宋体" w:cs="宋体" w:eastAsia="宋体" w:hint="default"/>
                <w:sz w:val="18"/>
                <w:szCs w:val="18"/>
              </w:rPr>
            </w:pPr>
            <w:r>
              <w:rPr>
                <w:rFonts w:ascii="Times New Roman" w:hAnsi="Times New Roman" w:cs="Times New Roman" w:eastAsia="Times New Roman" w:hint="default"/>
                <w:spacing w:val="-11"/>
                <w:w w:val="101"/>
                <w:sz w:val="18"/>
                <w:szCs w:val="18"/>
              </w:rPr>
              <w:t>.com</w:t>
            </w:r>
            <w:r>
              <w:rPr>
                <w:rFonts w:ascii="宋体" w:hAnsi="宋体" w:cs="宋体" w:eastAsia="宋体" w:hint="default"/>
                <w:spacing w:val="-11"/>
                <w:w w:val="101"/>
                <w:sz w:val="18"/>
                <w:szCs w:val="18"/>
              </w:rPr>
              <w:t>）《</w:t>
            </w:r>
            <w:r>
              <w:rPr>
                <w:rFonts w:ascii="Times New Roman" w:hAnsi="Times New Roman" w:cs="Times New Roman" w:eastAsia="Times New Roman" w:hint="default"/>
                <w:spacing w:val="-11"/>
                <w:w w:val="101"/>
                <w:sz w:val="18"/>
                <w:szCs w:val="18"/>
              </w:rPr>
              <w:t>2019</w:t>
            </w:r>
            <w:r>
              <w:rPr>
                <w:rFonts w:ascii="Times New Roman" w:hAnsi="Times New Roman" w:cs="Times New Roman" w:eastAsia="Times New Roman" w:hint="default"/>
                <w:spacing w:val="-1"/>
                <w:w w:val="101"/>
                <w:sz w:val="18"/>
                <w:szCs w:val="18"/>
              </w:rPr>
              <w:t> </w:t>
            </w:r>
            <w:r>
              <w:rPr>
                <w:rFonts w:ascii="宋体" w:hAnsi="宋体" w:cs="宋体" w:eastAsia="宋体" w:hint="default"/>
                <w:spacing w:val="-5"/>
                <w:w w:val="101"/>
                <w:sz w:val="18"/>
                <w:szCs w:val="18"/>
              </w:rPr>
              <w:t>年第 </w:t>
            </w:r>
            <w:r>
              <w:rPr>
                <w:rFonts w:ascii="宋体" w:hAnsi="宋体" w:cs="宋体" w:eastAsia="宋体" w:hint="default"/>
                <w:sz w:val="18"/>
                <w:szCs w:val="18"/>
              </w:rPr>
              <w:t>五次临时股东大会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w w:val="101"/>
                <w:sz w:val="18"/>
                <w:szCs w:val="18"/>
              </w:rPr>
              <w:t>决议公告》公告编号</w:t>
            </w:r>
            <w:r>
              <w:rPr>
                <w:rFonts w:ascii="宋体" w:hAnsi="宋体" w:cs="宋体" w:eastAsia="宋体" w:hint="default"/>
                <w:spacing w:val="-12"/>
                <w:sz w:val="18"/>
                <w:szCs w:val="18"/>
              </w:rPr>
            </w:r>
          </w:p>
          <w:p>
            <w:pPr>
              <w:pStyle w:val="TableParagraph"/>
              <w:spacing w:line="240" w:lineRule="auto" w:before="29"/>
              <w:ind w:left="23"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2019-102</w:t>
            </w:r>
            <w:r>
              <w:rPr>
                <w:rFonts w:ascii="宋体" w:hAnsi="宋体" w:cs="宋体" w:eastAsia="宋体" w:hint="default"/>
                <w:sz w:val="18"/>
                <w:szCs w:val="18"/>
              </w:rPr>
              <w:t>）</w:t>
            </w:r>
          </w:p>
        </w:tc>
      </w:tr>
      <w:tr>
        <w:trPr>
          <w:trHeight w:val="196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5"/>
                <w:szCs w:val="15"/>
              </w:rPr>
            </w:pPr>
          </w:p>
          <w:p>
            <w:pPr>
              <w:pStyle w:val="TableParagraph"/>
              <w:spacing w:line="304" w:lineRule="auto"/>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年第六次临时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both"/>
              <w:rPr>
                <w:rFonts w:ascii="宋体" w:hAnsi="宋体" w:cs="宋体" w:eastAsia="宋体" w:hint="default"/>
                <w:sz w:val="18"/>
                <w:szCs w:val="18"/>
              </w:rPr>
            </w:pPr>
            <w:r>
              <w:rPr>
                <w:rFonts w:ascii="宋体" w:hAnsi="宋体" w:cs="宋体" w:eastAsia="宋体" w:hint="default"/>
                <w:spacing w:val="-3"/>
                <w:sz w:val="18"/>
                <w:szCs w:val="18"/>
              </w:rPr>
              <w:t>详见巨潮资讯网</w:t>
            </w:r>
          </w:p>
          <w:p>
            <w:pPr>
              <w:pStyle w:val="TableParagraph"/>
              <w:spacing w:line="240" w:lineRule="auto" w:before="77"/>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09" w:lineRule="auto" w:before="63"/>
              <w:ind w:left="23" w:right="17" w:firstLine="91"/>
              <w:jc w:val="both"/>
              <w:rPr>
                <w:rFonts w:ascii="宋体" w:hAnsi="宋体" w:cs="宋体" w:eastAsia="宋体" w:hint="default"/>
                <w:sz w:val="18"/>
                <w:szCs w:val="18"/>
              </w:rPr>
            </w:pPr>
            <w:r>
              <w:rPr>
                <w:rFonts w:ascii="Times New Roman" w:hAnsi="Times New Roman" w:cs="Times New Roman" w:eastAsia="Times New Roman" w:hint="default"/>
                <w:spacing w:val="-11"/>
                <w:w w:val="101"/>
                <w:sz w:val="18"/>
                <w:szCs w:val="18"/>
              </w:rPr>
              <w:t>.com</w:t>
            </w:r>
            <w:r>
              <w:rPr>
                <w:rFonts w:ascii="宋体" w:hAnsi="宋体" w:cs="宋体" w:eastAsia="宋体" w:hint="default"/>
                <w:spacing w:val="-11"/>
                <w:w w:val="101"/>
                <w:sz w:val="18"/>
                <w:szCs w:val="18"/>
              </w:rPr>
              <w:t>）《</w:t>
            </w:r>
            <w:r>
              <w:rPr>
                <w:rFonts w:ascii="Times New Roman" w:hAnsi="Times New Roman" w:cs="Times New Roman" w:eastAsia="Times New Roman" w:hint="default"/>
                <w:spacing w:val="-11"/>
                <w:w w:val="101"/>
                <w:sz w:val="18"/>
                <w:szCs w:val="18"/>
              </w:rPr>
              <w:t>2019</w:t>
            </w:r>
            <w:r>
              <w:rPr>
                <w:rFonts w:ascii="Times New Roman" w:hAnsi="Times New Roman" w:cs="Times New Roman" w:eastAsia="Times New Roman" w:hint="default"/>
                <w:spacing w:val="-1"/>
                <w:w w:val="101"/>
                <w:sz w:val="18"/>
                <w:szCs w:val="18"/>
              </w:rPr>
              <w:t> </w:t>
            </w:r>
            <w:r>
              <w:rPr>
                <w:rFonts w:ascii="宋体" w:hAnsi="宋体" w:cs="宋体" w:eastAsia="宋体" w:hint="default"/>
                <w:spacing w:val="-5"/>
                <w:w w:val="101"/>
                <w:sz w:val="18"/>
                <w:szCs w:val="18"/>
              </w:rPr>
              <w:t>年第 </w:t>
            </w:r>
            <w:r>
              <w:rPr>
                <w:rFonts w:ascii="宋体" w:hAnsi="宋体" w:cs="宋体" w:eastAsia="宋体" w:hint="default"/>
                <w:sz w:val="18"/>
                <w:szCs w:val="18"/>
              </w:rPr>
              <w:t>五次临时股东大会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w w:val="101"/>
                <w:sz w:val="18"/>
                <w:szCs w:val="18"/>
              </w:rPr>
              <w:t>决议公告》公告编号</w:t>
            </w:r>
            <w:r>
              <w:rPr>
                <w:rFonts w:ascii="宋体" w:hAnsi="宋体" w:cs="宋体" w:eastAsia="宋体" w:hint="default"/>
                <w:spacing w:val="-12"/>
                <w:sz w:val="18"/>
                <w:szCs w:val="18"/>
              </w:rPr>
            </w:r>
          </w:p>
          <w:p>
            <w:pPr>
              <w:pStyle w:val="TableParagraph"/>
              <w:spacing w:line="240" w:lineRule="auto" w:before="29"/>
              <w:ind w:left="23"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2019-107</w:t>
            </w:r>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bookmarkStart w:name="2、表决权恢复的优先股股东请求召开临时股东大会" w:id="141"/>
      <w:bookmarkEnd w:id="141"/>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741" w:footer="979" w:top="1060" w:bottom="1160" w:left="980" w:right="0"/>
        </w:sectPr>
      </w:pPr>
    </w:p>
    <w:p>
      <w:pPr>
        <w:spacing w:line="240" w:lineRule="auto" w:before="5"/>
        <w:rPr>
          <w:rFonts w:ascii="宋体" w:hAnsi="宋体" w:cs="宋体" w:eastAsia="宋体" w:hint="default"/>
          <w:sz w:val="23"/>
          <w:szCs w:val="23"/>
        </w:rPr>
      </w:pPr>
    </w:p>
    <w:p>
      <w:pPr>
        <w:pStyle w:val="Heading2"/>
        <w:spacing w:line="240" w:lineRule="auto" w:before="26"/>
        <w:ind w:right="0"/>
        <w:jc w:val="left"/>
        <w:rPr>
          <w:b w:val="0"/>
          <w:bCs w:val="0"/>
        </w:rPr>
      </w:pPr>
      <w:bookmarkStart w:name="五、报告期内独立董事履行职责的情况" w:id="142"/>
      <w:bookmarkEnd w:id="142"/>
      <w:r>
        <w:rPr>
          <w:b w:val="0"/>
          <w:bCs w:val="0"/>
        </w:rPr>
      </w:r>
      <w:r>
        <w:rPr/>
        <w:t>五、报告期内独立董事履行职责的情况</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0"/>
        <w:jc w:val="left"/>
        <w:rPr>
          <w:b w:val="0"/>
          <w:bCs w:val="0"/>
        </w:rPr>
      </w:pPr>
      <w:bookmarkStart w:name="1、独立董事出席董事会及股东大会的情况" w:id="143"/>
      <w:bookmarkEnd w:id="143"/>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6"/>
        <w:gridCol w:w="1167"/>
        <w:gridCol w:w="1162"/>
        <w:gridCol w:w="1167"/>
        <w:gridCol w:w="1162"/>
        <w:gridCol w:w="1162"/>
        <w:gridCol w:w="1162"/>
        <w:gridCol w:w="1167"/>
      </w:tblGrid>
      <w:tr>
        <w:trPr>
          <w:trHeight w:val="398" w:hRule="exact"/>
        </w:trPr>
        <w:tc>
          <w:tcPr>
            <w:tcW w:w="957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pacing w:val="-3"/>
                <w:sz w:val="18"/>
                <w:szCs w:val="18"/>
              </w:rPr>
              <w:t>独立董事出席董事会及股东大会的情况</w:t>
            </w:r>
          </w:p>
        </w:tc>
      </w:tr>
      <w:tr>
        <w:trPr>
          <w:trHeight w:val="1027"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38" w:right="31"/>
              <w:jc w:val="left"/>
              <w:rPr>
                <w:rFonts w:ascii="宋体" w:hAnsi="宋体" w:cs="宋体" w:eastAsia="宋体" w:hint="default"/>
                <w:sz w:val="18"/>
                <w:szCs w:val="18"/>
              </w:rPr>
            </w:pPr>
            <w:r>
              <w:rPr>
                <w:rFonts w:ascii="宋体" w:hAnsi="宋体" w:cs="宋体" w:eastAsia="宋体" w:hint="default"/>
                <w:spacing w:val="-2"/>
                <w:sz w:val="18"/>
                <w:szCs w:val="18"/>
              </w:rPr>
              <w:t>本报告期应参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加董事会次数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307" w:right="27" w:hanging="269"/>
              <w:jc w:val="left"/>
              <w:rPr>
                <w:rFonts w:ascii="宋体" w:hAnsi="宋体" w:cs="宋体" w:eastAsia="宋体" w:hint="default"/>
                <w:sz w:val="18"/>
                <w:szCs w:val="18"/>
              </w:rPr>
            </w:pPr>
            <w:r>
              <w:rPr>
                <w:rFonts w:ascii="宋体" w:hAnsi="宋体" w:cs="宋体" w:eastAsia="宋体" w:hint="default"/>
                <w:spacing w:val="-2"/>
                <w:sz w:val="18"/>
                <w:szCs w:val="18"/>
              </w:rPr>
              <w:t>现场出席董事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会次数</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38" w:right="31"/>
              <w:jc w:val="left"/>
              <w:rPr>
                <w:rFonts w:ascii="宋体" w:hAnsi="宋体" w:cs="宋体" w:eastAsia="宋体" w:hint="default"/>
                <w:sz w:val="18"/>
                <w:szCs w:val="18"/>
              </w:rPr>
            </w:pPr>
            <w:r>
              <w:rPr>
                <w:rFonts w:ascii="宋体" w:hAnsi="宋体" w:cs="宋体" w:eastAsia="宋体" w:hint="default"/>
                <w:spacing w:val="-2"/>
                <w:sz w:val="18"/>
                <w:szCs w:val="18"/>
              </w:rPr>
              <w:t>以通讯方式参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加董事会次数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307" w:right="27" w:hanging="269"/>
              <w:jc w:val="left"/>
              <w:rPr>
                <w:rFonts w:ascii="宋体" w:hAnsi="宋体" w:cs="宋体" w:eastAsia="宋体" w:hint="default"/>
                <w:sz w:val="18"/>
                <w:szCs w:val="18"/>
              </w:rPr>
            </w:pPr>
            <w:r>
              <w:rPr>
                <w:rFonts w:ascii="宋体" w:hAnsi="宋体" w:cs="宋体" w:eastAsia="宋体" w:hint="default"/>
                <w:spacing w:val="-2"/>
                <w:sz w:val="18"/>
                <w:szCs w:val="18"/>
              </w:rPr>
              <w:t>委托出席董事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489" w:right="27" w:hanging="452"/>
              <w:jc w:val="left"/>
              <w:rPr>
                <w:rFonts w:ascii="宋体" w:hAnsi="宋体" w:cs="宋体" w:eastAsia="宋体" w:hint="default"/>
                <w:sz w:val="18"/>
                <w:szCs w:val="18"/>
              </w:rPr>
            </w:pPr>
            <w:r>
              <w:rPr>
                <w:rFonts w:ascii="宋体" w:hAnsi="宋体" w:cs="宋体" w:eastAsia="宋体" w:hint="default"/>
                <w:spacing w:val="-2"/>
                <w:sz w:val="18"/>
                <w:szCs w:val="18"/>
              </w:rPr>
              <w:t>缺席董事会次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38" w:right="27"/>
              <w:jc w:val="center"/>
              <w:rPr>
                <w:rFonts w:ascii="宋体" w:hAnsi="宋体" w:cs="宋体" w:eastAsia="宋体" w:hint="default"/>
                <w:sz w:val="18"/>
                <w:szCs w:val="18"/>
              </w:rPr>
            </w:pPr>
            <w:r>
              <w:rPr>
                <w:rFonts w:ascii="宋体" w:hAnsi="宋体" w:cs="宋体" w:eastAsia="宋体" w:hint="default"/>
                <w:spacing w:val="-2"/>
                <w:sz w:val="18"/>
                <w:szCs w:val="18"/>
              </w:rPr>
              <w:t>是否连续两次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未亲自参加董</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事会会议</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403" w:right="26" w:hanging="360"/>
              <w:jc w:val="left"/>
              <w:rPr>
                <w:rFonts w:ascii="宋体" w:hAnsi="宋体" w:cs="宋体" w:eastAsia="宋体" w:hint="default"/>
                <w:sz w:val="18"/>
                <w:szCs w:val="18"/>
              </w:rPr>
            </w:pPr>
            <w:r>
              <w:rPr>
                <w:rFonts w:ascii="宋体" w:hAnsi="宋体" w:cs="宋体" w:eastAsia="宋体" w:hint="default"/>
                <w:spacing w:val="-2"/>
                <w:sz w:val="18"/>
                <w:szCs w:val="18"/>
              </w:rPr>
              <w:t>出席股东大会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次数</w:t>
            </w:r>
          </w:p>
        </w:tc>
      </w:tr>
      <w:tr>
        <w:trPr>
          <w:trHeight w:val="404"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沈红</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5"/>
                <w:sz w:val="18"/>
              </w:rPr>
              <w:t>11</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曹健</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5"/>
                <w:sz w:val="18"/>
              </w:rPr>
              <w:t>11</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r>
      <w:tr>
        <w:trPr>
          <w:trHeight w:val="398"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冯忆文</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5"/>
                <w:sz w:val="18"/>
              </w:rPr>
              <w:t>11</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r>
    </w:tbl>
    <w:p>
      <w:pPr>
        <w:pStyle w:val="BodyText"/>
        <w:spacing w:line="362" w:lineRule="auto" w:before="53"/>
        <w:ind w:right="7956"/>
        <w:jc w:val="left"/>
      </w:pPr>
      <w:r>
        <w:rPr>
          <w:spacing w:val="-3"/>
        </w:rPr>
        <w:t>连续两次未亲自出席董事会的说明</w:t>
      </w:r>
      <w:r>
        <w:rPr>
          <w:spacing w:val="-44"/>
        </w:rPr>
        <w:t> </w:t>
      </w:r>
      <w:r>
        <w:rPr>
          <w:spacing w:val="-44"/>
        </w:rPr>
      </w:r>
      <w:r>
        <w:rPr/>
        <w:t>无</w:t>
      </w:r>
    </w:p>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bookmarkStart w:name="2、独立董事对公司有关事项提出异议的情况" w:id="144"/>
      <w:bookmarkEnd w:id="144"/>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spacing w:val="-3"/>
        </w:rPr>
        <w:t>独立董事对公司有关事项是否提出异议</w:t>
      </w:r>
    </w:p>
    <w:p>
      <w:pPr>
        <w:pStyle w:val="BodyText"/>
        <w:spacing w:line="338" w:lineRule="auto" w:before="119"/>
        <w:ind w:right="6287"/>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4"/>
        </w:rPr>
        <w:t> </w:t>
      </w:r>
      <w:r>
        <w:rPr>
          <w:spacing w:val="-3"/>
        </w:rPr>
        <w:t>报告期内独立董事对公司有关事项未提出异议。</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3、独立董事履行职责的其他说明" w:id="145"/>
      <w:bookmarkEnd w:id="145"/>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spacing w:val="-3"/>
        </w:rPr>
        <w:t>独立董事对公司有关建议是否被采纳</w:t>
      </w:r>
    </w:p>
    <w:p>
      <w:pPr>
        <w:pStyle w:val="BodyText"/>
        <w:spacing w:line="345" w:lineRule="auto" w:before="120"/>
        <w:ind w:right="6717"/>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否</w:t>
      </w:r>
      <w:r>
        <w:rPr>
          <w:spacing w:val="-83"/>
        </w:rPr>
        <w:t> </w:t>
      </w:r>
      <w:r>
        <w:rPr>
          <w:spacing w:val="-3"/>
        </w:rPr>
        <w:t>独立董事对公司有关建议被采纳或未被采纳的说明</w:t>
      </w:r>
      <w:r>
        <w:rPr>
          <w:spacing w:val="-22"/>
        </w:rPr>
        <w:t> </w:t>
      </w:r>
      <w:r>
        <w:rPr>
          <w:spacing w:val="-22"/>
        </w:rPr>
      </w:r>
      <w:r>
        <w:rPr/>
        <w:t>无</w:t>
      </w:r>
    </w:p>
    <w:p>
      <w:pPr>
        <w:spacing w:line="240" w:lineRule="auto" w:before="8"/>
        <w:rPr>
          <w:rFonts w:ascii="宋体" w:hAnsi="宋体" w:cs="宋体" w:eastAsia="宋体" w:hint="default"/>
          <w:sz w:val="18"/>
          <w:szCs w:val="18"/>
        </w:rPr>
      </w:pPr>
    </w:p>
    <w:p>
      <w:pPr>
        <w:pStyle w:val="Heading2"/>
        <w:spacing w:line="240" w:lineRule="auto"/>
        <w:ind w:right="0"/>
        <w:jc w:val="left"/>
        <w:rPr>
          <w:b w:val="0"/>
          <w:bCs w:val="0"/>
        </w:rPr>
      </w:pPr>
      <w:bookmarkStart w:name="六、董事会下设专门委员会在报告期内履行职责情况" w:id="146"/>
      <w:bookmarkEnd w:id="146"/>
      <w:r>
        <w:rPr>
          <w:b w:val="0"/>
          <w:bCs w:val="0"/>
        </w:rPr>
      </w:r>
      <w:r>
        <w:rPr/>
        <w:t>六、董事会下设专门委员会在报告期内履行职责情况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left="575" w:right="0"/>
        <w:jc w:val="left"/>
      </w:pPr>
      <w:r>
        <w:rPr>
          <w:spacing w:val="-3"/>
        </w:rPr>
        <w:t>公司董事会下设审计委员会、战略委员会、提名委员会及薪酬与考核委员会四个专门委员会。履职情况如下：</w:t>
      </w:r>
    </w:p>
    <w:p>
      <w:pPr>
        <w:pStyle w:val="BodyText"/>
        <w:spacing w:line="312" w:lineRule="auto" w:before="76"/>
        <w:ind w:right="1123" w:firstLine="422"/>
        <w:jc w:val="both"/>
      </w:pPr>
      <w:r>
        <w:rPr>
          <w:rFonts w:ascii="Times New Roman" w:hAnsi="Times New Roman" w:cs="Times New Roman" w:eastAsia="Times New Roman" w:hint="default"/>
          <w:spacing w:val="-4"/>
        </w:rPr>
        <w:t>1</w:t>
      </w:r>
      <w:r>
        <w:rPr>
          <w:spacing w:val="-4"/>
        </w:rPr>
        <w:t>、审计委员会的履职情况报告期内，根据公司《审计委员会工作细则》，审计委员会充分发挥了其在公司经营发展中</w:t>
      </w:r>
      <w:r>
        <w:rPr>
          <w:w w:val="101"/>
        </w:rPr>
        <w:t> </w:t>
      </w:r>
      <w:r>
        <w:rPr>
          <w:spacing w:val="-8"/>
          <w:w w:val="101"/>
        </w:rPr>
        <w:t>的审核与监督作用，主要负责监督公司内部控制实施情况、内部审计制度及其实施情况、以及外部审计机构的沟通协调工作。</w:t>
      </w:r>
      <w:r>
        <w:rPr>
          <w:spacing w:val="-53"/>
          <w:w w:val="101"/>
        </w:rPr>
        <w:t> </w:t>
      </w:r>
      <w:r>
        <w:rPr>
          <w:spacing w:val="-53"/>
          <w:w w:val="101"/>
        </w:rPr>
      </w:r>
      <w:r>
        <w:rPr>
          <w:spacing w:val="-4"/>
        </w:rPr>
        <w:t>报告期内，审计委员会对内部审计工作、年度审计工作计划、内部控制、季报、中报和年度报告等定期财务报告事项进行了</w:t>
      </w:r>
      <w:r>
        <w:rPr>
          <w:spacing w:val="41"/>
        </w:rPr>
        <w:t> </w:t>
      </w:r>
      <w:r>
        <w:rPr>
          <w:spacing w:val="41"/>
        </w:rPr>
      </w:r>
      <w:r>
        <w:rPr/>
        <w:t>审阅和核查。</w:t>
      </w:r>
    </w:p>
    <w:p>
      <w:pPr>
        <w:pStyle w:val="BodyText"/>
        <w:spacing w:line="300" w:lineRule="auto" w:before="23"/>
        <w:ind w:right="0" w:firstLine="422"/>
        <w:jc w:val="left"/>
      </w:pPr>
      <w:r>
        <w:rPr>
          <w:rFonts w:ascii="Times New Roman" w:hAnsi="Times New Roman" w:cs="Times New Roman" w:eastAsia="Times New Roman" w:hint="default"/>
          <w:spacing w:val="-4"/>
        </w:rPr>
        <w:t>2</w:t>
      </w:r>
      <w:r>
        <w:rPr>
          <w:spacing w:val="-4"/>
        </w:rPr>
        <w:t>、战略决策委员会的履职情况报告期内，公司战略决策委员会根据公司《战略委员会工作细则》的规定，结合当前经</w:t>
      </w:r>
      <w:r>
        <w:rPr>
          <w:w w:val="101"/>
        </w:rPr>
        <w:t> </w:t>
      </w:r>
      <w:r>
        <w:rPr>
          <w:spacing w:val="-3"/>
        </w:rPr>
        <w:t>济形势和公司发展情况，对公司的再融资方案进行了审核，在公司的战略制定及长期经营发展中发挥重要作用。</w:t>
      </w:r>
    </w:p>
    <w:p>
      <w:pPr>
        <w:pStyle w:val="BodyText"/>
        <w:spacing w:line="300" w:lineRule="auto" w:before="31"/>
        <w:ind w:right="0" w:firstLine="422"/>
        <w:jc w:val="left"/>
      </w:pPr>
      <w:r>
        <w:rPr>
          <w:rFonts w:ascii="Times New Roman" w:hAnsi="Times New Roman" w:cs="Times New Roman" w:eastAsia="Times New Roman" w:hint="default"/>
          <w:spacing w:val="-4"/>
        </w:rPr>
        <w:t>3</w:t>
      </w:r>
      <w:r>
        <w:rPr>
          <w:spacing w:val="-4"/>
        </w:rPr>
        <w:t>、提名委员会的履职情况报告期内，公司提名委员会依照《提名委员会工作细则》的要求，对公司第二届董事会换届</w:t>
      </w:r>
      <w:r>
        <w:rPr>
          <w:w w:val="101"/>
        </w:rPr>
        <w:t> </w:t>
      </w:r>
      <w:r>
        <w:rPr>
          <w:spacing w:val="-3"/>
        </w:rPr>
        <w:t>事项，董事、高级管理人员的增补更替履行了审查职责，并对相关候选人的聘任提出了宝贵意见。</w:t>
      </w:r>
    </w:p>
    <w:p>
      <w:pPr>
        <w:pStyle w:val="BodyText"/>
        <w:spacing w:line="309" w:lineRule="auto" w:before="31"/>
        <w:ind w:right="0" w:firstLine="422"/>
        <w:jc w:val="left"/>
      </w:pPr>
      <w:r>
        <w:rPr>
          <w:rFonts w:ascii="Times New Roman" w:hAnsi="Times New Roman" w:cs="Times New Roman" w:eastAsia="Times New Roman" w:hint="default"/>
          <w:spacing w:val="-2"/>
        </w:rPr>
        <w:t>4</w:t>
      </w:r>
      <w:r>
        <w:rPr>
          <w:spacing w:val="-2"/>
        </w:rPr>
        <w:t>、薪酬与考核委员会的履职情况报告期内，公司薪酬与考核委员会依照公司《薪酬与考核委员会工作细则》的要求，</w:t>
      </w:r>
      <w:r>
        <w:rPr>
          <w:w w:val="101"/>
        </w:rPr>
        <w:t> </w:t>
      </w:r>
      <w:r>
        <w:rPr>
          <w:spacing w:val="-4"/>
          <w:w w:val="101"/>
        </w:rPr>
        <w:t>重点对公司董事及高级管理人员的薪酬政策及执行情况进行审查，同时对公司的股权激励计划预留股份授予事项和解锁事项</w:t>
      </w:r>
      <w:r>
        <w:rPr>
          <w:w w:val="101"/>
        </w:rPr>
        <w:t> </w:t>
      </w:r>
      <w:r>
        <w:rPr>
          <w:spacing w:val="-3"/>
        </w:rPr>
        <w:t>进行了审查，积极履行了薪酬与考核委员会的相应职责。</w:t>
      </w:r>
    </w:p>
    <w:p>
      <w:pPr>
        <w:spacing w:after="0" w:line="309" w:lineRule="auto"/>
        <w:jc w:val="left"/>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Heading2"/>
        <w:spacing w:line="240" w:lineRule="auto" w:before="26"/>
        <w:ind w:right="0"/>
        <w:jc w:val="both"/>
        <w:rPr>
          <w:b w:val="0"/>
          <w:bCs w:val="0"/>
        </w:rPr>
      </w:pPr>
      <w:bookmarkStart w:name="七、监事会工作情况" w:id="147"/>
      <w:bookmarkEnd w:id="147"/>
      <w:r>
        <w:rPr>
          <w:b w:val="0"/>
          <w:bCs w:val="0"/>
        </w:rPr>
      </w:r>
      <w:r>
        <w:rPr/>
        <w:t>七、监事会工作情况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both"/>
      </w:pPr>
      <w:r>
        <w:rPr>
          <w:spacing w:val="-3"/>
        </w:rPr>
        <w:t>监事会在报告期内的监督活动中发现公司是否存在风险</w:t>
      </w:r>
    </w:p>
    <w:p>
      <w:pPr>
        <w:pStyle w:val="BodyText"/>
        <w:spacing w:line="338" w:lineRule="auto" w:before="115"/>
        <w:ind w:right="7272"/>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4"/>
        </w:rPr>
        <w:t> </w:t>
      </w:r>
      <w:r>
        <w:rPr>
          <w:spacing w:val="-3"/>
        </w:rPr>
        <w:t>公司监事会对报告期内的监督事项无异议。</w:t>
      </w:r>
    </w:p>
    <w:p>
      <w:pPr>
        <w:spacing w:line="240" w:lineRule="auto" w:before="9"/>
        <w:rPr>
          <w:rFonts w:ascii="宋体" w:hAnsi="宋体" w:cs="宋体" w:eastAsia="宋体" w:hint="default"/>
          <w:sz w:val="18"/>
          <w:szCs w:val="18"/>
        </w:rPr>
      </w:pPr>
    </w:p>
    <w:p>
      <w:pPr>
        <w:pStyle w:val="Heading2"/>
        <w:spacing w:line="240" w:lineRule="auto"/>
        <w:ind w:right="0"/>
        <w:jc w:val="both"/>
        <w:rPr>
          <w:b w:val="0"/>
          <w:bCs w:val="0"/>
        </w:rPr>
      </w:pPr>
      <w:bookmarkStart w:name="八、高级管理人员的考评及激励情况" w:id="148"/>
      <w:bookmarkEnd w:id="148"/>
      <w:r>
        <w:rPr>
          <w:b w:val="0"/>
          <w:bCs w:val="0"/>
        </w:rPr>
      </w:r>
      <w:r>
        <w:rPr/>
        <w:t>八、高级管理人员的考评及激励情况</w:t>
      </w:r>
      <w:r>
        <w:rPr>
          <w:b w:val="0"/>
          <w:bCs w:val="0"/>
        </w:rPr>
      </w:r>
    </w:p>
    <w:p>
      <w:pPr>
        <w:spacing w:line="240" w:lineRule="auto" w:before="3"/>
        <w:rPr>
          <w:rFonts w:ascii="宋体" w:hAnsi="宋体" w:cs="宋体" w:eastAsia="宋体" w:hint="default"/>
          <w:b/>
          <w:bCs/>
          <w:sz w:val="27"/>
          <w:szCs w:val="27"/>
        </w:rPr>
      </w:pPr>
    </w:p>
    <w:p>
      <w:pPr>
        <w:pStyle w:val="BodyText"/>
        <w:spacing w:line="338" w:lineRule="auto"/>
        <w:ind w:right="0" w:firstLine="360"/>
        <w:jc w:val="left"/>
      </w:pPr>
      <w:r>
        <w:rPr>
          <w:spacing w:val="-8"/>
          <w:w w:val="101"/>
        </w:rPr>
        <w:t>公司建立了高级管理人员薪酬与公司业绩挂钩的绩效考核与激励约束机制，高级管理人员的聘任公开、透明，符合法律、</w:t>
      </w:r>
      <w:r>
        <w:rPr>
          <w:w w:val="101"/>
        </w:rPr>
        <w:t> </w:t>
      </w:r>
      <w:r>
        <w:rPr>
          <w:spacing w:val="-3"/>
        </w:rPr>
        <w:t>法规的规定。公司董事会下设的提名、薪酬和考核委员会负责对公司董事及高级管理人员进行绩效考核。</w:t>
      </w:r>
      <w:r>
        <w:rPr>
          <w:spacing w:val="43"/>
        </w:rPr>
        <w:t> </w:t>
      </w:r>
      <w:r>
        <w:rPr>
          <w:spacing w:val="43"/>
        </w:rPr>
      </w:r>
      <w:r>
        <w:rPr>
          <w:spacing w:val="-4"/>
        </w:rPr>
        <w:t>为进一步健全公司长效激励机制，充分调动公司核心团队的积极性，吸引和保留优秀人才，有效地将公司利益、股东利益和</w:t>
      </w:r>
    </w:p>
    <w:p>
      <w:pPr>
        <w:pStyle w:val="BodyText"/>
        <w:spacing w:line="309" w:lineRule="auto" w:before="2"/>
        <w:ind w:right="1124"/>
        <w:jc w:val="both"/>
      </w:pPr>
      <w:r>
        <w:rPr>
          <w:spacing w:val="-4"/>
        </w:rPr>
        <w:t>核心团队个人利益结合在一起，保障公司发展战略和经营目标的实现，在充分保障股东利益的前提下，按照收益与贡献对等</w:t>
      </w:r>
      <w:r>
        <w:rPr>
          <w:spacing w:val="43"/>
        </w:rPr>
        <w:t> </w:t>
      </w:r>
      <w:r>
        <w:rPr>
          <w:spacing w:val="43"/>
        </w:rPr>
      </w:r>
      <w:r>
        <w:rPr>
          <w:spacing w:val="-4"/>
        </w:rPr>
        <w:t>原则，根据相关法律、法规、规范性文件以及《公司章程》的规定，公司于</w:t>
      </w:r>
      <w:r>
        <w:rPr>
          <w:rFonts w:ascii="Times New Roman" w:hAnsi="Times New Roman" w:cs="Times New Roman" w:eastAsia="Times New Roman" w:hint="default"/>
          <w:spacing w:val="-4"/>
        </w:rPr>
        <w:t>2017</w:t>
      </w:r>
      <w:r>
        <w:rPr>
          <w:spacing w:val="-4"/>
        </w:rPr>
        <w:t>年启动了限制性股票激励计划，该激励计划</w:t>
      </w:r>
      <w:r>
        <w:rPr>
          <w:spacing w:val="44"/>
        </w:rPr>
        <w:t> </w:t>
      </w:r>
      <w:r>
        <w:rPr>
          <w:spacing w:val="44"/>
        </w:rPr>
      </w:r>
      <w:r>
        <w:rPr>
          <w:spacing w:val="-4"/>
        </w:rPr>
        <w:t>的激励对象包括公司高级管理人员、核心管理人员、核心技术（业务）人员。实施股权激励计划后，被授予的激励对象长期</w:t>
      </w:r>
      <w:r>
        <w:rPr>
          <w:spacing w:val="40"/>
        </w:rPr>
        <w:t> </w:t>
      </w:r>
      <w:r>
        <w:rPr>
          <w:spacing w:val="40"/>
        </w:rPr>
      </w:r>
      <w:r>
        <w:rPr>
          <w:spacing w:val="-3"/>
        </w:rPr>
        <w:t>价值能够通过股权激励得到体现，工作积极性大幅提高，同时，其以股东的身份参与公司决策、利润分享</w:t>
      </w:r>
      <w:r>
        <w:rPr>
          <w:rFonts w:ascii="Times New Roman" w:hAnsi="Times New Roman" w:cs="Times New Roman" w:eastAsia="Times New Roman" w:hint="default"/>
          <w:spacing w:val="-3"/>
        </w:rPr>
        <w:t>,</w:t>
      </w:r>
      <w:r>
        <w:rPr>
          <w:spacing w:val="-3"/>
        </w:rPr>
        <w:t>并承担经营风险</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7"/>
        </w:rPr>
        <w:t> </w:t>
      </w:r>
      <w:r>
        <w:rPr>
          <w:spacing w:val="-3"/>
        </w:rPr>
        <w:t>员工自身利益与公司利益更大程度地保持一致</w:t>
      </w:r>
      <w:r>
        <w:rPr>
          <w:rFonts w:ascii="Times New Roman" w:hAnsi="Times New Roman" w:cs="Times New Roman" w:eastAsia="Times New Roman" w:hint="default"/>
          <w:spacing w:val="-3"/>
        </w:rPr>
        <w:t>,</w:t>
      </w:r>
      <w:r>
        <w:rPr>
          <w:spacing w:val="-3"/>
        </w:rPr>
        <w:t>公司业绩与个人绩效强相关，实现员工与公司的共同发展。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8"/>
          <w:szCs w:val="18"/>
        </w:rPr>
      </w:pPr>
    </w:p>
    <w:p>
      <w:pPr>
        <w:pStyle w:val="Heading2"/>
        <w:spacing w:line="240" w:lineRule="auto"/>
        <w:ind w:right="0"/>
        <w:jc w:val="both"/>
        <w:rPr>
          <w:b w:val="0"/>
          <w:bCs w:val="0"/>
        </w:rPr>
      </w:pPr>
      <w:bookmarkStart w:name="九、内部控制评价报告" w:id="149"/>
      <w:bookmarkEnd w:id="149"/>
      <w:r>
        <w:rPr>
          <w:b w:val="0"/>
          <w:bCs w:val="0"/>
        </w:rPr>
      </w: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bookmarkStart w:name="1、报告期内发现的内部控制重大缺陷的具体情况" w:id="150"/>
      <w:bookmarkEnd w:id="150"/>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5"/>
          <w:szCs w:val="25"/>
        </w:rPr>
      </w:pPr>
    </w:p>
    <w:p>
      <w:pPr>
        <w:pStyle w:val="Heading4"/>
        <w:spacing w:line="240" w:lineRule="auto"/>
        <w:ind w:right="0"/>
        <w:jc w:val="both"/>
        <w:rPr>
          <w:b w:val="0"/>
          <w:bCs w:val="0"/>
        </w:rPr>
      </w:pPr>
      <w:bookmarkStart w:name="2、内控自我评价报告" w:id="151"/>
      <w:bookmarkEnd w:id="151"/>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2"/>
          <w:szCs w:val="22"/>
        </w:rPr>
      </w:pPr>
    </w:p>
    <w:p>
      <w:pPr>
        <w:pStyle w:val="BodyText"/>
        <w:spacing w:line="240" w:lineRule="auto" w:before="46"/>
        <w:ind w:left="0" w:right="1127"/>
        <w:jc w:val="right"/>
      </w:pPr>
      <w:r>
        <w:rPr/>
        <w:pict>
          <v:shape style="position:absolute;margin-left:56.424pt;margin-top:-246.224258pt;width:479.25pt;height:264.1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8"/>
                    <w:gridCol w:w="3333"/>
                    <w:gridCol w:w="3049"/>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内部控制评价报告全文披露日期</w:t>
                        </w:r>
                      </w:p>
                    </w:tc>
                    <w:tc>
                      <w:tcPr>
                        <w:tcW w:w="638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内部控制评价报告全文披露索引</w:t>
                        </w:r>
                      </w:p>
                    </w:tc>
                    <w:tc>
                      <w:tcPr>
                        <w:tcW w:w="638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pacing w:val="-3"/>
                            <w:sz w:val="18"/>
                            <w:szCs w:val="18"/>
                          </w:rPr>
                          <w:t>详见巨潮资讯网（</w:t>
                        </w:r>
                        <w:hyperlink r:id="rId11">
                          <w:r>
                            <w:rPr>
                              <w:rFonts w:ascii="Times New Roman" w:hAnsi="Times New Roman" w:cs="Times New Roman" w:eastAsia="Times New Roman" w:hint="default"/>
                              <w:spacing w:val="-3"/>
                              <w:sz w:val="18"/>
                              <w:szCs w:val="18"/>
                            </w:rPr>
                            <w:t>http://www.cninfo.com.cn</w:t>
                          </w:r>
                        </w:hyperlink>
                        <w:r>
                          <w:rPr>
                            <w:rFonts w:ascii="宋体" w:hAnsi="宋体" w:cs="宋体" w:eastAsia="宋体" w:hint="default"/>
                            <w:spacing w:val="-3"/>
                            <w:sz w:val="18"/>
                            <w:szCs w:val="18"/>
                          </w:rPr>
                          <w:t>）</w:t>
                        </w:r>
                      </w:p>
                    </w:tc>
                  </w:tr>
                  <w:tr>
                    <w:trPr>
                      <w:trHeight w:val="71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89"/>
                          <w:jc w:val="left"/>
                          <w:rPr>
                            <w:rFonts w:ascii="宋体" w:hAnsi="宋体" w:cs="宋体" w:eastAsia="宋体" w:hint="default"/>
                            <w:sz w:val="18"/>
                            <w:szCs w:val="18"/>
                          </w:rPr>
                        </w:pPr>
                        <w:r>
                          <w:rPr>
                            <w:rFonts w:ascii="宋体" w:hAnsi="宋体" w:cs="宋体" w:eastAsia="宋体" w:hint="default"/>
                            <w:spacing w:val="-3"/>
                            <w:sz w:val="18"/>
                            <w:szCs w:val="18"/>
                          </w:rPr>
                          <w:t>纳入评价范围单位资产总额占公司合并</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财务报表资产总额的比例</w:t>
                        </w:r>
                      </w:p>
                    </w:tc>
                    <w:tc>
                      <w:tcPr>
                        <w:tcW w:w="638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89"/>
                          <w:jc w:val="left"/>
                          <w:rPr>
                            <w:rFonts w:ascii="宋体" w:hAnsi="宋体" w:cs="宋体" w:eastAsia="宋体" w:hint="default"/>
                            <w:sz w:val="18"/>
                            <w:szCs w:val="18"/>
                          </w:rPr>
                        </w:pPr>
                        <w:r>
                          <w:rPr>
                            <w:rFonts w:ascii="宋体" w:hAnsi="宋体" w:cs="宋体" w:eastAsia="宋体" w:hint="default"/>
                            <w:spacing w:val="-3"/>
                            <w:sz w:val="18"/>
                            <w:szCs w:val="18"/>
                          </w:rPr>
                          <w:t>纳入评价范围单位营业收入占公司合并</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财务报表营业收入的比例</w:t>
                        </w:r>
                      </w:p>
                    </w:tc>
                    <w:tc>
                      <w:tcPr>
                        <w:tcW w:w="638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398"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5"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917" w:hRule="exact"/>
                    </w:trPr>
                    <w:tc>
                      <w:tcPr>
                        <w:tcW w:w="3188" w:type="dxa"/>
                        <w:tcBorders>
                          <w:top w:val="single" w:sz="4" w:space="0" w:color="000000"/>
                          <w:left w:val="single" w:sz="4" w:space="0" w:color="000000"/>
                          <w:bottom w:val="nil" w:sz="6" w:space="0" w:color="auto"/>
                          <w:right w:val="single" w:sz="4" w:space="0" w:color="000000"/>
                        </w:tcBorders>
                        <w:shd w:val="clear" w:color="auto" w:fill="D2D2D2"/>
                      </w:tcPr>
                      <w:p>
                        <w:pPr/>
                      </w:p>
                    </w:tc>
                    <w:tc>
                      <w:tcPr>
                        <w:tcW w:w="3333" w:type="dxa"/>
                        <w:vMerge w:val="restart"/>
                        <w:tcBorders>
                          <w:top w:val="single" w:sz="4" w:space="0" w:color="000000"/>
                          <w:left w:val="single" w:sz="10" w:space="0" w:color="D2D2D2"/>
                          <w:right w:val="single" w:sz="4" w:space="0" w:color="000000"/>
                        </w:tcBorders>
                      </w:tcPr>
                      <w:p>
                        <w:pPr>
                          <w:pStyle w:val="TableParagraph"/>
                          <w:spacing w:line="316" w:lineRule="auto" w:before="53"/>
                          <w:ind w:left="21" w:right="17"/>
                          <w:jc w:val="both"/>
                          <w:rPr>
                            <w:rFonts w:ascii="宋体" w:hAnsi="宋体" w:cs="宋体" w:eastAsia="宋体" w:hint="default"/>
                            <w:sz w:val="18"/>
                            <w:szCs w:val="18"/>
                          </w:rPr>
                        </w:pPr>
                        <w:r>
                          <w:rPr>
                            <w:rFonts w:ascii="宋体" w:hAnsi="宋体" w:cs="宋体" w:eastAsia="宋体" w:hint="default"/>
                            <w:spacing w:val="-3"/>
                            <w:sz w:val="18"/>
                            <w:szCs w:val="18"/>
                          </w:rPr>
                          <w:t>财务报告重大缺陷的迹象包括：①董事、</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监事和高级管理人员舞弊行为；</w:t>
                        </w:r>
                        <w:r>
                          <w:rPr>
                            <w:rFonts w:ascii="宋体" w:hAnsi="宋体" w:cs="宋体" w:eastAsia="宋体" w:hint="default"/>
                            <w:spacing w:val="-41"/>
                            <w:sz w:val="18"/>
                            <w:szCs w:val="18"/>
                          </w:rPr>
                          <w:t> </w:t>
                        </w:r>
                        <w:r>
                          <w:rPr>
                            <w:rFonts w:ascii="宋体" w:hAnsi="宋体" w:cs="宋体" w:eastAsia="宋体" w:hint="default"/>
                            <w:sz w:val="18"/>
                            <w:szCs w:val="18"/>
                          </w:rPr>
                          <w:t>②外部审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计发现当期财务报告存在重大错报，公司</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在运行过程中未能发现该错报；</w:t>
                        </w:r>
                        <w:r>
                          <w:rPr>
                            <w:rFonts w:ascii="宋体" w:hAnsi="宋体" w:cs="宋体" w:eastAsia="宋体" w:hint="default"/>
                            <w:spacing w:val="-41"/>
                            <w:sz w:val="18"/>
                            <w:szCs w:val="18"/>
                          </w:rPr>
                          <w:t> </w:t>
                        </w:r>
                        <w:r>
                          <w:rPr>
                            <w:rFonts w:ascii="宋体" w:hAnsi="宋体" w:cs="宋体" w:eastAsia="宋体" w:hint="default"/>
                            <w:sz w:val="18"/>
                            <w:szCs w:val="18"/>
                          </w:rPr>
                          <w:t>③公司更</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正已公布的财务报告；</w:t>
                        </w:r>
                        <w:r>
                          <w:rPr>
                            <w:rFonts w:ascii="宋体" w:hAnsi="宋体" w:cs="宋体" w:eastAsia="宋体" w:hint="default"/>
                            <w:spacing w:val="-44"/>
                            <w:sz w:val="18"/>
                            <w:szCs w:val="18"/>
                          </w:rPr>
                          <w:t> </w:t>
                        </w:r>
                        <w:r>
                          <w:rPr>
                            <w:rFonts w:ascii="宋体" w:hAnsi="宋体" w:cs="宋体" w:eastAsia="宋体" w:hint="default"/>
                            <w:spacing w:val="-2"/>
                            <w:sz w:val="18"/>
                            <w:szCs w:val="18"/>
                          </w:rPr>
                          <w:t>④公司审计委员会</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和内部审计机构对内部控制的监督无效。</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一项内部控制缺陷单独或连同其它缺陷，</w:t>
                        </w:r>
                      </w:p>
                    </w:tc>
                    <w:tc>
                      <w:tcPr>
                        <w:tcW w:w="3049" w:type="dxa"/>
                        <w:vMerge w:val="restart"/>
                        <w:tcBorders>
                          <w:top w:val="single" w:sz="4" w:space="0" w:color="000000"/>
                          <w:left w:val="single" w:sz="4" w:space="0" w:color="000000"/>
                          <w:right w:val="single" w:sz="4" w:space="0" w:color="000000"/>
                        </w:tcBorders>
                      </w:tcPr>
                      <w:p>
                        <w:pPr>
                          <w:pStyle w:val="TableParagraph"/>
                          <w:spacing w:line="316" w:lineRule="auto" w:before="53"/>
                          <w:ind w:left="23" w:right="12"/>
                          <w:jc w:val="left"/>
                          <w:rPr>
                            <w:rFonts w:ascii="宋体" w:hAnsi="宋体" w:cs="宋体" w:eastAsia="宋体" w:hint="default"/>
                            <w:sz w:val="18"/>
                            <w:szCs w:val="18"/>
                          </w:rPr>
                        </w:pPr>
                        <w:r>
                          <w:rPr>
                            <w:rFonts w:ascii="宋体" w:hAnsi="宋体" w:cs="宋体" w:eastAsia="宋体" w:hint="default"/>
                            <w:spacing w:val="-6"/>
                            <w:sz w:val="18"/>
                            <w:szCs w:val="18"/>
                          </w:rPr>
                          <w:t>财务报告重大缺陷的迹象包括：①违犯</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国家法律、法规较严重；</w:t>
                        </w:r>
                        <w:r>
                          <w:rPr>
                            <w:rFonts w:ascii="宋体" w:hAnsi="宋体" w:cs="宋体" w:eastAsia="宋体" w:hint="default"/>
                            <w:spacing w:val="26"/>
                            <w:sz w:val="18"/>
                            <w:szCs w:val="18"/>
                          </w:rPr>
                          <w:t> </w:t>
                        </w:r>
                        <w:r>
                          <w:rPr>
                            <w:rFonts w:ascii="宋体" w:hAnsi="宋体" w:cs="宋体" w:eastAsia="宋体" w:hint="default"/>
                            <w:sz w:val="18"/>
                            <w:szCs w:val="18"/>
                          </w:rPr>
                          <w:t>②重要业务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6"/>
                            <w:sz w:val="18"/>
                            <w:szCs w:val="18"/>
                          </w:rPr>
                          <w:t>缺乏制度控制或制度系统性失效；③内</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部控制评价的结果特别是重大或重要</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缺陷未得到及时整改； ④信息披露内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部控制失效，导致公司被监管部门公开</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谴责；</w:t>
                        </w:r>
                        <w:r>
                          <w:rPr>
                            <w:rFonts w:ascii="宋体" w:hAnsi="宋体" w:cs="宋体" w:eastAsia="宋体" w:hint="default"/>
                            <w:spacing w:val="-24"/>
                            <w:sz w:val="18"/>
                            <w:szCs w:val="18"/>
                          </w:rPr>
                          <w:t> </w:t>
                        </w:r>
                        <w:r>
                          <w:rPr>
                            <w:rFonts w:ascii="宋体" w:hAnsi="宋体" w:cs="宋体" w:eastAsia="宋体" w:hint="default"/>
                            <w:spacing w:val="-3"/>
                            <w:sz w:val="18"/>
                            <w:szCs w:val="18"/>
                          </w:rPr>
                          <w:t>⑤其他对公司影响重大的情形</w:t>
                        </w:r>
                      </w:p>
                    </w:tc>
                  </w:tr>
                  <w:tr>
                    <w:trPr>
                      <w:trHeight w:val="394" w:hRule="exact"/>
                    </w:trPr>
                    <w:tc>
                      <w:tcPr>
                        <w:tcW w:w="31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33" w:type="dxa"/>
                        <w:vMerge/>
                        <w:tcBorders>
                          <w:left w:val="single" w:sz="10" w:space="0" w:color="D2D2D2"/>
                          <w:right w:val="single" w:sz="4" w:space="0" w:color="000000"/>
                        </w:tcBorders>
                      </w:tcPr>
                      <w:p>
                        <w:pPr/>
                      </w:p>
                    </w:tc>
                    <w:tc>
                      <w:tcPr>
                        <w:tcW w:w="3049" w:type="dxa"/>
                        <w:vMerge/>
                        <w:tcBorders>
                          <w:left w:val="single" w:sz="4" w:space="0" w:color="000000"/>
                          <w:right w:val="single" w:sz="4" w:space="0" w:color="000000"/>
                        </w:tcBorders>
                      </w:tcPr>
                      <w:p>
                        <w:pPr/>
                      </w:p>
                    </w:tc>
                  </w:tr>
                  <w:tr>
                    <w:trPr>
                      <w:trHeight w:val="922" w:hRule="exact"/>
                    </w:trPr>
                    <w:tc>
                      <w:tcPr>
                        <w:tcW w:w="3188" w:type="dxa"/>
                        <w:tcBorders>
                          <w:top w:val="nil" w:sz="6" w:space="0" w:color="auto"/>
                          <w:left w:val="single" w:sz="4" w:space="0" w:color="000000"/>
                          <w:bottom w:val="single" w:sz="4" w:space="0" w:color="000000"/>
                          <w:right w:val="single" w:sz="4" w:space="0" w:color="000000"/>
                        </w:tcBorders>
                        <w:shd w:val="clear" w:color="auto" w:fill="D2D2D2"/>
                      </w:tcPr>
                      <w:p>
                        <w:pPr/>
                      </w:p>
                    </w:tc>
                    <w:tc>
                      <w:tcPr>
                        <w:tcW w:w="3333" w:type="dxa"/>
                        <w:vMerge/>
                        <w:tcBorders>
                          <w:left w:val="single" w:sz="10" w:space="0" w:color="D2D2D2"/>
                          <w:bottom w:val="single" w:sz="4" w:space="0" w:color="000000"/>
                          <w:right w:val="single" w:sz="4" w:space="0" w:color="000000"/>
                        </w:tcBorders>
                      </w:tcPr>
                      <w:p>
                        <w:pPr/>
                      </w:p>
                    </w:tc>
                    <w:tc>
                      <w:tcPr>
                        <w:tcW w:w="3049" w:type="dxa"/>
                        <w:vMerge/>
                        <w:tcBorders>
                          <w:left w:val="single" w:sz="4" w:space="0" w:color="000000"/>
                          <w:bottom w:val="single" w:sz="4" w:space="0" w:color="000000"/>
                          <w:right w:val="single" w:sz="4" w:space="0" w:color="000000"/>
                        </w:tcBorders>
                      </w:tcPr>
                      <w:p>
                        <w:pPr/>
                      </w:p>
                    </w:tc>
                  </w:tr>
                </w:tbl>
                <w:p>
                  <w:pPr/>
                </w:p>
              </w:txbxContent>
            </v:textbox>
            <w10:wrap type="none"/>
          </v:shape>
        </w:pict>
      </w:r>
      <w:r>
        <w:rPr>
          <w:w w:val="101"/>
        </w:rPr>
        <w:t>。</w:t>
      </w:r>
      <w:r>
        <w:rPr/>
      </w:r>
    </w:p>
    <w:p>
      <w:pPr>
        <w:spacing w:after="0" w:line="240" w:lineRule="auto"/>
        <w:jc w:val="right"/>
        <w:sectPr>
          <w:pgSz w:w="11910" w:h="16840"/>
          <w:pgMar w:header="741" w:footer="979" w:top="1060" w:bottom="1160" w:left="980" w:right="0"/>
        </w:sectPr>
      </w:pPr>
    </w:p>
    <w:p>
      <w:pPr>
        <w:spacing w:line="240" w:lineRule="auto" w:before="11"/>
        <w:rPr>
          <w:rFonts w:ascii="宋体" w:hAnsi="宋体" w:cs="宋体" w:eastAsia="宋体" w:hint="default"/>
          <w:sz w:val="28"/>
          <w:szCs w:val="28"/>
        </w:rPr>
      </w:pPr>
      <w:r>
        <w:rPr/>
        <w:pict>
          <v:shape style="position:absolute;margin-left:376.894012pt;margin-top:152.925980pt;width:158.3pt;height:93.65pt;mso-position-horizontal-relative:page;mso-position-vertical-relative:page;z-index:-111028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5"/>
                      <w:szCs w:val="15"/>
                    </w:rPr>
                  </w:pPr>
                </w:p>
                <w:p>
                  <w:pPr>
                    <w:pStyle w:val="BodyText"/>
                    <w:spacing w:line="240" w:lineRule="auto"/>
                    <w:ind w:left="0" w:right="0"/>
                    <w:jc w:val="left"/>
                  </w:pPr>
                  <w:r>
                    <w:rPr>
                      <w:w w:val="101"/>
                    </w:rPr>
                    <w:t>。</w:t>
                  </w:r>
                  <w:r>
                    <w:rPr/>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3193"/>
        <w:gridCol w:w="3328"/>
        <w:gridCol w:w="3049"/>
      </w:tblGrid>
      <w:tr>
        <w:trPr>
          <w:trHeight w:val="1609"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46"/>
              <w:jc w:val="both"/>
              <w:rPr>
                <w:rFonts w:ascii="宋体" w:hAnsi="宋体" w:cs="宋体" w:eastAsia="宋体" w:hint="default"/>
                <w:sz w:val="18"/>
                <w:szCs w:val="18"/>
              </w:rPr>
            </w:pPr>
            <w:r>
              <w:rPr>
                <w:rFonts w:ascii="宋体" w:hAnsi="宋体" w:cs="宋体" w:eastAsia="宋体" w:hint="default"/>
                <w:spacing w:val="-3"/>
                <w:sz w:val="18"/>
                <w:szCs w:val="18"/>
              </w:rPr>
              <w:t>其严重程度和经济后果低于重大缺陷，但</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仍应引起董事会和管理层重视的错报，应</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将该缺陷认定为重要缺陷。一般缺陷是指</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除上述重大缺陷、重要缺陷之外的其他控</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制缺陷。</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2"/>
              <w:jc w:val="left"/>
              <w:rPr>
                <w:rFonts w:ascii="宋体" w:hAnsi="宋体" w:cs="宋体" w:eastAsia="宋体" w:hint="default"/>
                <w:sz w:val="18"/>
                <w:szCs w:val="18"/>
              </w:rPr>
            </w:pPr>
            <w:r>
              <w:rPr>
                <w:rFonts w:ascii="宋体" w:hAnsi="宋体" w:cs="宋体" w:eastAsia="宋体" w:hint="default"/>
                <w:spacing w:val="-3"/>
                <w:sz w:val="18"/>
                <w:szCs w:val="18"/>
              </w:rPr>
              <w:t>除重大缺陷认定的标准以外的其他情</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7"/>
                <w:sz w:val="18"/>
                <w:szCs w:val="18"/>
              </w:rPr>
              <w:t>形，按影响程度分别确定为重要缺陷或</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一般缺陷。</w:t>
            </w:r>
          </w:p>
        </w:tc>
      </w:tr>
      <w:tr>
        <w:trPr>
          <w:trHeight w:val="477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8" w:type="dxa"/>
            <w:tcBorders>
              <w:top w:val="single" w:sz="4" w:space="0" w:color="000000"/>
              <w:left w:val="single" w:sz="4" w:space="0" w:color="000000"/>
              <w:bottom w:val="single" w:sz="4" w:space="0" w:color="000000"/>
              <w:right w:val="single" w:sz="10" w:space="0" w:color="FFFFFF"/>
            </w:tcBorders>
          </w:tcPr>
          <w:p>
            <w:pPr>
              <w:pStyle w:val="TableParagraph"/>
              <w:spacing w:line="312" w:lineRule="auto" w:before="53"/>
              <w:ind w:left="23" w:right="-22"/>
              <w:jc w:val="left"/>
              <w:rPr>
                <w:rFonts w:ascii="宋体" w:hAnsi="宋体" w:cs="宋体" w:eastAsia="宋体" w:hint="default"/>
                <w:sz w:val="18"/>
                <w:szCs w:val="18"/>
              </w:rPr>
            </w:pPr>
            <w:r>
              <w:rPr>
                <w:rFonts w:ascii="宋体" w:hAnsi="宋体" w:cs="宋体" w:eastAsia="宋体" w:hint="default"/>
                <w:spacing w:val="-3"/>
                <w:sz w:val="18"/>
                <w:szCs w:val="18"/>
              </w:rPr>
              <w:t>定量标准以利润总额、资产总额作为衡量</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指标。内部控制缺陷可能导致或导致的损</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6"/>
                <w:sz w:val="18"/>
                <w:szCs w:val="18"/>
              </w:rPr>
              <w:t>失与利润表相关的，以利润总额指标衡量</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3"/>
                <w:sz w:val="18"/>
                <w:szCs w:val="18"/>
              </w:rPr>
              <w:t>如果该缺陷单独或连同其他缺陷可能导致</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的财务报告错报金额小于利润总额的</w:t>
            </w:r>
            <w:r>
              <w:rPr>
                <w:rFonts w:ascii="宋体" w:hAnsi="宋体" w:cs="宋体" w:eastAsia="宋体" w:hint="default"/>
                <w:spacing w:val="-35"/>
                <w:sz w:val="18"/>
                <w:szCs w:val="18"/>
              </w:rPr>
              <w:t> </w:t>
            </w:r>
            <w:r>
              <w:rPr>
                <w:rFonts w:ascii="Times New Roman" w:hAnsi="Times New Roman" w:cs="Times New Roman" w:eastAsia="Times New Roman" w:hint="default"/>
                <w:spacing w:val="-5"/>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则认定为一般缺陷；如果超过利润总额的</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Times New Roman" w:hAnsi="Times New Roman" w:cs="Times New Roman" w:eastAsia="Times New Roman" w:hint="default"/>
                <w:sz w:val="18"/>
                <w:szCs w:val="18"/>
              </w:rPr>
              <w:t>5%</w:t>
            </w:r>
            <w:r>
              <w:rPr>
                <w:rFonts w:ascii="宋体" w:hAnsi="宋体" w:cs="宋体" w:eastAsia="宋体" w:hint="default"/>
                <w:sz w:val="18"/>
                <w:szCs w:val="18"/>
              </w:rPr>
              <w:t>但小于 </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，则为重要缺陷；如果超</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过利润总额的</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，则认定为重大缺陷。</w:t>
            </w:r>
            <w:r>
              <w:rPr>
                <w:rFonts w:ascii="宋体" w:hAnsi="宋体" w:cs="宋体" w:eastAsia="宋体" w:hint="default"/>
                <w:w w:val="101"/>
                <w:sz w:val="18"/>
                <w:szCs w:val="18"/>
              </w:rPr>
              <w:t> </w:t>
            </w:r>
            <w:r>
              <w:rPr>
                <w:rFonts w:ascii="宋体" w:hAnsi="宋体" w:cs="宋体" w:eastAsia="宋体" w:hint="default"/>
                <w:spacing w:val="-3"/>
                <w:sz w:val="18"/>
                <w:szCs w:val="18"/>
              </w:rPr>
              <w:t>内部控制缺陷可能导致或导致的损失与资</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产管理相关的，以资产总额指标衡量。如</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果该缺陷单独或连同其他缺陷可能导致的</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财务报告错报金额小于资产总额的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r>
              <w:rPr>
                <w:rFonts w:ascii="宋体" w:hAnsi="宋体" w:cs="宋体" w:eastAsia="宋体" w:hint="default"/>
                <w:spacing w:val="-88"/>
                <w:sz w:val="18"/>
                <w:szCs w:val="18"/>
              </w:rPr>
              <w:t> </w:t>
            </w:r>
            <w:r>
              <w:rPr>
                <w:rFonts w:ascii="宋体" w:hAnsi="宋体" w:cs="宋体" w:eastAsia="宋体" w:hint="default"/>
                <w:spacing w:val="-3"/>
                <w:sz w:val="18"/>
                <w:szCs w:val="18"/>
              </w:rPr>
              <w:t>则认定为一般缺陷；如果超过资产总额的</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认定为重要缺陷；如果超</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过资产总额</w:t>
            </w:r>
            <w:r>
              <w:rPr>
                <w:rFonts w:ascii="宋体" w:hAnsi="宋体" w:cs="宋体" w:eastAsia="宋体" w:hint="default"/>
                <w:spacing w:val="37"/>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，则认定为重大缺陷。</w:t>
            </w:r>
          </w:p>
        </w:tc>
        <w:tc>
          <w:tcPr>
            <w:tcW w:w="3049"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42"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53"/>
              <w:ind w:left="16" w:right="128"/>
              <w:jc w:val="both"/>
              <w:rPr>
                <w:rFonts w:ascii="宋体" w:hAnsi="宋体" w:cs="宋体" w:eastAsia="宋体" w:hint="default"/>
                <w:sz w:val="18"/>
                <w:szCs w:val="18"/>
              </w:rPr>
            </w:pPr>
            <w:r>
              <w:rPr>
                <w:rFonts w:ascii="宋体" w:hAnsi="宋体" w:cs="宋体" w:eastAsia="宋体" w:hint="default"/>
                <w:spacing w:val="-3"/>
                <w:sz w:val="18"/>
                <w:szCs w:val="18"/>
              </w:rPr>
              <w:t>非财务报告内部控制缺陷评价的定量</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标准参照财务报告内部控制缺陷评价</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的定量标准执行。</w:t>
            </w:r>
          </w:p>
          <w:p>
            <w:pPr>
              <w:pStyle w:val="TableParagraph"/>
              <w:spacing w:line="1872" w:lineRule="exact"/>
              <w:ind w:left="-8" w:right="-56"/>
              <w:jc w:val="left"/>
              <w:rPr>
                <w:rFonts w:ascii="宋体" w:hAnsi="宋体" w:cs="宋体" w:eastAsia="宋体" w:hint="default"/>
                <w:sz w:val="20"/>
                <w:szCs w:val="20"/>
              </w:rPr>
            </w:pPr>
            <w:r>
              <w:rPr>
                <w:rFonts w:ascii="宋体" w:hAnsi="宋体" w:cs="宋体" w:eastAsia="宋体" w:hint="default"/>
                <w:position w:val="-36"/>
                <w:sz w:val="20"/>
                <w:szCs w:val="20"/>
              </w:rPr>
              <w:pict>
                <v:group style="width:152.25pt;height:93.65pt;mso-position-horizontal-relative:char;mso-position-vertical-relative:line" coordorigin="0,0" coordsize="3045,1873">
                  <v:group style="position:absolute;left:0;top:0;width:3045;height:1873" coordorigin="0,0" coordsize="3045,1873">
                    <v:shape style="position:absolute;left:0;top:0;width:3045;height:1873" coordorigin="0,0" coordsize="3045,1873" path="m0,1872l3044,1872,3044,0,0,0,0,1872xe" filled="true" fillcolor="#ffffff" stroked="false">
                      <v:path arrowok="t"/>
                      <v:fill type="solid"/>
                    </v:shape>
                  </v:group>
                </v:group>
              </w:pict>
            </w:r>
            <w:r>
              <w:rPr>
                <w:rFonts w:ascii="宋体" w:hAnsi="宋体" w:cs="宋体" w:eastAsia="宋体" w:hint="default"/>
                <w:position w:val="-36"/>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0"/>
                <w:szCs w:val="20"/>
              </w:rPr>
            </w:pP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财务报告重大缺陷数量（个）</w:t>
            </w:r>
          </w:p>
        </w:tc>
        <w:tc>
          <w:tcPr>
            <w:tcW w:w="6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非财务报告重大缺陷数量（个）</w:t>
            </w:r>
          </w:p>
        </w:tc>
        <w:tc>
          <w:tcPr>
            <w:tcW w:w="6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8"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财务报告重要缺陷数量（个）</w:t>
            </w:r>
          </w:p>
        </w:tc>
        <w:tc>
          <w:tcPr>
            <w:tcW w:w="6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4"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非财务报告重要缺陷数量（个）</w:t>
            </w:r>
          </w:p>
        </w:tc>
        <w:tc>
          <w:tcPr>
            <w:tcW w:w="6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十、内部控制审计报告或鉴证报告" w:id="152"/>
      <w:bookmarkEnd w:id="152"/>
      <w:r>
        <w:rPr>
          <w:b w:val="0"/>
          <w:bCs w:val="0"/>
        </w:rPr>
      </w:r>
      <w:r>
        <w:rPr/>
        <w:t>十、内部控制审计报告或鉴证报告</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t>不适用</w:t>
      </w:r>
    </w:p>
    <w:p>
      <w:pPr>
        <w:spacing w:after="0" w:line="240"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3043" w:right="0"/>
        <w:jc w:val="left"/>
        <w:rPr>
          <w:b w:val="0"/>
          <w:bCs w:val="0"/>
        </w:rPr>
      </w:pPr>
      <w:bookmarkStart w:name="第十一节公司债券相关情况" w:id="153"/>
      <w:bookmarkEnd w:id="153"/>
      <w:r>
        <w:rPr>
          <w:b w:val="0"/>
          <w:bCs w:val="0"/>
        </w:rPr>
      </w:r>
      <w:bookmarkStart w:name="_bookmark9" w:id="154"/>
      <w:bookmarkEnd w:id="154"/>
      <w:r>
        <w:rPr>
          <w:b w:val="0"/>
          <w:bCs w:val="0"/>
        </w:rPr>
      </w:r>
      <w:r>
        <w:rPr/>
        <w:t>第十一节公司债券相关情况</w:t>
      </w:r>
      <w:r>
        <w:rPr>
          <w:b w:val="0"/>
          <w:bCs w:val="0"/>
        </w:rPr>
      </w:r>
    </w:p>
    <w:p>
      <w:pPr>
        <w:spacing w:line="240" w:lineRule="auto" w:before="12"/>
        <w:rPr>
          <w:rFonts w:ascii="宋体" w:hAnsi="宋体" w:cs="宋体" w:eastAsia="宋体" w:hint="default"/>
          <w:b/>
          <w:bCs/>
          <w:sz w:val="42"/>
          <w:szCs w:val="42"/>
        </w:rPr>
      </w:pPr>
    </w:p>
    <w:p>
      <w:pPr>
        <w:pStyle w:val="BodyText"/>
        <w:spacing w:line="357" w:lineRule="auto"/>
        <w:ind w:right="2115"/>
        <w:jc w:val="left"/>
      </w:pPr>
      <w:r>
        <w:rPr>
          <w:spacing w:val="-3"/>
        </w:rPr>
        <w:t>公司是否存在公开发行并在证券交易所上市，且在年度报告批准报出日未到期或到期未能全额兑付的公司债券</w:t>
      </w:r>
      <w:r>
        <w:rPr>
          <w:spacing w:val="49"/>
        </w:rPr>
        <w:t> </w:t>
      </w:r>
      <w:r>
        <w:rPr>
          <w:spacing w:val="49"/>
        </w:rPr>
      </w:r>
      <w:r>
        <w:rPr/>
        <w:t>否</w:t>
      </w:r>
    </w:p>
    <w:p>
      <w:pPr>
        <w:spacing w:after="0" w:line="357"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right="3757"/>
        <w:jc w:val="center"/>
        <w:rPr>
          <w:b w:val="0"/>
          <w:bCs w:val="0"/>
        </w:rPr>
      </w:pPr>
      <w:bookmarkStart w:name="第十二节财务报告" w:id="155"/>
      <w:bookmarkEnd w:id="155"/>
      <w:r>
        <w:rPr>
          <w:b w:val="0"/>
          <w:bCs w:val="0"/>
        </w:rPr>
      </w:r>
      <w:bookmarkStart w:name="_bookmark10" w:id="156"/>
      <w:bookmarkEnd w:id="156"/>
      <w:r>
        <w:rPr>
          <w:b w:val="0"/>
          <w:bCs w:val="0"/>
        </w:rPr>
      </w:r>
      <w:r>
        <w:rPr/>
        <w:t>第十二节财务报告</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7"/>
      <w:bookmarkEnd w:id="157"/>
      <w:r>
        <w:rPr>
          <w:b w:val="0"/>
          <w:bCs w:val="0"/>
        </w:rPr>
      </w:r>
      <w:r>
        <w:rPr/>
        <w:t>一、审计报告</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天健会计师事务所（特殊普通合伙）</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天健审〔</w:t>
            </w:r>
            <w:r>
              <w:rPr>
                <w:rFonts w:ascii="Times New Roman" w:hAnsi="Times New Roman" w:cs="Times New Roman" w:eastAsia="Times New Roman" w:hint="default"/>
                <w:sz w:val="18"/>
                <w:szCs w:val="18"/>
              </w:rPr>
              <w:t>2020</w:t>
            </w:r>
            <w:r>
              <w:rPr>
                <w:rFonts w:ascii="宋体" w:hAnsi="宋体" w:cs="宋体" w:eastAsia="宋体" w:hint="default"/>
                <w:sz w:val="18"/>
                <w:szCs w:val="18"/>
              </w:rPr>
              <w:t>〕</w:t>
            </w:r>
            <w:r>
              <w:rPr>
                <w:rFonts w:ascii="Times New Roman" w:hAnsi="Times New Roman" w:cs="Times New Roman" w:eastAsia="Times New Roman" w:hint="default"/>
                <w:sz w:val="18"/>
                <w:szCs w:val="18"/>
              </w:rPr>
              <w:t>2698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吕安吉、吴传淼</w:t>
            </w:r>
          </w:p>
        </w:tc>
      </w:tr>
    </w:tbl>
    <w:p>
      <w:pPr>
        <w:pStyle w:val="BodyText"/>
        <w:spacing w:line="240" w:lineRule="auto" w:before="53"/>
        <w:ind w:left="2783" w:right="3756"/>
        <w:jc w:val="center"/>
      </w:pPr>
      <w:r>
        <w:rPr/>
        <w:t>审计报告正文</w:t>
      </w:r>
    </w:p>
    <w:p>
      <w:pPr>
        <w:pStyle w:val="Heading6"/>
        <w:spacing w:line="240" w:lineRule="auto" w:before="115"/>
        <w:ind w:left="633" w:right="0"/>
        <w:jc w:val="left"/>
        <w:rPr>
          <w:b w:val="0"/>
          <w:bCs w:val="0"/>
        </w:rPr>
      </w:pPr>
      <w:r>
        <w:rPr/>
        <w:t>一、审计意见</w:t>
      </w:r>
      <w:r>
        <w:rPr>
          <w:b w:val="0"/>
          <w:bCs w:val="0"/>
        </w:rPr>
      </w:r>
    </w:p>
    <w:p>
      <w:pPr>
        <w:pStyle w:val="BodyText"/>
        <w:spacing w:line="316" w:lineRule="auto" w:before="76"/>
        <w:ind w:right="1122" w:firstLine="480"/>
        <w:jc w:val="both"/>
      </w:pPr>
      <w:r>
        <w:rPr>
          <w:spacing w:val="-3"/>
        </w:rPr>
        <w:t>我们审计了浙江和仁科技股份有限公司（以下简称和仁科技公司）财务报表，包括</w:t>
      </w:r>
      <w:r>
        <w:rPr>
          <w:rFonts w:ascii="宋体" w:hAnsi="宋体" w:cs="宋体" w:eastAsia="宋体" w:hint="default"/>
          <w:spacing w:val="-3"/>
        </w:rPr>
        <w:t>2019</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日的合并及母公司资</w:t>
      </w:r>
      <w:r>
        <w:rPr>
          <w:w w:val="101"/>
        </w:rPr>
        <w:t> </w:t>
      </w:r>
      <w:r>
        <w:rPr>
          <w:spacing w:val="-4"/>
        </w:rPr>
        <w:t>产负债表，</w:t>
      </w:r>
      <w:r>
        <w:rPr>
          <w:rFonts w:ascii="宋体" w:hAnsi="宋体" w:cs="宋体" w:eastAsia="宋体" w:hint="default"/>
          <w:spacing w:val="-4"/>
        </w:rPr>
        <w:t>2019</w:t>
      </w:r>
      <w:r>
        <w:rPr>
          <w:spacing w:val="-4"/>
        </w:rPr>
        <w:t>年度的合并及母公司利润表、合并及母公司现金流量表、合并及母公司所有者权益变动表，以及相关财务报</w:t>
      </w:r>
      <w:r>
        <w:rPr>
          <w:spacing w:val="48"/>
        </w:rPr>
        <w:t> </w:t>
      </w:r>
      <w:r>
        <w:rPr>
          <w:spacing w:val="48"/>
        </w:rPr>
      </w:r>
      <w:r>
        <w:rPr/>
        <w:t>表附注。</w:t>
      </w:r>
    </w:p>
    <w:p>
      <w:pPr>
        <w:pStyle w:val="BodyText"/>
        <w:spacing w:line="319" w:lineRule="auto" w:before="19"/>
        <w:ind w:right="1122" w:firstLine="480"/>
        <w:jc w:val="both"/>
      </w:pPr>
      <w:r>
        <w:rPr>
          <w:spacing w:val="-3"/>
        </w:rPr>
        <w:t>我们认为，后附的财务报表在所有重大方面按照企业会计准则的规定编制，公允反映了和仁科技公司</w:t>
      </w:r>
      <w:r>
        <w:rPr>
          <w:rFonts w:ascii="宋体" w:hAnsi="宋体" w:cs="宋体" w:eastAsia="宋体" w:hint="default"/>
          <w:spacing w:val="-3"/>
        </w:rPr>
        <w:t>2019</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w:t>
      </w:r>
      <w:r>
        <w:rPr>
          <w:w w:val="101"/>
        </w:rPr>
        <w:t> </w:t>
      </w:r>
      <w:r>
        <w:rPr>
          <w:spacing w:val="-3"/>
        </w:rPr>
        <w:t>的合并及母公司财务状况，以及</w:t>
      </w:r>
      <w:r>
        <w:rPr>
          <w:rFonts w:ascii="宋体" w:hAnsi="宋体" w:cs="宋体" w:eastAsia="宋体" w:hint="default"/>
          <w:spacing w:val="-3"/>
        </w:rPr>
        <w:t>2019</w:t>
      </w:r>
      <w:r>
        <w:rPr>
          <w:spacing w:val="-3"/>
        </w:rPr>
        <w:t>年度的合并及母公司经营成果和现金流量。</w:t>
      </w:r>
    </w:p>
    <w:p>
      <w:pPr>
        <w:spacing w:line="240" w:lineRule="auto" w:before="2"/>
        <w:rPr>
          <w:rFonts w:ascii="宋体" w:hAnsi="宋体" w:cs="宋体" w:eastAsia="宋体" w:hint="default"/>
          <w:sz w:val="25"/>
          <w:szCs w:val="25"/>
        </w:rPr>
      </w:pPr>
    </w:p>
    <w:p>
      <w:pPr>
        <w:pStyle w:val="BodyText"/>
        <w:spacing w:line="316" w:lineRule="auto"/>
        <w:ind w:left="633" w:right="0"/>
        <w:jc w:val="left"/>
      </w:pPr>
      <w:r>
        <w:rPr>
          <w:rFonts w:ascii="宋体" w:hAnsi="宋体" w:cs="宋体" w:eastAsia="宋体" w:hint="default"/>
          <w:b/>
          <w:bCs/>
        </w:rPr>
        <w:t>二、形成审计意见的基础</w:t>
      </w:r>
      <w:r>
        <w:rPr>
          <w:rFonts w:ascii="宋体" w:hAnsi="宋体" w:cs="宋体" w:eastAsia="宋体" w:hint="default"/>
          <w:b/>
          <w:bCs/>
          <w:spacing w:val="-88"/>
        </w:rPr>
        <w:t> </w:t>
      </w:r>
      <w:r>
        <w:rPr>
          <w:rFonts w:ascii="宋体" w:hAnsi="宋体" w:cs="宋体" w:eastAsia="宋体" w:hint="default"/>
          <w:b/>
          <w:bCs/>
          <w:spacing w:val="-88"/>
        </w:rPr>
      </w:r>
      <w:r>
        <w:rPr>
          <w:spacing w:val="-3"/>
        </w:rPr>
        <w:t>我们按照中国注册会计师审计准则的规定执行了审计工作。审计报告的“注册会计师对财务报表审计的责任”部分进</w:t>
      </w:r>
    </w:p>
    <w:p>
      <w:pPr>
        <w:pStyle w:val="BodyText"/>
        <w:spacing w:line="316" w:lineRule="auto" w:before="19"/>
        <w:ind w:right="0"/>
        <w:jc w:val="left"/>
      </w:pPr>
      <w:r>
        <w:rPr>
          <w:spacing w:val="-4"/>
        </w:rPr>
        <w:t>一步阐述了我们在这些准则下的责任。按照中国注册会计师职业道德守则，我们独立于和仁科技公司，并履行了职业道德方</w:t>
      </w:r>
      <w:r>
        <w:rPr>
          <w:spacing w:val="43"/>
        </w:rPr>
        <w:t> </w:t>
      </w:r>
      <w:r>
        <w:rPr>
          <w:spacing w:val="43"/>
        </w:rPr>
      </w:r>
      <w:r>
        <w:rPr>
          <w:spacing w:val="-3"/>
        </w:rPr>
        <w:t>面的其他责任。我们相信，我们获取的审计证据是充分、适当的，为发表审计意见提供了基础。</w:t>
      </w:r>
    </w:p>
    <w:p>
      <w:pPr>
        <w:spacing w:line="240" w:lineRule="auto" w:before="4"/>
        <w:rPr>
          <w:rFonts w:ascii="宋体" w:hAnsi="宋体" w:cs="宋体" w:eastAsia="宋体" w:hint="default"/>
          <w:sz w:val="25"/>
          <w:szCs w:val="25"/>
        </w:rPr>
      </w:pPr>
    </w:p>
    <w:p>
      <w:pPr>
        <w:pStyle w:val="BodyText"/>
        <w:spacing w:line="316" w:lineRule="auto"/>
        <w:ind w:left="633" w:right="0"/>
        <w:jc w:val="left"/>
      </w:pPr>
      <w:r>
        <w:rPr>
          <w:rFonts w:ascii="宋体" w:hAnsi="宋体" w:cs="宋体" w:eastAsia="宋体" w:hint="default"/>
          <w:b/>
          <w:bCs/>
        </w:rPr>
        <w:t>三、关键审计事项</w:t>
      </w:r>
      <w:r>
        <w:rPr>
          <w:rFonts w:ascii="宋体" w:hAnsi="宋体" w:cs="宋体" w:eastAsia="宋体" w:hint="default"/>
          <w:b/>
          <w:bCs/>
          <w:spacing w:val="-88"/>
        </w:rPr>
        <w:t> </w:t>
      </w:r>
      <w:r>
        <w:rPr>
          <w:rFonts w:ascii="宋体" w:hAnsi="宋体" w:cs="宋体" w:eastAsia="宋体" w:hint="default"/>
          <w:b/>
          <w:bCs/>
          <w:spacing w:val="-88"/>
        </w:rPr>
      </w:r>
      <w:r>
        <w:rPr>
          <w:spacing w:val="-3"/>
        </w:rPr>
        <w:t>关键审计事项是我们根据职业判断，认为对本期财务报表审计最为重要的事项。这些事项的应对以对财务报表整体进</w:t>
      </w:r>
    </w:p>
    <w:p>
      <w:pPr>
        <w:pStyle w:val="BodyText"/>
        <w:spacing w:line="316" w:lineRule="auto" w:before="19"/>
        <w:ind w:left="633" w:right="5298" w:hanging="480"/>
        <w:jc w:val="left"/>
      </w:pPr>
      <w:r>
        <w:rPr>
          <w:spacing w:val="-3"/>
        </w:rPr>
        <w:t>行审计并形成审计意见为背景，我们不对这些事项单独发表意见。</w:t>
      </w:r>
      <w:r>
        <w:rPr>
          <w:spacing w:val="-4"/>
        </w:rPr>
        <w:t> </w:t>
      </w:r>
      <w:r>
        <w:rPr>
          <w:spacing w:val="-4"/>
        </w:rPr>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4"/>
        </w:rPr>
        <w:t> </w:t>
      </w:r>
      <w:r>
        <w:rPr/>
        <w:t>完工百分比法收入确认</w:t>
      </w:r>
    </w:p>
    <w:p>
      <w:pPr>
        <w:pStyle w:val="BodyText"/>
        <w:spacing w:line="316" w:lineRule="auto" w:before="19"/>
        <w:ind w:left="633" w:right="5004"/>
        <w:jc w:val="left"/>
      </w:pPr>
      <w:r>
        <w:rPr>
          <w:rFonts w:ascii="宋体" w:hAnsi="宋体" w:cs="宋体" w:eastAsia="宋体" w:hint="default"/>
        </w:rPr>
        <w:t>1. </w:t>
      </w:r>
      <w:r>
        <w:rPr>
          <w:spacing w:val="-3"/>
        </w:rPr>
        <w:t>事项描述</w:t>
      </w:r>
      <w:r>
        <w:rPr>
          <w:spacing w:val="-75"/>
        </w:rPr>
        <w:t> </w:t>
      </w:r>
      <w:r>
        <w:rPr>
          <w:spacing w:val="-75"/>
        </w:rPr>
      </w:r>
      <w:r>
        <w:rPr>
          <w:spacing w:val="-3"/>
        </w:rPr>
        <w:t>相关信息披露详见财务报表附注三</w:t>
      </w:r>
      <w:r>
        <w:rPr>
          <w:rFonts w:ascii="宋体" w:hAnsi="宋体" w:cs="宋体" w:eastAsia="宋体" w:hint="default"/>
          <w:spacing w:val="-3"/>
        </w:rPr>
        <w:t>(</w:t>
      </w:r>
      <w:r>
        <w:rPr>
          <w:spacing w:val="-3"/>
        </w:rPr>
        <w:t>二十二</w:t>
      </w:r>
      <w:r>
        <w:rPr>
          <w:rFonts w:ascii="宋体" w:hAnsi="宋体" w:cs="宋体" w:eastAsia="宋体" w:hint="default"/>
          <w:spacing w:val="-3"/>
        </w:rPr>
        <w:t>)</w:t>
      </w:r>
      <w:r>
        <w:rPr>
          <w:spacing w:val="-3"/>
        </w:rPr>
        <w:t>及五</w:t>
      </w:r>
      <w:r>
        <w:rPr>
          <w:rFonts w:ascii="宋体" w:hAnsi="宋体" w:cs="宋体" w:eastAsia="宋体" w:hint="default"/>
          <w:spacing w:val="-3"/>
        </w:rPr>
        <w:t>(</w:t>
      </w:r>
      <w:r>
        <w:rPr>
          <w:spacing w:val="-3"/>
        </w:rPr>
        <w:t>二</w:t>
      </w:r>
      <w:r>
        <w:rPr>
          <w:rFonts w:ascii="宋体" w:hAnsi="宋体" w:cs="宋体" w:eastAsia="宋体" w:hint="default"/>
          <w:spacing w:val="-3"/>
        </w:rPr>
        <w:t>)1</w:t>
      </w:r>
      <w:r>
        <w:rPr>
          <w:spacing w:val="-3"/>
        </w:rPr>
        <w:t>。</w:t>
      </w:r>
    </w:p>
    <w:p>
      <w:pPr>
        <w:pStyle w:val="BodyText"/>
        <w:spacing w:line="316" w:lineRule="auto" w:before="19"/>
        <w:ind w:right="1122" w:firstLine="480"/>
        <w:jc w:val="both"/>
      </w:pPr>
      <w:r>
        <w:rPr>
          <w:spacing w:val="-3"/>
        </w:rPr>
        <w:t>和仁科技公司</w:t>
      </w:r>
      <w:r>
        <w:rPr>
          <w:rFonts w:ascii="宋体" w:hAnsi="宋体" w:cs="宋体" w:eastAsia="宋体" w:hint="default"/>
          <w:spacing w:val="-3"/>
        </w:rPr>
        <w:t>2019</w:t>
      </w:r>
      <w:r>
        <w:rPr>
          <w:spacing w:val="-3"/>
        </w:rPr>
        <w:t>年度合并营业收入为人民币</w:t>
      </w:r>
      <w:r>
        <w:rPr>
          <w:rFonts w:ascii="宋体" w:hAnsi="宋体" w:cs="宋体" w:eastAsia="宋体" w:hint="default"/>
          <w:spacing w:val="-3"/>
        </w:rPr>
        <w:t>440,959,834.78</w:t>
      </w:r>
      <w:r>
        <w:rPr>
          <w:spacing w:val="-3"/>
        </w:rPr>
        <w:t>元，公司的主要经营活动是医疗机构的医疗信息系统及</w:t>
      </w:r>
      <w:r>
        <w:rPr>
          <w:w w:val="101"/>
        </w:rPr>
        <w:t> </w:t>
      </w:r>
      <w:r>
        <w:rPr>
          <w:spacing w:val="-4"/>
        </w:rPr>
        <w:t>数字化场景应用系统的研发销售、实施集成、服务支持。上述两类业务采用完工百分比法确认收入，分别根据已经提供劳务</w:t>
      </w:r>
      <w:r>
        <w:rPr>
          <w:spacing w:val="40"/>
        </w:rPr>
        <w:t> </w:t>
      </w:r>
      <w:r>
        <w:rPr>
          <w:spacing w:val="40"/>
        </w:rPr>
      </w:r>
      <w:r>
        <w:rPr>
          <w:spacing w:val="-4"/>
        </w:rPr>
        <w:t>占应提供劳务总量的比例、累计实际发生的合同成本占合同预计总成本的比例来确定完工进度。在使用完工百分比法时，需</w:t>
      </w:r>
      <w:r>
        <w:rPr>
          <w:spacing w:val="43"/>
        </w:rPr>
        <w:t> </w:t>
      </w:r>
      <w:r>
        <w:rPr>
          <w:spacing w:val="43"/>
        </w:rPr>
      </w:r>
      <w:r>
        <w:rPr>
          <w:spacing w:val="-4"/>
        </w:rPr>
        <w:t>要对已经提供劳务或者累计实际发生的合同成本进行计量，对预计劳务总量或者合同总成本进行估计，并在项目执行过程中</w:t>
      </w:r>
      <w:r>
        <w:rPr>
          <w:spacing w:val="42"/>
        </w:rPr>
        <w:t> </w:t>
      </w:r>
      <w:r>
        <w:rPr>
          <w:spacing w:val="42"/>
        </w:rPr>
      </w:r>
      <w:r>
        <w:rPr>
          <w:spacing w:val="-4"/>
        </w:rPr>
        <w:t>持续评估和修订，涉及和仁科技公司管理层（以下简称管理层）的重大会计估计和判断。由于本期收入金额重大，且管理层</w:t>
      </w:r>
      <w:r>
        <w:rPr>
          <w:spacing w:val="42"/>
        </w:rPr>
        <w:t> </w:t>
      </w:r>
      <w:r>
        <w:rPr>
          <w:spacing w:val="42"/>
        </w:rPr>
      </w:r>
      <w:r>
        <w:rPr>
          <w:spacing w:val="-3"/>
        </w:rPr>
        <w:t>需要作出重大估计和判断，我们将运用完工百分比法确认收入是否有效及准确列为关键审计事项。</w:t>
      </w:r>
    </w:p>
    <w:p>
      <w:pPr>
        <w:pStyle w:val="BodyText"/>
        <w:spacing w:line="316" w:lineRule="auto" w:before="19"/>
        <w:ind w:left="633" w:right="6287"/>
        <w:jc w:val="left"/>
      </w:pPr>
      <w:r>
        <w:rPr>
          <w:rFonts w:ascii="宋体" w:hAnsi="宋体" w:cs="宋体" w:eastAsia="宋体" w:hint="default"/>
        </w:rPr>
        <w:t>2. </w:t>
      </w:r>
      <w:r>
        <w:rPr>
          <w:spacing w:val="-3"/>
        </w:rPr>
        <w:t>审计应对</w:t>
      </w:r>
      <w:r>
        <w:rPr>
          <w:spacing w:val="-75"/>
        </w:rPr>
        <w:t> </w:t>
      </w:r>
      <w:r>
        <w:rPr>
          <w:spacing w:val="-75"/>
        </w:rPr>
      </w:r>
      <w:r>
        <w:rPr>
          <w:spacing w:val="-3"/>
        </w:rPr>
        <w:t>针对收入确认，我们实施的审计程序主要包括：</w:t>
      </w:r>
    </w:p>
    <w:p>
      <w:pPr>
        <w:pStyle w:val="BodyText"/>
        <w:spacing w:line="319" w:lineRule="auto" w:before="19"/>
        <w:ind w:right="1123" w:firstLine="480"/>
        <w:jc w:val="both"/>
      </w:pPr>
      <w:r>
        <w:rPr>
          <w:rFonts w:ascii="宋体" w:hAnsi="宋体" w:cs="宋体" w:eastAsia="宋体" w:hint="default"/>
        </w:rPr>
        <w:t>(1)</w:t>
      </w:r>
      <w:r>
        <w:rPr>
          <w:rFonts w:ascii="宋体" w:hAnsi="宋体" w:cs="宋体" w:eastAsia="宋体" w:hint="default"/>
          <w:spacing w:val="13"/>
        </w:rPr>
        <w:t> </w:t>
      </w:r>
      <w:r>
        <w:rPr>
          <w:spacing w:val="-3"/>
        </w:rPr>
        <w:t>了解与收入确认相关的关键内部控制，评价这些控制的设计，确定其是否得到执行，并测试相关内部控制的运行</w:t>
      </w:r>
      <w:r>
        <w:rPr>
          <w:w w:val="101"/>
        </w:rPr>
        <w:t> </w:t>
      </w:r>
      <w:r>
        <w:rPr/>
        <w:t>有效性；</w:t>
      </w:r>
    </w:p>
    <w:p>
      <w:pPr>
        <w:pStyle w:val="BodyText"/>
        <w:spacing w:line="240" w:lineRule="auto" w:before="17"/>
        <w:ind w:left="633" w:right="0"/>
        <w:jc w:val="left"/>
      </w:pPr>
      <w:r>
        <w:rPr>
          <w:rFonts w:ascii="宋体" w:hAnsi="宋体" w:cs="宋体" w:eastAsia="宋体" w:hint="default"/>
          <w:w w:val="101"/>
        </w:rPr>
        <w:t>(2)</w:t>
      </w:r>
      <w:r>
        <w:rPr>
          <w:rFonts w:ascii="宋体" w:hAnsi="宋体" w:cs="宋体" w:eastAsia="宋体" w:hint="default"/>
          <w:spacing w:val="-4"/>
        </w:rPr>
        <w:t> </w:t>
      </w:r>
      <w:r>
        <w:rPr>
          <w:w w:val="101"/>
        </w:rPr>
        <w:t>获</w:t>
      </w:r>
      <w:r>
        <w:rPr>
          <w:spacing w:val="-5"/>
          <w:w w:val="101"/>
        </w:rPr>
        <w:t>取</w:t>
      </w:r>
      <w:r>
        <w:rPr>
          <w:w w:val="101"/>
        </w:rPr>
        <w:t>并</w:t>
      </w:r>
      <w:r>
        <w:rPr>
          <w:spacing w:val="-5"/>
          <w:w w:val="101"/>
        </w:rPr>
        <w:t>核</w:t>
      </w:r>
      <w:r>
        <w:rPr>
          <w:w w:val="101"/>
        </w:rPr>
        <w:t>对</w:t>
      </w:r>
      <w:r>
        <w:rPr>
          <w:spacing w:val="-5"/>
          <w:w w:val="101"/>
        </w:rPr>
        <w:t>大</w:t>
      </w:r>
      <w:r>
        <w:rPr>
          <w:w w:val="101"/>
        </w:rPr>
        <w:t>额</w:t>
      </w:r>
      <w:r>
        <w:rPr>
          <w:spacing w:val="-5"/>
          <w:w w:val="101"/>
        </w:rPr>
        <w:t>项</w:t>
      </w:r>
      <w:r>
        <w:rPr>
          <w:w w:val="101"/>
        </w:rPr>
        <w:t>目</w:t>
      </w:r>
      <w:r>
        <w:rPr>
          <w:spacing w:val="-5"/>
          <w:w w:val="101"/>
        </w:rPr>
        <w:t>合</w:t>
      </w:r>
      <w:r>
        <w:rPr>
          <w:w w:val="101"/>
        </w:rPr>
        <w:t>同</w:t>
      </w:r>
      <w:r>
        <w:rPr>
          <w:spacing w:val="-73"/>
          <w:w w:val="101"/>
        </w:rPr>
        <w:t>，</w:t>
      </w:r>
      <w:r>
        <w:rPr>
          <w:w w:val="101"/>
        </w:rPr>
        <w:t>了</w:t>
      </w:r>
      <w:r>
        <w:rPr>
          <w:spacing w:val="-5"/>
          <w:w w:val="101"/>
        </w:rPr>
        <w:t>解</w:t>
      </w:r>
      <w:r>
        <w:rPr>
          <w:w w:val="101"/>
        </w:rPr>
        <w:t>合</w:t>
      </w:r>
      <w:r>
        <w:rPr>
          <w:spacing w:val="-5"/>
          <w:w w:val="101"/>
        </w:rPr>
        <w:t>同</w:t>
      </w:r>
      <w:r>
        <w:rPr>
          <w:w w:val="101"/>
        </w:rPr>
        <w:t>主</w:t>
      </w:r>
      <w:r>
        <w:rPr>
          <w:spacing w:val="-5"/>
          <w:w w:val="101"/>
        </w:rPr>
        <w:t>要</w:t>
      </w:r>
      <w:r>
        <w:rPr>
          <w:w w:val="101"/>
        </w:rPr>
        <w:t>内</w:t>
      </w:r>
      <w:r>
        <w:rPr>
          <w:spacing w:val="-5"/>
          <w:w w:val="101"/>
        </w:rPr>
        <w:t>容</w:t>
      </w:r>
      <w:r>
        <w:rPr>
          <w:spacing w:val="-68"/>
          <w:w w:val="101"/>
        </w:rPr>
        <w:t>、</w:t>
      </w:r>
      <w:r>
        <w:rPr>
          <w:spacing w:val="-5"/>
          <w:w w:val="101"/>
        </w:rPr>
        <w:t>结</w:t>
      </w:r>
      <w:r>
        <w:rPr>
          <w:w w:val="101"/>
        </w:rPr>
        <w:t>算</w:t>
      </w:r>
      <w:r>
        <w:rPr>
          <w:spacing w:val="-5"/>
          <w:w w:val="101"/>
        </w:rPr>
        <w:t>方</w:t>
      </w:r>
      <w:r>
        <w:rPr>
          <w:w w:val="101"/>
        </w:rPr>
        <w:t>式</w:t>
      </w:r>
      <w:r>
        <w:rPr>
          <w:spacing w:val="-5"/>
          <w:w w:val="101"/>
        </w:rPr>
        <w:t>等</w:t>
      </w:r>
      <w:r>
        <w:rPr>
          <w:w w:val="101"/>
        </w:rPr>
        <w:t>合</w:t>
      </w:r>
      <w:r>
        <w:rPr>
          <w:spacing w:val="-5"/>
          <w:w w:val="101"/>
        </w:rPr>
        <w:t>同</w:t>
      </w:r>
      <w:r>
        <w:rPr>
          <w:w w:val="101"/>
        </w:rPr>
        <w:t>重</w:t>
      </w:r>
      <w:r>
        <w:rPr>
          <w:spacing w:val="-5"/>
          <w:w w:val="101"/>
        </w:rPr>
        <w:t>要</w:t>
      </w:r>
      <w:r>
        <w:rPr>
          <w:w w:val="101"/>
        </w:rPr>
        <w:t>条</w:t>
      </w:r>
      <w:r>
        <w:rPr>
          <w:spacing w:val="-5"/>
          <w:w w:val="101"/>
        </w:rPr>
        <w:t>款</w:t>
      </w:r>
      <w:r>
        <w:rPr>
          <w:spacing w:val="-68"/>
          <w:w w:val="101"/>
        </w:rPr>
        <w:t>，</w:t>
      </w:r>
      <w:r>
        <w:rPr>
          <w:spacing w:val="-5"/>
          <w:w w:val="101"/>
        </w:rPr>
        <w:t>分</w:t>
      </w:r>
      <w:r>
        <w:rPr>
          <w:w w:val="101"/>
        </w:rPr>
        <w:t>析</w:t>
      </w:r>
      <w:r>
        <w:rPr>
          <w:spacing w:val="-5"/>
          <w:w w:val="101"/>
        </w:rPr>
        <w:t>完</w:t>
      </w:r>
      <w:r>
        <w:rPr>
          <w:w w:val="101"/>
        </w:rPr>
        <w:t>工</w:t>
      </w:r>
      <w:r>
        <w:rPr>
          <w:spacing w:val="-5"/>
          <w:w w:val="101"/>
        </w:rPr>
        <w:t>百</w:t>
      </w:r>
      <w:r>
        <w:rPr>
          <w:w w:val="101"/>
        </w:rPr>
        <w:t>分</w:t>
      </w:r>
      <w:r>
        <w:rPr>
          <w:spacing w:val="-5"/>
          <w:w w:val="101"/>
        </w:rPr>
        <w:t>比</w:t>
      </w:r>
      <w:r>
        <w:rPr>
          <w:w w:val="101"/>
        </w:rPr>
        <w:t>法</w:t>
      </w:r>
      <w:r>
        <w:rPr>
          <w:spacing w:val="-5"/>
          <w:w w:val="101"/>
        </w:rPr>
        <w:t>确</w:t>
      </w:r>
      <w:r>
        <w:rPr>
          <w:w w:val="101"/>
        </w:rPr>
        <w:t>认</w:t>
      </w:r>
      <w:r>
        <w:rPr>
          <w:spacing w:val="-5"/>
          <w:w w:val="101"/>
        </w:rPr>
        <w:t>收</w:t>
      </w:r>
      <w:r>
        <w:rPr>
          <w:w w:val="101"/>
        </w:rPr>
        <w:t>入</w:t>
      </w:r>
      <w:r>
        <w:rPr>
          <w:spacing w:val="-5"/>
          <w:w w:val="101"/>
        </w:rPr>
        <w:t>的</w:t>
      </w:r>
      <w:r>
        <w:rPr>
          <w:w w:val="101"/>
        </w:rPr>
        <w:t>合</w:t>
      </w:r>
      <w:r>
        <w:rPr>
          <w:spacing w:val="-5"/>
          <w:w w:val="101"/>
        </w:rPr>
        <w:t>理</w:t>
      </w:r>
      <w:r>
        <w:rPr>
          <w:w w:val="101"/>
        </w:rPr>
        <w:t>性；</w:t>
      </w:r>
      <w:r>
        <w:rPr/>
      </w:r>
    </w:p>
    <w:p>
      <w:pPr>
        <w:pStyle w:val="BodyText"/>
        <w:spacing w:line="240" w:lineRule="auto" w:before="76"/>
        <w:ind w:left="633" w:right="0"/>
        <w:jc w:val="left"/>
      </w:pPr>
      <w:r>
        <w:rPr>
          <w:rFonts w:ascii="宋体" w:hAnsi="宋体" w:cs="宋体" w:eastAsia="宋体" w:hint="default"/>
        </w:rPr>
        <w:t>(3)</w:t>
      </w:r>
      <w:r>
        <w:rPr>
          <w:rFonts w:ascii="宋体" w:hAnsi="宋体" w:cs="宋体" w:eastAsia="宋体" w:hint="default"/>
          <w:spacing w:val="72"/>
        </w:rPr>
        <w:t> </w:t>
      </w:r>
      <w:r>
        <w:rPr/>
        <w:t>选取样本，检查管理层预计总收入和预计总成本所依据的合同和成本预算资料，评价管理层所作估计是否合理、</w:t>
      </w:r>
    </w:p>
    <w:p>
      <w:pPr>
        <w:spacing w:after="0" w:line="24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240" w:lineRule="auto" w:before="46"/>
        <w:ind w:right="0"/>
        <w:jc w:val="left"/>
      </w:pPr>
      <w:r>
        <w:rPr>
          <w:spacing w:val="-3"/>
        </w:rPr>
        <w:t>依据是否充分；</w:t>
      </w:r>
    </w:p>
    <w:p>
      <w:pPr>
        <w:pStyle w:val="BodyText"/>
        <w:spacing w:line="240" w:lineRule="auto" w:before="76"/>
        <w:ind w:left="633" w:right="0"/>
        <w:jc w:val="left"/>
      </w:pPr>
      <w:r>
        <w:rPr>
          <w:rFonts w:ascii="宋体" w:hAnsi="宋体" w:cs="宋体" w:eastAsia="宋体" w:hint="default"/>
        </w:rPr>
        <w:t>(4)</w:t>
      </w:r>
      <w:r>
        <w:rPr>
          <w:rFonts w:ascii="宋体" w:hAnsi="宋体" w:cs="宋体" w:eastAsia="宋体" w:hint="default"/>
          <w:spacing w:val="80"/>
        </w:rPr>
        <w:t> </w:t>
      </w:r>
      <w:r>
        <w:rPr>
          <w:spacing w:val="-3"/>
        </w:rPr>
        <w:t>获取确认收入的内部及外部依据，与收入确认进度进行核对；</w:t>
      </w:r>
    </w:p>
    <w:p>
      <w:pPr>
        <w:pStyle w:val="BodyText"/>
        <w:spacing w:line="240" w:lineRule="auto" w:before="76"/>
        <w:ind w:left="633" w:right="0"/>
        <w:jc w:val="left"/>
      </w:pPr>
      <w:r>
        <w:rPr>
          <w:rFonts w:ascii="宋体" w:hAnsi="宋体" w:cs="宋体" w:eastAsia="宋体" w:hint="default"/>
        </w:rPr>
        <w:t>(5) </w:t>
      </w:r>
      <w:r>
        <w:rPr>
          <w:rFonts w:ascii="宋体" w:hAnsi="宋体" w:cs="宋体" w:eastAsia="宋体" w:hint="default"/>
          <w:spacing w:val="31"/>
        </w:rPr>
        <w:t> </w:t>
      </w:r>
      <w:r>
        <w:rPr>
          <w:spacing w:val="-3"/>
        </w:rPr>
        <w:t>向主要客户函证合同情况、完工进度、以及材料、构配件、设备等报验清单、开票收款内容；</w:t>
      </w:r>
    </w:p>
    <w:p>
      <w:pPr>
        <w:pStyle w:val="BodyText"/>
        <w:spacing w:line="240" w:lineRule="auto" w:before="77"/>
        <w:ind w:left="633" w:right="0"/>
        <w:jc w:val="left"/>
      </w:pPr>
      <w:r>
        <w:rPr>
          <w:rFonts w:ascii="宋体" w:hAnsi="宋体" w:cs="宋体" w:eastAsia="宋体" w:hint="default"/>
        </w:rPr>
        <w:t>(6)</w:t>
      </w:r>
      <w:r>
        <w:rPr>
          <w:rFonts w:ascii="宋体" w:hAnsi="宋体" w:cs="宋体" w:eastAsia="宋体" w:hint="default"/>
          <w:spacing w:val="74"/>
        </w:rPr>
        <w:t> </w:t>
      </w:r>
      <w:r>
        <w:rPr>
          <w:spacing w:val="-3"/>
        </w:rPr>
        <w:t>抽取样本进行项目现场走访，确认项目到货及实施情况；</w:t>
      </w:r>
    </w:p>
    <w:p>
      <w:pPr>
        <w:pStyle w:val="BodyText"/>
        <w:spacing w:line="316" w:lineRule="auto" w:before="76"/>
        <w:ind w:left="633" w:right="4886"/>
        <w:jc w:val="left"/>
      </w:pPr>
      <w:r>
        <w:rPr>
          <w:rFonts w:ascii="宋体" w:hAnsi="宋体" w:cs="宋体" w:eastAsia="宋体" w:hint="default"/>
        </w:rPr>
        <w:t>(7)</w:t>
      </w:r>
      <w:r>
        <w:rPr>
          <w:rFonts w:ascii="宋体" w:hAnsi="宋体" w:cs="宋体" w:eastAsia="宋体" w:hint="default"/>
          <w:spacing w:val="69"/>
        </w:rPr>
        <w:t> </w:t>
      </w:r>
      <w:r>
        <w:rPr>
          <w:spacing w:val="-3"/>
        </w:rPr>
        <w:t>检查与营业收入相关的信息是否已在财务报表中作出恰当列报。</w:t>
      </w:r>
      <w:r>
        <w:rPr>
          <w:spacing w:val="-79"/>
        </w:rPr>
        <w:t> </w:t>
      </w:r>
      <w:r>
        <w:rPr>
          <w:spacing w:val="-79"/>
        </w:rPr>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5"/>
        </w:rPr>
        <w:t> </w:t>
      </w:r>
      <w:r>
        <w:rPr/>
        <w:t>应收账款减值</w:t>
      </w:r>
    </w:p>
    <w:p>
      <w:pPr>
        <w:pStyle w:val="BodyText"/>
        <w:spacing w:line="316" w:lineRule="auto" w:before="19"/>
        <w:ind w:left="633" w:right="5772"/>
        <w:jc w:val="left"/>
      </w:pPr>
      <w:r>
        <w:rPr>
          <w:rFonts w:ascii="宋体" w:hAnsi="宋体" w:cs="宋体" w:eastAsia="宋体" w:hint="default"/>
        </w:rPr>
        <w:t>1. </w:t>
      </w:r>
      <w:r>
        <w:rPr>
          <w:spacing w:val="-3"/>
        </w:rPr>
        <w:t>事项描述</w:t>
      </w:r>
      <w:r>
        <w:rPr>
          <w:spacing w:val="-75"/>
        </w:rPr>
        <w:t> </w:t>
      </w:r>
      <w:r>
        <w:rPr>
          <w:spacing w:val="-75"/>
        </w:rPr>
      </w:r>
      <w:r>
        <w:rPr>
          <w:spacing w:val="-2"/>
        </w:rPr>
        <w:t>相关信息披露详见财务报表附注三</w:t>
      </w:r>
      <w:r>
        <w:rPr>
          <w:rFonts w:ascii="宋体" w:hAnsi="宋体" w:cs="宋体" w:eastAsia="宋体" w:hint="default"/>
          <w:spacing w:val="-2"/>
        </w:rPr>
        <w:t>(</w:t>
      </w:r>
      <w:r>
        <w:rPr>
          <w:spacing w:val="-2"/>
        </w:rPr>
        <w:t>九</w:t>
      </w:r>
      <w:r>
        <w:rPr>
          <w:rFonts w:ascii="宋体" w:hAnsi="宋体" w:cs="宋体" w:eastAsia="宋体" w:hint="default"/>
          <w:spacing w:val="-2"/>
        </w:rPr>
        <w:t>)</w:t>
      </w:r>
      <w:r>
        <w:rPr>
          <w:spacing w:val="-2"/>
        </w:rPr>
        <w:t>及五</w:t>
      </w:r>
      <w:r>
        <w:rPr>
          <w:rFonts w:ascii="宋体" w:hAnsi="宋体" w:cs="宋体" w:eastAsia="宋体" w:hint="default"/>
          <w:spacing w:val="-2"/>
        </w:rPr>
        <w:t>(</w:t>
      </w:r>
      <w:r>
        <w:rPr>
          <w:spacing w:val="-2"/>
        </w:rPr>
        <w:t>一</w:t>
      </w:r>
      <w:r>
        <w:rPr>
          <w:rFonts w:ascii="宋体" w:hAnsi="宋体" w:cs="宋体" w:eastAsia="宋体" w:hint="default"/>
          <w:spacing w:val="-2"/>
        </w:rPr>
        <w:t>)4</w:t>
      </w:r>
      <w:r>
        <w:rPr>
          <w:spacing w:val="-2"/>
        </w:rPr>
        <w:t>。</w:t>
      </w:r>
    </w:p>
    <w:p>
      <w:pPr>
        <w:pStyle w:val="BodyText"/>
        <w:spacing w:line="319" w:lineRule="auto" w:before="19"/>
        <w:ind w:right="0" w:firstLine="480"/>
        <w:jc w:val="left"/>
      </w:pPr>
      <w:r>
        <w:rPr>
          <w:spacing w:val="-4"/>
        </w:rPr>
        <w:t>截至</w:t>
      </w:r>
      <w:r>
        <w:rPr>
          <w:rFonts w:ascii="宋体" w:hAnsi="宋体" w:cs="宋体" w:eastAsia="宋体" w:hint="default"/>
          <w:spacing w:val="-4"/>
        </w:rPr>
        <w:t>2019</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日，和仁科技公司应收账款账面余额为人民币</w:t>
      </w:r>
      <w:r>
        <w:rPr>
          <w:rFonts w:ascii="宋体" w:hAnsi="宋体" w:cs="宋体" w:eastAsia="宋体" w:hint="default"/>
          <w:spacing w:val="-4"/>
        </w:rPr>
        <w:t>386,676,821.87</w:t>
      </w:r>
      <w:r>
        <w:rPr>
          <w:spacing w:val="-4"/>
        </w:rPr>
        <w:t>元，坏账准备为人民币</w:t>
      </w:r>
      <w:r>
        <w:rPr>
          <w:rFonts w:ascii="宋体" w:hAnsi="宋体" w:cs="宋体" w:eastAsia="宋体" w:hint="default"/>
          <w:spacing w:val="-4"/>
        </w:rPr>
        <w:t>79,043,258.81</w:t>
      </w:r>
      <w:r>
        <w:rPr>
          <w:rFonts w:ascii="宋体" w:hAnsi="宋体" w:cs="宋体" w:eastAsia="宋体" w:hint="default"/>
          <w:w w:val="101"/>
        </w:rPr>
        <w:t> </w:t>
      </w:r>
      <w:r>
        <w:rPr/>
        <w:t>元，账面价值为人民币</w:t>
      </w:r>
      <w:r>
        <w:rPr>
          <w:rFonts w:ascii="宋体" w:hAnsi="宋体" w:cs="宋体" w:eastAsia="宋体" w:hint="default"/>
        </w:rPr>
        <w:t>307,633,563.06</w:t>
      </w:r>
      <w:r>
        <w:rPr/>
        <w:t>元。</w:t>
      </w:r>
    </w:p>
    <w:p>
      <w:pPr>
        <w:pStyle w:val="BodyText"/>
        <w:spacing w:line="319" w:lineRule="auto" w:before="17"/>
        <w:ind w:right="1124" w:firstLine="480"/>
        <w:jc w:val="both"/>
      </w:pPr>
      <w:r>
        <w:rPr>
          <w:spacing w:val="-3"/>
        </w:rPr>
        <w:t>管理层根据各项应收账款的信用风险特征，以单项应收账款或应收账款组合为基础，按照相当于整个存续期内的预期</w:t>
      </w:r>
      <w:r>
        <w:rPr>
          <w:w w:val="101"/>
        </w:rPr>
        <w:t> </w:t>
      </w:r>
      <w:r>
        <w:rPr>
          <w:spacing w:val="-4"/>
        </w:rPr>
        <w:t>信用损失金额计量其损失准备。对于以单项为基础计量预期信用损失的应收账款，管理层综合考虑有关过去事项、当前状况</w:t>
      </w:r>
      <w:r>
        <w:rPr>
          <w:spacing w:val="43"/>
        </w:rPr>
        <w:t> </w:t>
      </w:r>
      <w:r>
        <w:rPr>
          <w:spacing w:val="43"/>
        </w:rPr>
      </w:r>
      <w:r>
        <w:rPr>
          <w:spacing w:val="-4"/>
        </w:rPr>
        <w:t>以及未来经济状况预测的合理且有依据的信息，估计预期收取的现金流量，据此确定应计提的坏账准备；对于以组合为基础</w:t>
      </w:r>
      <w:r>
        <w:rPr>
          <w:spacing w:val="43"/>
        </w:rPr>
        <w:t> </w:t>
      </w:r>
      <w:r>
        <w:rPr>
          <w:spacing w:val="43"/>
        </w:rPr>
      </w:r>
      <w:r>
        <w:rPr>
          <w:spacing w:val="-4"/>
        </w:rPr>
        <w:t>计量预期信用损失的应收账款，管理层以账龄为依据划分组合，参照历史信用损失经验，并根据前瞻性估计予以调整，编制</w:t>
      </w:r>
      <w:r>
        <w:rPr>
          <w:spacing w:val="40"/>
        </w:rPr>
        <w:t> </w:t>
      </w:r>
      <w:r>
        <w:rPr>
          <w:spacing w:val="40"/>
        </w:rPr>
      </w:r>
      <w:r>
        <w:rPr>
          <w:spacing w:val="-3"/>
        </w:rPr>
        <w:t>应收账款账龄与预期信用损失率对照表，据此确定应计提的坏账准备。</w:t>
      </w:r>
    </w:p>
    <w:p>
      <w:pPr>
        <w:pStyle w:val="BodyText"/>
        <w:spacing w:line="316" w:lineRule="auto" w:before="17"/>
        <w:ind w:left="633" w:right="1828"/>
        <w:jc w:val="left"/>
      </w:pPr>
      <w:r>
        <w:rPr>
          <w:spacing w:val="-3"/>
        </w:rPr>
        <w:t>由于应收账款金额重大，且应收账款减值涉及重大管理层判断，我们将应收账款减值确定为关键审计事项。</w:t>
      </w:r>
      <w:r>
        <w:rPr>
          <w:spacing w:val="48"/>
        </w:rPr>
        <w:t> </w:t>
      </w:r>
      <w:r>
        <w:rPr>
          <w:spacing w:val="48"/>
        </w:rPr>
      </w:r>
      <w:r>
        <w:rPr>
          <w:rFonts w:ascii="宋体" w:hAnsi="宋体" w:cs="宋体" w:eastAsia="宋体" w:hint="default"/>
        </w:rPr>
        <w:t>2.</w:t>
      </w:r>
      <w:r>
        <w:rPr>
          <w:rFonts w:ascii="宋体" w:hAnsi="宋体" w:cs="宋体" w:eastAsia="宋体" w:hint="default"/>
          <w:spacing w:val="15"/>
        </w:rPr>
        <w:t> </w:t>
      </w:r>
      <w:r>
        <w:rPr>
          <w:spacing w:val="-3"/>
        </w:rPr>
        <w:t>审计应对</w:t>
      </w:r>
    </w:p>
    <w:p>
      <w:pPr>
        <w:pStyle w:val="BodyText"/>
        <w:spacing w:line="240" w:lineRule="auto" w:before="19"/>
        <w:ind w:left="633" w:right="0"/>
        <w:jc w:val="left"/>
      </w:pPr>
      <w:r>
        <w:rPr>
          <w:spacing w:val="-3"/>
        </w:rPr>
        <w:t>针对应收账款减值，我们实施的审计程序主要包括：</w:t>
      </w:r>
    </w:p>
    <w:p>
      <w:pPr>
        <w:pStyle w:val="BodyText"/>
        <w:spacing w:line="319" w:lineRule="auto" w:before="76"/>
        <w:ind w:right="1037" w:firstLine="480"/>
        <w:jc w:val="left"/>
      </w:pPr>
      <w:r>
        <w:rPr>
          <w:rFonts w:ascii="宋体" w:hAnsi="宋体" w:cs="宋体" w:eastAsia="宋体" w:hint="default"/>
        </w:rPr>
        <w:t>(1)</w:t>
      </w:r>
      <w:r>
        <w:rPr>
          <w:rFonts w:ascii="宋体" w:hAnsi="宋体" w:cs="宋体" w:eastAsia="宋体" w:hint="default"/>
          <w:spacing w:val="13"/>
        </w:rPr>
        <w:t> </w:t>
      </w:r>
      <w:r>
        <w:rPr>
          <w:spacing w:val="-3"/>
        </w:rPr>
        <w:t>了解与应收账款减值相关的关键内部控制，评价这些控制的设计，确定其是否得到执行，并测试相关内部控制的</w:t>
      </w:r>
      <w:r>
        <w:rPr>
          <w:w w:val="101"/>
        </w:rPr>
        <w:t> </w:t>
      </w:r>
      <w:r>
        <w:rPr/>
        <w:t>运行有效性；</w:t>
      </w:r>
    </w:p>
    <w:p>
      <w:pPr>
        <w:pStyle w:val="BodyText"/>
        <w:spacing w:line="240" w:lineRule="auto" w:before="17"/>
        <w:ind w:left="633" w:right="0"/>
        <w:jc w:val="left"/>
      </w:pPr>
      <w:r>
        <w:rPr>
          <w:rFonts w:ascii="宋体" w:hAnsi="宋体" w:cs="宋体" w:eastAsia="宋体" w:hint="default"/>
        </w:rPr>
        <w:t>(2) </w:t>
      </w:r>
      <w:r>
        <w:rPr>
          <w:rFonts w:ascii="宋体" w:hAnsi="宋体" w:cs="宋体" w:eastAsia="宋体" w:hint="default"/>
          <w:spacing w:val="42"/>
        </w:rPr>
        <w:t> </w:t>
      </w:r>
      <w:r>
        <w:rPr>
          <w:spacing w:val="-3"/>
        </w:rPr>
        <w:t>复核以前年度已计提坏账准备的应收账款的后续实际核销或转回情况，评价管理层过往预测的准确性；</w:t>
      </w:r>
    </w:p>
    <w:p>
      <w:pPr>
        <w:pStyle w:val="BodyText"/>
        <w:spacing w:line="316" w:lineRule="auto" w:before="76"/>
        <w:ind w:right="1037" w:firstLine="480"/>
        <w:jc w:val="left"/>
      </w:pPr>
      <w:r>
        <w:rPr>
          <w:rFonts w:ascii="宋体" w:hAnsi="宋体" w:cs="宋体" w:eastAsia="宋体" w:hint="default"/>
        </w:rPr>
        <w:t>(3)</w:t>
      </w:r>
      <w:r>
        <w:rPr>
          <w:rFonts w:ascii="宋体" w:hAnsi="宋体" w:cs="宋体" w:eastAsia="宋体" w:hint="default"/>
          <w:spacing w:val="9"/>
        </w:rPr>
        <w:t> </w:t>
      </w:r>
      <w:r>
        <w:rPr>
          <w:spacing w:val="-3"/>
        </w:rPr>
        <w:t>复核管理层对应收账款进行信用风险评估的相关考虑和客观证据，评价管理层是否恰当识别各项应收账款的信用</w:t>
      </w:r>
      <w:r>
        <w:rPr>
          <w:w w:val="101"/>
        </w:rPr>
        <w:t> </w:t>
      </w:r>
      <w:r>
        <w:rPr/>
        <w:t>风险特征；</w:t>
      </w:r>
    </w:p>
    <w:p>
      <w:pPr>
        <w:pStyle w:val="BodyText"/>
        <w:spacing w:line="316" w:lineRule="auto" w:before="19"/>
        <w:ind w:right="0" w:firstLine="480"/>
        <w:jc w:val="left"/>
      </w:pPr>
      <w:r>
        <w:rPr>
          <w:rFonts w:ascii="宋体" w:hAnsi="宋体" w:cs="宋体" w:eastAsia="宋体" w:hint="default"/>
        </w:rPr>
        <w:t>(4)</w:t>
      </w:r>
      <w:r>
        <w:rPr>
          <w:rFonts w:ascii="宋体" w:hAnsi="宋体" w:cs="宋体" w:eastAsia="宋体" w:hint="default"/>
          <w:spacing w:val="13"/>
        </w:rPr>
        <w:t> </w:t>
      </w:r>
      <w:r>
        <w:rPr>
          <w:spacing w:val="-3"/>
        </w:rPr>
        <w:t>对于单独进行减值测试的应收账款，获取并检查管理层对未来现金流量现值的预测，评价在预测中使用的关键假</w:t>
      </w:r>
      <w:r>
        <w:rPr>
          <w:w w:val="101"/>
        </w:rPr>
        <w:t> </w:t>
      </w:r>
      <w:r>
        <w:rPr>
          <w:spacing w:val="-3"/>
        </w:rPr>
        <w:t>设的合理性和数据的准确性，并与获取的外部证据进行核对；</w:t>
      </w:r>
    </w:p>
    <w:p>
      <w:pPr>
        <w:pStyle w:val="BodyText"/>
        <w:spacing w:line="316" w:lineRule="auto" w:before="19"/>
        <w:ind w:right="1123" w:firstLine="480"/>
        <w:jc w:val="both"/>
      </w:pPr>
      <w:r>
        <w:rPr>
          <w:rFonts w:ascii="宋体" w:hAnsi="宋体" w:cs="宋体" w:eastAsia="宋体" w:hint="default"/>
        </w:rPr>
        <w:t>(5)</w:t>
      </w:r>
      <w:r>
        <w:rPr>
          <w:rFonts w:ascii="宋体" w:hAnsi="宋体" w:cs="宋体" w:eastAsia="宋体" w:hint="default"/>
          <w:spacing w:val="13"/>
        </w:rPr>
        <w:t> </w:t>
      </w:r>
      <w:r>
        <w:rPr>
          <w:spacing w:val="-3"/>
        </w:rPr>
        <w:t>对于以组合为基础计量预期信用损失的应收账款，评价管理层按信用风险特征划分组合的合理性；评价管理层根</w:t>
      </w:r>
      <w:r>
        <w:rPr>
          <w:w w:val="101"/>
        </w:rPr>
        <w:t> </w:t>
      </w:r>
      <w:r>
        <w:rPr>
          <w:spacing w:val="-4"/>
        </w:rPr>
        <w:t>据历史信用损失经验及前瞻性估计确定的应收账款账龄与预期信用损失率对照表的合理性；测试管理层使用数据（包括应收</w:t>
      </w:r>
      <w:r>
        <w:rPr>
          <w:spacing w:val="38"/>
        </w:rPr>
        <w:t> </w:t>
      </w:r>
      <w:r>
        <w:rPr>
          <w:spacing w:val="38"/>
        </w:rPr>
      </w:r>
      <w:r>
        <w:rPr>
          <w:spacing w:val="-3"/>
        </w:rPr>
        <w:t>账款账龄、历史损失率、迁徙率等）的准确性和完整性以及对坏账准备的计算是否准确；</w:t>
      </w:r>
    </w:p>
    <w:p>
      <w:pPr>
        <w:pStyle w:val="BodyText"/>
        <w:spacing w:line="240" w:lineRule="auto" w:before="19"/>
        <w:ind w:left="633" w:right="0"/>
        <w:jc w:val="left"/>
      </w:pPr>
      <w:r>
        <w:rPr>
          <w:rFonts w:ascii="宋体" w:hAnsi="宋体" w:cs="宋体" w:eastAsia="宋体" w:hint="default"/>
        </w:rPr>
        <w:t>(6) </w:t>
      </w:r>
      <w:r>
        <w:rPr>
          <w:rFonts w:ascii="宋体" w:hAnsi="宋体" w:cs="宋体" w:eastAsia="宋体" w:hint="default"/>
          <w:spacing w:val="8"/>
        </w:rPr>
        <w:t> </w:t>
      </w:r>
      <w:r>
        <w:rPr>
          <w:spacing w:val="-3"/>
        </w:rPr>
        <w:t>检查应收账款的期后回款情况，评价管理层计提应收账款坏账准备的合理性；</w:t>
      </w:r>
    </w:p>
    <w:p>
      <w:pPr>
        <w:pStyle w:val="BodyText"/>
        <w:spacing w:line="240" w:lineRule="auto" w:before="76"/>
        <w:ind w:left="633" w:right="0"/>
        <w:jc w:val="left"/>
      </w:pPr>
      <w:r>
        <w:rPr>
          <w:rFonts w:ascii="宋体" w:hAnsi="宋体" w:cs="宋体" w:eastAsia="宋体" w:hint="default"/>
        </w:rPr>
        <w:t>(7) </w:t>
      </w:r>
      <w:r>
        <w:rPr>
          <w:rFonts w:ascii="宋体" w:hAnsi="宋体" w:cs="宋体" w:eastAsia="宋体" w:hint="default"/>
          <w:spacing w:val="14"/>
        </w:rPr>
        <w:t> </w:t>
      </w:r>
      <w:r>
        <w:rPr>
          <w:spacing w:val="-3"/>
        </w:rPr>
        <w:t>向主要客户函证合同内容、完工进度、开票、回款等信息，确认应收账款的权利；</w:t>
      </w:r>
    </w:p>
    <w:p>
      <w:pPr>
        <w:pStyle w:val="BodyText"/>
        <w:spacing w:line="240" w:lineRule="auto" w:before="77"/>
        <w:ind w:left="633" w:right="0"/>
        <w:jc w:val="left"/>
      </w:pPr>
      <w:r>
        <w:rPr>
          <w:rFonts w:ascii="宋体" w:hAnsi="宋体" w:cs="宋体" w:eastAsia="宋体" w:hint="default"/>
        </w:rPr>
        <w:t>(8)</w:t>
      </w:r>
      <w:r>
        <w:rPr>
          <w:rFonts w:ascii="宋体" w:hAnsi="宋体" w:cs="宋体" w:eastAsia="宋体" w:hint="default"/>
          <w:spacing w:val="80"/>
        </w:rPr>
        <w:t> </w:t>
      </w:r>
      <w:r>
        <w:rPr>
          <w:spacing w:val="-3"/>
        </w:rPr>
        <w:t>访谈部分大额应收账款客户，了解项目决算及付款延迟的原因；</w:t>
      </w:r>
    </w:p>
    <w:p>
      <w:pPr>
        <w:pStyle w:val="BodyText"/>
        <w:spacing w:line="240" w:lineRule="auto" w:before="76"/>
        <w:ind w:left="633" w:right="0"/>
        <w:jc w:val="left"/>
      </w:pPr>
      <w:r>
        <w:rPr>
          <w:rFonts w:ascii="宋体" w:hAnsi="宋体" w:cs="宋体" w:eastAsia="宋体" w:hint="default"/>
        </w:rPr>
        <w:t>(9)</w:t>
      </w:r>
      <w:r>
        <w:rPr>
          <w:rFonts w:ascii="宋体" w:hAnsi="宋体" w:cs="宋体" w:eastAsia="宋体" w:hint="default"/>
          <w:spacing w:val="86"/>
        </w:rPr>
        <w:t> </w:t>
      </w:r>
      <w:r>
        <w:rPr>
          <w:spacing w:val="-3"/>
        </w:rPr>
        <w:t>检查与应收账款减值相关的信息是否已在财务报表中作出恰当列报。</w:t>
      </w:r>
    </w:p>
    <w:p>
      <w:pPr>
        <w:spacing w:line="240" w:lineRule="auto" w:before="0"/>
        <w:rPr>
          <w:rFonts w:ascii="宋体" w:hAnsi="宋体" w:cs="宋体" w:eastAsia="宋体" w:hint="default"/>
          <w:sz w:val="18"/>
          <w:szCs w:val="18"/>
        </w:rPr>
      </w:pPr>
    </w:p>
    <w:p>
      <w:pPr>
        <w:pStyle w:val="BodyText"/>
        <w:spacing w:line="319" w:lineRule="auto" w:before="153"/>
        <w:ind w:left="633" w:right="0"/>
        <w:jc w:val="left"/>
      </w:pPr>
      <w:r>
        <w:rPr>
          <w:rFonts w:ascii="宋体" w:hAnsi="宋体" w:cs="宋体" w:eastAsia="宋体" w:hint="default"/>
          <w:b/>
          <w:bCs/>
        </w:rPr>
        <w:t>四、其他信息</w:t>
      </w:r>
      <w:r>
        <w:rPr>
          <w:rFonts w:ascii="宋体" w:hAnsi="宋体" w:cs="宋体" w:eastAsia="宋体" w:hint="default"/>
          <w:b/>
          <w:bCs/>
          <w:spacing w:val="-86"/>
        </w:rPr>
        <w:t> </w:t>
      </w:r>
      <w:r>
        <w:rPr>
          <w:rFonts w:ascii="宋体" w:hAnsi="宋体" w:cs="宋体" w:eastAsia="宋体" w:hint="default"/>
          <w:b/>
          <w:bCs/>
          <w:spacing w:val="-86"/>
        </w:rPr>
      </w:r>
      <w:r>
        <w:rPr>
          <w:spacing w:val="-3"/>
        </w:rPr>
        <w:t>管理层对其他信息负责。其他信息包括年度报告中涵盖的信息，但不包括财务报表和我们的审计报告。</w:t>
      </w:r>
      <w:r>
        <w:rPr>
          <w:spacing w:val="42"/>
        </w:rPr>
        <w:t> </w:t>
      </w:r>
      <w:r>
        <w:rPr>
          <w:spacing w:val="42"/>
        </w:rPr>
      </w:r>
      <w:r>
        <w:rPr>
          <w:spacing w:val="-3"/>
        </w:rPr>
        <w:t>我们对财务报表发表的审计意见不涵盖其他信息，我们也不对其他信息发表任何形式的鉴证结论。</w:t>
      </w:r>
      <w:r>
        <w:rPr>
          <w:spacing w:val="37"/>
        </w:rPr>
        <w:t> </w:t>
      </w:r>
      <w:r>
        <w:rPr>
          <w:spacing w:val="37"/>
        </w:rPr>
      </w:r>
      <w:r>
        <w:rPr>
          <w:spacing w:val="-3"/>
        </w:rPr>
        <w:t>结合我们对财务报表的审计，我们的责任是阅读其他信息，在此过程中，考虑其他信息是否与财务报表或我们在审计</w:t>
      </w:r>
    </w:p>
    <w:p>
      <w:pPr>
        <w:pStyle w:val="BodyText"/>
        <w:spacing w:line="316" w:lineRule="auto" w:before="17"/>
        <w:ind w:left="633" w:right="0" w:hanging="480"/>
        <w:jc w:val="left"/>
      </w:pPr>
      <w:r>
        <w:rPr>
          <w:spacing w:val="-3"/>
        </w:rPr>
        <w:t>过程中了解到的情况存在重大不一致或者似乎存在重大错报。</w:t>
      </w:r>
      <w:r>
        <w:rPr>
          <w:spacing w:val="-10"/>
        </w:rPr>
        <w:t> </w:t>
      </w:r>
      <w:r>
        <w:rPr>
          <w:spacing w:val="-10"/>
        </w:rPr>
      </w:r>
      <w:r>
        <w:rPr>
          <w:spacing w:val="-3"/>
        </w:rPr>
        <w:t>基于我们已执行的工作，如果我们确定其他信息存在重大错报，我们应当报告该事实。在这方面，我们无任何事项需</w:t>
      </w:r>
    </w:p>
    <w:p>
      <w:pPr>
        <w:pStyle w:val="BodyText"/>
        <w:spacing w:line="240" w:lineRule="auto" w:before="19"/>
        <w:ind w:right="0"/>
        <w:jc w:val="left"/>
      </w:pPr>
      <w:r>
        <w:rPr/>
        <w:t>要报告。</w:t>
      </w:r>
    </w:p>
    <w:p>
      <w:pPr>
        <w:spacing w:line="240" w:lineRule="auto" w:before="0"/>
        <w:rPr>
          <w:rFonts w:ascii="宋体" w:hAnsi="宋体" w:cs="宋体" w:eastAsia="宋体" w:hint="default"/>
          <w:sz w:val="18"/>
          <w:szCs w:val="18"/>
        </w:rPr>
      </w:pPr>
    </w:p>
    <w:p>
      <w:pPr>
        <w:spacing w:line="316" w:lineRule="auto" w:before="153"/>
        <w:ind w:left="633" w:right="0" w:firstLine="0"/>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spacing w:val="-87"/>
          <w:sz w:val="18"/>
          <w:szCs w:val="18"/>
        </w:rPr>
        <w:t> </w:t>
      </w:r>
      <w:r>
        <w:rPr>
          <w:rFonts w:ascii="宋体" w:hAnsi="宋体" w:cs="宋体" w:eastAsia="宋体" w:hint="default"/>
          <w:b/>
          <w:bCs/>
          <w:spacing w:val="-87"/>
          <w:sz w:val="18"/>
          <w:szCs w:val="18"/>
        </w:rPr>
      </w:r>
      <w:r>
        <w:rPr>
          <w:rFonts w:ascii="宋体" w:hAnsi="宋体" w:cs="宋体" w:eastAsia="宋体" w:hint="default"/>
          <w:spacing w:val="-3"/>
          <w:sz w:val="18"/>
          <w:szCs w:val="18"/>
        </w:rPr>
        <w:t>管理层负责按照企业会计准则的规定编制财务报表，使其实现公允反映，并设计、执行和维护必要的内部控制，以使</w:t>
      </w:r>
    </w:p>
    <w:p>
      <w:pPr>
        <w:pStyle w:val="BodyText"/>
        <w:spacing w:line="240" w:lineRule="auto" w:before="18"/>
        <w:ind w:right="0"/>
        <w:jc w:val="left"/>
      </w:pPr>
      <w:r>
        <w:rPr>
          <w:spacing w:val="-3"/>
        </w:rPr>
        <w:t>财务报表不存在由于舞弊或错误导致的重大错报。</w:t>
      </w:r>
    </w:p>
    <w:p>
      <w:pPr>
        <w:spacing w:after="0" w:line="24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16" w:lineRule="auto" w:before="46"/>
        <w:ind w:right="0" w:firstLine="480"/>
        <w:jc w:val="left"/>
      </w:pPr>
      <w:r>
        <w:rPr>
          <w:spacing w:val="-3"/>
        </w:rPr>
        <w:t>在编制财务报表时，管理层负责评估和仁科技公司的持续经营能力，披露与持续经营相关的事项（如适用），并运用</w:t>
      </w:r>
      <w:r>
        <w:rPr>
          <w:w w:val="101"/>
        </w:rPr>
        <w:t> </w:t>
      </w:r>
      <w:r>
        <w:rPr>
          <w:spacing w:val="-3"/>
        </w:rPr>
        <w:t>持续经营假设，除非计划进行清算、终止运营或别无其他现实的选择。</w:t>
      </w:r>
    </w:p>
    <w:p>
      <w:pPr>
        <w:pStyle w:val="BodyText"/>
        <w:spacing w:line="240" w:lineRule="auto" w:before="19"/>
        <w:ind w:left="633" w:right="0"/>
        <w:jc w:val="left"/>
      </w:pPr>
      <w:r>
        <w:rPr>
          <w:spacing w:val="-3"/>
        </w:rPr>
        <w:t>和仁科技公司治理层（以下简称治理层）负责监督和仁科技公司的财务报告过程。</w:t>
      </w:r>
    </w:p>
    <w:p>
      <w:pPr>
        <w:spacing w:line="240" w:lineRule="auto" w:before="0"/>
        <w:rPr>
          <w:rFonts w:ascii="宋体" w:hAnsi="宋体" w:cs="宋体" w:eastAsia="宋体" w:hint="default"/>
          <w:sz w:val="18"/>
          <w:szCs w:val="18"/>
        </w:rPr>
      </w:pPr>
    </w:p>
    <w:p>
      <w:pPr>
        <w:spacing w:line="316" w:lineRule="auto" w:before="153"/>
        <w:ind w:left="633" w:right="0" w:firstLine="0"/>
        <w:jc w:val="left"/>
        <w:rPr>
          <w:rFonts w:ascii="宋体" w:hAnsi="宋体" w:cs="宋体" w:eastAsia="宋体" w:hint="default"/>
          <w:sz w:val="18"/>
          <w:szCs w:val="18"/>
        </w:rPr>
      </w:pPr>
      <w:r>
        <w:rPr>
          <w:rFonts w:ascii="宋体" w:hAnsi="宋体" w:cs="宋体" w:eastAsia="宋体" w:hint="default"/>
          <w:b/>
          <w:bCs/>
          <w:sz w:val="18"/>
          <w:szCs w:val="18"/>
        </w:rPr>
        <w:t>六、注册会计师对财务报表审计的责任</w:t>
      </w:r>
      <w:r>
        <w:rPr>
          <w:rFonts w:ascii="宋体" w:hAnsi="宋体" w:cs="宋体" w:eastAsia="宋体" w:hint="default"/>
          <w:b/>
          <w:bCs/>
          <w:spacing w:val="-87"/>
          <w:sz w:val="18"/>
          <w:szCs w:val="18"/>
        </w:rPr>
        <w:t> </w:t>
      </w:r>
      <w:r>
        <w:rPr>
          <w:rFonts w:ascii="宋体" w:hAnsi="宋体" w:cs="宋体" w:eastAsia="宋体" w:hint="default"/>
          <w:b/>
          <w:bCs/>
          <w:spacing w:val="-87"/>
          <w:sz w:val="18"/>
          <w:szCs w:val="18"/>
        </w:rPr>
      </w:r>
      <w:r>
        <w:rPr>
          <w:rFonts w:ascii="宋体" w:hAnsi="宋体" w:cs="宋体" w:eastAsia="宋体" w:hint="default"/>
          <w:spacing w:val="-3"/>
          <w:sz w:val="18"/>
          <w:szCs w:val="18"/>
        </w:rPr>
        <w:t>我们的目标是对财务报表整体是否不存在由于舞弊或错误导致的重大错报获取合理保证，并出具包含审计意见的审计</w:t>
      </w:r>
    </w:p>
    <w:p>
      <w:pPr>
        <w:pStyle w:val="BodyText"/>
        <w:spacing w:line="316" w:lineRule="auto" w:before="19"/>
        <w:ind w:right="1123"/>
        <w:jc w:val="both"/>
      </w:pPr>
      <w:r>
        <w:rPr>
          <w:spacing w:val="-4"/>
        </w:rPr>
        <w:t>报告。合理保证是高水平的保证，但并不能保证按照审计准则执行的审计在某一重大错报存在时总能发现。错报可能由于舞</w:t>
      </w:r>
      <w:r>
        <w:rPr>
          <w:spacing w:val="43"/>
        </w:rPr>
        <w:t> </w:t>
      </w:r>
      <w:r>
        <w:rPr>
          <w:spacing w:val="43"/>
        </w:rPr>
      </w:r>
      <w:r>
        <w:rPr>
          <w:spacing w:val="-4"/>
        </w:rPr>
        <w:t>弊或错误导致，如果合理预期错报单独或汇总起来可能影响财务报表使用者依据财务报表作出的经济决策，则通常认为错报</w:t>
      </w:r>
      <w:r>
        <w:rPr>
          <w:spacing w:val="43"/>
        </w:rPr>
        <w:t> </w:t>
      </w:r>
      <w:r>
        <w:rPr>
          <w:spacing w:val="43"/>
        </w:rPr>
      </w:r>
      <w:r>
        <w:rPr/>
        <w:t>是重大的。</w:t>
      </w:r>
    </w:p>
    <w:p>
      <w:pPr>
        <w:pStyle w:val="BodyText"/>
        <w:spacing w:line="240" w:lineRule="auto" w:before="19"/>
        <w:ind w:left="633" w:right="0"/>
        <w:jc w:val="left"/>
      </w:pPr>
      <w:r>
        <w:rPr>
          <w:spacing w:val="-3"/>
        </w:rPr>
        <w:t>在按照审计准则执行审计工作的过程中，我们运用职业判断，并保持职业怀疑。同时，我们也执行以下工作：</w:t>
      </w:r>
    </w:p>
    <w:p>
      <w:pPr>
        <w:pStyle w:val="BodyText"/>
        <w:spacing w:line="316" w:lineRule="auto" w:before="76"/>
        <w:ind w:right="0" w:firstLine="480"/>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58"/>
        </w:rPr>
        <w:t> </w:t>
      </w:r>
      <w:r>
        <w:rPr>
          <w:spacing w:val="-5"/>
        </w:rPr>
        <w:t>识别和评估由于舞弊或错误导致的财务报表重大错报风险，设计和实施审计程序以应对这些风险，并获取充分、</w:t>
      </w:r>
      <w:r>
        <w:rPr>
          <w:w w:val="101"/>
        </w:rPr>
        <w:t> </w:t>
      </w:r>
      <w:r>
        <w:rPr>
          <w:spacing w:val="-3"/>
        </w:rPr>
        <w:t>适当的审计证据，作为发表审计意见的基础。由于舞弊可能涉及串通、伪造、故意遗漏、虚假陈述或凌驾于内部控制之上，</w:t>
      </w:r>
      <w:r>
        <w:rPr>
          <w:spacing w:val="76"/>
        </w:rPr>
        <w:t> </w:t>
      </w:r>
      <w:r>
        <w:rPr>
          <w:spacing w:val="76"/>
        </w:rPr>
      </w:r>
      <w:r>
        <w:rPr>
          <w:spacing w:val="-3"/>
        </w:rPr>
        <w:t>未能发现由于舞弊导致的重大错报的风险高于未能发现由于错误导致的重大错报的风险。</w:t>
      </w:r>
    </w:p>
    <w:p>
      <w:pPr>
        <w:pStyle w:val="BodyText"/>
        <w:spacing w:line="319" w:lineRule="auto" w:before="19"/>
        <w:ind w:left="633" w:right="2115"/>
        <w:jc w:val="left"/>
      </w:pPr>
      <w:r>
        <w:rPr>
          <w:rFonts w:ascii="宋体" w:hAnsi="宋体" w:cs="宋体" w:eastAsia="宋体" w:hint="default"/>
        </w:rPr>
        <w:t>(</w:t>
      </w:r>
      <w:r>
        <w:rPr/>
        <w:t>二</w:t>
      </w:r>
      <w:r>
        <w:rPr>
          <w:rFonts w:ascii="宋体" w:hAnsi="宋体" w:cs="宋体" w:eastAsia="宋体" w:hint="default"/>
        </w:rPr>
        <w:t>) </w:t>
      </w:r>
      <w:r>
        <w:rPr>
          <w:spacing w:val="-3"/>
        </w:rPr>
        <w:t>了解与审计相关的内部控制，以设计恰当的审计程序，但目的并非对内部控制的有效性发表意见。</w:t>
      </w:r>
      <w:r>
        <w:rPr>
          <w:spacing w:val="-52"/>
        </w:rPr>
        <w:t> </w:t>
      </w:r>
      <w:r>
        <w:rPr>
          <w:spacing w:val="-52"/>
        </w:rPr>
      </w:r>
      <w:r>
        <w:rPr>
          <w:rFonts w:ascii="宋体" w:hAnsi="宋体" w:cs="宋体" w:eastAsia="宋体" w:hint="default"/>
        </w:rPr>
        <w:t>(</w:t>
      </w:r>
      <w:r>
        <w:rPr/>
        <w:t>三</w:t>
      </w:r>
      <w:r>
        <w:rPr>
          <w:rFonts w:ascii="宋体" w:hAnsi="宋体" w:cs="宋体" w:eastAsia="宋体" w:hint="default"/>
        </w:rPr>
        <w:t>) </w:t>
      </w:r>
      <w:r>
        <w:rPr>
          <w:rFonts w:ascii="宋体" w:hAnsi="宋体" w:cs="宋体" w:eastAsia="宋体" w:hint="default"/>
          <w:spacing w:val="8"/>
        </w:rPr>
        <w:t> </w:t>
      </w:r>
      <w:r>
        <w:rPr>
          <w:spacing w:val="-3"/>
        </w:rPr>
        <w:t>评价管理层选用会计政策的恰当性和作出会计估计及相关披露的合理性。</w:t>
      </w:r>
    </w:p>
    <w:p>
      <w:pPr>
        <w:pStyle w:val="BodyText"/>
        <w:spacing w:line="316" w:lineRule="auto" w:before="17"/>
        <w:ind w:right="1128" w:firstLine="480"/>
        <w:jc w:val="both"/>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57"/>
        </w:rPr>
        <w:t> </w:t>
      </w:r>
      <w:r>
        <w:rPr/>
        <w:t>对管理层使用持续经营假设的恰当性得出结论。同时，根据获取的审计证据，就可能导致对和仁科技公司持续</w:t>
      </w:r>
      <w:r>
        <w:rPr>
          <w:w w:val="101"/>
        </w:rPr>
        <w:t> </w:t>
      </w:r>
      <w:r>
        <w:rPr>
          <w:spacing w:val="-5"/>
        </w:rPr>
        <w:t>经营能力产生重大疑虑的事项或情况是否存在重大不确定性得出结论。如果我们得出结论认为存在重大不确定性，审计准则</w:t>
      </w:r>
      <w:r>
        <w:rPr>
          <w:spacing w:val="6"/>
        </w:rPr>
        <w:t> </w:t>
      </w:r>
      <w:r>
        <w:rPr>
          <w:spacing w:val="6"/>
        </w:rPr>
      </w:r>
      <w:r>
        <w:rPr>
          <w:spacing w:val="-4"/>
        </w:rPr>
        <w:t>要求我们在审计报告中提请报表使用者注意财务报表中的相关披露；如果披露不充分，我们应当发表非无保留意见。我们的</w:t>
      </w:r>
      <w:r>
        <w:rPr>
          <w:spacing w:val="38"/>
        </w:rPr>
        <w:t> </w:t>
      </w:r>
      <w:r>
        <w:rPr>
          <w:spacing w:val="38"/>
        </w:rPr>
      </w:r>
      <w:r>
        <w:rPr>
          <w:spacing w:val="-3"/>
        </w:rPr>
        <w:t>结论基于截至审计报告日可获得的信息。然而，未来的事项或情况可能导致和仁科技公司不能持续经营。</w:t>
      </w:r>
    </w:p>
    <w:p>
      <w:pPr>
        <w:pStyle w:val="BodyText"/>
        <w:spacing w:line="240" w:lineRule="auto" w:before="19"/>
        <w:ind w:left="633" w:right="0"/>
        <w:jc w:val="left"/>
      </w:pPr>
      <w:r>
        <w:rPr>
          <w:rFonts w:ascii="宋体" w:hAnsi="宋体" w:cs="宋体" w:eastAsia="宋体" w:hint="default"/>
        </w:rPr>
        <w:t>(</w:t>
      </w:r>
      <w:r>
        <w:rPr/>
        <w:t>五</w:t>
      </w:r>
      <w:r>
        <w:rPr>
          <w:rFonts w:ascii="宋体" w:hAnsi="宋体" w:cs="宋体" w:eastAsia="宋体" w:hint="default"/>
        </w:rPr>
        <w:t>) </w:t>
      </w:r>
      <w:r>
        <w:rPr>
          <w:rFonts w:ascii="宋体" w:hAnsi="宋体" w:cs="宋体" w:eastAsia="宋体" w:hint="default"/>
          <w:spacing w:val="26"/>
        </w:rPr>
        <w:t> </w:t>
      </w:r>
      <w:r>
        <w:rPr>
          <w:spacing w:val="-3"/>
        </w:rPr>
        <w:t>评价财务报表的总体列报、结构和内容，并评价财务报表是否公允反映相关交易和事项。</w:t>
      </w:r>
    </w:p>
    <w:p>
      <w:pPr>
        <w:pStyle w:val="BodyText"/>
        <w:spacing w:line="316" w:lineRule="auto" w:before="76"/>
        <w:ind w:right="1123" w:firstLine="480"/>
        <w:jc w:val="left"/>
      </w:pPr>
      <w:r>
        <w:rPr>
          <w:rFonts w:ascii="宋体" w:hAnsi="宋体" w:cs="宋体" w:eastAsia="宋体" w:hint="default"/>
        </w:rPr>
        <w:t>(</w:t>
      </w:r>
      <w:r>
        <w:rPr/>
        <w:t>六</w:t>
      </w:r>
      <w:r>
        <w:rPr>
          <w:rFonts w:ascii="宋体" w:hAnsi="宋体" w:cs="宋体" w:eastAsia="宋体" w:hint="default"/>
        </w:rPr>
        <w:t>)</w:t>
      </w:r>
      <w:r>
        <w:rPr>
          <w:rFonts w:ascii="宋体" w:hAnsi="宋体" w:cs="宋体" w:eastAsia="宋体" w:hint="default"/>
          <w:spacing w:val="58"/>
        </w:rPr>
        <w:t> </w:t>
      </w:r>
      <w:r>
        <w:rPr/>
        <w:t>就和仁科技公司中实体或业务活动的财务信息获取充分、适当的审计证据，以对财务报表发表审计意见。我们</w:t>
      </w:r>
      <w:r>
        <w:rPr>
          <w:w w:val="101"/>
        </w:rPr>
        <w:t> </w:t>
      </w:r>
      <w:r>
        <w:rPr>
          <w:spacing w:val="-3"/>
        </w:rPr>
        <w:t>负责指导、监督和执行集团审计，并对审计意见承担全部责任。</w:t>
      </w:r>
    </w:p>
    <w:p>
      <w:pPr>
        <w:pStyle w:val="BodyText"/>
        <w:spacing w:line="316" w:lineRule="auto" w:before="19"/>
        <w:ind w:right="0" w:firstLine="480"/>
        <w:jc w:val="left"/>
      </w:pPr>
      <w:r>
        <w:rPr>
          <w:spacing w:val="-3"/>
        </w:rPr>
        <w:t>我们与治理层就计划的审计范围、时间安排和重大审计发现等事项进行沟通，包括沟通我们在审计中识别出的值得关</w:t>
      </w:r>
      <w:r>
        <w:rPr>
          <w:w w:val="101"/>
        </w:rPr>
        <w:t> </w:t>
      </w:r>
      <w:r>
        <w:rPr>
          <w:spacing w:val="-3"/>
        </w:rPr>
        <w:t>注的内部控制缺陷。</w:t>
      </w:r>
    </w:p>
    <w:p>
      <w:pPr>
        <w:pStyle w:val="BodyText"/>
        <w:spacing w:line="319" w:lineRule="auto" w:before="19"/>
        <w:ind w:right="0" w:firstLine="480"/>
        <w:jc w:val="left"/>
      </w:pPr>
      <w:r>
        <w:rPr>
          <w:spacing w:val="-3"/>
        </w:rPr>
        <w:t>我们还就已遵守与独立性相关的职业道德要求向治理层提供声明，并与治理层沟通可能被合理认为影响我们独立性的</w:t>
      </w:r>
      <w:r>
        <w:rPr>
          <w:w w:val="101"/>
        </w:rPr>
        <w:t> </w:t>
      </w:r>
      <w:r>
        <w:rPr>
          <w:spacing w:val="-3"/>
        </w:rPr>
        <w:t>所有关系和其他事项，以及相关的防范措施（如适用）。</w:t>
      </w:r>
    </w:p>
    <w:p>
      <w:pPr>
        <w:pStyle w:val="BodyText"/>
        <w:spacing w:line="316" w:lineRule="auto" w:before="17"/>
        <w:ind w:right="1124" w:firstLine="480"/>
        <w:jc w:val="both"/>
      </w:pPr>
      <w:r>
        <w:rPr>
          <w:spacing w:val="-3"/>
        </w:rPr>
        <w:t>从与治理层沟通过的事项中，我们确定哪些事项对本期财务报表审计最为重要，因而构成关键审计事项。我们在审计</w:t>
      </w:r>
      <w:r>
        <w:rPr>
          <w:w w:val="101"/>
        </w:rPr>
        <w:t> </w:t>
      </w:r>
      <w:r>
        <w:rPr>
          <w:spacing w:val="-4"/>
        </w:rPr>
        <w:t>报告中描述这些事项，除非法律法规禁止公开披露这些事项，或在极少数情形下，如果合理预期在审计报告中沟通某事项造</w:t>
      </w:r>
      <w:r>
        <w:rPr>
          <w:spacing w:val="43"/>
        </w:rPr>
        <w:t> </w:t>
      </w:r>
      <w:r>
        <w:rPr>
          <w:spacing w:val="43"/>
        </w:rPr>
      </w:r>
      <w:r>
        <w:rPr>
          <w:spacing w:val="-3"/>
        </w:rPr>
        <w:t>成的负面后果超过在公众利益方面产生的益处，我们确定不应在审计报告中沟通该事项。</w:t>
      </w:r>
    </w:p>
    <w:p>
      <w:pPr>
        <w:spacing w:line="240" w:lineRule="auto" w:before="4"/>
        <w:rPr>
          <w:rFonts w:ascii="宋体" w:hAnsi="宋体" w:cs="宋体" w:eastAsia="宋体" w:hint="default"/>
          <w:sz w:val="20"/>
          <w:szCs w:val="20"/>
        </w:rPr>
      </w:pPr>
    </w:p>
    <w:p>
      <w:pPr>
        <w:pStyle w:val="Heading2"/>
        <w:spacing w:line="240" w:lineRule="auto"/>
        <w:ind w:right="0"/>
        <w:jc w:val="both"/>
        <w:rPr>
          <w:b w:val="0"/>
          <w:bCs w:val="0"/>
        </w:rPr>
      </w:pPr>
      <w:bookmarkStart w:name="二、财务报表" w:id="158"/>
      <w:bookmarkEnd w:id="158"/>
      <w:r>
        <w:rPr>
          <w:b w:val="0"/>
          <w:bCs w:val="0"/>
        </w:rPr>
      </w:r>
      <w:r>
        <w:rPr/>
        <w:t>二、财务报表</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both"/>
      </w:pPr>
      <w:r>
        <w:rPr>
          <w:spacing w:val="-3"/>
        </w:rPr>
        <w:t>财务附注中报表的单位为：元</w:t>
      </w:r>
    </w:p>
    <w:p>
      <w:pPr>
        <w:spacing w:line="240" w:lineRule="auto" w:before="8"/>
        <w:rPr>
          <w:rFonts w:ascii="宋体" w:hAnsi="宋体" w:cs="宋体" w:eastAsia="宋体" w:hint="default"/>
          <w:sz w:val="26"/>
          <w:szCs w:val="26"/>
        </w:rPr>
      </w:pPr>
    </w:p>
    <w:p>
      <w:pPr>
        <w:pStyle w:val="Heading4"/>
        <w:spacing w:line="240" w:lineRule="auto"/>
        <w:ind w:right="0"/>
        <w:jc w:val="both"/>
        <w:rPr>
          <w:b w:val="0"/>
          <w:bCs w:val="0"/>
        </w:rPr>
      </w:pPr>
      <w:bookmarkStart w:name="1、合并资产负债表" w:id="159"/>
      <w:bookmarkEnd w:id="159"/>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7"/>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pStyle w:val="BodyText"/>
        <w:spacing w:line="240" w:lineRule="auto" w:before="46"/>
        <w:ind w:right="0"/>
        <w:jc w:val="left"/>
      </w:pPr>
      <w:r>
        <w:rPr>
          <w:spacing w:val="-3"/>
        </w:rPr>
        <w:t>编制单位：浙江和仁科技股份有限公司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7"/>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3217" w:space="860"/>
            <w:col w:w="1642" w:space="3203"/>
            <w:col w:w="2008"/>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2151" w:right="0"/>
              <w:jc w:val="left"/>
              <w:rPr>
                <w:rFonts w:ascii="Times New Roman" w:hAnsi="Times New Roman" w:cs="Times New Roman" w:eastAsia="Times New Roman" w:hint="default"/>
                <w:sz w:val="18"/>
                <w:szCs w:val="18"/>
              </w:rPr>
            </w:pPr>
            <w:r>
              <w:rPr>
                <w:rFonts w:ascii="Times New Roman"/>
                <w:sz w:val="18"/>
              </w:rPr>
              <w:t>299,629,587.66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46" w:right="0"/>
              <w:jc w:val="left"/>
              <w:rPr>
                <w:rFonts w:ascii="Times New Roman" w:hAnsi="Times New Roman" w:cs="Times New Roman" w:eastAsia="Times New Roman" w:hint="default"/>
                <w:sz w:val="18"/>
                <w:szCs w:val="18"/>
              </w:rPr>
            </w:pPr>
            <w:r>
              <w:rPr>
                <w:rFonts w:ascii="Times New Roman"/>
                <w:sz w:val="18"/>
              </w:rPr>
              <w:t>365,191,329.76</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671,420.00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8,039,160.00</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307,633,563.06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311,603,506.03</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5,931,943.49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3,504,113.02</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pacing w:val="-3"/>
                <w:sz w:val="18"/>
                <w:szCs w:val="18"/>
              </w:rPr>
              <w:t>应收分保合同准备金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25,512,001.66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22,521,450.76</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2,812,729.48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2,025,660.66</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100,864,952.69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20,001,300.30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743,056,198.04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732,886,520.53</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发放贷款和垫款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19,707,261.13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18,486,372.98</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1,798,119.70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70,560,652.22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67,273,434.52</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85,943,289.73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97,826,733.17</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10,493,072.54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10,097,750.37</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1,635,147.41</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926,638.80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926,638.80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4,010,324.92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3,007,674.38</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16,582,081.73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11,680,138.65</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210,021,440.77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210,933,890.28</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953,077,638.81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943,820,410.81</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80,752,591.67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105,000,000.00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10,455,952.40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11,939,914.60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110,506,365.50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135,976,086.79</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17,371,383.92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22,292,504.67</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939"/>
              <w:jc w:val="right"/>
              <w:rPr>
                <w:rFonts w:ascii="宋体" w:hAnsi="宋体" w:cs="宋体" w:eastAsia="宋体" w:hint="default"/>
                <w:sz w:val="18"/>
                <w:szCs w:val="18"/>
              </w:rPr>
            </w:pPr>
            <w:r>
              <w:rPr>
                <w:rFonts w:ascii="宋体" w:hAnsi="宋体" w:cs="宋体" w:eastAsia="宋体" w:hint="default"/>
                <w:spacing w:val="-3"/>
                <w:sz w:val="18"/>
                <w:szCs w:val="18"/>
              </w:rPr>
              <w:t>卖出回购金融资产款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939"/>
              <w:jc w:val="right"/>
              <w:rPr>
                <w:rFonts w:ascii="宋体" w:hAnsi="宋体" w:cs="宋体" w:eastAsia="宋体" w:hint="default"/>
                <w:sz w:val="18"/>
                <w:szCs w:val="18"/>
              </w:rPr>
            </w:pPr>
            <w:r>
              <w:rPr>
                <w:rFonts w:ascii="宋体" w:hAnsi="宋体" w:cs="宋体" w:eastAsia="宋体" w:hint="default"/>
                <w:spacing w:val="-3"/>
                <w:sz w:val="18"/>
                <w:szCs w:val="18"/>
              </w:rPr>
              <w:t>吸收存款及同业存放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代理承销证券款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27,617,967.16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24,592,722.30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14,170,479.72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28,069,935.68</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60,058,106.33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55,827,782.61</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145,119.44</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2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367,387.50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185,400.00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4"/>
          <w:pgSz w:w="11910" w:h="16840"/>
          <w:pgMar w:footer="979" w:header="741"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320,932,846.70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383,698,946.65</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保险合同准备金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2,144,280.27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2,291,640.99</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2,144,280.27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2,291,640.99</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323,077,126.97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385,990,587.64</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117,306,000.00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83,090,000.00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287,620,255.02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281,477,831.80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55,114,837.50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50,892,300.00</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29,429,952.10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25,064,167.89</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239,036,210.26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208,451,416.62</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归属于母公司所有者权益合计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618,277,579.88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547,191,116.31</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11,722,931.96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10,638,706.86</w:t>
            </w:r>
          </w:p>
        </w:tc>
      </w:tr>
    </w:tbl>
    <w:p>
      <w:pPr>
        <w:spacing w:after="0" w:line="240" w:lineRule="auto"/>
        <w:jc w:val="right"/>
        <w:rPr>
          <w:rFonts w:ascii="Times New Roman" w:hAnsi="Times New Roman" w:cs="Times New Roman" w:eastAsia="Times New Roman" w:hint="default"/>
          <w:sz w:val="18"/>
          <w:szCs w:val="18"/>
        </w:rPr>
        <w:sectPr>
          <w:footerReference w:type="default" r:id="rId15"/>
          <w:pgSz w:w="11910" w:h="16840"/>
          <w:pgMar w:footer="979" w:header="741" w:top="1060" w:bottom="1160" w:left="980" w:right="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630,000,511.84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557,829,823.17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953,077,638.81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943,820,410.81</w:t>
            </w:r>
          </w:p>
        </w:tc>
      </w:tr>
    </w:tbl>
    <w:p>
      <w:pPr>
        <w:spacing w:line="240" w:lineRule="auto" w:before="3"/>
        <w:rPr>
          <w:rFonts w:ascii="Times New Roman" w:hAnsi="Times New Roman" w:cs="Times New Roman" w:eastAsia="Times New Roman" w:hint="default"/>
          <w:sz w:val="23"/>
          <w:szCs w:val="23"/>
        </w:rPr>
      </w:pPr>
    </w:p>
    <w:p>
      <w:pPr>
        <w:pStyle w:val="BodyText"/>
        <w:tabs>
          <w:tab w:pos="3577" w:val="left" w:leader="none"/>
          <w:tab w:pos="7716" w:val="left" w:leader="none"/>
        </w:tabs>
        <w:spacing w:line="240" w:lineRule="auto" w:before="46"/>
        <w:ind w:right="0"/>
        <w:jc w:val="left"/>
      </w:pPr>
      <w:r>
        <w:rPr>
          <w:spacing w:val="-3"/>
        </w:rPr>
        <w:t>法定代表人：杨一兵</w:t>
        <w:tab/>
        <w:t>主管会计工作负责人：张雪峰</w:t>
        <w:tab/>
        <w:t>会计机构负责人：刘双双</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2、母公司资产负债表" w:id="160"/>
      <w:bookmarkEnd w:id="160"/>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1"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1"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280,784,041.81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345,492,370.31</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671,420.00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8,039,160.00</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300,564,350.63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295,150,534.09</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6,551,397.78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3,818,816.94</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29,079,204.44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24,663,853.81</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1,647,492.51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1,406,646.47</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100,543,863.02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19,414,446.27</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719,841,770.19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697,985,827.89</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9"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19,707,261.13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18,486,372.98</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42,107,912.94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34,906,793.24</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70,560,652.22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67,273,434.52</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84,009,544.93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94,988,571.88</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7,393,164.08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4,340,605.57</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1,635,147.41</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3,665,982.10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2,170,799.34</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16,452,159.16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11,108,893.14</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243,896,676.56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234,910,618.08</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963,738,446.75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932,896,445.97</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80,752,591.67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105,000,000.00</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10,455,952.40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11,939,914.60</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124,961,071.59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129,671,283.33</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17,146,661.77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22,876,293.18</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24,681,499.57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21,189,663.38</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12,712,443.77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27,039,064.16</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59,774,503.45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55,403,257.60</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145,119.44</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367,387.50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185,400.00</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330,484,724.22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373,119,476.25</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1"/>
        <w:gridCol w:w="3318"/>
        <w:gridCol w:w="3299"/>
      </w:tblGrid>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0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1,725,004.72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1,757,729.93</w:t>
            </w:r>
          </w:p>
        </w:tc>
      </w:tr>
      <w:tr>
        <w:trPr>
          <w:trHeight w:val="398"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331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1,725,004.72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1,757,729.93</w:t>
            </w:r>
          </w:p>
        </w:tc>
      </w:tr>
      <w:tr>
        <w:trPr>
          <w:trHeight w:val="398"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332,209,728.94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374,877,206.18</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117,306,000.00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83,090,000.00</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20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294,307,684.13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288,165,260.91</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55,114,837.50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50,892,300.00</w:t>
            </w:r>
          </w:p>
        </w:tc>
      </w:tr>
      <w:tr>
        <w:trPr>
          <w:trHeight w:val="398"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29,429,952.10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25,064,167.89</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245,599,919.08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212,592,110.99</w:t>
            </w:r>
          </w:p>
        </w:tc>
      </w:tr>
      <w:tr>
        <w:trPr>
          <w:trHeight w:val="398"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331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631,528,717.81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558,019,239.79</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963,738,446.75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932,896,445.97</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bookmarkStart w:name="3、合并利润表" w:id="161"/>
      <w:bookmarkEnd w:id="161"/>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059"/>
        <w:gridCol w:w="3220"/>
        <w:gridCol w:w="3279"/>
      </w:tblGrid>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399"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一、营业总收入</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440,959,834.78</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391,421,018.50</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其中：营业收入</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440,959,834.78</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391,421,018.50</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利息收入</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1.029999pt;margin-top:576.769958pt;width:158.950pt;height:20.65pt;mso-position-horizontal-relative:page;mso-position-vertical-relative:page;z-index:-1110256" coordorigin="4221,11535" coordsize="3179,413">
            <v:group style="position:absolute;left:4233;top:11547;width:2;height:389" coordorigin="4233,11547" coordsize="2,389">
              <v:shape style="position:absolute;left:4233;top:11547;width:2;height:389" coordorigin="4233,11547" coordsize="0,389" path="m4233,11547l4233,11936e" filled="false" stroked="true" strokeweight="1.2pt" strokecolor="#ffffff">
                <v:path arrowok="t"/>
              </v:shape>
            </v:group>
            <v:group style="position:absolute;left:4245;top:11547;width:3155;height:389" coordorigin="4245,11547" coordsize="3155,389">
              <v:shape style="position:absolute;left:4245;top:11547;width:3155;height:389" coordorigin="4245,11547" coordsize="3155,389" path="m4245,11936l7400,11936,7400,11547,4245,11547,4245,11936xe" filled="true" fillcolor="#ffffff" stroked="false">
                <v:path arrowok="t"/>
                <v:fill type="solid"/>
              </v:shape>
            </v:group>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083"/>
        <w:gridCol w:w="3208"/>
        <w:gridCol w:w="3279"/>
      </w:tblGrid>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已赚保费</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手续费及佣金收入</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二、营业总成本</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393,678,674.54</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338,291,903.17</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其中：营业成本</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240,125,126.91</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210,921,282.36</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利息支出</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手续费及佣金支出</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26"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赔付支出净额</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提取保险责任合同准备金</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保单红利支出</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926" w:right="0"/>
              <w:jc w:val="left"/>
              <w:rPr>
                <w:rFonts w:ascii="宋体" w:hAnsi="宋体" w:cs="宋体" w:eastAsia="宋体" w:hint="default"/>
                <w:sz w:val="18"/>
                <w:szCs w:val="18"/>
              </w:rPr>
            </w:pPr>
            <w:r>
              <w:rPr>
                <w:rFonts w:ascii="宋体" w:hAnsi="宋体" w:cs="宋体" w:eastAsia="宋体" w:hint="default"/>
                <w:spacing w:val="-3"/>
                <w:sz w:val="18"/>
                <w:szCs w:val="18"/>
              </w:rPr>
              <w:t>分保费用</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6,175,982.68</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5,594,037.80</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销售费用</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33,537,624.47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30,531,820.28</w:t>
            </w: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管理费用</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63,424,943.14</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44,545,633.51</w:t>
            </w:r>
          </w:p>
        </w:tc>
      </w:tr>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926" w:right="0"/>
              <w:jc w:val="left"/>
              <w:rPr>
                <w:rFonts w:ascii="宋体" w:hAnsi="宋体" w:cs="宋体" w:eastAsia="宋体" w:hint="default"/>
                <w:sz w:val="18"/>
                <w:szCs w:val="18"/>
              </w:rPr>
            </w:pPr>
            <w:r>
              <w:rPr>
                <w:rFonts w:ascii="宋体" w:hAnsi="宋体" w:cs="宋体" w:eastAsia="宋体" w:hint="default"/>
                <w:spacing w:val="-3"/>
                <w:sz w:val="18"/>
                <w:szCs w:val="18"/>
              </w:rPr>
              <w:t>研发费用</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47,355,553.90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44,684,798.32</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财务费用</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3,059,443.44</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2,014,330.90</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04" w:right="0"/>
              <w:jc w:val="left"/>
              <w:rPr>
                <w:rFonts w:ascii="宋体" w:hAnsi="宋体" w:cs="宋体" w:eastAsia="宋体" w:hint="default"/>
                <w:sz w:val="18"/>
                <w:szCs w:val="18"/>
              </w:rPr>
            </w:pPr>
            <w:r>
              <w:rPr>
                <w:rFonts w:ascii="宋体" w:hAnsi="宋体" w:cs="宋体" w:eastAsia="宋体" w:hint="default"/>
                <w:spacing w:val="-3"/>
                <w:sz w:val="18"/>
                <w:szCs w:val="18"/>
              </w:rPr>
              <w:t>其中：利息费用</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5,140,040.31</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2,722,245.08</w:t>
            </w: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46" w:right="0"/>
              <w:jc w:val="left"/>
              <w:rPr>
                <w:rFonts w:ascii="宋体" w:hAnsi="宋体" w:cs="宋体" w:eastAsia="宋体" w:hint="default"/>
                <w:sz w:val="18"/>
                <w:szCs w:val="18"/>
              </w:rPr>
            </w:pPr>
            <w:r>
              <w:rPr>
                <w:rFonts w:ascii="宋体" w:hAnsi="宋体" w:cs="宋体" w:eastAsia="宋体" w:hint="default"/>
                <w:spacing w:val="-3"/>
                <w:sz w:val="18"/>
                <w:szCs w:val="18"/>
              </w:rPr>
              <w:t>利息收入</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2,355,535.58</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884,664.46</w:t>
            </w:r>
          </w:p>
        </w:tc>
      </w:tr>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4"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19,544,676.82</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10,903,669.33</w:t>
            </w: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6,043,200.73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6,013,471.97</w:t>
            </w: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7" w:firstLine="720"/>
              <w:jc w:val="left"/>
              <w:rPr>
                <w:rFonts w:ascii="宋体" w:hAnsi="宋体" w:cs="宋体" w:eastAsia="宋体" w:hint="default"/>
                <w:sz w:val="18"/>
                <w:szCs w:val="18"/>
              </w:rPr>
            </w:pPr>
            <w:r>
              <w:rPr>
                <w:rFonts w:ascii="宋体" w:hAnsi="宋体" w:cs="宋体" w:eastAsia="宋体" w:hint="default"/>
                <w:spacing w:val="-5"/>
                <w:sz w:val="18"/>
                <w:szCs w:val="18"/>
              </w:rPr>
              <w:t>其中：对联营企业和合营企业</w:t>
            </w:r>
            <w:r>
              <w:rPr>
                <w:rFonts w:ascii="宋体" w:hAnsi="宋体" w:cs="宋体" w:eastAsia="宋体" w:hint="default"/>
                <w:w w:val="101"/>
                <w:sz w:val="18"/>
                <w:szCs w:val="18"/>
              </w:rPr>
              <w:t> </w:t>
            </w:r>
            <w:r>
              <w:rPr>
                <w:rFonts w:ascii="宋体" w:hAnsi="宋体" w:cs="宋体" w:eastAsia="宋体" w:hint="default"/>
                <w:sz w:val="18"/>
                <w:szCs w:val="18"/>
              </w:rPr>
              <w:t>的投资收益</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-1,701,880.30</w:t>
            </w: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161" w:firstLine="1080"/>
              <w:jc w:val="left"/>
              <w:rPr>
                <w:rFonts w:ascii="宋体" w:hAnsi="宋体" w:cs="宋体" w:eastAsia="宋体" w:hint="default"/>
                <w:sz w:val="18"/>
                <w:szCs w:val="18"/>
              </w:rPr>
            </w:pPr>
            <w:r>
              <w:rPr>
                <w:rFonts w:ascii="宋体" w:hAnsi="宋体" w:cs="宋体" w:eastAsia="宋体" w:hint="default"/>
                <w:spacing w:val="-2"/>
                <w:sz w:val="18"/>
                <w:szCs w:val="18"/>
              </w:rPr>
              <w:t>以摊余成本计量的金融</w:t>
            </w:r>
            <w:r>
              <w:rPr>
                <w:rFonts w:ascii="宋体" w:hAnsi="宋体" w:cs="宋体" w:eastAsia="宋体" w:hint="default"/>
                <w:w w:val="101"/>
                <w:sz w:val="18"/>
                <w:szCs w:val="18"/>
              </w:rPr>
              <w:t> </w:t>
            </w:r>
            <w:r>
              <w:rPr>
                <w:rFonts w:ascii="宋体" w:hAnsi="宋体" w:cs="宋体" w:eastAsia="宋体" w:hint="default"/>
                <w:sz w:val="18"/>
                <w:szCs w:val="18"/>
              </w:rPr>
              <w:t>资产终止确认收益</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22"/>
              <w:jc w:val="right"/>
              <w:rPr>
                <w:rFonts w:ascii="宋体" w:hAnsi="宋体" w:cs="宋体" w:eastAsia="宋体" w:hint="default"/>
                <w:sz w:val="18"/>
                <w:szCs w:val="18"/>
              </w:rPr>
            </w:pPr>
            <w:r>
              <w:rPr>
                <w:rFonts w:ascii="宋体" w:hAnsi="宋体" w:cs="宋体" w:eastAsia="宋体" w:hint="default"/>
                <w:spacing w:val="-3"/>
                <w:sz w:val="18"/>
                <w:szCs w:val="18"/>
              </w:rPr>
              <w:t>汇兑收益（损失以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35"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7" w:firstLine="720"/>
              <w:jc w:val="left"/>
              <w:rPr>
                <w:rFonts w:ascii="宋体" w:hAnsi="宋体" w:cs="宋体" w:eastAsia="宋体" w:hint="default"/>
                <w:sz w:val="18"/>
                <w:szCs w:val="18"/>
              </w:rPr>
            </w:pPr>
            <w:r>
              <w:rPr>
                <w:rFonts w:ascii="宋体" w:hAnsi="宋体" w:cs="宋体" w:eastAsia="宋体" w:hint="default"/>
                <w:spacing w:val="-4"/>
                <w:sz w:val="18"/>
                <w:szCs w:val="18"/>
              </w:rPr>
              <w:t>净敞口套期收益（损失以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号填列）</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pacing w:val="-3"/>
                <w:sz w:val="18"/>
                <w:szCs w:val="18"/>
              </w:rPr>
              <w:t>公允价值变动收益（损失以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w w:val="101"/>
                <w:sz w:val="18"/>
                <w:szCs w:val="18"/>
              </w:rPr>
              <w:t>信</w:t>
            </w:r>
            <w:r>
              <w:rPr>
                <w:rFonts w:ascii="宋体" w:hAnsi="宋体" w:cs="宋体" w:eastAsia="宋体" w:hint="default"/>
                <w:spacing w:val="-5"/>
                <w:w w:val="101"/>
                <w:sz w:val="18"/>
                <w:szCs w:val="18"/>
              </w:rPr>
              <w:t>用</w:t>
            </w:r>
            <w:r>
              <w:rPr>
                <w:rFonts w:ascii="宋体" w:hAnsi="宋体" w:cs="宋体" w:eastAsia="宋体" w:hint="default"/>
                <w:w w:val="101"/>
                <w:sz w:val="18"/>
                <w:szCs w:val="18"/>
              </w:rPr>
              <w:t>减</w:t>
            </w:r>
            <w:r>
              <w:rPr>
                <w:rFonts w:ascii="宋体" w:hAnsi="宋体" w:cs="宋体" w:eastAsia="宋体" w:hint="default"/>
                <w:spacing w:val="-5"/>
                <w:w w:val="101"/>
                <w:sz w:val="18"/>
                <w:szCs w:val="18"/>
              </w:rPr>
              <w:t>值</w:t>
            </w:r>
            <w:r>
              <w:rPr>
                <w:rFonts w:ascii="宋体" w:hAnsi="宋体" w:cs="宋体" w:eastAsia="宋体" w:hint="default"/>
                <w:w w:val="101"/>
                <w:sz w:val="18"/>
                <w:szCs w:val="18"/>
              </w:rPr>
              <w:t>损</w:t>
            </w:r>
            <w:r>
              <w:rPr>
                <w:rFonts w:ascii="宋体" w:hAnsi="宋体" w:cs="宋体" w:eastAsia="宋体" w:hint="default"/>
                <w:spacing w:val="-77"/>
                <w:w w:val="101"/>
                <w:sz w:val="18"/>
                <w:szCs w:val="18"/>
              </w:rPr>
              <w:t>失</w:t>
            </w:r>
            <w:r>
              <w:rPr>
                <w:rFonts w:ascii="宋体" w:hAnsi="宋体" w:cs="宋体" w:eastAsia="宋体" w:hint="default"/>
                <w:spacing w:val="-5"/>
                <w:w w:val="101"/>
                <w:sz w:val="18"/>
                <w:szCs w:val="18"/>
              </w:rPr>
              <w:t>（</w:t>
            </w:r>
            <w:r>
              <w:rPr>
                <w:rFonts w:ascii="宋体" w:hAnsi="宋体" w:cs="宋体" w:eastAsia="宋体" w:hint="default"/>
                <w:w w:val="101"/>
                <w:sz w:val="18"/>
                <w:szCs w:val="18"/>
              </w:rPr>
              <w:t>损</w:t>
            </w:r>
            <w:r>
              <w:rPr>
                <w:rFonts w:ascii="宋体" w:hAnsi="宋体" w:cs="宋体" w:eastAsia="宋体" w:hint="default"/>
                <w:spacing w:val="-5"/>
                <w:w w:val="101"/>
                <w:sz w:val="18"/>
                <w:szCs w:val="18"/>
              </w:rPr>
              <w:t>失</w:t>
            </w:r>
            <w:r>
              <w:rPr>
                <w:rFonts w:ascii="宋体" w:hAnsi="宋体" w:cs="宋体" w:eastAsia="宋体" w:hint="default"/>
                <w:w w:val="101"/>
                <w:sz w:val="18"/>
                <w:szCs w:val="18"/>
              </w:rPr>
              <w:t>以</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号填</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-27,566,413.83</w:t>
            </w: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744" w:right="0"/>
              <w:jc w:val="left"/>
              <w:rPr>
                <w:rFonts w:ascii="宋体" w:hAnsi="宋体" w:cs="宋体" w:eastAsia="宋体" w:hint="default"/>
                <w:sz w:val="18"/>
                <w:szCs w:val="18"/>
              </w:rPr>
            </w:pPr>
            <w:r>
              <w:rPr>
                <w:rFonts w:ascii="宋体" w:hAnsi="宋体" w:cs="宋体" w:eastAsia="宋体" w:hint="default"/>
                <w:w w:val="101"/>
                <w:sz w:val="18"/>
                <w:szCs w:val="18"/>
              </w:rPr>
              <w:t>资</w:t>
            </w:r>
            <w:r>
              <w:rPr>
                <w:rFonts w:ascii="宋体" w:hAnsi="宋体" w:cs="宋体" w:eastAsia="宋体" w:hint="default"/>
                <w:spacing w:val="-5"/>
                <w:w w:val="101"/>
                <w:sz w:val="18"/>
                <w:szCs w:val="18"/>
              </w:rPr>
              <w:t>产</w:t>
            </w:r>
            <w:r>
              <w:rPr>
                <w:rFonts w:ascii="宋体" w:hAnsi="宋体" w:cs="宋体" w:eastAsia="宋体" w:hint="default"/>
                <w:w w:val="101"/>
                <w:sz w:val="18"/>
                <w:szCs w:val="18"/>
              </w:rPr>
              <w:t>减</w:t>
            </w:r>
            <w:r>
              <w:rPr>
                <w:rFonts w:ascii="宋体" w:hAnsi="宋体" w:cs="宋体" w:eastAsia="宋体" w:hint="default"/>
                <w:spacing w:val="-5"/>
                <w:w w:val="101"/>
                <w:sz w:val="18"/>
                <w:szCs w:val="18"/>
              </w:rPr>
              <w:t>值</w:t>
            </w:r>
            <w:r>
              <w:rPr>
                <w:rFonts w:ascii="宋体" w:hAnsi="宋体" w:cs="宋体" w:eastAsia="宋体" w:hint="default"/>
                <w:w w:val="101"/>
                <w:sz w:val="18"/>
                <w:szCs w:val="18"/>
              </w:rPr>
              <w:t>损</w:t>
            </w:r>
            <w:r>
              <w:rPr>
                <w:rFonts w:ascii="宋体" w:hAnsi="宋体" w:cs="宋体" w:eastAsia="宋体" w:hint="default"/>
                <w:spacing w:val="-77"/>
                <w:w w:val="101"/>
                <w:sz w:val="18"/>
                <w:szCs w:val="18"/>
              </w:rPr>
              <w:t>失</w:t>
            </w:r>
            <w:r>
              <w:rPr>
                <w:rFonts w:ascii="宋体" w:hAnsi="宋体" w:cs="宋体" w:eastAsia="宋体" w:hint="default"/>
                <w:spacing w:val="-5"/>
                <w:w w:val="101"/>
                <w:sz w:val="18"/>
                <w:szCs w:val="18"/>
              </w:rPr>
              <w:t>（</w:t>
            </w:r>
            <w:r>
              <w:rPr>
                <w:rFonts w:ascii="宋体" w:hAnsi="宋体" w:cs="宋体" w:eastAsia="宋体" w:hint="default"/>
                <w:w w:val="101"/>
                <w:sz w:val="18"/>
                <w:szCs w:val="18"/>
              </w:rPr>
              <w:t>损</w:t>
            </w:r>
            <w:r>
              <w:rPr>
                <w:rFonts w:ascii="宋体" w:hAnsi="宋体" w:cs="宋体" w:eastAsia="宋体" w:hint="default"/>
                <w:spacing w:val="-5"/>
                <w:w w:val="101"/>
                <w:sz w:val="18"/>
                <w:szCs w:val="18"/>
              </w:rPr>
              <w:t>失</w:t>
            </w:r>
            <w:r>
              <w:rPr>
                <w:rFonts w:ascii="宋体" w:hAnsi="宋体" w:cs="宋体" w:eastAsia="宋体" w:hint="default"/>
                <w:w w:val="101"/>
                <w:sz w:val="18"/>
                <w:szCs w:val="18"/>
              </w:rPr>
              <w:t>以</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号填</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-26,562,259.57</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17"/>
              <w:jc w:val="right"/>
              <w:rPr>
                <w:rFonts w:ascii="宋体" w:hAnsi="宋体" w:cs="宋体" w:eastAsia="宋体" w:hint="default"/>
                <w:sz w:val="18"/>
                <w:szCs w:val="18"/>
              </w:rPr>
            </w:pPr>
            <w:r>
              <w:rPr>
                <w:rFonts w:ascii="宋体" w:hAnsi="宋体" w:cs="宋体" w:eastAsia="宋体" w:hint="default"/>
                <w:w w:val="101"/>
                <w:sz w:val="18"/>
                <w:szCs w:val="18"/>
              </w:rPr>
              <w:t>资</w:t>
            </w:r>
            <w:r>
              <w:rPr>
                <w:rFonts w:ascii="宋体" w:hAnsi="宋体" w:cs="宋体" w:eastAsia="宋体" w:hint="default"/>
                <w:spacing w:val="-5"/>
                <w:w w:val="101"/>
                <w:sz w:val="18"/>
                <w:szCs w:val="18"/>
              </w:rPr>
              <w:t>产</w:t>
            </w:r>
            <w:r>
              <w:rPr>
                <w:rFonts w:ascii="宋体" w:hAnsi="宋体" w:cs="宋体" w:eastAsia="宋体" w:hint="default"/>
                <w:w w:val="101"/>
                <w:sz w:val="18"/>
                <w:szCs w:val="18"/>
              </w:rPr>
              <w:t>处</w:t>
            </w:r>
            <w:r>
              <w:rPr>
                <w:rFonts w:ascii="宋体" w:hAnsi="宋体" w:cs="宋体" w:eastAsia="宋体" w:hint="default"/>
                <w:spacing w:val="-5"/>
                <w:w w:val="101"/>
                <w:sz w:val="18"/>
                <w:szCs w:val="18"/>
              </w:rPr>
              <w:t>置</w:t>
            </w:r>
            <w:r>
              <w:rPr>
                <w:rFonts w:ascii="宋体" w:hAnsi="宋体" w:cs="宋体" w:eastAsia="宋体" w:hint="default"/>
                <w:w w:val="101"/>
                <w:sz w:val="18"/>
                <w:szCs w:val="18"/>
              </w:rPr>
              <w:t>收</w:t>
            </w:r>
            <w:r>
              <w:rPr>
                <w:rFonts w:ascii="宋体" w:hAnsi="宋体" w:cs="宋体" w:eastAsia="宋体" w:hint="default"/>
                <w:spacing w:val="-77"/>
                <w:w w:val="101"/>
                <w:sz w:val="18"/>
                <w:szCs w:val="18"/>
              </w:rPr>
              <w:t>益</w:t>
            </w:r>
            <w:r>
              <w:rPr>
                <w:rFonts w:ascii="宋体" w:hAnsi="宋体" w:cs="宋体" w:eastAsia="宋体" w:hint="default"/>
                <w:spacing w:val="-5"/>
                <w:w w:val="101"/>
                <w:sz w:val="18"/>
                <w:szCs w:val="18"/>
              </w:rPr>
              <w:t>（</w:t>
            </w:r>
            <w:r>
              <w:rPr>
                <w:rFonts w:ascii="宋体" w:hAnsi="宋体" w:cs="宋体" w:eastAsia="宋体" w:hint="default"/>
                <w:w w:val="101"/>
                <w:sz w:val="18"/>
                <w:szCs w:val="18"/>
              </w:rPr>
              <w:t>损</w:t>
            </w:r>
            <w:r>
              <w:rPr>
                <w:rFonts w:ascii="宋体" w:hAnsi="宋体" w:cs="宋体" w:eastAsia="宋体" w:hint="default"/>
                <w:spacing w:val="-5"/>
                <w:w w:val="101"/>
                <w:sz w:val="18"/>
                <w:szCs w:val="18"/>
              </w:rPr>
              <w:t>失</w:t>
            </w:r>
            <w:r>
              <w:rPr>
                <w:rFonts w:ascii="宋体" w:hAnsi="宋体" w:cs="宋体" w:eastAsia="宋体" w:hint="default"/>
                <w:w w:val="101"/>
                <w:sz w:val="18"/>
                <w:szCs w:val="18"/>
              </w:rPr>
              <w:t>以</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号填</w:t>
            </w:r>
            <w:r>
              <w:rPr>
                <w:rFonts w:ascii="宋体" w:hAnsi="宋体" w:cs="宋体" w:eastAsia="宋体" w:hint="default"/>
                <w:sz w:val="18"/>
                <w:szCs w:val="18"/>
              </w:rPr>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-22,750.16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-35,177.03</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1.029999pt;margin-top:150.409988pt;width:158.950pt;height:20.65pt;mso-position-horizontal-relative:page;mso-position-vertical-relative:page;z-index:-1110232" coordorigin="4221,3008" coordsize="3179,413">
            <v:group style="position:absolute;left:4233;top:3020;width:2;height:389" coordorigin="4233,3020" coordsize="2,389">
              <v:shape style="position:absolute;left:4233;top:3020;width:2;height:389" coordorigin="4233,3020" coordsize="0,389" path="m4233,3020l4233,3409e" filled="false" stroked="true" strokeweight="1.2pt" strokecolor="#ffffff">
                <v:path arrowok="t"/>
              </v:shape>
            </v:group>
            <v:group style="position:absolute;left:4245;top:3020;width:3155;height:389" coordorigin="4245,3020" coordsize="3155,389">
              <v:shape style="position:absolute;left:4245;top:3020;width:3155;height:389" coordorigin="4245,3020" coordsize="3155,389" path="m4245,3409l7400,3409,7400,3020,4245,3020,4245,3409xe" filled="true" fillcolor="#ffffff" stroked="false">
                <v:path arrowok="t"/>
                <v:fill type="solid"/>
              </v:shape>
            </v:group>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9"/>
        <w:gridCol w:w="1119"/>
        <w:gridCol w:w="2101"/>
        <w:gridCol w:w="3279"/>
      </w:tblGrid>
      <w:tr>
        <w:trPr>
          <w:trHeight w:val="360"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三、营业利润（亏损以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45,279,873.80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43,448,820.03</w:t>
            </w: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加：营业外收入</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283,128.81</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5.07</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减：营业外支出</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1,507,583.77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293,548.86</w:t>
            </w: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9"/>
                <w:sz w:val="18"/>
                <w:szCs w:val="18"/>
              </w:rPr>
              <w:t>四、利润总额（亏损总额以</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号填列</w:t>
            </w:r>
          </w:p>
        </w:tc>
        <w:tc>
          <w:tcPr>
            <w:tcW w:w="1119"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3"/>
              <w:ind w:left="-12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2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left="1039" w:right="0"/>
              <w:jc w:val="left"/>
              <w:rPr>
                <w:rFonts w:ascii="Times New Roman" w:hAnsi="Times New Roman" w:cs="Times New Roman" w:eastAsia="Times New Roman" w:hint="default"/>
                <w:sz w:val="18"/>
                <w:szCs w:val="18"/>
              </w:rPr>
            </w:pPr>
            <w:r>
              <w:rPr>
                <w:rFonts w:ascii="Times New Roman"/>
                <w:sz w:val="18"/>
              </w:rPr>
              <w:t>44,055,418.84</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43,155,276.24</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减：所得税费用</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2,696,720.15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4,560,963.61</w:t>
            </w: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五、净利润（净亏损以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41,358,698.69</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38,594,312.63</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宋体" w:hAnsi="宋体" w:cs="宋体" w:eastAsia="宋体" w:hint="default"/>
                <w:spacing w:val="-3"/>
                <w:sz w:val="18"/>
                <w:szCs w:val="18"/>
              </w:rPr>
              <w:t>（一）按经营持续性分类</w:t>
            </w:r>
          </w:p>
        </w:tc>
        <w:tc>
          <w:tcPr>
            <w:tcW w:w="3220"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0"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持续经营净利润（净亏损以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41,358,698.69</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38,594,312.63</w:t>
            </w: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终止经营净利润（净亏损以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p>
            <w:pPr>
              <w:pStyle w:val="TableParagraph"/>
              <w:spacing w:line="240" w:lineRule="auto" w:before="68"/>
              <w:ind w:left="11"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宋体" w:hAnsi="宋体" w:cs="宋体" w:eastAsia="宋体" w:hint="default"/>
                <w:spacing w:val="-3"/>
                <w:sz w:val="18"/>
                <w:szCs w:val="18"/>
              </w:rPr>
              <w:t>（二）按所有权归属分类</w:t>
            </w:r>
          </w:p>
        </w:tc>
        <w:tc>
          <w:tcPr>
            <w:tcW w:w="3220"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归属于母公司所有者的净利润</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41,234,827.65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40,444,026.83</w:t>
            </w: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少数股东损益</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123,871.04</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-1,849,714.20</w:t>
            </w: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六、其他综合收益的税后净额</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149" w:firstLine="182"/>
              <w:jc w:val="left"/>
              <w:rPr>
                <w:rFonts w:ascii="宋体" w:hAnsi="宋体" w:cs="宋体" w:eastAsia="宋体" w:hint="default"/>
                <w:sz w:val="18"/>
                <w:szCs w:val="18"/>
              </w:rPr>
            </w:pPr>
            <w:r>
              <w:rPr>
                <w:rFonts w:ascii="宋体" w:hAnsi="宋体" w:cs="宋体" w:eastAsia="宋体" w:hint="default"/>
                <w:spacing w:val="-3"/>
                <w:sz w:val="18"/>
                <w:szCs w:val="18"/>
              </w:rPr>
              <w:t>归属母公司所有者的其他综合收益</w:t>
            </w:r>
            <w:r>
              <w:rPr>
                <w:rFonts w:ascii="宋体" w:hAnsi="宋体" w:cs="宋体" w:eastAsia="宋体" w:hint="default"/>
                <w:w w:val="101"/>
                <w:sz w:val="18"/>
                <w:szCs w:val="18"/>
              </w:rPr>
              <w:t> </w:t>
            </w:r>
            <w:r>
              <w:rPr>
                <w:rFonts w:ascii="宋体" w:hAnsi="宋体" w:cs="宋体" w:eastAsia="宋体" w:hint="default"/>
                <w:sz w:val="18"/>
                <w:szCs w:val="18"/>
              </w:rPr>
              <w:t>的税后净额</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 w:firstLine="345"/>
              <w:jc w:val="left"/>
              <w:rPr>
                <w:rFonts w:ascii="宋体" w:hAnsi="宋体" w:cs="宋体" w:eastAsia="宋体" w:hint="default"/>
                <w:sz w:val="18"/>
                <w:szCs w:val="18"/>
              </w:rPr>
            </w:pPr>
            <w:r>
              <w:rPr>
                <w:rFonts w:ascii="宋体" w:hAnsi="宋体" w:cs="宋体" w:eastAsia="宋体" w:hint="default"/>
                <w:spacing w:val="-4"/>
                <w:sz w:val="18"/>
                <w:szCs w:val="18"/>
              </w:rPr>
              <w:t>（一）不能重分类进损益的其他综</w:t>
            </w:r>
            <w:r>
              <w:rPr>
                <w:rFonts w:ascii="宋体" w:hAnsi="宋体" w:cs="宋体" w:eastAsia="宋体" w:hint="default"/>
                <w:w w:val="101"/>
                <w:sz w:val="18"/>
                <w:szCs w:val="18"/>
              </w:rPr>
              <w:t> </w:t>
            </w:r>
            <w:r>
              <w:rPr>
                <w:rFonts w:ascii="宋体" w:hAnsi="宋体" w:cs="宋体" w:eastAsia="宋体" w:hint="default"/>
                <w:sz w:val="18"/>
                <w:szCs w:val="18"/>
              </w:rPr>
              <w:t>合收益</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重新计量设定受益计划变</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权益法下不能转损益的其</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其他权益工具投资公允价</w:t>
            </w:r>
          </w:p>
          <w:p>
            <w:pPr>
              <w:pStyle w:val="TableParagraph"/>
              <w:spacing w:line="240" w:lineRule="auto" w:before="68"/>
              <w:ind w:left="11"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企业自身信用风险公允价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1" w:right="5" w:firstLine="345"/>
              <w:jc w:val="left"/>
              <w:rPr>
                <w:rFonts w:ascii="宋体" w:hAnsi="宋体" w:cs="宋体" w:eastAsia="宋体" w:hint="default"/>
                <w:sz w:val="18"/>
                <w:szCs w:val="18"/>
              </w:rPr>
            </w:pPr>
            <w:r>
              <w:rPr>
                <w:rFonts w:ascii="宋体" w:hAnsi="宋体" w:cs="宋体" w:eastAsia="宋体" w:hint="default"/>
                <w:spacing w:val="-4"/>
                <w:sz w:val="18"/>
                <w:szCs w:val="18"/>
              </w:rPr>
              <w:t>（二）将重分类进损益的其他综合</w:t>
            </w:r>
            <w:r>
              <w:rPr>
                <w:rFonts w:ascii="宋体" w:hAnsi="宋体" w:cs="宋体" w:eastAsia="宋体" w:hint="default"/>
                <w:w w:val="101"/>
                <w:sz w:val="18"/>
                <w:szCs w:val="18"/>
              </w:rPr>
              <w:t> </w:t>
            </w:r>
            <w:r>
              <w:rPr>
                <w:rFonts w:ascii="宋体" w:hAnsi="宋体" w:cs="宋体" w:eastAsia="宋体" w:hint="default"/>
                <w:sz w:val="18"/>
                <w:szCs w:val="18"/>
              </w:rPr>
              <w:t>收益</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权益法下可转损益的其他</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其他债权投资公允价值变</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w w:val="101"/>
                <w:sz w:val="18"/>
                <w:szCs w:val="18"/>
              </w:rPr>
              <w:t>动</w:t>
            </w:r>
            <w:r>
              <w:rPr>
                <w:rFonts w:ascii="宋体" w:hAnsi="宋体" w:cs="宋体" w:eastAsia="宋体" w:hint="default"/>
                <w:sz w:val="18"/>
                <w:szCs w:val="18"/>
              </w:rPr>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可供出售金融资产公允价</w:t>
            </w:r>
          </w:p>
          <w:p>
            <w:pPr>
              <w:pStyle w:val="TableParagraph"/>
              <w:spacing w:line="240" w:lineRule="auto" w:before="62"/>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9"/>
        <w:gridCol w:w="3220"/>
        <w:gridCol w:w="3279"/>
      </w:tblGrid>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14" w:firstLine="9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金融资产重分类计入其他</w:t>
            </w:r>
            <w:r>
              <w:rPr>
                <w:rFonts w:ascii="宋体" w:hAnsi="宋体" w:cs="宋体" w:eastAsia="宋体" w:hint="default"/>
                <w:w w:val="101"/>
                <w:sz w:val="18"/>
                <w:szCs w:val="18"/>
              </w:rPr>
              <w:t> </w:t>
            </w:r>
            <w:r>
              <w:rPr>
                <w:rFonts w:ascii="宋体" w:hAnsi="宋体" w:cs="宋体" w:eastAsia="宋体" w:hint="default"/>
                <w:spacing w:val="-3"/>
                <w:sz w:val="18"/>
                <w:szCs w:val="18"/>
              </w:rPr>
              <w:t>综合收益的金额</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14" w:firstLine="9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持有至到期投资重分类为</w:t>
            </w:r>
            <w:r>
              <w:rPr>
                <w:rFonts w:ascii="宋体" w:hAnsi="宋体" w:cs="宋体" w:eastAsia="宋体" w:hint="default"/>
                <w:w w:val="101"/>
                <w:sz w:val="18"/>
                <w:szCs w:val="18"/>
              </w:rPr>
              <w:t> </w:t>
            </w:r>
            <w:r>
              <w:rPr>
                <w:rFonts w:ascii="宋体" w:hAnsi="宋体" w:cs="宋体" w:eastAsia="宋体" w:hint="default"/>
                <w:sz w:val="18"/>
                <w:szCs w:val="18"/>
              </w:rPr>
              <w:t>可供出售金融资产损益</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其他债权投资信用减值准</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w w:val="101"/>
                <w:sz w:val="18"/>
                <w:szCs w:val="18"/>
              </w:rPr>
              <w:t>备</w:t>
            </w:r>
            <w:r>
              <w:rPr>
                <w:rFonts w:ascii="宋体" w:hAnsi="宋体" w:cs="宋体" w:eastAsia="宋体" w:hint="default"/>
                <w:sz w:val="18"/>
                <w:szCs w:val="18"/>
              </w:rPr>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192"/>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外币财务报表折算差额</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149" w:firstLine="182"/>
              <w:jc w:val="left"/>
              <w:rPr>
                <w:rFonts w:ascii="宋体" w:hAnsi="宋体" w:cs="宋体" w:eastAsia="宋体" w:hint="default"/>
                <w:sz w:val="18"/>
                <w:szCs w:val="18"/>
              </w:rPr>
            </w:pPr>
            <w:r>
              <w:rPr>
                <w:rFonts w:ascii="宋体" w:hAnsi="宋体" w:cs="宋体" w:eastAsia="宋体" w:hint="default"/>
                <w:spacing w:val="-3"/>
                <w:sz w:val="18"/>
                <w:szCs w:val="18"/>
              </w:rPr>
              <w:t>归属于少数股东的其他综合收益的</w:t>
            </w:r>
            <w:r>
              <w:rPr>
                <w:rFonts w:ascii="宋体" w:hAnsi="宋体" w:cs="宋体" w:eastAsia="宋体" w:hint="default"/>
                <w:w w:val="101"/>
                <w:sz w:val="18"/>
                <w:szCs w:val="18"/>
              </w:rPr>
              <w:t> </w:t>
            </w:r>
            <w:r>
              <w:rPr>
                <w:rFonts w:ascii="宋体" w:hAnsi="宋体" w:cs="宋体" w:eastAsia="宋体" w:hint="default"/>
                <w:sz w:val="18"/>
                <w:szCs w:val="18"/>
              </w:rPr>
              <w:t>税后净额</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41,358,698.69</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38,594,312.63</w:t>
            </w: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49" w:firstLine="36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归属于母公司所有者的综合收益</w:t>
            </w:r>
            <w:r>
              <w:rPr>
                <w:rFonts w:ascii="宋体" w:hAnsi="宋体" w:cs="宋体" w:eastAsia="宋体" w:hint="default"/>
                <w:w w:val="101"/>
                <w:sz w:val="18"/>
                <w:szCs w:val="18"/>
              </w:rPr>
              <w:t> </w:t>
            </w:r>
            <w:r>
              <w:rPr>
                <w:rFonts w:ascii="宋体" w:hAnsi="宋体" w:cs="宋体" w:eastAsia="宋体" w:hint="default"/>
                <w:sz w:val="18"/>
                <w:szCs w:val="18"/>
              </w:rPr>
              <w:t>总额</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41,234,827.65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40,444,026.83</w:t>
            </w: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9"/>
              <w:jc w:val="right"/>
              <w:rPr>
                <w:rFonts w:ascii="宋体" w:hAnsi="宋体" w:cs="宋体" w:eastAsia="宋体" w:hint="default"/>
                <w:sz w:val="18"/>
                <w:szCs w:val="18"/>
              </w:rPr>
            </w:pPr>
            <w:r>
              <w:rPr>
                <w:rFonts w:ascii="宋体" w:hAnsi="宋体" w:cs="宋体" w:eastAsia="宋体" w:hint="default"/>
                <w:spacing w:val="-3"/>
                <w:sz w:val="18"/>
                <w:szCs w:val="18"/>
              </w:rPr>
              <w:t>归属于少数股东的综合收益总额</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123,871.04</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-1,849,714.20</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八、每股收益：</w:t>
            </w:r>
          </w:p>
        </w:tc>
        <w:tc>
          <w:tcPr>
            <w:tcW w:w="32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（一）基本每股收益</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0.36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0.36</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（二）稀释每股收益</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0.36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0.36</w:t>
            </w:r>
          </w:p>
        </w:tc>
      </w:tr>
    </w:tbl>
    <w:p>
      <w:pPr>
        <w:pStyle w:val="BodyText"/>
        <w:tabs>
          <w:tab w:pos="3577" w:val="left" w:leader="none"/>
          <w:tab w:pos="7716" w:val="left" w:leader="none"/>
        </w:tabs>
        <w:spacing w:line="590" w:lineRule="auto" w:before="53"/>
        <w:ind w:right="1223"/>
        <w:jc w:val="both"/>
        <w:rPr>
          <w:rFonts w:ascii="宋体" w:hAnsi="宋体" w:cs="宋体" w:eastAsia="宋体" w:hint="default"/>
          <w:sz w:val="21"/>
          <w:szCs w:val="21"/>
        </w:rPr>
      </w:pPr>
      <w:r>
        <w:rPr>
          <w:spacing w:val="-3"/>
        </w:rPr>
        <w:t>本期发生同一控制下企业合并的，被合并方在合并前实现的净利润为：</w:t>
      </w:r>
      <w:r>
        <w:rPr>
          <w:rFonts w:ascii="Times New Roman" w:hAnsi="Times New Roman" w:cs="Times New Roman" w:eastAsia="Times New Roman" w:hint="default"/>
          <w:spacing w:val="-3"/>
        </w:rPr>
        <w:t>0.00 </w:t>
      </w:r>
      <w:r>
        <w:rPr/>
        <w:t>元，上期被合并方实现的净利润为：</w:t>
      </w:r>
      <w:r>
        <w:rPr>
          <w:rFonts w:ascii="Times New Roman" w:hAnsi="Times New Roman" w:cs="Times New Roman" w:eastAsia="Times New Roman" w:hint="default"/>
        </w:rPr>
        <w:t>0.00 </w:t>
      </w:r>
      <w:r>
        <w:rPr/>
        <w:t>元。</w:t>
      </w:r>
      <w:r>
        <w:rPr>
          <w:spacing w:val="-73"/>
        </w:rPr>
        <w:t> </w:t>
      </w:r>
      <w:r>
        <w:rPr>
          <w:spacing w:val="-3"/>
        </w:rPr>
        <w:t>法定代表人：杨一兵</w:t>
        <w:tab/>
        <w:t>主管会计工作负责人：张雪峰</w:t>
        <w:tab/>
        <w:t>会计机构负责人：刘双双</w:t>
      </w:r>
      <w:r>
        <w:rPr>
          <w:spacing w:val="-56"/>
        </w:rPr>
        <w:t> </w:t>
      </w:r>
      <w:r>
        <w:rPr>
          <w:spacing w:val="-56"/>
        </w:rPr>
      </w:r>
      <w:bookmarkStart w:name="4、母公司利润表" w:id="162"/>
      <w:bookmarkEnd w:id="162"/>
      <w:r>
        <w:rPr>
          <w:spacing w:val="-56"/>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14"/>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419,359,038.13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357,123,633.16</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241,947,747.59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196,537,679.20</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5,945,164.31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5,255,966.57</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24,760,294.39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23,514,095.52</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54,775,768.07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38,175,930.23</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37,361,047.74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33,890,912.86</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3,073,511.55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2,029,626.31</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其中：利息费用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5,140,040.31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2,722,245.08</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45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2,331,384.73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859,960.44</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17,026,106.99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10,260,342.89</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6,543,989.76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5,242,706.38</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36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46"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w:t>
            </w:r>
            <w:r>
              <w:rPr>
                <w:rFonts w:ascii="宋体" w:hAnsi="宋体" w:cs="宋体" w:eastAsia="宋体" w:hint="default"/>
                <w:w w:val="101"/>
                <w:sz w:val="18"/>
                <w:szCs w:val="18"/>
              </w:rPr>
              <w:t> </w:t>
            </w:r>
            <w:r>
              <w:rPr>
                <w:rFonts w:ascii="宋体" w:hAnsi="宋体" w:cs="宋体" w:eastAsia="宋体" w:hint="default"/>
                <w:sz w:val="18"/>
                <w:szCs w:val="18"/>
              </w:rPr>
              <w:t>业的投资收益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-1,701,880.30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46" w:firstLine="1080"/>
              <w:jc w:val="left"/>
              <w:rPr>
                <w:rFonts w:ascii="宋体" w:hAnsi="宋体" w:cs="宋体" w:eastAsia="宋体" w:hint="default"/>
                <w:sz w:val="18"/>
                <w:szCs w:val="18"/>
              </w:rPr>
            </w:pPr>
            <w:r>
              <w:rPr>
                <w:rFonts w:ascii="宋体" w:hAnsi="宋体" w:cs="宋体" w:eastAsia="宋体" w:hint="default"/>
                <w:spacing w:val="-2"/>
                <w:sz w:val="18"/>
                <w:szCs w:val="18"/>
              </w:rPr>
              <w:t>以摊余成本计量的金融</w:t>
            </w:r>
            <w:r>
              <w:rPr>
                <w:rFonts w:ascii="宋体" w:hAnsi="宋体" w:cs="宋体" w:eastAsia="宋体" w:hint="default"/>
                <w:w w:val="101"/>
                <w:sz w:val="18"/>
                <w:szCs w:val="18"/>
              </w:rPr>
              <w:t> </w:t>
            </w:r>
            <w:r>
              <w:rPr>
                <w:rFonts w:ascii="宋体" w:hAnsi="宋体" w:cs="宋体" w:eastAsia="宋体" w:hint="default"/>
                <w:sz w:val="18"/>
                <w:szCs w:val="18"/>
              </w:rPr>
              <w:t>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8"/>
                <w:sz w:val="18"/>
                <w:szCs w:val="18"/>
              </w:rPr>
              <w:t> </w:t>
            </w:r>
            <w:r>
              <w:rPr>
                <w:rFonts w:ascii="宋体" w:hAnsi="宋体" w:cs="宋体" w:eastAsia="宋体" w:hint="default"/>
                <w:sz w:val="18"/>
                <w:szCs w:val="18"/>
              </w:rPr>
              <w:t>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pacing w:val="-3"/>
                <w:sz w:val="18"/>
                <w:szCs w:val="18"/>
              </w:rPr>
              <w:t>净敞口套期收益（损失以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pacing w:val="-3"/>
                <w:sz w:val="18"/>
                <w:szCs w:val="18"/>
              </w:rPr>
              <w:t>公允价值变动收益（损失以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pacing w:val="-3"/>
                <w:sz w:val="18"/>
                <w:szCs w:val="18"/>
              </w:rPr>
              <w:t>信用减值损失（损失以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-27,962,544.40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44" w:right="0"/>
              <w:jc w:val="left"/>
              <w:rPr>
                <w:rFonts w:ascii="宋体" w:hAnsi="宋体" w:cs="宋体" w:eastAsia="宋体" w:hint="default"/>
                <w:sz w:val="18"/>
                <w:szCs w:val="18"/>
              </w:rPr>
            </w:pPr>
            <w:r>
              <w:rPr>
                <w:rFonts w:ascii="宋体" w:hAnsi="宋体" w:cs="宋体" w:eastAsia="宋体" w:hint="default"/>
                <w:spacing w:val="-3"/>
                <w:sz w:val="18"/>
                <w:szCs w:val="18"/>
              </w:rPr>
              <w:t>资产减值损失（损失以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-25,159,864.07</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pacing w:val="-3"/>
                <w:sz w:val="18"/>
                <w:szCs w:val="18"/>
              </w:rPr>
              <w:t>资产处置收益（损失以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-21,576.40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-23,146.75</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二、营业利润（亏损以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47,081,480.43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48,039,460.92</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4" w:right="0"/>
              <w:jc w:val="left"/>
              <w:rPr>
                <w:rFonts w:ascii="宋体" w:hAnsi="宋体" w:cs="宋体" w:eastAsia="宋体" w:hint="default"/>
                <w:sz w:val="18"/>
                <w:szCs w:val="18"/>
              </w:rPr>
            </w:pPr>
            <w:r>
              <w:rPr>
                <w:rFonts w:ascii="宋体" w:hAnsi="宋体" w:cs="宋体" w:eastAsia="宋体" w:hint="default"/>
                <w:spacing w:val="-3"/>
                <w:sz w:val="18"/>
                <w:szCs w:val="18"/>
              </w:rPr>
              <w:t>加：营业外收入</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减：营业外支出</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1,604,944.65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258,184.86</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65"/>
              <w:jc w:val="left"/>
              <w:rPr>
                <w:rFonts w:ascii="宋体" w:hAnsi="宋体" w:cs="宋体" w:eastAsia="宋体" w:hint="default"/>
                <w:sz w:val="18"/>
                <w:szCs w:val="18"/>
              </w:rPr>
            </w:pPr>
            <w:r>
              <w:rPr>
                <w:rFonts w:ascii="宋体" w:hAnsi="宋体" w:cs="宋体" w:eastAsia="宋体" w:hint="default"/>
                <w:spacing w:val="-3"/>
                <w:sz w:val="18"/>
                <w:szCs w:val="18"/>
              </w:rPr>
              <w:t>三、利润总额（亏损总额以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w:t>
            </w:r>
            <w:r>
              <w:rPr>
                <w:rFonts w:ascii="宋体" w:hAnsi="宋体" w:cs="宋体" w:eastAsia="宋体" w:hint="default"/>
                <w:spacing w:val="-36"/>
                <w:sz w:val="18"/>
                <w:szCs w:val="18"/>
              </w:rPr>
              <w:t> </w:t>
            </w:r>
            <w:r>
              <w:rPr>
                <w:rFonts w:ascii="宋体" w:hAnsi="宋体" w:cs="宋体" w:eastAsia="宋体" w:hint="default"/>
                <w:sz w:val="18"/>
                <w:szCs w:val="18"/>
              </w:rPr>
              <w:t>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45,476,935.78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47,781,276.06</w:t>
            </w: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4" w:right="0"/>
              <w:jc w:val="left"/>
              <w:rPr>
                <w:rFonts w:ascii="宋体" w:hAnsi="宋体" w:cs="宋体" w:eastAsia="宋体" w:hint="default"/>
                <w:sz w:val="18"/>
                <w:szCs w:val="18"/>
              </w:rPr>
            </w:pPr>
            <w:r>
              <w:rPr>
                <w:rFonts w:ascii="宋体" w:hAnsi="宋体" w:cs="宋体" w:eastAsia="宋体" w:hint="default"/>
                <w:spacing w:val="-3"/>
                <w:sz w:val="18"/>
                <w:szCs w:val="18"/>
              </w:rPr>
              <w:t>减：所得税费用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1,819,093.68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4,776,748.03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四、净利润（净亏损以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43,657,842.10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43,004,528.03</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（一）持续经营净利润（净亏损</w:t>
            </w:r>
            <w:r>
              <w:rPr>
                <w:rFonts w:ascii="宋体" w:hAnsi="宋体" w:cs="宋体" w:eastAsia="宋体" w:hint="default"/>
                <w:w w:val="101"/>
                <w:sz w:val="18"/>
                <w:szCs w:val="18"/>
              </w:rPr>
              <w:t> </w:t>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43,657,842.10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43,004,528.03</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（二）终止经营净利润（净亏损</w:t>
            </w:r>
            <w:r>
              <w:rPr>
                <w:rFonts w:ascii="宋体" w:hAnsi="宋体" w:cs="宋体" w:eastAsia="宋体" w:hint="default"/>
                <w:w w:val="101"/>
                <w:sz w:val="18"/>
                <w:szCs w:val="18"/>
              </w:rPr>
              <w:t> </w:t>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五、其他综合收益的税后净额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（一）不能重分类进损益的其他</w:t>
            </w:r>
            <w:r>
              <w:rPr>
                <w:rFonts w:ascii="宋体" w:hAnsi="宋体" w:cs="宋体" w:eastAsia="宋体" w:hint="default"/>
                <w:w w:val="101"/>
                <w:sz w:val="18"/>
                <w:szCs w:val="18"/>
              </w:rPr>
              <w:t> </w:t>
            </w:r>
            <w:r>
              <w:rPr>
                <w:rFonts w:ascii="宋体" w:hAnsi="宋体" w:cs="宋体" w:eastAsia="宋体" w:hint="default"/>
                <w:sz w:val="18"/>
                <w:szCs w:val="18"/>
              </w:rPr>
              <w:t>综合收益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8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权益法下不能转损益的</w:t>
            </w:r>
            <w:r>
              <w:rPr>
                <w:rFonts w:ascii="宋体" w:hAnsi="宋体" w:cs="宋体" w:eastAsia="宋体" w:hint="default"/>
                <w:w w:val="101"/>
                <w:sz w:val="18"/>
                <w:szCs w:val="18"/>
              </w:rPr>
              <w:t> </w:t>
            </w:r>
            <w:r>
              <w:rPr>
                <w:rFonts w:ascii="宋体" w:hAnsi="宋体" w:cs="宋体" w:eastAsia="宋体" w:hint="default"/>
                <w:sz w:val="18"/>
                <w:szCs w:val="18"/>
              </w:rPr>
              <w:t>其他综合收益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（二）将重分类进损益的其他综</w:t>
            </w:r>
            <w:r>
              <w:rPr>
                <w:rFonts w:ascii="宋体" w:hAnsi="宋体" w:cs="宋体" w:eastAsia="宋体" w:hint="default"/>
                <w:w w:val="101"/>
                <w:sz w:val="18"/>
                <w:szCs w:val="18"/>
              </w:rPr>
              <w:t> </w:t>
            </w:r>
            <w:r>
              <w:rPr>
                <w:rFonts w:ascii="宋体" w:hAnsi="宋体" w:cs="宋体" w:eastAsia="宋体" w:hint="default"/>
                <w:sz w:val="18"/>
                <w:szCs w:val="18"/>
              </w:rPr>
              <w:t>合收益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11" w:right="7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可供出售金融资产公允</w:t>
            </w:r>
            <w:r>
              <w:rPr>
                <w:rFonts w:ascii="宋体" w:hAnsi="宋体" w:cs="宋体" w:eastAsia="宋体" w:hint="default"/>
                <w:w w:val="101"/>
                <w:sz w:val="18"/>
                <w:szCs w:val="18"/>
              </w:rPr>
              <w:t> </w:t>
            </w:r>
            <w:r>
              <w:rPr>
                <w:rFonts w:ascii="宋体" w:hAnsi="宋体" w:cs="宋体" w:eastAsia="宋体" w:hint="default"/>
                <w:sz w:val="18"/>
                <w:szCs w:val="18"/>
              </w:rPr>
              <w:t>价值变动损益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7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金融资产重分类计入其</w:t>
            </w:r>
            <w:r>
              <w:rPr>
                <w:rFonts w:ascii="宋体" w:hAnsi="宋体" w:cs="宋体" w:eastAsia="宋体" w:hint="default"/>
                <w:w w:val="101"/>
                <w:sz w:val="18"/>
                <w:szCs w:val="18"/>
              </w:rPr>
              <w:t> </w:t>
            </w:r>
            <w:r>
              <w:rPr>
                <w:rFonts w:ascii="宋体" w:hAnsi="宋体" w:cs="宋体" w:eastAsia="宋体" w:hint="default"/>
                <w:sz w:val="18"/>
                <w:szCs w:val="18"/>
              </w:rPr>
              <w:t>他综合收益的金额</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11" w:right="7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持有至到期投资重分类</w:t>
            </w:r>
            <w:r>
              <w:rPr>
                <w:rFonts w:ascii="宋体" w:hAnsi="宋体" w:cs="宋体" w:eastAsia="宋体" w:hint="default"/>
                <w:w w:val="101"/>
                <w:sz w:val="18"/>
                <w:szCs w:val="18"/>
              </w:rPr>
              <w:t> </w:t>
            </w:r>
            <w:r>
              <w:rPr>
                <w:rFonts w:ascii="宋体" w:hAnsi="宋体" w:cs="宋体" w:eastAsia="宋体" w:hint="default"/>
                <w:spacing w:val="-3"/>
                <w:sz w:val="18"/>
                <w:szCs w:val="18"/>
              </w:rPr>
              <w:t>为可供出售金融资产损益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43,657,842.10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43,004,528.03</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七、每股收益：</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9"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（一）基本每股收益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（二）稀释每股收益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bookmarkStart w:name="5、合并现金流量表" w:id="163"/>
      <w:bookmarkEnd w:id="163"/>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6"/>
        <w:gridCol w:w="3299"/>
      </w:tblGrid>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4"/>
              <w:jc w:val="right"/>
              <w:rPr>
                <w:rFonts w:ascii="宋体" w:hAnsi="宋体" w:cs="宋体" w:eastAsia="宋体" w:hint="default"/>
                <w:sz w:val="18"/>
                <w:szCs w:val="18"/>
              </w:rPr>
            </w:pPr>
            <w:r>
              <w:rPr>
                <w:rFonts w:ascii="宋体" w:hAnsi="宋体" w:cs="宋体" w:eastAsia="宋体" w:hint="default"/>
                <w:spacing w:val="-3"/>
                <w:sz w:val="18"/>
                <w:szCs w:val="18"/>
              </w:rPr>
              <w:t>销售商品、提供劳务收到的现金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left="2151" w:right="0"/>
              <w:jc w:val="left"/>
              <w:rPr>
                <w:rFonts w:ascii="Times New Roman" w:hAnsi="Times New Roman" w:cs="Times New Roman" w:eastAsia="Times New Roman" w:hint="default"/>
                <w:sz w:val="18"/>
                <w:szCs w:val="18"/>
              </w:rPr>
            </w:pPr>
            <w:r>
              <w:rPr>
                <w:rFonts w:ascii="Times New Roman"/>
                <w:sz w:val="18"/>
              </w:rPr>
              <w:t>468,368,308.01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46" w:right="0"/>
              <w:jc w:val="left"/>
              <w:rPr>
                <w:rFonts w:ascii="Times New Roman" w:hAnsi="Times New Roman" w:cs="Times New Roman" w:eastAsia="Times New Roman" w:hint="default"/>
                <w:sz w:val="18"/>
                <w:szCs w:val="18"/>
              </w:rPr>
            </w:pPr>
            <w:r>
              <w:rPr>
                <w:rFonts w:ascii="Times New Roman"/>
                <w:sz w:val="18"/>
              </w:rPr>
              <w:t>314,848,657.99</w:t>
            </w:r>
          </w:p>
        </w:tc>
      </w:tr>
      <w:tr>
        <w:trPr>
          <w:trHeight w:val="71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客户存款和同业存放款项净增加</w:t>
            </w:r>
          </w:p>
          <w:p>
            <w:pPr>
              <w:pStyle w:val="TableParagraph"/>
              <w:spacing w:line="240" w:lineRule="auto" w:before="81"/>
              <w:ind w:left="11"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4"/>
              <w:jc w:val="right"/>
              <w:rPr>
                <w:rFonts w:ascii="宋体" w:hAnsi="宋体" w:cs="宋体" w:eastAsia="宋体" w:hint="default"/>
                <w:sz w:val="18"/>
                <w:szCs w:val="18"/>
              </w:rPr>
            </w:pPr>
            <w:r>
              <w:rPr>
                <w:rFonts w:ascii="宋体" w:hAnsi="宋体" w:cs="宋体" w:eastAsia="宋体" w:hint="default"/>
                <w:spacing w:val="-3"/>
                <w:sz w:val="18"/>
                <w:szCs w:val="18"/>
              </w:rPr>
              <w:t>收到原保险合同保费取得的现金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保户储金及投资款净增加额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6"/>
        <w:gridCol w:w="3299"/>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收取利息、手续费及佣金的现金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代理买卖证券收到的现金净额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收到的税费返还</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15,449,271.13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10,055,742.31</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收到其他与经营活动有关的现金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16,216,444.87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5,353,042.20</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500,034,024.01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330,257,442.50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购买商品、接受劳务支付的现金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219,980,572.82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139,313,328.79</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客户贷款及垫款净增加额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34"/>
              <w:jc w:val="right"/>
              <w:rPr>
                <w:rFonts w:ascii="宋体" w:hAnsi="宋体" w:cs="宋体" w:eastAsia="宋体" w:hint="default"/>
                <w:sz w:val="18"/>
                <w:szCs w:val="18"/>
              </w:rPr>
            </w:pPr>
            <w:r>
              <w:rPr>
                <w:rFonts w:ascii="宋体" w:hAnsi="宋体" w:cs="宋体" w:eastAsia="宋体" w:hint="default"/>
                <w:spacing w:val="-3"/>
                <w:sz w:val="18"/>
                <w:szCs w:val="18"/>
              </w:rPr>
              <w:t>支付原保险合同赔付款项的现金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支付利息、手续费及佣金的现金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支付保单红利的现金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127,445,850.08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100,370,802.83</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支付的各项税费</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60,153,361.07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31,156,422.66</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支付其他与经营活动有关的现金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51,038,601.71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41,188,454.87</w:t>
            </w:r>
          </w:p>
        </w:tc>
      </w:tr>
      <w:tr>
        <w:trPr>
          <w:trHeight w:val="39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458,618,385.68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312,029,009.15</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41,415,638.33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18,228,433.35</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收回投资收到的现金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928,000,000.00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874,200,000.00</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取得投资收益收到的现金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7,286,027.70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6,013,471.97</w:t>
            </w:r>
          </w:p>
        </w:tc>
      </w:tr>
      <w:tr>
        <w:trPr>
          <w:trHeight w:val="71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9"/>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长期资产收回的现金净额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83,426.56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223,690.40</w:t>
            </w: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处置子公司及其他营业单位收到</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1,131,863.27</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收到其他与投资活动有关的现金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936,501,317.53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880,437,162.37</w:t>
            </w: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17,732,971.88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17,329,412.30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投资支付的现金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1,081,500,000.00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758,200,000.00</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取得子公司及其他营业单位支付</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-602,832.51</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6"/>
        <w:gridCol w:w="3299"/>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支付其他与投资活动有关的现金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1,099,232,971.88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774,926,579.79</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-162,731,654.35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105,510,582.58</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吸收投资收到的现金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19,553,100.00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54,046,500.00</w:t>
            </w:r>
          </w:p>
        </w:tc>
      </w:tr>
      <w:tr>
        <w:trPr>
          <w:trHeight w:val="71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其中：子公司吸收少数股东投资</w:t>
            </w:r>
            <w:r>
              <w:rPr>
                <w:rFonts w:ascii="宋体" w:hAnsi="宋体" w:cs="宋体" w:eastAsia="宋体" w:hint="default"/>
                <w:w w:val="101"/>
                <w:sz w:val="18"/>
                <w:szCs w:val="18"/>
              </w:rPr>
              <w:t> </w:t>
            </w:r>
            <w:r>
              <w:rPr>
                <w:rFonts w:ascii="宋体" w:hAnsi="宋体" w:cs="宋体" w:eastAsia="宋体" w:hint="default"/>
                <w:sz w:val="18"/>
                <w:szCs w:val="18"/>
              </w:rPr>
              <w:t>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2,627,100.00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819,900.00</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pacing w:val="-3"/>
                <w:sz w:val="18"/>
                <w:szCs w:val="18"/>
              </w:rPr>
              <w:t>取得借款收到的现金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80,000,000.00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105,000,000.00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收到其他与筹资活动有关的现金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99,553,100.00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159,046,500.00</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偿还债务支付的现金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105,000,000.00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24,200,000.00</w:t>
            </w:r>
          </w:p>
        </w:tc>
      </w:tr>
      <w:tr>
        <w:trPr>
          <w:trHeight w:val="71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9"/>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分配股利、利润或偿付利息支付</w:t>
            </w:r>
            <w:r>
              <w:rPr>
                <w:rFonts w:ascii="宋体" w:hAnsi="宋体" w:cs="宋体" w:eastAsia="宋体" w:hint="default"/>
                <w:w w:val="101"/>
                <w:sz w:val="18"/>
                <w:szCs w:val="18"/>
              </w:rPr>
              <w:t> </w:t>
            </w:r>
            <w:r>
              <w:rPr>
                <w:rFonts w:ascii="宋体" w:hAnsi="宋体" w:cs="宋体" w:eastAsia="宋体" w:hint="default"/>
                <w:sz w:val="18"/>
                <w:szCs w:val="18"/>
              </w:rPr>
              <w:t>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10,634,830.38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7,407,229.58</w:t>
            </w: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其中：子公司支付给少数股东的</w:t>
            </w:r>
            <w:r>
              <w:rPr>
                <w:rFonts w:ascii="宋体" w:hAnsi="宋体" w:cs="宋体" w:eastAsia="宋体" w:hint="default"/>
                <w:w w:val="101"/>
                <w:sz w:val="18"/>
                <w:szCs w:val="18"/>
              </w:rPr>
              <w:t> </w:t>
            </w:r>
            <w:r>
              <w:rPr>
                <w:rFonts w:ascii="宋体" w:hAnsi="宋体" w:cs="宋体" w:eastAsia="宋体" w:hint="default"/>
                <w:sz w:val="18"/>
                <w:szCs w:val="18"/>
              </w:rPr>
              <w:t>股利、利润</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支付其他与筹资活动有关的现金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1,364,701.05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8,611,780.84</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116,999,531.43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40,219,010.42</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-17,446,431.43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118,827,489.58</w:t>
            </w: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34"/>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影响</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-138,762,447.45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242,566,505.51</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加：期初现金及现金等价物余额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356,480,701.01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113,914,195.50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217,718,253.56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356,480,701.01</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bookmarkStart w:name="6、母公司现金流量表" w:id="164"/>
      <w:bookmarkEnd w:id="164"/>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6"/>
        <w:gridCol w:w="3299"/>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34"/>
              <w:jc w:val="right"/>
              <w:rPr>
                <w:rFonts w:ascii="宋体" w:hAnsi="宋体" w:cs="宋体" w:eastAsia="宋体" w:hint="default"/>
                <w:sz w:val="18"/>
                <w:szCs w:val="18"/>
              </w:rPr>
            </w:pPr>
            <w:r>
              <w:rPr>
                <w:rFonts w:ascii="宋体" w:hAnsi="宋体" w:cs="宋体" w:eastAsia="宋体" w:hint="default"/>
                <w:spacing w:val="-3"/>
                <w:sz w:val="18"/>
                <w:szCs w:val="18"/>
              </w:rPr>
              <w:t>销售商品、提供劳务收到的现金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439,527,303.96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291,138,028.75</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收到的税费返还</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14,616,263.05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9,432,190.79</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收到其他与经营活动有关的现金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13,903,663.99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4,976,130.64</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468,047,231.00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305,546,350.18</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4"/>
              <w:jc w:val="right"/>
              <w:rPr>
                <w:rFonts w:ascii="宋体" w:hAnsi="宋体" w:cs="宋体" w:eastAsia="宋体" w:hint="default"/>
                <w:sz w:val="18"/>
                <w:szCs w:val="18"/>
              </w:rPr>
            </w:pPr>
            <w:r>
              <w:rPr>
                <w:rFonts w:ascii="宋体" w:hAnsi="宋体" w:cs="宋体" w:eastAsia="宋体" w:hint="default"/>
                <w:spacing w:val="-3"/>
                <w:sz w:val="18"/>
                <w:szCs w:val="18"/>
              </w:rPr>
              <w:t>购买商品、接受劳务支付的现金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214,836,684.40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136,567,417.37</w:t>
            </w: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支付给职工以及为职工支付的现</w:t>
            </w:r>
          </w:p>
          <w:p>
            <w:pPr>
              <w:pStyle w:val="TableParagraph"/>
              <w:spacing w:line="240" w:lineRule="auto" w:before="81"/>
              <w:ind w:left="11"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102,016,423.29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80,427,108.13</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6"/>
        <w:gridCol w:w="3299"/>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支付的各项税费</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57,541,904.99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27,508,733.21</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支付其他与经营活动有关的现金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42,609,009.72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34,091,161.80</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417,004,022.40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278,594,420.51</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51,043,208.60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26,951,929.67</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收回投资收到的现金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889,000,000.00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845,568,434.77</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取得投资收益收到的现金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7,045,870.06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5,694,271.61</w:t>
            </w: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长期资产收回的现金净额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73,676.56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201,996.00</w:t>
            </w: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处置子公司及其他营业单位收到</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2,400,000.00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收到其他与投资活动有关的现金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6,350,000.00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27,989,527.30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904,869,546.62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879,454,229.68</w:t>
            </w: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16,725,257.64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10,595,349.75</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投资支付的现金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1,049,103,000.00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742,937,055.62</w:t>
            </w:r>
          </w:p>
        </w:tc>
      </w:tr>
      <w:tr>
        <w:trPr>
          <w:trHeight w:val="71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取得子公司及其他营业单位支付</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支付其他与投资活动有关的现金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7,920,000.00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24,250,000.00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1,073,748,257.64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777,782,405.37</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-168,878,711.02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101,671,824.31</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吸收投资收到的现金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16,926,000.00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53,226,600.00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取得借款收到的现金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80,000,000.00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105,000,000.00</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收到其他与筹资活动有关的现金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96,926,000.00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158,226,600.00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偿还债务支付的现金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105,000,000.00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24,200,000.00</w:t>
            </w:r>
          </w:p>
        </w:tc>
      </w:tr>
      <w:tr>
        <w:trPr>
          <w:trHeight w:val="71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分配股利、利润或偿付利息支付</w:t>
            </w:r>
            <w:r>
              <w:rPr>
                <w:rFonts w:ascii="宋体" w:hAnsi="宋体" w:cs="宋体" w:eastAsia="宋体" w:hint="default"/>
                <w:w w:val="101"/>
                <w:sz w:val="18"/>
                <w:szCs w:val="18"/>
              </w:rPr>
              <w:t> </w:t>
            </w:r>
            <w:r>
              <w:rPr>
                <w:rFonts w:ascii="宋体" w:hAnsi="宋体" w:cs="宋体" w:eastAsia="宋体" w:hint="default"/>
                <w:sz w:val="18"/>
                <w:szCs w:val="18"/>
              </w:rPr>
              <w:t>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10,634,830.38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7,407,229.58</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支付其他与筹资活动有关的现金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1,364,701.05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8,065,637.62</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116,999,531.43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39,672,867.20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-20,073,531.43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118,553,732.80</w:t>
            </w:r>
          </w:p>
        </w:tc>
      </w:tr>
      <w:tr>
        <w:trPr>
          <w:trHeight w:val="71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1" w:right="34"/>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影响</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-137,909,033.85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247,177,486.78</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加：期初现金及现金等价物余额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336,781,741.56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89,604,254.78</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46" w:right="0"/>
              <w:jc w:val="left"/>
              <w:rPr>
                <w:rFonts w:ascii="Times New Roman" w:hAnsi="Times New Roman" w:cs="Times New Roman" w:eastAsia="Times New Roman" w:hint="default"/>
                <w:sz w:val="18"/>
                <w:szCs w:val="18"/>
              </w:rPr>
            </w:pPr>
            <w:r>
              <w:rPr>
                <w:rFonts w:ascii="Times New Roman"/>
                <w:sz w:val="18"/>
              </w:rPr>
              <w:t>198,872,707.71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46" w:right="0"/>
              <w:jc w:val="left"/>
              <w:rPr>
                <w:rFonts w:ascii="Times New Roman" w:hAnsi="Times New Roman" w:cs="Times New Roman" w:eastAsia="Times New Roman" w:hint="default"/>
                <w:sz w:val="18"/>
                <w:szCs w:val="18"/>
              </w:rPr>
            </w:pPr>
            <w:r>
              <w:rPr>
                <w:rFonts w:ascii="Times New Roman"/>
                <w:sz w:val="18"/>
              </w:rPr>
              <w:t>336,781,741.56</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bookmarkStart w:name="7、合并所有者权益变动表" w:id="165"/>
      <w:bookmarkEnd w:id="165"/>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0"/>
        <w:jc w:val="left"/>
      </w:pPr>
      <w:r>
        <w:rPr/>
        <w:t>本期金额</w:t>
      </w:r>
    </w:p>
    <w:p>
      <w:pPr>
        <w:pStyle w:val="BodyText"/>
        <w:spacing w:line="240" w:lineRule="auto" w:before="115"/>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229"/>
        <w:gridCol w:w="506"/>
        <w:gridCol w:w="466"/>
        <w:gridCol w:w="466"/>
        <w:gridCol w:w="470"/>
        <w:gridCol w:w="581"/>
        <w:gridCol w:w="586"/>
        <w:gridCol w:w="581"/>
        <w:gridCol w:w="586"/>
        <w:gridCol w:w="586"/>
        <w:gridCol w:w="581"/>
        <w:gridCol w:w="586"/>
        <w:gridCol w:w="586"/>
        <w:gridCol w:w="581"/>
        <w:gridCol w:w="586"/>
        <w:gridCol w:w="576"/>
      </w:tblGrid>
      <w:tr>
        <w:trPr>
          <w:trHeight w:val="403" w:hRule="exact"/>
        </w:trPr>
        <w:tc>
          <w:tcPr>
            <w:tcW w:w="1229" w:type="dxa"/>
            <w:vMerge w:val="restart"/>
            <w:tcBorders>
              <w:top w:val="single" w:sz="4" w:space="0" w:color="000000"/>
              <w:left w:val="single" w:sz="4" w:space="0" w:color="000000"/>
              <w:right w:val="single" w:sz="4" w:space="0" w:color="000000"/>
            </w:tcBorders>
            <w:shd w:val="clear" w:color="auto" w:fill="D2D2D2"/>
          </w:tcPr>
          <w:p>
            <w:pPr/>
          </w:p>
        </w:tc>
        <w:tc>
          <w:tcPr>
            <w:tcW w:w="8324"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91" w:hRule="exact"/>
        </w:trPr>
        <w:tc>
          <w:tcPr>
            <w:tcW w:w="1229" w:type="dxa"/>
            <w:vMerge/>
            <w:tcBorders>
              <w:left w:val="single" w:sz="4" w:space="0" w:color="000000"/>
              <w:right w:val="single" w:sz="4" w:space="0" w:color="000000"/>
            </w:tcBorders>
            <w:shd w:val="clear" w:color="auto" w:fill="D2D2D2"/>
          </w:tcPr>
          <w:p>
            <w:pPr/>
          </w:p>
        </w:tc>
        <w:tc>
          <w:tcPr>
            <w:tcW w:w="7162"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p>
        </w:tc>
        <w:tc>
          <w:tcPr>
            <w:tcW w:w="586" w:type="dxa"/>
            <w:vMerge w:val="restart"/>
            <w:tcBorders>
              <w:top w:val="single" w:sz="4" w:space="0" w:color="000000"/>
              <w:left w:val="single" w:sz="4" w:space="0" w:color="000000"/>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8" w:hRule="exact"/>
        </w:trPr>
        <w:tc>
          <w:tcPr>
            <w:tcW w:w="1229" w:type="dxa"/>
            <w:vMerge/>
            <w:tcBorders>
              <w:left w:val="single" w:sz="4" w:space="0" w:color="000000"/>
              <w:right w:val="single" w:sz="4" w:space="0" w:color="000000"/>
            </w:tcBorders>
            <w:shd w:val="clear" w:color="auto" w:fill="D2D2D2"/>
          </w:tcPr>
          <w:p>
            <w:pPr/>
          </w:p>
        </w:tc>
        <w:tc>
          <w:tcPr>
            <w:tcW w:w="7162" w:type="dxa"/>
            <w:gridSpan w:val="13"/>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4"/>
              <w:ind w:left="105" w:right="95"/>
              <w:jc w:val="both"/>
              <w:rPr>
                <w:rFonts w:ascii="宋体" w:hAnsi="宋体" w:cs="宋体" w:eastAsia="宋体" w:hint="default"/>
                <w:sz w:val="18"/>
                <w:szCs w:val="18"/>
              </w:rPr>
            </w:pPr>
            <w:r>
              <w:rPr>
                <w:rFonts w:ascii="宋体" w:hAnsi="宋体" w:cs="宋体" w:eastAsia="宋体" w:hint="default"/>
                <w:sz w:val="18"/>
                <w:szCs w:val="18"/>
              </w:rPr>
              <w:t>所有</w:t>
            </w:r>
            <w:r>
              <w:rPr>
                <w:rFonts w:ascii="宋体" w:hAnsi="宋体" w:cs="宋体" w:eastAsia="宋体" w:hint="default"/>
                <w:spacing w:val="-86"/>
                <w:sz w:val="18"/>
                <w:szCs w:val="18"/>
              </w:rPr>
              <w:t> </w:t>
            </w:r>
            <w:r>
              <w:rPr>
                <w:rFonts w:ascii="宋体" w:hAnsi="宋体" w:cs="宋体" w:eastAsia="宋体" w:hint="default"/>
                <w:sz w:val="18"/>
                <w:szCs w:val="18"/>
              </w:rPr>
              <w:t>者权</w:t>
            </w:r>
            <w:r>
              <w:rPr>
                <w:rFonts w:ascii="宋体" w:hAnsi="宋体" w:cs="宋体" w:eastAsia="宋体" w:hint="default"/>
                <w:spacing w:val="-86"/>
                <w:sz w:val="18"/>
                <w:szCs w:val="18"/>
              </w:rPr>
              <w:t> </w:t>
            </w:r>
            <w:r>
              <w:rPr>
                <w:rFonts w:ascii="宋体" w:hAnsi="宋体" w:cs="宋体" w:eastAsia="宋体" w:hint="default"/>
                <w:sz w:val="18"/>
                <w:szCs w:val="18"/>
              </w:rPr>
              <w:t>益合</w:t>
            </w:r>
            <w:r>
              <w:rPr>
                <w:rFonts w:ascii="宋体" w:hAnsi="宋体" w:cs="宋体" w:eastAsia="宋体" w:hint="default"/>
                <w:spacing w:val="-86"/>
                <w:sz w:val="18"/>
                <w:szCs w:val="18"/>
              </w:rPr>
              <w:t> </w:t>
            </w:r>
            <w:r>
              <w:rPr>
                <w:rFonts w:ascii="宋体" w:hAnsi="宋体" w:cs="宋体" w:eastAsia="宋体" w:hint="default"/>
                <w:sz w:val="18"/>
                <w:szCs w:val="18"/>
              </w:rPr>
              <w:t>计</w:t>
            </w:r>
          </w:p>
        </w:tc>
      </w:tr>
      <w:tr>
        <w:trPr>
          <w:trHeight w:val="149" w:hRule="exact"/>
        </w:trPr>
        <w:tc>
          <w:tcPr>
            <w:tcW w:w="1229" w:type="dxa"/>
            <w:vMerge/>
            <w:tcBorders>
              <w:left w:val="single" w:sz="4" w:space="0" w:color="000000"/>
              <w:bottom w:val="nil" w:sz="6" w:space="0" w:color="auto"/>
              <w:right w:val="single" w:sz="4" w:space="0" w:color="000000"/>
            </w:tcBorders>
            <w:shd w:val="clear" w:color="auto" w:fill="D2D2D2"/>
          </w:tcPr>
          <w:p>
            <w:pPr/>
          </w:p>
        </w:tc>
        <w:tc>
          <w:tcPr>
            <w:tcW w:w="7162" w:type="dxa"/>
            <w:gridSpan w:val="13"/>
            <w:vMerge/>
            <w:tcBorders>
              <w:left w:val="single" w:sz="4" w:space="0" w:color="000000"/>
              <w:bottom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105" w:right="103"/>
              <w:jc w:val="both"/>
              <w:rPr>
                <w:rFonts w:ascii="宋体" w:hAnsi="宋体" w:cs="宋体" w:eastAsia="宋体" w:hint="default"/>
                <w:sz w:val="18"/>
                <w:szCs w:val="18"/>
              </w:rPr>
            </w:pPr>
            <w:r>
              <w:rPr>
                <w:rFonts w:ascii="宋体" w:hAnsi="宋体" w:cs="宋体" w:eastAsia="宋体" w:hint="default"/>
                <w:sz w:val="18"/>
                <w:szCs w:val="18"/>
              </w:rPr>
              <w:t>少数</w:t>
            </w:r>
            <w:r>
              <w:rPr>
                <w:rFonts w:ascii="宋体" w:hAnsi="宋体" w:cs="宋体" w:eastAsia="宋体" w:hint="default"/>
                <w:spacing w:val="-86"/>
                <w:sz w:val="18"/>
                <w:szCs w:val="18"/>
              </w:rPr>
              <w:t> </w:t>
            </w:r>
            <w:r>
              <w:rPr>
                <w:rFonts w:ascii="宋体" w:hAnsi="宋体" w:cs="宋体" w:eastAsia="宋体" w:hint="default"/>
                <w:sz w:val="18"/>
                <w:szCs w:val="18"/>
              </w:rPr>
              <w:t>股东</w:t>
            </w:r>
            <w:r>
              <w:rPr>
                <w:rFonts w:ascii="宋体" w:hAnsi="宋体" w:cs="宋体" w:eastAsia="宋体" w:hint="default"/>
                <w:spacing w:val="-86"/>
                <w:sz w:val="18"/>
                <w:szCs w:val="18"/>
              </w:rPr>
              <w:t> </w:t>
            </w:r>
            <w:r>
              <w:rPr>
                <w:rFonts w:ascii="宋体" w:hAnsi="宋体" w:cs="宋体" w:eastAsia="宋体" w:hint="default"/>
                <w:sz w:val="18"/>
                <w:szCs w:val="18"/>
              </w:rPr>
              <w:t>权益</w:t>
            </w:r>
          </w:p>
        </w:tc>
        <w:tc>
          <w:tcPr>
            <w:tcW w:w="576" w:type="dxa"/>
            <w:vMerge/>
            <w:tcBorders>
              <w:left w:val="single" w:sz="4" w:space="0" w:color="000000"/>
              <w:right w:val="single" w:sz="4" w:space="0" w:color="000000"/>
            </w:tcBorders>
            <w:shd w:val="clear" w:color="auto" w:fill="D2D2D2"/>
          </w:tcPr>
          <w:p>
            <w:pPr/>
          </w:p>
        </w:tc>
      </w:tr>
      <w:tr>
        <w:trPr>
          <w:trHeight w:val="206" w:hRule="exact"/>
        </w:trPr>
        <w:tc>
          <w:tcPr>
            <w:tcW w:w="12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06" w:type="dxa"/>
            <w:vMerge w:val="restart"/>
            <w:tcBorders>
              <w:top w:val="single" w:sz="4" w:space="0" w:color="000000"/>
              <w:left w:val="single" w:sz="4" w:space="0" w:color="000000"/>
              <w:right w:val="single" w:sz="4" w:space="0" w:color="000000"/>
            </w:tcBorders>
            <w:shd w:val="clear" w:color="auto" w:fill="D2D2D2"/>
          </w:tcPr>
          <w:p>
            <w:pPr/>
          </w:p>
        </w:tc>
        <w:tc>
          <w:tcPr>
            <w:tcW w:w="14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1" w:type="dxa"/>
            <w:tcBorders>
              <w:top w:val="single" w:sz="4" w:space="0" w:color="000000"/>
              <w:left w:val="single" w:sz="4" w:space="0" w:color="000000"/>
              <w:bottom w:val="nil" w:sz="6" w:space="0" w:color="auto"/>
              <w:right w:val="single" w:sz="4" w:space="0" w:color="000000"/>
            </w:tcBorders>
            <w:shd w:val="clear" w:color="auto" w:fill="D2D2D2"/>
          </w:tcPr>
          <w:p>
            <w:pPr/>
          </w:p>
        </w:tc>
        <w:tc>
          <w:tcPr>
            <w:tcW w:w="586" w:type="dxa"/>
            <w:tcBorders>
              <w:top w:val="single" w:sz="4" w:space="0" w:color="000000"/>
              <w:left w:val="single" w:sz="4" w:space="0" w:color="000000"/>
              <w:bottom w:val="nil" w:sz="6" w:space="0" w:color="auto"/>
              <w:right w:val="single" w:sz="4" w:space="0" w:color="000000"/>
            </w:tcBorders>
            <w:shd w:val="clear" w:color="auto" w:fill="D2D2D2"/>
          </w:tcPr>
          <w:p>
            <w:pPr/>
          </w:p>
        </w:tc>
        <w:tc>
          <w:tcPr>
            <w:tcW w:w="5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05" w:right="99"/>
              <w:jc w:val="both"/>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86"/>
                <w:sz w:val="18"/>
                <w:szCs w:val="18"/>
              </w:rPr>
              <w:t> </w:t>
            </w:r>
            <w:r>
              <w:rPr>
                <w:rFonts w:ascii="宋体" w:hAnsi="宋体" w:cs="宋体" w:eastAsia="宋体" w:hint="default"/>
                <w:sz w:val="18"/>
                <w:szCs w:val="18"/>
              </w:rPr>
              <w:t>综合</w:t>
            </w:r>
            <w:r>
              <w:rPr>
                <w:rFonts w:ascii="宋体" w:hAnsi="宋体" w:cs="宋体" w:eastAsia="宋体" w:hint="default"/>
                <w:spacing w:val="-86"/>
                <w:sz w:val="18"/>
                <w:szCs w:val="18"/>
              </w:rPr>
              <w:t> </w:t>
            </w:r>
            <w:r>
              <w:rPr>
                <w:rFonts w:ascii="宋体" w:hAnsi="宋体" w:cs="宋体" w:eastAsia="宋体" w:hint="default"/>
                <w:sz w:val="18"/>
                <w:szCs w:val="18"/>
              </w:rPr>
              <w:t>收益</w:t>
            </w:r>
          </w:p>
        </w:tc>
        <w:tc>
          <w:tcPr>
            <w:tcW w:w="586" w:type="dxa"/>
            <w:tcBorders>
              <w:top w:val="single" w:sz="4" w:space="0" w:color="000000"/>
              <w:left w:val="single" w:sz="4" w:space="0" w:color="000000"/>
              <w:bottom w:val="nil" w:sz="6" w:space="0" w:color="auto"/>
              <w:right w:val="single" w:sz="4" w:space="0" w:color="000000"/>
            </w:tcBorders>
            <w:shd w:val="clear" w:color="auto" w:fill="D2D2D2"/>
          </w:tcPr>
          <w:p>
            <w:pPr/>
          </w:p>
        </w:tc>
        <w:tc>
          <w:tcPr>
            <w:tcW w:w="586" w:type="dxa"/>
            <w:tcBorders>
              <w:top w:val="single" w:sz="4" w:space="0" w:color="000000"/>
              <w:left w:val="single" w:sz="4" w:space="0" w:color="000000"/>
              <w:bottom w:val="nil" w:sz="6" w:space="0" w:color="auto"/>
              <w:right w:val="single" w:sz="4" w:space="0" w:color="000000"/>
            </w:tcBorders>
            <w:shd w:val="clear" w:color="auto" w:fill="D2D2D2"/>
          </w:tcPr>
          <w:p>
            <w:pPr/>
          </w:p>
        </w:tc>
        <w:tc>
          <w:tcPr>
            <w:tcW w:w="5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05" w:right="98"/>
              <w:jc w:val="both"/>
              <w:rPr>
                <w:rFonts w:ascii="宋体" w:hAnsi="宋体" w:cs="宋体" w:eastAsia="宋体" w:hint="default"/>
                <w:sz w:val="18"/>
                <w:szCs w:val="18"/>
              </w:rPr>
            </w:pPr>
            <w:r>
              <w:rPr>
                <w:rFonts w:ascii="宋体" w:hAnsi="宋体" w:cs="宋体" w:eastAsia="宋体" w:hint="default"/>
                <w:sz w:val="18"/>
                <w:szCs w:val="18"/>
              </w:rPr>
              <w:t>一般</w:t>
            </w:r>
            <w:r>
              <w:rPr>
                <w:rFonts w:ascii="宋体" w:hAnsi="宋体" w:cs="宋体" w:eastAsia="宋体" w:hint="default"/>
                <w:spacing w:val="-86"/>
                <w:sz w:val="18"/>
                <w:szCs w:val="18"/>
              </w:rPr>
              <w:t> </w:t>
            </w:r>
            <w:r>
              <w:rPr>
                <w:rFonts w:ascii="宋体" w:hAnsi="宋体" w:cs="宋体" w:eastAsia="宋体" w:hint="default"/>
                <w:sz w:val="18"/>
                <w:szCs w:val="18"/>
              </w:rPr>
              <w:t>风险</w:t>
            </w:r>
            <w:r>
              <w:rPr>
                <w:rFonts w:ascii="宋体" w:hAnsi="宋体" w:cs="宋体" w:eastAsia="宋体" w:hint="default"/>
                <w:spacing w:val="-86"/>
                <w:sz w:val="18"/>
                <w:szCs w:val="18"/>
              </w:rPr>
              <w:t> </w:t>
            </w:r>
            <w:r>
              <w:rPr>
                <w:rFonts w:ascii="宋体" w:hAnsi="宋体" w:cs="宋体" w:eastAsia="宋体" w:hint="default"/>
                <w:sz w:val="18"/>
                <w:szCs w:val="18"/>
              </w:rPr>
              <w:t>准备</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05" w:right="104"/>
              <w:jc w:val="both"/>
              <w:rPr>
                <w:rFonts w:ascii="宋体" w:hAnsi="宋体" w:cs="宋体" w:eastAsia="宋体" w:hint="default"/>
                <w:sz w:val="18"/>
                <w:szCs w:val="18"/>
              </w:rPr>
            </w:pPr>
            <w:r>
              <w:rPr>
                <w:rFonts w:ascii="宋体" w:hAnsi="宋体" w:cs="宋体" w:eastAsia="宋体" w:hint="default"/>
                <w:sz w:val="18"/>
                <w:szCs w:val="18"/>
              </w:rPr>
              <w:t>未分</w:t>
            </w:r>
            <w:r>
              <w:rPr>
                <w:rFonts w:ascii="宋体" w:hAnsi="宋体" w:cs="宋体" w:eastAsia="宋体" w:hint="default"/>
                <w:spacing w:val="-86"/>
                <w:sz w:val="18"/>
                <w:szCs w:val="18"/>
              </w:rPr>
              <w:t> </w:t>
            </w:r>
            <w:r>
              <w:rPr>
                <w:rFonts w:ascii="宋体" w:hAnsi="宋体" w:cs="宋体" w:eastAsia="宋体" w:hint="default"/>
                <w:sz w:val="18"/>
                <w:szCs w:val="18"/>
              </w:rPr>
              <w:t>配利</w:t>
            </w:r>
            <w:r>
              <w:rPr>
                <w:rFonts w:ascii="宋体" w:hAnsi="宋体" w:cs="宋体" w:eastAsia="宋体" w:hint="default"/>
                <w:spacing w:val="-86"/>
                <w:sz w:val="18"/>
                <w:szCs w:val="18"/>
              </w:rPr>
              <w:t> </w:t>
            </w:r>
            <w:r>
              <w:rPr>
                <w:rFonts w:ascii="宋体" w:hAnsi="宋体" w:cs="宋体" w:eastAsia="宋体" w:hint="default"/>
                <w:sz w:val="18"/>
                <w:szCs w:val="18"/>
              </w:rPr>
              <w:t>润</w:t>
            </w:r>
          </w:p>
        </w:tc>
        <w:tc>
          <w:tcPr>
            <w:tcW w:w="586" w:type="dxa"/>
            <w:vMerge w:val="restart"/>
            <w:tcBorders>
              <w:top w:val="single" w:sz="4" w:space="0" w:color="000000"/>
              <w:left w:val="single" w:sz="4" w:space="0" w:color="000000"/>
              <w:right w:val="single" w:sz="4" w:space="0" w:color="000000"/>
            </w:tcBorders>
            <w:shd w:val="clear" w:color="auto" w:fill="D2D2D2"/>
          </w:tcPr>
          <w:p>
            <w:pPr/>
          </w:p>
        </w:tc>
        <w:tc>
          <w:tcPr>
            <w:tcW w:w="581" w:type="dxa"/>
            <w:vMerge w:val="restart"/>
            <w:tcBorders>
              <w:top w:val="single" w:sz="4" w:space="0" w:color="000000"/>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r>
      <w:tr>
        <w:trPr>
          <w:trHeight w:val="167" w:hRule="exact"/>
        </w:trPr>
        <w:tc>
          <w:tcPr>
            <w:tcW w:w="1229" w:type="dxa"/>
            <w:vMerge/>
            <w:tcBorders>
              <w:left w:val="single" w:sz="4" w:space="0" w:color="000000"/>
              <w:bottom w:val="nil" w:sz="6" w:space="0" w:color="auto"/>
              <w:right w:val="single" w:sz="4" w:space="0" w:color="000000"/>
            </w:tcBorders>
            <w:shd w:val="clear" w:color="auto" w:fill="D2D2D2"/>
          </w:tcPr>
          <w:p>
            <w:pPr/>
          </w:p>
        </w:tc>
        <w:tc>
          <w:tcPr>
            <w:tcW w:w="506" w:type="dxa"/>
            <w:vMerge/>
            <w:tcBorders>
              <w:left w:val="single" w:sz="4" w:space="0" w:color="000000"/>
              <w:bottom w:val="nil" w:sz="6" w:space="0" w:color="auto"/>
              <w:right w:val="single" w:sz="4" w:space="0" w:color="000000"/>
            </w:tcBorders>
            <w:shd w:val="clear" w:color="auto" w:fill="D2D2D2"/>
          </w:tcPr>
          <w:p>
            <w:pPr/>
          </w:p>
        </w:tc>
        <w:tc>
          <w:tcPr>
            <w:tcW w:w="1402" w:type="dxa"/>
            <w:gridSpan w:val="3"/>
            <w:vMerge/>
            <w:tcBorders>
              <w:left w:val="single" w:sz="4" w:space="0" w:color="000000"/>
              <w:bottom w:val="single" w:sz="4" w:space="0" w:color="000000"/>
              <w:right w:val="single" w:sz="4" w:space="0" w:color="000000"/>
            </w:tcBorders>
            <w:shd w:val="clear" w:color="auto" w:fill="D2D2D2"/>
          </w:tcPr>
          <w:p>
            <w:pPr/>
          </w:p>
        </w:tc>
        <w:tc>
          <w:tcPr>
            <w:tcW w:w="581"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105" w:right="99"/>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105" w:right="17" w:hanging="82"/>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存股</w:t>
            </w:r>
          </w:p>
        </w:tc>
        <w:tc>
          <w:tcPr>
            <w:tcW w:w="581"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105" w:right="103"/>
              <w:jc w:val="left"/>
              <w:rPr>
                <w:rFonts w:ascii="宋体" w:hAnsi="宋体" w:cs="宋体" w:eastAsia="宋体" w:hint="default"/>
                <w:sz w:val="18"/>
                <w:szCs w:val="18"/>
              </w:rPr>
            </w:pPr>
            <w:r>
              <w:rPr>
                <w:rFonts w:ascii="宋体" w:hAnsi="宋体" w:cs="宋体" w:eastAsia="宋体" w:hint="default"/>
                <w:sz w:val="18"/>
                <w:szCs w:val="18"/>
              </w:rPr>
              <w:t>专项</w:t>
            </w:r>
            <w:r>
              <w:rPr>
                <w:rFonts w:ascii="宋体" w:hAnsi="宋体" w:cs="宋体" w:eastAsia="宋体" w:hint="default"/>
                <w:spacing w:val="-86"/>
                <w:sz w:val="18"/>
                <w:szCs w:val="18"/>
              </w:rPr>
              <w:t> </w:t>
            </w:r>
            <w:r>
              <w:rPr>
                <w:rFonts w:ascii="宋体" w:hAnsi="宋体" w:cs="宋体" w:eastAsia="宋体" w:hint="default"/>
                <w:sz w:val="18"/>
                <w:szCs w:val="18"/>
              </w:rPr>
              <w:t>储备</w:t>
            </w: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105" w:right="105"/>
              <w:jc w:val="left"/>
              <w:rPr>
                <w:rFonts w:ascii="宋体" w:hAnsi="宋体" w:cs="宋体" w:eastAsia="宋体" w:hint="default"/>
                <w:sz w:val="18"/>
                <w:szCs w:val="18"/>
              </w:rPr>
            </w:pPr>
            <w:r>
              <w:rPr>
                <w:rFonts w:ascii="宋体" w:hAnsi="宋体" w:cs="宋体" w:eastAsia="宋体" w:hint="default"/>
                <w:sz w:val="18"/>
                <w:szCs w:val="18"/>
              </w:rPr>
              <w:t>盈余</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r>
      <w:tr>
        <w:trPr>
          <w:trHeight w:val="193" w:hRule="exact"/>
        </w:trPr>
        <w:tc>
          <w:tcPr>
            <w:tcW w:w="1229" w:type="dxa"/>
            <w:vMerge w:val="restart"/>
            <w:tcBorders>
              <w:top w:val="nil" w:sz="6" w:space="0" w:color="auto"/>
              <w:left w:val="single" w:sz="4" w:space="0" w:color="000000"/>
              <w:right w:val="single" w:sz="4" w:space="0" w:color="000000"/>
            </w:tcBorders>
            <w:shd w:val="clear" w:color="auto" w:fill="D2D2D2"/>
          </w:tcPr>
          <w:p>
            <w:pPr/>
          </w:p>
        </w:tc>
        <w:tc>
          <w:tcPr>
            <w:tcW w:w="5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5"/>
              <w:ind w:left="7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3"/>
              <w:ind w:left="139" w:right="41"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3"/>
              <w:ind w:left="139" w:right="41" w:hanging="92"/>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470" w:type="dxa"/>
            <w:tcBorders>
              <w:top w:val="single" w:sz="4" w:space="0" w:color="000000"/>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5"/>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5"/>
              <w:ind w:left="10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r>
      <w:tr>
        <w:trPr>
          <w:trHeight w:val="187" w:hRule="exact"/>
        </w:trPr>
        <w:tc>
          <w:tcPr>
            <w:tcW w:w="1229" w:type="dxa"/>
            <w:vMerge/>
            <w:tcBorders>
              <w:left w:val="single" w:sz="4" w:space="0" w:color="000000"/>
              <w:right w:val="single" w:sz="4" w:space="0" w:color="000000"/>
            </w:tcBorders>
            <w:shd w:val="clear" w:color="auto" w:fill="D2D2D2"/>
          </w:tcPr>
          <w:p>
            <w:pPr/>
          </w:p>
        </w:tc>
        <w:tc>
          <w:tcPr>
            <w:tcW w:w="506" w:type="dxa"/>
            <w:vMerge/>
            <w:tcBorders>
              <w:left w:val="single" w:sz="4" w:space="0" w:color="000000"/>
              <w:bottom w:val="nil" w:sz="6" w:space="0" w:color="auto"/>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7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r>
      <w:tr>
        <w:trPr>
          <w:trHeight w:val="137" w:hRule="exact"/>
        </w:trPr>
        <w:tc>
          <w:tcPr>
            <w:tcW w:w="1229" w:type="dxa"/>
            <w:vMerge/>
            <w:tcBorders>
              <w:left w:val="single" w:sz="4" w:space="0" w:color="000000"/>
              <w:right w:val="single" w:sz="4" w:space="0" w:color="000000"/>
            </w:tcBorders>
            <w:shd w:val="clear" w:color="auto" w:fill="D2D2D2"/>
          </w:tcPr>
          <w:p>
            <w:pPr/>
          </w:p>
        </w:tc>
        <w:tc>
          <w:tcPr>
            <w:tcW w:w="506" w:type="dxa"/>
            <w:vMerge w:val="restart"/>
            <w:tcBorders>
              <w:top w:val="nil" w:sz="6" w:space="0" w:color="auto"/>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70" w:type="dxa"/>
            <w:vMerge/>
            <w:tcBorders>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1" w:type="dxa"/>
            <w:vMerge w:val="restart"/>
            <w:tcBorders>
              <w:top w:val="nil" w:sz="6" w:space="0" w:color="auto"/>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r>
      <w:tr>
        <w:trPr>
          <w:trHeight w:val="121" w:hRule="exact"/>
        </w:trPr>
        <w:tc>
          <w:tcPr>
            <w:tcW w:w="1229" w:type="dxa"/>
            <w:vMerge/>
            <w:tcBorders>
              <w:left w:val="single" w:sz="4" w:space="0" w:color="000000"/>
              <w:right w:val="single" w:sz="4" w:space="0" w:color="000000"/>
            </w:tcBorders>
            <w:shd w:val="clear" w:color="auto" w:fill="D2D2D2"/>
          </w:tcPr>
          <w:p>
            <w:pPr/>
          </w:p>
        </w:tc>
        <w:tc>
          <w:tcPr>
            <w:tcW w:w="50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70" w:type="dxa"/>
            <w:vMerge w:val="restart"/>
            <w:tcBorders>
              <w:top w:val="nil" w:sz="6" w:space="0" w:color="auto"/>
              <w:left w:val="single" w:sz="4" w:space="0" w:color="000000"/>
              <w:right w:val="single" w:sz="4" w:space="0" w:color="000000"/>
            </w:tcBorders>
            <w:shd w:val="clear" w:color="auto" w:fill="D2D2D2"/>
          </w:tcPr>
          <w:p>
            <w:pPr/>
          </w:p>
        </w:tc>
        <w:tc>
          <w:tcPr>
            <w:tcW w:w="581" w:type="dxa"/>
            <w:vMerge w:val="restart"/>
            <w:tcBorders>
              <w:top w:val="nil" w:sz="6" w:space="0" w:color="auto"/>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r>
      <w:tr>
        <w:trPr>
          <w:trHeight w:val="96" w:hRule="exact"/>
        </w:trPr>
        <w:tc>
          <w:tcPr>
            <w:tcW w:w="1229" w:type="dxa"/>
            <w:vMerge/>
            <w:tcBorders>
              <w:left w:val="single" w:sz="4" w:space="0" w:color="000000"/>
              <w:bottom w:val="single" w:sz="4" w:space="0" w:color="000000"/>
              <w:right w:val="single" w:sz="4" w:space="0" w:color="000000"/>
            </w:tcBorders>
            <w:shd w:val="clear" w:color="auto" w:fill="D2D2D2"/>
          </w:tcPr>
          <w:p>
            <w:pPr/>
          </w:p>
        </w:tc>
        <w:tc>
          <w:tcPr>
            <w:tcW w:w="506"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70"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58" w:hRule="exact"/>
        </w:trPr>
        <w:tc>
          <w:tcPr>
            <w:tcW w:w="1229" w:type="dxa"/>
            <w:tcBorders>
              <w:top w:val="single" w:sz="4" w:space="0" w:color="000000"/>
              <w:left w:val="single" w:sz="4" w:space="0" w:color="000000"/>
              <w:bottom w:val="nil" w:sz="6" w:space="0" w:color="auto"/>
              <w:right w:val="single" w:sz="4" w:space="0" w:color="000000"/>
            </w:tcBorders>
            <w:shd w:val="clear" w:color="auto" w:fill="D2D2D2"/>
          </w:tcPr>
          <w:p>
            <w:pPr/>
          </w:p>
        </w:tc>
        <w:tc>
          <w:tcPr>
            <w:tcW w:w="506" w:type="dxa"/>
            <w:vMerge w:val="restart"/>
            <w:tcBorders>
              <w:top w:val="single" w:sz="4" w:space="0" w:color="000000"/>
              <w:left w:val="single" w:sz="10" w:space="0" w:color="D2D2D2"/>
              <w:right w:val="single" w:sz="4" w:space="0" w:color="000000"/>
            </w:tcBorders>
          </w:tcPr>
          <w:p>
            <w:pPr>
              <w:pStyle w:val="TableParagraph"/>
              <w:spacing w:line="240" w:lineRule="auto" w:before="96"/>
              <w:ind w:left="43" w:right="0"/>
              <w:jc w:val="center"/>
              <w:rPr>
                <w:rFonts w:ascii="Times New Roman" w:hAnsi="Times New Roman" w:cs="Times New Roman" w:eastAsia="Times New Roman" w:hint="default"/>
                <w:sz w:val="18"/>
                <w:szCs w:val="18"/>
              </w:rPr>
            </w:pPr>
            <w:r>
              <w:rPr>
                <w:rFonts w:ascii="Times New Roman"/>
                <w:sz w:val="18"/>
              </w:rPr>
              <w:t>83,09</w:t>
            </w:r>
          </w:p>
          <w:p>
            <w:pPr>
              <w:pStyle w:val="TableParagraph"/>
              <w:spacing w:line="240" w:lineRule="auto" w:before="101"/>
              <w:ind w:left="43"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10"/>
              <w:ind w:left="220" w:right="0"/>
              <w:jc w:val="center"/>
              <w:rPr>
                <w:rFonts w:ascii="Times New Roman" w:hAnsi="Times New Roman" w:cs="Times New Roman" w:eastAsia="Times New Roman" w:hint="default"/>
                <w:sz w:val="18"/>
                <w:szCs w:val="18"/>
              </w:rPr>
            </w:pPr>
            <w:r>
              <w:rPr>
                <w:rFonts w:ascii="Times New Roman"/>
                <w:sz w:val="18"/>
              </w:rPr>
              <w:t>.00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70"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281,47</w:t>
            </w:r>
          </w:p>
          <w:p>
            <w:pPr>
              <w:pStyle w:val="TableParagraph"/>
              <w:spacing w:line="240" w:lineRule="auto" w:before="101"/>
              <w:ind w:left="100" w:right="0"/>
              <w:jc w:val="left"/>
              <w:rPr>
                <w:rFonts w:ascii="Times New Roman" w:hAnsi="Times New Roman" w:cs="Times New Roman" w:eastAsia="Times New Roman" w:hint="default"/>
                <w:sz w:val="18"/>
                <w:szCs w:val="18"/>
              </w:rPr>
            </w:pPr>
            <w:r>
              <w:rPr>
                <w:rFonts w:ascii="Times New Roman"/>
                <w:sz w:val="18"/>
              </w:rPr>
              <w:t>7,831.</w:t>
            </w:r>
          </w:p>
          <w:p>
            <w:pPr>
              <w:pStyle w:val="TableParagraph"/>
              <w:spacing w:line="240" w:lineRule="auto" w:before="110"/>
              <w:ind w:left="375" w:right="0"/>
              <w:jc w:val="left"/>
              <w:rPr>
                <w:rFonts w:ascii="Times New Roman" w:hAnsi="Times New Roman" w:cs="Times New Roman" w:eastAsia="Times New Roman" w:hint="default"/>
                <w:sz w:val="18"/>
                <w:szCs w:val="18"/>
              </w:rPr>
            </w:pPr>
            <w:r>
              <w:rPr>
                <w:rFonts w:ascii="Times New Roman"/>
                <w:sz w:val="18"/>
              </w:rPr>
              <w:t>80</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50,892</w:t>
            </w:r>
          </w:p>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,300.0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81" w:type="dxa"/>
            <w:vMerge w:val="restart"/>
            <w:tcBorders>
              <w:top w:val="single" w:sz="23" w:space="0" w:color="D2D2D2"/>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25,064</w:t>
            </w:r>
          </w:p>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,167.8</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581" w:type="dxa"/>
            <w:vMerge w:val="restart"/>
            <w:tcBorders>
              <w:top w:val="single" w:sz="23" w:space="0" w:color="D2D2D2"/>
              <w:left w:val="single" w:sz="4" w:space="0" w:color="000000"/>
              <w:right w:val="single" w:sz="4" w:space="0" w:color="000000"/>
            </w:tcBorders>
          </w:tcPr>
          <w:p>
            <w:pPr/>
          </w:p>
        </w:tc>
        <w:tc>
          <w:tcPr>
            <w:tcW w:w="586" w:type="dxa"/>
            <w:vMerge w:val="restart"/>
            <w:tcBorders>
              <w:top w:val="single" w:sz="23" w:space="0" w:color="D2D2D2"/>
              <w:left w:val="single" w:sz="4" w:space="0" w:color="000000"/>
              <w:right w:val="single" w:sz="4" w:space="0" w:color="000000"/>
            </w:tcBorders>
          </w:tcPr>
          <w:p>
            <w:pPr>
              <w:pStyle w:val="TableParagraph"/>
              <w:spacing w:line="240" w:lineRule="auto" w:before="72"/>
              <w:ind w:left="57" w:right="0"/>
              <w:jc w:val="left"/>
              <w:rPr>
                <w:rFonts w:ascii="Times New Roman" w:hAnsi="Times New Roman" w:cs="Times New Roman" w:eastAsia="Times New Roman" w:hint="default"/>
                <w:sz w:val="18"/>
                <w:szCs w:val="18"/>
              </w:rPr>
            </w:pPr>
            <w:r>
              <w:rPr>
                <w:rFonts w:ascii="Times New Roman"/>
                <w:sz w:val="18"/>
              </w:rPr>
              <w:t>208,45</w:t>
            </w:r>
          </w:p>
          <w:p>
            <w:pPr>
              <w:pStyle w:val="TableParagraph"/>
              <w:spacing w:line="240" w:lineRule="auto" w:before="101"/>
              <w:ind w:left="100" w:right="0"/>
              <w:jc w:val="left"/>
              <w:rPr>
                <w:rFonts w:ascii="Times New Roman" w:hAnsi="Times New Roman" w:cs="Times New Roman" w:eastAsia="Times New Roman" w:hint="default"/>
                <w:sz w:val="18"/>
                <w:szCs w:val="18"/>
              </w:rPr>
            </w:pPr>
            <w:r>
              <w:rPr>
                <w:rFonts w:ascii="Times New Roman"/>
                <w:sz w:val="18"/>
              </w:rPr>
              <w:t>1,416.</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62</w:t>
            </w: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547,19</w:t>
            </w:r>
          </w:p>
          <w:p>
            <w:pPr>
              <w:pStyle w:val="TableParagraph"/>
              <w:spacing w:line="240" w:lineRule="auto" w:before="101"/>
              <w:ind w:left="110" w:right="0"/>
              <w:jc w:val="left"/>
              <w:rPr>
                <w:rFonts w:ascii="Times New Roman" w:hAnsi="Times New Roman" w:cs="Times New Roman" w:eastAsia="Times New Roman" w:hint="default"/>
                <w:sz w:val="18"/>
                <w:szCs w:val="18"/>
              </w:rPr>
            </w:pPr>
            <w:r>
              <w:rPr>
                <w:rFonts w:ascii="Times New Roman"/>
                <w:spacing w:val="-3"/>
                <w:sz w:val="18"/>
              </w:rPr>
              <w:t>1,116.</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31</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10,638</w:t>
            </w:r>
          </w:p>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,706.8</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576" w:type="dxa"/>
            <w:vMerge w:val="restart"/>
            <w:tcBorders>
              <w:top w:val="single" w:sz="40" w:space="0" w:color="D2D2D2"/>
              <w:left w:val="single" w:sz="4" w:space="0" w:color="000000"/>
              <w:right w:val="single" w:sz="4" w:space="0" w:color="000000"/>
            </w:tcBorders>
          </w:tcPr>
          <w:p>
            <w:pPr>
              <w:pStyle w:val="TableParagraph"/>
              <w:spacing w:line="240" w:lineRule="auto" w:before="50"/>
              <w:ind w:left="52" w:right="0"/>
              <w:jc w:val="left"/>
              <w:rPr>
                <w:rFonts w:ascii="Times New Roman" w:hAnsi="Times New Roman" w:cs="Times New Roman" w:eastAsia="Times New Roman" w:hint="default"/>
                <w:sz w:val="18"/>
                <w:szCs w:val="18"/>
              </w:rPr>
            </w:pPr>
            <w:r>
              <w:rPr>
                <w:rFonts w:ascii="Times New Roman"/>
                <w:sz w:val="18"/>
              </w:rPr>
              <w:t>557,82</w:t>
            </w:r>
          </w:p>
          <w:p>
            <w:pPr>
              <w:pStyle w:val="TableParagraph"/>
              <w:spacing w:line="240" w:lineRule="auto" w:before="101"/>
              <w:ind w:left="96" w:right="0"/>
              <w:jc w:val="left"/>
              <w:rPr>
                <w:rFonts w:ascii="Times New Roman" w:hAnsi="Times New Roman" w:cs="Times New Roman" w:eastAsia="Times New Roman" w:hint="default"/>
                <w:sz w:val="18"/>
                <w:szCs w:val="18"/>
              </w:rPr>
            </w:pPr>
            <w:r>
              <w:rPr>
                <w:rFonts w:ascii="Times New Roman"/>
                <w:sz w:val="18"/>
              </w:rPr>
              <w:t>9,823.</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sz w:val="18"/>
              </w:rPr>
              <w:t>17</w:t>
            </w:r>
          </w:p>
        </w:tc>
      </w:tr>
      <w:tr>
        <w:trPr>
          <w:trHeight w:val="706" w:hRule="exact"/>
        </w:trPr>
        <w:tc>
          <w:tcPr>
            <w:tcW w:w="12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24" w:lineRule="auto" w:before="53"/>
              <w:ind w:left="12" w:right="5"/>
              <w:jc w:val="left"/>
              <w:rPr>
                <w:rFonts w:ascii="宋体" w:hAnsi="宋体" w:cs="宋体" w:eastAsia="宋体" w:hint="default"/>
                <w:sz w:val="18"/>
                <w:szCs w:val="18"/>
              </w:rPr>
            </w:pPr>
            <w:r>
              <w:rPr>
                <w:rFonts w:ascii="宋体" w:hAnsi="宋体" w:cs="宋体" w:eastAsia="宋体" w:hint="default"/>
                <w:spacing w:val="-12"/>
                <w:sz w:val="18"/>
                <w:szCs w:val="18"/>
              </w:rPr>
              <w:t>一、上年期末余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506" w:type="dxa"/>
            <w:vMerge/>
            <w:tcBorders>
              <w:left w:val="single" w:sz="10"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70"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r>
      <w:tr>
        <w:trPr>
          <w:trHeight w:val="163" w:hRule="exact"/>
        </w:trPr>
        <w:tc>
          <w:tcPr>
            <w:tcW w:w="1229" w:type="dxa"/>
            <w:tcBorders>
              <w:top w:val="nil" w:sz="6" w:space="0" w:color="auto"/>
              <w:left w:val="single" w:sz="4" w:space="0" w:color="000000"/>
              <w:bottom w:val="single" w:sz="4" w:space="0" w:color="000000"/>
              <w:right w:val="single" w:sz="4" w:space="0" w:color="000000"/>
            </w:tcBorders>
            <w:shd w:val="clear" w:color="auto" w:fill="D2D2D2"/>
          </w:tcPr>
          <w:p>
            <w:pPr/>
          </w:p>
        </w:tc>
        <w:tc>
          <w:tcPr>
            <w:tcW w:w="506" w:type="dxa"/>
            <w:vMerge/>
            <w:tcBorders>
              <w:left w:val="single" w:sz="10"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70"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r>
      <w:tr>
        <w:trPr>
          <w:trHeight w:val="710"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 w:right="5" w:firstLine="360"/>
              <w:jc w:val="left"/>
              <w:rPr>
                <w:rFonts w:ascii="宋体" w:hAnsi="宋体" w:cs="宋体" w:eastAsia="宋体" w:hint="default"/>
                <w:sz w:val="18"/>
                <w:szCs w:val="18"/>
              </w:rPr>
            </w:pPr>
            <w:r>
              <w:rPr>
                <w:rFonts w:ascii="宋体" w:hAnsi="宋体" w:cs="宋体" w:eastAsia="宋体" w:hint="default"/>
                <w:spacing w:val="-15"/>
                <w:sz w:val="18"/>
                <w:szCs w:val="18"/>
              </w:rPr>
              <w:t>加：会计政</w:t>
            </w:r>
            <w:r>
              <w:rPr>
                <w:rFonts w:ascii="宋体" w:hAnsi="宋体" w:cs="宋体" w:eastAsia="宋体" w:hint="default"/>
                <w:w w:val="101"/>
                <w:sz w:val="18"/>
                <w:szCs w:val="18"/>
              </w:rPr>
              <w:t> </w:t>
            </w:r>
            <w:r>
              <w:rPr>
                <w:rFonts w:ascii="宋体" w:hAnsi="宋体" w:cs="宋体" w:eastAsia="宋体" w:hint="default"/>
                <w:sz w:val="18"/>
                <w:szCs w:val="18"/>
              </w:rPr>
              <w:t>策变更</w:t>
            </w:r>
          </w:p>
        </w:tc>
        <w:tc>
          <w:tcPr>
            <w:tcW w:w="506"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2" w:right="120" w:firstLine="720"/>
              <w:jc w:val="left"/>
              <w:rPr>
                <w:rFonts w:ascii="宋体" w:hAnsi="宋体" w:cs="宋体" w:eastAsia="宋体" w:hint="default"/>
                <w:sz w:val="18"/>
                <w:szCs w:val="18"/>
              </w:rPr>
            </w:pPr>
            <w:r>
              <w:rPr>
                <w:rFonts w:ascii="宋体" w:hAnsi="宋体" w:cs="宋体" w:eastAsia="宋体" w:hint="default"/>
                <w:sz w:val="18"/>
                <w:szCs w:val="18"/>
              </w:rPr>
              <w:t>前期</w:t>
            </w:r>
            <w:r>
              <w:rPr>
                <w:rFonts w:ascii="宋体" w:hAnsi="宋体" w:cs="宋体" w:eastAsia="宋体" w:hint="default"/>
                <w:w w:val="101"/>
                <w:sz w:val="18"/>
                <w:szCs w:val="18"/>
              </w:rPr>
              <w:t> </w:t>
            </w:r>
            <w:r>
              <w:rPr>
                <w:rFonts w:ascii="宋体" w:hAnsi="宋体" w:cs="宋体" w:eastAsia="宋体" w:hint="default"/>
                <w:sz w:val="18"/>
                <w:szCs w:val="18"/>
              </w:rPr>
              <w:t>差错更正</w:t>
            </w:r>
          </w:p>
        </w:tc>
        <w:tc>
          <w:tcPr>
            <w:tcW w:w="506"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 w:right="120" w:firstLine="720"/>
              <w:jc w:val="both"/>
              <w:rPr>
                <w:rFonts w:ascii="宋体" w:hAnsi="宋体" w:cs="宋体" w:eastAsia="宋体" w:hint="default"/>
                <w:sz w:val="18"/>
                <w:szCs w:val="18"/>
              </w:rPr>
            </w:pPr>
            <w:r>
              <w:rPr>
                <w:rFonts w:ascii="宋体" w:hAnsi="宋体" w:cs="宋体" w:eastAsia="宋体" w:hint="default"/>
                <w:sz w:val="18"/>
                <w:szCs w:val="18"/>
              </w:rPr>
              <w:t>同一</w:t>
            </w:r>
            <w:r>
              <w:rPr>
                <w:rFonts w:ascii="宋体" w:hAnsi="宋体" w:cs="宋体" w:eastAsia="宋体" w:hint="default"/>
                <w:w w:val="101"/>
                <w:sz w:val="18"/>
                <w:szCs w:val="18"/>
              </w:rPr>
              <w:t> </w:t>
            </w:r>
            <w:r>
              <w:rPr>
                <w:rFonts w:ascii="宋体" w:hAnsi="宋体" w:cs="宋体" w:eastAsia="宋体" w:hint="default"/>
                <w:spacing w:val="-2"/>
                <w:sz w:val="18"/>
                <w:szCs w:val="18"/>
              </w:rPr>
              <w:t>控制下企业合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并</w:t>
            </w:r>
          </w:p>
        </w:tc>
        <w:tc>
          <w:tcPr>
            <w:tcW w:w="506"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06"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58" w:hRule="exact"/>
        </w:trPr>
        <w:tc>
          <w:tcPr>
            <w:tcW w:w="1229" w:type="dxa"/>
            <w:tcBorders>
              <w:top w:val="single" w:sz="4" w:space="0" w:color="000000"/>
              <w:left w:val="single" w:sz="4" w:space="0" w:color="000000"/>
              <w:bottom w:val="nil" w:sz="6" w:space="0" w:color="auto"/>
              <w:right w:val="single" w:sz="4" w:space="0" w:color="000000"/>
            </w:tcBorders>
            <w:shd w:val="clear" w:color="auto" w:fill="D2D2D2"/>
          </w:tcPr>
          <w:p>
            <w:pPr/>
          </w:p>
        </w:tc>
        <w:tc>
          <w:tcPr>
            <w:tcW w:w="506" w:type="dxa"/>
            <w:vMerge w:val="restart"/>
            <w:tcBorders>
              <w:top w:val="single" w:sz="4" w:space="0" w:color="000000"/>
              <w:left w:val="single" w:sz="13" w:space="0" w:color="D2D2D2"/>
              <w:right w:val="single" w:sz="4" w:space="0" w:color="000000"/>
            </w:tcBorders>
          </w:tcPr>
          <w:p>
            <w:pPr>
              <w:pStyle w:val="TableParagraph"/>
              <w:spacing w:line="240" w:lineRule="auto" w:before="96"/>
              <w:ind w:left="38" w:right="0"/>
              <w:jc w:val="center"/>
              <w:rPr>
                <w:rFonts w:ascii="Times New Roman" w:hAnsi="Times New Roman" w:cs="Times New Roman" w:eastAsia="Times New Roman" w:hint="default"/>
                <w:sz w:val="18"/>
                <w:szCs w:val="18"/>
              </w:rPr>
            </w:pPr>
            <w:r>
              <w:rPr>
                <w:rFonts w:ascii="Times New Roman"/>
                <w:sz w:val="18"/>
              </w:rPr>
              <w:t>83,09</w:t>
            </w:r>
          </w:p>
          <w:p>
            <w:pPr>
              <w:pStyle w:val="TableParagraph"/>
              <w:spacing w:line="240" w:lineRule="auto" w:before="100"/>
              <w:ind w:left="38"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70"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281,47</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7,831.</w:t>
            </w:r>
          </w:p>
          <w:p>
            <w:pPr>
              <w:pStyle w:val="TableParagraph"/>
              <w:spacing w:line="240" w:lineRule="auto" w:before="110"/>
              <w:ind w:left="375" w:right="0"/>
              <w:jc w:val="left"/>
              <w:rPr>
                <w:rFonts w:ascii="Times New Roman" w:hAnsi="Times New Roman" w:cs="Times New Roman" w:eastAsia="Times New Roman" w:hint="default"/>
                <w:sz w:val="18"/>
                <w:szCs w:val="18"/>
              </w:rPr>
            </w:pPr>
            <w:r>
              <w:rPr>
                <w:rFonts w:ascii="Times New Roman"/>
                <w:sz w:val="18"/>
              </w:rPr>
              <w:t>80</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50,892</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,300.0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25,064</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,167.8</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208,45</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1,416.</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62</w:t>
            </w: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547,19</w:t>
            </w:r>
          </w:p>
          <w:p>
            <w:pPr>
              <w:pStyle w:val="TableParagraph"/>
              <w:spacing w:line="240" w:lineRule="auto" w:before="100"/>
              <w:ind w:left="110" w:right="0"/>
              <w:jc w:val="left"/>
              <w:rPr>
                <w:rFonts w:ascii="Times New Roman" w:hAnsi="Times New Roman" w:cs="Times New Roman" w:eastAsia="Times New Roman" w:hint="default"/>
                <w:sz w:val="18"/>
                <w:szCs w:val="18"/>
              </w:rPr>
            </w:pPr>
            <w:r>
              <w:rPr>
                <w:rFonts w:ascii="Times New Roman"/>
                <w:spacing w:val="-3"/>
                <w:sz w:val="18"/>
              </w:rPr>
              <w:t>1,116.</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31</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10,638</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,706.8</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557,82</w:t>
            </w:r>
          </w:p>
          <w:p>
            <w:pPr>
              <w:pStyle w:val="TableParagraph"/>
              <w:spacing w:line="240" w:lineRule="auto" w:before="100"/>
              <w:ind w:left="96" w:right="0"/>
              <w:jc w:val="left"/>
              <w:rPr>
                <w:rFonts w:ascii="Times New Roman" w:hAnsi="Times New Roman" w:cs="Times New Roman" w:eastAsia="Times New Roman" w:hint="default"/>
                <w:sz w:val="18"/>
                <w:szCs w:val="18"/>
              </w:rPr>
            </w:pPr>
            <w:r>
              <w:rPr>
                <w:rFonts w:ascii="Times New Roman"/>
                <w:sz w:val="18"/>
              </w:rPr>
              <w:t>9,823.</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sz w:val="18"/>
              </w:rPr>
              <w:t>17</w:t>
            </w:r>
          </w:p>
        </w:tc>
      </w:tr>
      <w:tr>
        <w:trPr>
          <w:trHeight w:val="706" w:hRule="exact"/>
        </w:trPr>
        <w:tc>
          <w:tcPr>
            <w:tcW w:w="12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12" w:right="5"/>
              <w:jc w:val="left"/>
              <w:rPr>
                <w:rFonts w:ascii="宋体" w:hAnsi="宋体" w:cs="宋体" w:eastAsia="宋体" w:hint="default"/>
                <w:sz w:val="18"/>
                <w:szCs w:val="18"/>
              </w:rPr>
            </w:pPr>
            <w:r>
              <w:rPr>
                <w:rFonts w:ascii="宋体" w:hAnsi="宋体" w:cs="宋体" w:eastAsia="宋体" w:hint="default"/>
                <w:spacing w:val="-12"/>
                <w:sz w:val="18"/>
                <w:szCs w:val="18"/>
              </w:rPr>
              <w:t>二、本年期初余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506" w:type="dxa"/>
            <w:vMerge/>
            <w:tcBorders>
              <w:left w:val="single" w:sz="13"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70"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r>
      <w:tr>
        <w:trPr>
          <w:trHeight w:val="158" w:hRule="exact"/>
        </w:trPr>
        <w:tc>
          <w:tcPr>
            <w:tcW w:w="1229" w:type="dxa"/>
            <w:tcBorders>
              <w:top w:val="nil" w:sz="6" w:space="0" w:color="auto"/>
              <w:left w:val="single" w:sz="4" w:space="0" w:color="000000"/>
              <w:bottom w:val="single" w:sz="4" w:space="0" w:color="000000"/>
              <w:right w:val="single" w:sz="4" w:space="0" w:color="000000"/>
            </w:tcBorders>
            <w:shd w:val="clear" w:color="auto" w:fill="D2D2D2"/>
          </w:tcPr>
          <w:p>
            <w:pPr/>
          </w:p>
        </w:tc>
        <w:tc>
          <w:tcPr>
            <w:tcW w:w="506" w:type="dxa"/>
            <w:vMerge/>
            <w:tcBorders>
              <w:left w:val="single" w:sz="13"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70"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r>
      <w:tr>
        <w:trPr>
          <w:trHeight w:val="102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2" w:right="5"/>
              <w:jc w:val="both"/>
              <w:rPr>
                <w:rFonts w:ascii="宋体" w:hAnsi="宋体" w:cs="宋体" w:eastAsia="宋体" w:hint="default"/>
                <w:sz w:val="18"/>
                <w:szCs w:val="18"/>
              </w:rPr>
            </w:pPr>
            <w:r>
              <w:rPr>
                <w:rFonts w:ascii="宋体" w:hAnsi="宋体" w:cs="宋体" w:eastAsia="宋体" w:hint="default"/>
                <w:spacing w:val="-12"/>
                <w:sz w:val="18"/>
                <w:szCs w:val="18"/>
              </w:rPr>
              <w:t>三、本期增减变</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2"/>
                <w:sz w:val="18"/>
                <w:szCs w:val="18"/>
              </w:rPr>
              <w:t>动金额（减少以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38" w:right="0"/>
              <w:jc w:val="center"/>
              <w:rPr>
                <w:rFonts w:ascii="Times New Roman" w:hAnsi="Times New Roman" w:cs="Times New Roman" w:eastAsia="Times New Roman" w:hint="default"/>
                <w:sz w:val="18"/>
                <w:szCs w:val="18"/>
              </w:rPr>
            </w:pPr>
            <w:r>
              <w:rPr>
                <w:rFonts w:ascii="Times New Roman"/>
                <w:sz w:val="18"/>
              </w:rPr>
              <w:t>34,21</w:t>
            </w:r>
          </w:p>
          <w:p>
            <w:pPr>
              <w:pStyle w:val="TableParagraph"/>
              <w:spacing w:line="240" w:lineRule="auto" w:before="105"/>
              <w:ind w:left="38" w:right="0"/>
              <w:jc w:val="center"/>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6,142,</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423.22</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4,222,</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537.50</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4,365,</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784.21</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30,584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,793.6</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71,086</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1"/>
                <w:sz w:val="18"/>
              </w:rPr>
              <w:t>,463.5</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1,084,</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225.10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72,170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,688.6</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r>
      <w:tr>
        <w:trPr>
          <w:trHeight w:val="163" w:hRule="exact"/>
        </w:trPr>
        <w:tc>
          <w:tcPr>
            <w:tcW w:w="1229" w:type="dxa"/>
            <w:tcBorders>
              <w:top w:val="single" w:sz="4" w:space="0" w:color="000000"/>
              <w:left w:val="single" w:sz="4" w:space="0" w:color="000000"/>
              <w:bottom w:val="nil" w:sz="6" w:space="0" w:color="auto"/>
              <w:right w:val="single" w:sz="4" w:space="0" w:color="000000"/>
            </w:tcBorders>
            <w:shd w:val="clear" w:color="auto" w:fill="D2D2D2"/>
          </w:tcPr>
          <w:p>
            <w:pPr/>
          </w:p>
        </w:tc>
        <w:tc>
          <w:tcPr>
            <w:tcW w:w="506" w:type="dxa"/>
            <w:vMerge w:val="restart"/>
            <w:tcBorders>
              <w:top w:val="single" w:sz="4" w:space="0" w:color="000000"/>
              <w:left w:val="single" w:sz="10" w:space="0" w:color="D2D2D2"/>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70"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41,234</w:t>
            </w:r>
          </w:p>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,827.6</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41,234</w:t>
            </w:r>
          </w:p>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,827.6</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123,87</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1.04</w:t>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41,358</w:t>
            </w:r>
          </w:p>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,698.6</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r>
      <w:tr>
        <w:trPr>
          <w:trHeight w:val="701" w:hRule="exact"/>
        </w:trPr>
        <w:tc>
          <w:tcPr>
            <w:tcW w:w="12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12" w:right="5"/>
              <w:jc w:val="left"/>
              <w:rPr>
                <w:rFonts w:ascii="宋体" w:hAnsi="宋体" w:cs="宋体" w:eastAsia="宋体" w:hint="default"/>
                <w:sz w:val="18"/>
                <w:szCs w:val="18"/>
              </w:rPr>
            </w:pPr>
            <w:r>
              <w:rPr>
                <w:rFonts w:ascii="宋体" w:hAnsi="宋体" w:cs="宋体" w:eastAsia="宋体" w:hint="default"/>
                <w:spacing w:val="-12"/>
                <w:sz w:val="18"/>
                <w:szCs w:val="18"/>
              </w:rPr>
              <w:t>（一）综合收益</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总额</w:t>
            </w:r>
          </w:p>
        </w:tc>
        <w:tc>
          <w:tcPr>
            <w:tcW w:w="506" w:type="dxa"/>
            <w:vMerge/>
            <w:tcBorders>
              <w:left w:val="single" w:sz="10"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70"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r>
      <w:tr>
        <w:trPr>
          <w:trHeight w:val="163" w:hRule="exact"/>
        </w:trPr>
        <w:tc>
          <w:tcPr>
            <w:tcW w:w="1229" w:type="dxa"/>
            <w:tcBorders>
              <w:top w:val="nil" w:sz="6" w:space="0" w:color="auto"/>
              <w:left w:val="single" w:sz="4" w:space="0" w:color="000000"/>
              <w:bottom w:val="single" w:sz="4" w:space="0" w:color="000000"/>
              <w:right w:val="single" w:sz="4" w:space="0" w:color="000000"/>
            </w:tcBorders>
            <w:shd w:val="clear" w:color="auto" w:fill="D2D2D2"/>
          </w:tcPr>
          <w:p>
            <w:pPr/>
          </w:p>
        </w:tc>
        <w:tc>
          <w:tcPr>
            <w:tcW w:w="506" w:type="dxa"/>
            <w:vMerge/>
            <w:tcBorders>
              <w:left w:val="single" w:sz="10"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70"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r>
      <w:tr>
        <w:trPr>
          <w:trHeight w:val="158" w:hRule="exact"/>
        </w:trPr>
        <w:tc>
          <w:tcPr>
            <w:tcW w:w="1229" w:type="dxa"/>
            <w:tcBorders>
              <w:top w:val="single" w:sz="4" w:space="0" w:color="000000"/>
              <w:left w:val="single" w:sz="4" w:space="0" w:color="000000"/>
              <w:bottom w:val="nil" w:sz="6" w:space="0" w:color="auto"/>
              <w:right w:val="single" w:sz="4" w:space="0" w:color="000000"/>
            </w:tcBorders>
            <w:shd w:val="clear" w:color="auto" w:fill="D2D2D2"/>
          </w:tcPr>
          <w:p>
            <w:pPr/>
          </w:p>
        </w:tc>
        <w:tc>
          <w:tcPr>
            <w:tcW w:w="506"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700,0</w:t>
            </w:r>
          </w:p>
          <w:p>
            <w:pPr>
              <w:pStyle w:val="TableParagraph"/>
              <w:spacing w:line="240" w:lineRule="auto" w:before="110"/>
              <w:ind w:left="62" w:right="0"/>
              <w:jc w:val="left"/>
              <w:rPr>
                <w:rFonts w:ascii="Times New Roman" w:hAnsi="Times New Roman" w:cs="Times New Roman" w:eastAsia="Times New Roman" w:hint="default"/>
                <w:sz w:val="18"/>
                <w:szCs w:val="18"/>
              </w:rPr>
            </w:pPr>
            <w:r>
              <w:rPr>
                <w:rFonts w:ascii="Times New Roman"/>
                <w:sz w:val="18"/>
              </w:rPr>
              <w:t>00.00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70"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39,658</w:t>
            </w:r>
          </w:p>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,423.2</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4,449,</w:t>
            </w:r>
          </w:p>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975.00</w:t>
            </w: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35,908</w:t>
            </w:r>
          </w:p>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,448.2</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2,627,</w:t>
            </w:r>
          </w:p>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100.00</w:t>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38,535</w:t>
            </w:r>
          </w:p>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,548.2</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r>
      <w:tr>
        <w:trPr>
          <w:trHeight w:val="706" w:hRule="exact"/>
        </w:trPr>
        <w:tc>
          <w:tcPr>
            <w:tcW w:w="12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21" w:lineRule="auto" w:before="54"/>
              <w:ind w:left="12" w:right="5"/>
              <w:jc w:val="left"/>
              <w:rPr>
                <w:rFonts w:ascii="宋体" w:hAnsi="宋体" w:cs="宋体" w:eastAsia="宋体" w:hint="default"/>
                <w:sz w:val="18"/>
                <w:szCs w:val="18"/>
              </w:rPr>
            </w:pPr>
            <w:r>
              <w:rPr>
                <w:rFonts w:ascii="宋体" w:hAnsi="宋体" w:cs="宋体" w:eastAsia="宋体" w:hint="default"/>
                <w:spacing w:val="-12"/>
                <w:sz w:val="18"/>
                <w:szCs w:val="18"/>
              </w:rPr>
              <w:t>（二）所有者投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入和减少资本</w:t>
            </w:r>
          </w:p>
        </w:tc>
        <w:tc>
          <w:tcPr>
            <w:tcW w:w="506" w:type="dxa"/>
            <w:vMerge/>
            <w:tcBorders>
              <w:left w:val="single" w:sz="10"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70"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r>
      <w:tr>
        <w:trPr>
          <w:trHeight w:val="163" w:hRule="exact"/>
        </w:trPr>
        <w:tc>
          <w:tcPr>
            <w:tcW w:w="1229" w:type="dxa"/>
            <w:tcBorders>
              <w:top w:val="nil" w:sz="6" w:space="0" w:color="auto"/>
              <w:left w:val="single" w:sz="4" w:space="0" w:color="000000"/>
              <w:bottom w:val="single" w:sz="4" w:space="0" w:color="000000"/>
              <w:right w:val="single" w:sz="4" w:space="0" w:color="000000"/>
            </w:tcBorders>
            <w:shd w:val="clear" w:color="auto" w:fill="D2D2D2"/>
          </w:tcPr>
          <w:p>
            <w:pPr/>
          </w:p>
        </w:tc>
        <w:tc>
          <w:tcPr>
            <w:tcW w:w="506" w:type="dxa"/>
            <w:vMerge/>
            <w:tcBorders>
              <w:left w:val="single" w:sz="10"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70"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r>
      <w:tr>
        <w:trPr>
          <w:trHeight w:val="158" w:hRule="exact"/>
        </w:trPr>
        <w:tc>
          <w:tcPr>
            <w:tcW w:w="1229" w:type="dxa"/>
            <w:tcBorders>
              <w:top w:val="single" w:sz="4" w:space="0" w:color="000000"/>
              <w:left w:val="single" w:sz="4" w:space="0" w:color="000000"/>
              <w:bottom w:val="nil" w:sz="6" w:space="0" w:color="auto"/>
              <w:right w:val="single" w:sz="4" w:space="0" w:color="000000"/>
            </w:tcBorders>
            <w:shd w:val="clear" w:color="auto" w:fill="D2D2D2"/>
          </w:tcPr>
          <w:p>
            <w:pPr/>
          </w:p>
        </w:tc>
        <w:tc>
          <w:tcPr>
            <w:tcW w:w="506" w:type="dxa"/>
            <w:vMerge w:val="restart"/>
            <w:tcBorders>
              <w:top w:val="single" w:sz="4" w:space="0" w:color="000000"/>
              <w:left w:val="single" w:sz="13"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700,0</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00.00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70"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16,226</w:t>
            </w:r>
          </w:p>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,000.0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16,926</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,000.0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2,627,</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100.00</w:t>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2,627,</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100.00</w:t>
            </w:r>
          </w:p>
        </w:tc>
      </w:tr>
      <w:tr>
        <w:trPr>
          <w:trHeight w:val="706" w:hRule="exact"/>
        </w:trPr>
        <w:tc>
          <w:tcPr>
            <w:tcW w:w="12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0" w:lineRule="auto" w:before="53"/>
              <w:ind w:left="12" w:right="2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的普通股</w:t>
            </w:r>
          </w:p>
        </w:tc>
        <w:tc>
          <w:tcPr>
            <w:tcW w:w="506" w:type="dxa"/>
            <w:vMerge/>
            <w:tcBorders>
              <w:left w:val="single" w:sz="13"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70"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r>
      <w:tr>
        <w:trPr>
          <w:trHeight w:val="159" w:hRule="exact"/>
        </w:trPr>
        <w:tc>
          <w:tcPr>
            <w:tcW w:w="1229" w:type="dxa"/>
            <w:tcBorders>
              <w:top w:val="nil" w:sz="6" w:space="0" w:color="auto"/>
              <w:left w:val="single" w:sz="4" w:space="0" w:color="000000"/>
              <w:bottom w:val="single" w:sz="4" w:space="0" w:color="000000"/>
              <w:right w:val="single" w:sz="4" w:space="0" w:color="000000"/>
            </w:tcBorders>
            <w:shd w:val="clear" w:color="auto" w:fill="D2D2D2"/>
          </w:tcPr>
          <w:p>
            <w:pPr/>
          </w:p>
        </w:tc>
        <w:tc>
          <w:tcPr>
            <w:tcW w:w="506" w:type="dxa"/>
            <w:vMerge/>
            <w:tcBorders>
              <w:left w:val="single" w:sz="13"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70"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r>
      <w:tr>
        <w:trPr>
          <w:trHeight w:val="677"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2" w:right="2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具持有者投入</w:t>
            </w:r>
          </w:p>
        </w:tc>
        <w:tc>
          <w:tcPr>
            <w:tcW w:w="506"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53"/>
        <w:gridCol w:w="494"/>
        <w:gridCol w:w="466"/>
        <w:gridCol w:w="466"/>
        <w:gridCol w:w="470"/>
        <w:gridCol w:w="581"/>
        <w:gridCol w:w="586"/>
        <w:gridCol w:w="581"/>
        <w:gridCol w:w="586"/>
        <w:gridCol w:w="586"/>
        <w:gridCol w:w="581"/>
        <w:gridCol w:w="586"/>
        <w:gridCol w:w="586"/>
        <w:gridCol w:w="581"/>
        <w:gridCol w:w="586"/>
        <w:gridCol w:w="576"/>
      </w:tblGrid>
      <w:tr>
        <w:trPr>
          <w:trHeight w:val="360"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21,516</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1"/>
                <w:sz w:val="18"/>
              </w:rPr>
              <w:t>,199.4</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21,516</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1"/>
                <w:sz w:val="18"/>
              </w:rPr>
              <w:t>,199.4</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21,516</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,199.4</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1,916,</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223.75</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-12,47</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6,025.</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00</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14,392</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1"/>
                <w:sz w:val="18"/>
              </w:rPr>
              <w:t>,248.7</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14,392</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,248.7</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pacing w:val="-12"/>
                <w:sz w:val="18"/>
                <w:szCs w:val="18"/>
              </w:rPr>
              <w:t>（三）利润分配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-227,4</w:t>
            </w:r>
          </w:p>
          <w:p>
            <w:pPr>
              <w:pStyle w:val="TableParagraph"/>
              <w:spacing w:line="240" w:lineRule="auto" w:before="110"/>
              <w:ind w:left="148" w:right="0"/>
              <w:jc w:val="left"/>
              <w:rPr>
                <w:rFonts w:ascii="Times New Roman" w:hAnsi="Times New Roman" w:cs="Times New Roman" w:eastAsia="Times New Roman" w:hint="default"/>
                <w:sz w:val="18"/>
                <w:szCs w:val="18"/>
              </w:rPr>
            </w:pPr>
            <w:r>
              <w:rPr>
                <w:rFonts w:ascii="Times New Roman"/>
                <w:sz w:val="18"/>
              </w:rPr>
              <w:t>37.50</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4,365,</w:t>
            </w:r>
          </w:p>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784.21</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-10,65</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0,034.</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01</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-6,056,</w:t>
            </w:r>
          </w:p>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812.30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-6,056,</w:t>
            </w:r>
          </w:p>
          <w:p>
            <w:pPr>
              <w:pStyle w:val="TableParagraph"/>
              <w:spacing w:line="240" w:lineRule="auto" w:before="110"/>
              <w:ind w:left="52" w:right="0"/>
              <w:jc w:val="left"/>
              <w:rPr>
                <w:rFonts w:ascii="Times New Roman" w:hAnsi="Times New Roman" w:cs="Times New Roman" w:eastAsia="Times New Roman" w:hint="default"/>
                <w:sz w:val="18"/>
                <w:szCs w:val="18"/>
              </w:rPr>
            </w:pPr>
            <w:r>
              <w:rPr>
                <w:rFonts w:ascii="Times New Roman"/>
                <w:sz w:val="18"/>
              </w:rPr>
              <w:t>812.30</w:t>
            </w:r>
          </w:p>
        </w:tc>
      </w:tr>
      <w:tr>
        <w:trPr>
          <w:trHeight w:val="710"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4,365,</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784.21</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-4,365,</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784.21</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1"/>
                <w:w w:val="101"/>
                <w:sz w:val="18"/>
                <w:szCs w:val="18"/>
              </w:rPr>
              <w:t>3</w:t>
            </w:r>
            <w:r>
              <w:rPr>
                <w:rFonts w:ascii="宋体" w:hAnsi="宋体" w:cs="宋体" w:eastAsia="宋体" w:hint="default"/>
                <w:spacing w:val="-21"/>
                <w:w w:val="101"/>
                <w:sz w:val="18"/>
                <w:szCs w:val="18"/>
              </w:rPr>
              <w:t>．对所有者（或</w:t>
            </w:r>
            <w:r>
              <w:rPr>
                <w:rFonts w:ascii="宋体" w:hAnsi="宋体" w:cs="宋体" w:eastAsia="宋体" w:hint="default"/>
                <w:w w:val="101"/>
                <w:sz w:val="18"/>
                <w:szCs w:val="18"/>
              </w:rPr>
              <w:t> </w:t>
            </w:r>
            <w:r>
              <w:rPr>
                <w:rFonts w:ascii="宋体" w:hAnsi="宋体" w:cs="宋体" w:eastAsia="宋体" w:hint="default"/>
                <w:sz w:val="18"/>
                <w:szCs w:val="18"/>
              </w:rPr>
              <w:t>股东）的分配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-227,4</w:t>
            </w:r>
          </w:p>
          <w:p>
            <w:pPr>
              <w:pStyle w:val="TableParagraph"/>
              <w:spacing w:line="240" w:lineRule="auto" w:before="110"/>
              <w:ind w:left="148" w:right="0"/>
              <w:jc w:val="left"/>
              <w:rPr>
                <w:rFonts w:ascii="Times New Roman" w:hAnsi="Times New Roman" w:cs="Times New Roman" w:eastAsia="Times New Roman" w:hint="default"/>
                <w:sz w:val="18"/>
                <w:szCs w:val="18"/>
              </w:rPr>
            </w:pPr>
            <w:r>
              <w:rPr>
                <w:rFonts w:ascii="Times New Roman"/>
                <w:sz w:val="18"/>
              </w:rPr>
              <w:t>37.50</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-6,284,</w:t>
            </w:r>
          </w:p>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249.80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-6,056,</w:t>
            </w:r>
          </w:p>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812.30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-6,056,</w:t>
            </w:r>
          </w:p>
          <w:p>
            <w:pPr>
              <w:pStyle w:val="TableParagraph"/>
              <w:spacing w:line="240" w:lineRule="auto" w:before="110"/>
              <w:ind w:left="52" w:right="0"/>
              <w:jc w:val="left"/>
              <w:rPr>
                <w:rFonts w:ascii="Times New Roman" w:hAnsi="Times New Roman" w:cs="Times New Roman" w:eastAsia="Times New Roman" w:hint="default"/>
                <w:sz w:val="18"/>
                <w:szCs w:val="18"/>
              </w:rPr>
            </w:pPr>
            <w:r>
              <w:rPr>
                <w:rFonts w:ascii="Times New Roman"/>
                <w:sz w:val="18"/>
              </w:rPr>
              <w:t>812.30</w:t>
            </w: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21" w:lineRule="auto"/>
              <w:ind w:left="24" w:right="17"/>
              <w:jc w:val="left"/>
              <w:rPr>
                <w:rFonts w:ascii="宋体" w:hAnsi="宋体" w:cs="宋体" w:eastAsia="宋体" w:hint="default"/>
                <w:sz w:val="18"/>
                <w:szCs w:val="18"/>
              </w:rPr>
            </w:pPr>
            <w:r>
              <w:rPr>
                <w:rFonts w:ascii="宋体" w:hAnsi="宋体" w:cs="宋体" w:eastAsia="宋体" w:hint="default"/>
                <w:spacing w:val="-12"/>
                <w:sz w:val="18"/>
                <w:szCs w:val="18"/>
              </w:rPr>
              <w:t>（四）所有者权</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益内部结转</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center"/>
              <w:rPr>
                <w:rFonts w:ascii="Times New Roman" w:hAnsi="Times New Roman" w:cs="Times New Roman" w:eastAsia="Times New Roman" w:hint="default"/>
                <w:sz w:val="18"/>
                <w:szCs w:val="18"/>
              </w:rPr>
            </w:pPr>
            <w:r>
              <w:rPr>
                <w:rFonts w:ascii="Times New Roman"/>
                <w:sz w:val="18"/>
              </w:rPr>
              <w:t>33,51</w:t>
            </w:r>
          </w:p>
          <w:p>
            <w:pPr>
              <w:pStyle w:val="TableParagraph"/>
              <w:spacing w:line="240" w:lineRule="auto" w:before="100"/>
              <w:ind w:left="38" w:right="0"/>
              <w:jc w:val="center"/>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-33,51</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10"/>
              <w:ind w:left="375"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center"/>
              <w:rPr>
                <w:rFonts w:ascii="Times New Roman" w:hAnsi="Times New Roman" w:cs="Times New Roman" w:eastAsia="Times New Roman" w:hint="default"/>
                <w:sz w:val="18"/>
                <w:szCs w:val="18"/>
              </w:rPr>
            </w:pPr>
            <w:r>
              <w:rPr>
                <w:rFonts w:ascii="Times New Roman"/>
                <w:sz w:val="18"/>
              </w:rPr>
              <w:t>33,51</w:t>
            </w:r>
          </w:p>
          <w:p>
            <w:pPr>
              <w:pStyle w:val="TableParagraph"/>
              <w:spacing w:line="240" w:lineRule="auto" w:before="105"/>
              <w:ind w:left="38" w:right="0"/>
              <w:jc w:val="center"/>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-33,51</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10"/>
              <w:ind w:left="375"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划变动额结转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留存收益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益结转留存收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2"/>
                <w:sz w:val="18"/>
                <w:szCs w:val="18"/>
              </w:rPr>
              <w:t>（五）专项储备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．本期提取</w:t>
            </w:r>
            <w:r>
              <w:rPr>
                <w:rFonts w:ascii="宋体" w:hAnsi="宋体" w:cs="宋体" w:eastAsia="宋体" w:hint="default"/>
                <w:sz w:val="18"/>
                <w:szCs w:val="18"/>
              </w:rPr>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．本期使用</w:t>
            </w:r>
            <w:r>
              <w:rPr>
                <w:rFonts w:ascii="宋体" w:hAnsi="宋体" w:cs="宋体" w:eastAsia="宋体" w:hint="default"/>
                <w:sz w:val="18"/>
                <w:szCs w:val="18"/>
              </w:rPr>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3" w:right="0"/>
              <w:jc w:val="left"/>
              <w:rPr>
                <w:rFonts w:ascii="Times New Roman" w:hAnsi="Times New Roman" w:cs="Times New Roman" w:eastAsia="Times New Roman" w:hint="default"/>
                <w:sz w:val="18"/>
                <w:szCs w:val="18"/>
              </w:rPr>
            </w:pPr>
            <w:r>
              <w:rPr>
                <w:rFonts w:ascii="Times New Roman"/>
                <w:sz w:val="18"/>
              </w:rPr>
              <w:t>-1,666,</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8" w:right="0"/>
              <w:jc w:val="left"/>
              <w:rPr>
                <w:rFonts w:ascii="Times New Roman" w:hAnsi="Times New Roman" w:cs="Times New Roman" w:eastAsia="Times New Roman" w:hint="default"/>
                <w:sz w:val="18"/>
                <w:szCs w:val="18"/>
              </w:rPr>
            </w:pPr>
            <w:r>
              <w:rPr>
                <w:rFonts w:ascii="Times New Roman"/>
                <w:sz w:val="18"/>
              </w:rPr>
              <w:t>-1,666,</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53"/>
        <w:gridCol w:w="494"/>
        <w:gridCol w:w="466"/>
        <w:gridCol w:w="466"/>
        <w:gridCol w:w="470"/>
        <w:gridCol w:w="581"/>
        <w:gridCol w:w="586"/>
        <w:gridCol w:w="581"/>
        <w:gridCol w:w="586"/>
        <w:gridCol w:w="586"/>
        <w:gridCol w:w="581"/>
        <w:gridCol w:w="586"/>
        <w:gridCol w:w="586"/>
        <w:gridCol w:w="581"/>
        <w:gridCol w:w="586"/>
        <w:gridCol w:w="576"/>
      </w:tblGrid>
      <w:tr>
        <w:trPr>
          <w:trHeight w:val="360"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7" w:right="0"/>
              <w:jc w:val="left"/>
              <w:rPr>
                <w:rFonts w:ascii="Times New Roman" w:hAnsi="Times New Roman" w:cs="Times New Roman" w:eastAsia="Times New Roman" w:hint="default"/>
                <w:sz w:val="18"/>
                <w:szCs w:val="18"/>
              </w:rPr>
            </w:pPr>
            <w:r>
              <w:rPr>
                <w:rFonts w:ascii="Times New Roman"/>
                <w:sz w:val="18"/>
              </w:rPr>
              <w:t>745.94</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2" w:right="0"/>
              <w:jc w:val="left"/>
              <w:rPr>
                <w:rFonts w:ascii="Times New Roman" w:hAnsi="Times New Roman" w:cs="Times New Roman" w:eastAsia="Times New Roman" w:hint="default"/>
                <w:sz w:val="18"/>
                <w:szCs w:val="18"/>
              </w:rPr>
            </w:pPr>
            <w:r>
              <w:rPr>
                <w:rFonts w:ascii="Times New Roman"/>
                <w:sz w:val="18"/>
              </w:rPr>
              <w:t>745.94</w:t>
            </w: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4" w:right="17"/>
              <w:jc w:val="left"/>
              <w:rPr>
                <w:rFonts w:ascii="宋体" w:hAnsi="宋体" w:cs="宋体" w:eastAsia="宋体" w:hint="default"/>
                <w:sz w:val="18"/>
                <w:szCs w:val="18"/>
              </w:rPr>
            </w:pPr>
            <w:r>
              <w:rPr>
                <w:rFonts w:ascii="宋体" w:hAnsi="宋体" w:cs="宋体" w:eastAsia="宋体" w:hint="default"/>
                <w:spacing w:val="-12"/>
                <w:sz w:val="18"/>
                <w:szCs w:val="18"/>
              </w:rPr>
              <w:t>四、本期期末余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117,3</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06,00</w:t>
            </w:r>
          </w:p>
          <w:p>
            <w:pPr>
              <w:pStyle w:val="TableParagraph"/>
              <w:spacing w:line="240" w:lineRule="auto" w:before="110"/>
              <w:ind w:left="143" w:right="0"/>
              <w:jc w:val="left"/>
              <w:rPr>
                <w:rFonts w:ascii="Times New Roman" w:hAnsi="Times New Roman" w:cs="Times New Roman" w:eastAsia="Times New Roman" w:hint="default"/>
                <w:sz w:val="18"/>
                <w:szCs w:val="18"/>
              </w:rPr>
            </w:pPr>
            <w:r>
              <w:rPr>
                <w:rFonts w:ascii="Times New Roman"/>
                <w:sz w:val="18"/>
              </w:rPr>
              <w:t>0.00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287,62</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0,255.</w:t>
            </w:r>
          </w:p>
          <w:p>
            <w:pPr>
              <w:pStyle w:val="TableParagraph"/>
              <w:spacing w:line="240" w:lineRule="auto" w:before="110"/>
              <w:ind w:left="375" w:right="0"/>
              <w:jc w:val="left"/>
              <w:rPr>
                <w:rFonts w:ascii="Times New Roman" w:hAnsi="Times New Roman" w:cs="Times New Roman" w:eastAsia="Times New Roman" w:hint="default"/>
                <w:sz w:val="18"/>
                <w:szCs w:val="18"/>
              </w:rPr>
            </w:pPr>
            <w:r>
              <w:rPr>
                <w:rFonts w:ascii="Times New Roman"/>
                <w:sz w:val="18"/>
              </w:rPr>
              <w:t>02</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55,114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,837.5</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29,429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,952.1</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239,03</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6,210.</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26</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618,27</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7,579.</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88</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11,722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,931.9</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630,00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pacing w:val="-3"/>
                <w:sz w:val="18"/>
              </w:rPr>
              <w:t>0,511.</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sz w:val="18"/>
              </w:rPr>
              <w:t>84</w:t>
            </w:r>
          </w:p>
        </w:tc>
      </w:tr>
    </w:tbl>
    <w:p>
      <w:pPr>
        <w:pStyle w:val="BodyText"/>
        <w:spacing w:line="240" w:lineRule="auto" w:before="53"/>
        <w:ind w:right="0"/>
        <w:jc w:val="left"/>
      </w:pPr>
      <w:r>
        <w:rPr/>
        <w:t>上期金额</w:t>
      </w:r>
    </w:p>
    <w:p>
      <w:pPr>
        <w:pStyle w:val="BodyText"/>
        <w:spacing w:line="240" w:lineRule="auto" w:before="119"/>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203"/>
        <w:gridCol w:w="490"/>
        <w:gridCol w:w="447"/>
        <w:gridCol w:w="451"/>
        <w:gridCol w:w="490"/>
        <w:gridCol w:w="577"/>
        <w:gridCol w:w="576"/>
        <w:gridCol w:w="576"/>
        <w:gridCol w:w="581"/>
        <w:gridCol w:w="576"/>
        <w:gridCol w:w="576"/>
        <w:gridCol w:w="591"/>
        <w:gridCol w:w="566"/>
        <w:gridCol w:w="566"/>
        <w:gridCol w:w="644"/>
        <w:gridCol w:w="648"/>
      </w:tblGrid>
      <w:tr>
        <w:trPr>
          <w:trHeight w:val="403" w:hRule="exact"/>
        </w:trPr>
        <w:tc>
          <w:tcPr>
            <w:tcW w:w="1203" w:type="dxa"/>
            <w:vMerge w:val="restart"/>
            <w:tcBorders>
              <w:top w:val="single" w:sz="4" w:space="0" w:color="000000"/>
              <w:left w:val="single" w:sz="4" w:space="0" w:color="000000"/>
              <w:right w:val="single" w:sz="4" w:space="0" w:color="000000"/>
            </w:tcBorders>
            <w:shd w:val="clear" w:color="auto" w:fill="D2D2D2"/>
          </w:tcPr>
          <w:p>
            <w:pPr/>
          </w:p>
        </w:tc>
        <w:tc>
          <w:tcPr>
            <w:tcW w:w="8355"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w:t>
            </w:r>
          </w:p>
        </w:tc>
      </w:tr>
      <w:tr>
        <w:trPr>
          <w:trHeight w:val="250" w:hRule="exact"/>
        </w:trPr>
        <w:tc>
          <w:tcPr>
            <w:tcW w:w="1203" w:type="dxa"/>
            <w:vMerge/>
            <w:tcBorders>
              <w:left w:val="single" w:sz="4" w:space="0" w:color="000000"/>
              <w:right w:val="single" w:sz="4" w:space="0" w:color="000000"/>
            </w:tcBorders>
            <w:shd w:val="clear" w:color="auto" w:fill="D2D2D2"/>
          </w:tcPr>
          <w:p>
            <w:pPr/>
          </w:p>
        </w:tc>
        <w:tc>
          <w:tcPr>
            <w:tcW w:w="7063"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p>
        </w:tc>
        <w:tc>
          <w:tcPr>
            <w:tcW w:w="644" w:type="dxa"/>
            <w:vMerge w:val="restart"/>
            <w:tcBorders>
              <w:top w:val="single" w:sz="4" w:space="0" w:color="000000"/>
              <w:left w:val="single" w:sz="4" w:space="0" w:color="000000"/>
              <w:right w:val="single" w:sz="4" w:space="0" w:color="000000"/>
            </w:tcBorders>
            <w:shd w:val="clear" w:color="auto" w:fill="D2D2D2"/>
          </w:tcPr>
          <w:p>
            <w:pPr/>
          </w:p>
        </w:tc>
        <w:tc>
          <w:tcPr>
            <w:tcW w:w="64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4" w:hRule="exact"/>
        </w:trPr>
        <w:tc>
          <w:tcPr>
            <w:tcW w:w="1203" w:type="dxa"/>
            <w:vMerge/>
            <w:tcBorders>
              <w:left w:val="single" w:sz="4" w:space="0" w:color="000000"/>
              <w:bottom w:val="nil" w:sz="6" w:space="0" w:color="auto"/>
              <w:right w:val="single" w:sz="4" w:space="0" w:color="000000"/>
            </w:tcBorders>
            <w:shd w:val="clear" w:color="auto" w:fill="D2D2D2"/>
          </w:tcPr>
          <w:p>
            <w:pPr/>
          </w:p>
        </w:tc>
        <w:tc>
          <w:tcPr>
            <w:tcW w:w="7063" w:type="dxa"/>
            <w:gridSpan w:val="13"/>
            <w:vMerge/>
            <w:tcBorders>
              <w:left w:val="single" w:sz="4" w:space="0" w:color="000000"/>
              <w:bottom w:val="single" w:sz="4" w:space="0" w:color="000000"/>
              <w:right w:val="single" w:sz="4" w:space="0" w:color="000000"/>
            </w:tcBorders>
            <w:shd w:val="clear" w:color="auto" w:fill="D2D2D2"/>
          </w:tcPr>
          <w:p>
            <w:pPr/>
          </w:p>
        </w:tc>
        <w:tc>
          <w:tcPr>
            <w:tcW w:w="644" w:type="dxa"/>
            <w:vMerge/>
            <w:tcBorders>
              <w:left w:val="single" w:sz="4" w:space="0" w:color="000000"/>
              <w:bottom w:val="nil" w:sz="6" w:space="0" w:color="auto"/>
              <w:right w:val="single" w:sz="4" w:space="0" w:color="000000"/>
            </w:tcBorders>
            <w:shd w:val="clear" w:color="auto" w:fill="D2D2D2"/>
          </w:tcPr>
          <w:p>
            <w:pPr/>
          </w:p>
        </w:tc>
        <w:tc>
          <w:tcPr>
            <w:tcW w:w="64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52" w:right="41"/>
              <w:jc w:val="center"/>
              <w:rPr>
                <w:rFonts w:ascii="宋体" w:hAnsi="宋体" w:cs="宋体" w:eastAsia="宋体" w:hint="default"/>
                <w:sz w:val="18"/>
                <w:szCs w:val="18"/>
              </w:rPr>
            </w:pPr>
            <w:r>
              <w:rPr>
                <w:rFonts w:ascii="宋体" w:hAnsi="宋体" w:cs="宋体" w:eastAsia="宋体" w:hint="default"/>
                <w:spacing w:val="-2"/>
                <w:sz w:val="18"/>
                <w:szCs w:val="18"/>
              </w:rPr>
              <w:t>所有者</w:t>
            </w:r>
            <w:r>
              <w:rPr>
                <w:rFonts w:ascii="宋体" w:hAnsi="宋体" w:cs="宋体" w:eastAsia="宋体" w:hint="default"/>
                <w:w w:val="101"/>
                <w:sz w:val="18"/>
                <w:szCs w:val="18"/>
              </w:rPr>
              <w:t> </w:t>
            </w:r>
            <w:r>
              <w:rPr>
                <w:rFonts w:ascii="宋体" w:hAnsi="宋体" w:cs="宋体" w:eastAsia="宋体" w:hint="default"/>
                <w:spacing w:val="-2"/>
                <w:sz w:val="18"/>
                <w:szCs w:val="18"/>
              </w:rPr>
              <w:t>权益合</w:t>
            </w:r>
            <w:r>
              <w:rPr>
                <w:rFonts w:ascii="宋体" w:hAnsi="宋体" w:cs="宋体" w:eastAsia="宋体" w:hint="default"/>
                <w:w w:val="101"/>
                <w:sz w:val="18"/>
                <w:szCs w:val="18"/>
              </w:rPr>
              <w:t> </w:t>
            </w:r>
            <w:r>
              <w:rPr>
                <w:rFonts w:ascii="宋体" w:hAnsi="宋体" w:cs="宋体" w:eastAsia="宋体" w:hint="default"/>
                <w:sz w:val="18"/>
                <w:szCs w:val="18"/>
              </w:rPr>
              <w:t>计</w:t>
            </w:r>
          </w:p>
        </w:tc>
      </w:tr>
      <w:tr>
        <w:trPr>
          <w:trHeight w:val="206" w:hRule="exact"/>
        </w:trPr>
        <w:tc>
          <w:tcPr>
            <w:tcW w:w="12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490" w:type="dxa"/>
            <w:vMerge w:val="restart"/>
            <w:tcBorders>
              <w:top w:val="single" w:sz="4" w:space="0" w:color="000000"/>
              <w:left w:val="single" w:sz="4" w:space="0" w:color="000000"/>
              <w:right w:val="single" w:sz="4" w:space="0" w:color="000000"/>
            </w:tcBorders>
            <w:shd w:val="clear" w:color="auto" w:fill="D2D2D2"/>
          </w:tcPr>
          <w:p>
            <w:pPr/>
          </w:p>
        </w:tc>
        <w:tc>
          <w:tcPr>
            <w:tcW w:w="13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7"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105" w:right="94"/>
              <w:jc w:val="both"/>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86"/>
                <w:sz w:val="18"/>
                <w:szCs w:val="18"/>
              </w:rPr>
              <w:t> </w:t>
            </w:r>
            <w:r>
              <w:rPr>
                <w:rFonts w:ascii="宋体" w:hAnsi="宋体" w:cs="宋体" w:eastAsia="宋体" w:hint="default"/>
                <w:sz w:val="18"/>
                <w:szCs w:val="18"/>
              </w:rPr>
              <w:t>综合</w:t>
            </w:r>
            <w:r>
              <w:rPr>
                <w:rFonts w:ascii="宋体" w:hAnsi="宋体" w:cs="宋体" w:eastAsia="宋体" w:hint="default"/>
                <w:spacing w:val="-86"/>
                <w:sz w:val="18"/>
                <w:szCs w:val="18"/>
              </w:rPr>
              <w:t> </w:t>
            </w:r>
            <w:r>
              <w:rPr>
                <w:rFonts w:ascii="宋体" w:hAnsi="宋体" w:cs="宋体" w:eastAsia="宋体" w:hint="default"/>
                <w:sz w:val="18"/>
                <w:szCs w:val="18"/>
              </w:rPr>
              <w:t>收益</w:t>
            </w:r>
          </w:p>
        </w:tc>
        <w:tc>
          <w:tcPr>
            <w:tcW w:w="581"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105" w:right="95"/>
              <w:jc w:val="both"/>
              <w:rPr>
                <w:rFonts w:ascii="宋体" w:hAnsi="宋体" w:cs="宋体" w:eastAsia="宋体" w:hint="default"/>
                <w:sz w:val="18"/>
                <w:szCs w:val="18"/>
              </w:rPr>
            </w:pPr>
            <w:r>
              <w:rPr>
                <w:rFonts w:ascii="宋体" w:hAnsi="宋体" w:cs="宋体" w:eastAsia="宋体" w:hint="default"/>
                <w:sz w:val="18"/>
                <w:szCs w:val="18"/>
              </w:rPr>
              <w:t>一般</w:t>
            </w:r>
            <w:r>
              <w:rPr>
                <w:rFonts w:ascii="宋体" w:hAnsi="宋体" w:cs="宋体" w:eastAsia="宋体" w:hint="default"/>
                <w:spacing w:val="-86"/>
                <w:sz w:val="18"/>
                <w:szCs w:val="18"/>
              </w:rPr>
              <w:t> </w:t>
            </w:r>
            <w:r>
              <w:rPr>
                <w:rFonts w:ascii="宋体" w:hAnsi="宋体" w:cs="宋体" w:eastAsia="宋体" w:hint="default"/>
                <w:sz w:val="18"/>
                <w:szCs w:val="18"/>
              </w:rPr>
              <w:t>风险</w:t>
            </w:r>
            <w:r>
              <w:rPr>
                <w:rFonts w:ascii="宋体" w:hAnsi="宋体" w:cs="宋体" w:eastAsia="宋体" w:hint="default"/>
                <w:spacing w:val="-86"/>
                <w:sz w:val="18"/>
                <w:szCs w:val="18"/>
              </w:rPr>
              <w:t> </w:t>
            </w:r>
            <w:r>
              <w:rPr>
                <w:rFonts w:ascii="宋体" w:hAnsi="宋体" w:cs="宋体" w:eastAsia="宋体" w:hint="default"/>
                <w:sz w:val="18"/>
                <w:szCs w:val="18"/>
              </w:rPr>
              <w:t>准备</w:t>
            </w:r>
          </w:p>
        </w:tc>
        <w:tc>
          <w:tcPr>
            <w:tcW w:w="59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110" w:right="104"/>
              <w:jc w:val="both"/>
              <w:rPr>
                <w:rFonts w:ascii="宋体" w:hAnsi="宋体" w:cs="宋体" w:eastAsia="宋体" w:hint="default"/>
                <w:sz w:val="18"/>
                <w:szCs w:val="18"/>
              </w:rPr>
            </w:pPr>
            <w:r>
              <w:rPr>
                <w:rFonts w:ascii="宋体" w:hAnsi="宋体" w:cs="宋体" w:eastAsia="宋体" w:hint="default"/>
                <w:sz w:val="18"/>
                <w:szCs w:val="18"/>
              </w:rPr>
              <w:t>未分</w:t>
            </w:r>
            <w:r>
              <w:rPr>
                <w:rFonts w:ascii="宋体" w:hAnsi="宋体" w:cs="宋体" w:eastAsia="宋体" w:hint="default"/>
                <w:spacing w:val="-86"/>
                <w:sz w:val="18"/>
                <w:szCs w:val="18"/>
              </w:rPr>
              <w:t> </w:t>
            </w:r>
            <w:r>
              <w:rPr>
                <w:rFonts w:ascii="宋体" w:hAnsi="宋体" w:cs="宋体" w:eastAsia="宋体" w:hint="default"/>
                <w:sz w:val="18"/>
                <w:szCs w:val="18"/>
              </w:rPr>
              <w:t>配利</w:t>
            </w:r>
            <w:r>
              <w:rPr>
                <w:rFonts w:ascii="宋体" w:hAnsi="宋体" w:cs="宋体" w:eastAsia="宋体" w:hint="default"/>
                <w:spacing w:val="-86"/>
                <w:sz w:val="18"/>
                <w:szCs w:val="18"/>
              </w:rPr>
              <w:t> </w:t>
            </w:r>
            <w:r>
              <w:rPr>
                <w:rFonts w:ascii="宋体" w:hAnsi="宋体" w:cs="宋体" w:eastAsia="宋体" w:hint="default"/>
                <w:sz w:val="18"/>
                <w:szCs w:val="18"/>
              </w:rPr>
              <w:t>润</w:t>
            </w:r>
          </w:p>
        </w:tc>
        <w:tc>
          <w:tcPr>
            <w:tcW w:w="566" w:type="dxa"/>
            <w:vMerge w:val="restart"/>
            <w:tcBorders>
              <w:top w:val="single" w:sz="4" w:space="0" w:color="000000"/>
              <w:left w:val="single" w:sz="4" w:space="0" w:color="000000"/>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
        </w:tc>
        <w:tc>
          <w:tcPr>
            <w:tcW w:w="64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8"/>
              <w:ind w:left="48" w:right="41"/>
              <w:jc w:val="left"/>
              <w:rPr>
                <w:rFonts w:ascii="宋体" w:hAnsi="宋体" w:cs="宋体" w:eastAsia="宋体" w:hint="default"/>
                <w:sz w:val="18"/>
                <w:szCs w:val="18"/>
              </w:rPr>
            </w:pPr>
            <w:r>
              <w:rPr>
                <w:rFonts w:ascii="宋体" w:hAnsi="宋体" w:cs="宋体" w:eastAsia="宋体" w:hint="default"/>
                <w:sz w:val="18"/>
                <w:szCs w:val="18"/>
              </w:rPr>
              <w:t>少数股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东权益</w:t>
            </w:r>
          </w:p>
        </w:tc>
        <w:tc>
          <w:tcPr>
            <w:tcW w:w="648" w:type="dxa"/>
            <w:vMerge/>
            <w:tcBorders>
              <w:left w:val="single" w:sz="4" w:space="0" w:color="000000"/>
              <w:right w:val="single" w:sz="4" w:space="0" w:color="000000"/>
            </w:tcBorders>
            <w:shd w:val="clear" w:color="auto" w:fill="D2D2D2"/>
          </w:tcPr>
          <w:p>
            <w:pPr/>
          </w:p>
        </w:tc>
      </w:tr>
      <w:tr>
        <w:trPr>
          <w:trHeight w:val="163" w:hRule="exact"/>
        </w:trPr>
        <w:tc>
          <w:tcPr>
            <w:tcW w:w="1203" w:type="dxa"/>
            <w:vMerge/>
            <w:tcBorders>
              <w:left w:val="single" w:sz="4" w:space="0" w:color="000000"/>
              <w:bottom w:val="nil" w:sz="6" w:space="0" w:color="auto"/>
              <w:right w:val="single" w:sz="4" w:space="0" w:color="000000"/>
            </w:tcBorders>
            <w:shd w:val="clear" w:color="auto" w:fill="D2D2D2"/>
          </w:tcPr>
          <w:p>
            <w:pPr/>
          </w:p>
        </w:tc>
        <w:tc>
          <w:tcPr>
            <w:tcW w:w="490" w:type="dxa"/>
            <w:vMerge/>
            <w:tcBorders>
              <w:left w:val="single" w:sz="4" w:space="0" w:color="000000"/>
              <w:bottom w:val="nil" w:sz="6" w:space="0" w:color="auto"/>
              <w:right w:val="single" w:sz="4" w:space="0" w:color="000000"/>
            </w:tcBorders>
            <w:shd w:val="clear" w:color="auto" w:fill="D2D2D2"/>
          </w:tcPr>
          <w:p>
            <w:pPr/>
          </w:p>
        </w:tc>
        <w:tc>
          <w:tcPr>
            <w:tcW w:w="1388" w:type="dxa"/>
            <w:gridSpan w:val="3"/>
            <w:vMerge/>
            <w:tcBorders>
              <w:left w:val="single" w:sz="4" w:space="0" w:color="000000"/>
              <w:bottom w:val="single" w:sz="4" w:space="0" w:color="000000"/>
              <w:right w:val="single" w:sz="4" w:space="0" w:color="000000"/>
            </w:tcBorders>
            <w:shd w:val="clear" w:color="auto" w:fill="D2D2D2"/>
          </w:tcPr>
          <w:p>
            <w:pPr/>
          </w:p>
        </w:tc>
        <w:tc>
          <w:tcPr>
            <w:tcW w:w="57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100" w:right="99"/>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105" w:right="12" w:hanging="82"/>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存股</w:t>
            </w:r>
          </w:p>
        </w:tc>
        <w:tc>
          <w:tcPr>
            <w:tcW w:w="576" w:type="dxa"/>
            <w:vMerge/>
            <w:tcBorders>
              <w:left w:val="single" w:sz="4" w:space="0" w:color="000000"/>
              <w:right w:val="single" w:sz="4" w:space="0" w:color="000000"/>
            </w:tcBorders>
            <w:shd w:val="clear" w:color="auto" w:fill="D2D2D2"/>
          </w:tcPr>
          <w:p>
            <w:pPr/>
          </w:p>
        </w:tc>
        <w:tc>
          <w:tcPr>
            <w:tcW w:w="58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105" w:right="98"/>
              <w:jc w:val="left"/>
              <w:rPr>
                <w:rFonts w:ascii="宋体" w:hAnsi="宋体" w:cs="宋体" w:eastAsia="宋体" w:hint="default"/>
                <w:sz w:val="18"/>
                <w:szCs w:val="18"/>
              </w:rPr>
            </w:pPr>
            <w:r>
              <w:rPr>
                <w:rFonts w:ascii="宋体" w:hAnsi="宋体" w:cs="宋体" w:eastAsia="宋体" w:hint="default"/>
                <w:sz w:val="18"/>
                <w:szCs w:val="18"/>
              </w:rPr>
              <w:t>专项</w:t>
            </w:r>
            <w:r>
              <w:rPr>
                <w:rFonts w:ascii="宋体" w:hAnsi="宋体" w:cs="宋体" w:eastAsia="宋体" w:hint="default"/>
                <w:spacing w:val="-86"/>
                <w:sz w:val="18"/>
                <w:szCs w:val="18"/>
              </w:rPr>
              <w:t> </w:t>
            </w:r>
            <w:r>
              <w:rPr>
                <w:rFonts w:ascii="宋体" w:hAnsi="宋体" w:cs="宋体" w:eastAsia="宋体" w:hint="default"/>
                <w:sz w:val="18"/>
                <w:szCs w:val="18"/>
              </w:rPr>
              <w:t>储备</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100" w:right="99"/>
              <w:jc w:val="left"/>
              <w:rPr>
                <w:rFonts w:ascii="宋体" w:hAnsi="宋体" w:cs="宋体" w:eastAsia="宋体" w:hint="default"/>
                <w:sz w:val="18"/>
                <w:szCs w:val="18"/>
              </w:rPr>
            </w:pPr>
            <w:r>
              <w:rPr>
                <w:rFonts w:ascii="宋体" w:hAnsi="宋体" w:cs="宋体" w:eastAsia="宋体" w:hint="default"/>
                <w:sz w:val="18"/>
                <w:szCs w:val="18"/>
              </w:rPr>
              <w:t>盈余</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76" w:type="dxa"/>
            <w:vMerge/>
            <w:tcBorders>
              <w:left w:val="single" w:sz="4" w:space="0" w:color="000000"/>
              <w:right w:val="single" w:sz="4" w:space="0" w:color="000000"/>
            </w:tcBorders>
            <w:shd w:val="clear" w:color="auto" w:fill="D2D2D2"/>
          </w:tcPr>
          <w:p>
            <w:pPr/>
          </w:p>
        </w:tc>
        <w:tc>
          <w:tcPr>
            <w:tcW w:w="591" w:type="dxa"/>
            <w:vMerge/>
            <w:tcBorders>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644" w:type="dxa"/>
            <w:vMerge/>
            <w:tcBorders>
              <w:left w:val="single" w:sz="4" w:space="0" w:color="000000"/>
              <w:right w:val="single" w:sz="4" w:space="0" w:color="000000"/>
            </w:tcBorders>
            <w:shd w:val="clear" w:color="auto" w:fill="D2D2D2"/>
          </w:tcPr>
          <w:p>
            <w:pPr/>
          </w:p>
        </w:tc>
        <w:tc>
          <w:tcPr>
            <w:tcW w:w="648" w:type="dxa"/>
            <w:vMerge/>
            <w:tcBorders>
              <w:left w:val="single" w:sz="4" w:space="0" w:color="000000"/>
              <w:right w:val="single" w:sz="4" w:space="0" w:color="000000"/>
            </w:tcBorders>
            <w:shd w:val="clear" w:color="auto" w:fill="D2D2D2"/>
          </w:tcPr>
          <w:p>
            <w:pPr/>
          </w:p>
        </w:tc>
      </w:tr>
      <w:tr>
        <w:trPr>
          <w:trHeight w:val="192" w:hRule="exact"/>
        </w:trPr>
        <w:tc>
          <w:tcPr>
            <w:tcW w:w="1203" w:type="dxa"/>
            <w:vMerge w:val="restart"/>
            <w:tcBorders>
              <w:top w:val="nil" w:sz="6" w:space="0" w:color="auto"/>
              <w:left w:val="single" w:sz="4" w:space="0" w:color="000000"/>
              <w:right w:val="single" w:sz="4" w:space="0" w:color="000000"/>
            </w:tcBorders>
            <w:shd w:val="clear" w:color="auto" w:fill="D2D2D2"/>
          </w:tcPr>
          <w:p>
            <w:pPr/>
          </w:p>
        </w:tc>
        <w:tc>
          <w:tcPr>
            <w:tcW w:w="4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4"/>
              <w:ind w:left="5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4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7"/>
              <w:ind w:left="129" w:right="33"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45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7"/>
              <w:ind w:left="129" w:right="36" w:hanging="92"/>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490" w:type="dxa"/>
            <w:tcBorders>
              <w:top w:val="single" w:sz="4" w:space="0" w:color="000000"/>
              <w:left w:val="single" w:sz="4" w:space="0" w:color="000000"/>
              <w:bottom w:val="nil" w:sz="6" w:space="0" w:color="auto"/>
              <w:right w:val="single" w:sz="4" w:space="0" w:color="000000"/>
            </w:tcBorders>
            <w:shd w:val="clear" w:color="auto" w:fill="D2D2D2"/>
          </w:tcPr>
          <w:p>
            <w:pPr/>
          </w:p>
        </w:tc>
        <w:tc>
          <w:tcPr>
            <w:tcW w:w="577"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91"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4"/>
              <w:ind w:left="9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4"/>
              <w:ind w:left="9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4" w:type="dxa"/>
            <w:vMerge/>
            <w:tcBorders>
              <w:left w:val="single" w:sz="4" w:space="0" w:color="000000"/>
              <w:right w:val="single" w:sz="4" w:space="0" w:color="000000"/>
            </w:tcBorders>
            <w:shd w:val="clear" w:color="auto" w:fill="D2D2D2"/>
          </w:tcPr>
          <w:p>
            <w:pPr/>
          </w:p>
        </w:tc>
        <w:tc>
          <w:tcPr>
            <w:tcW w:w="648" w:type="dxa"/>
            <w:vMerge/>
            <w:tcBorders>
              <w:left w:val="single" w:sz="4" w:space="0" w:color="000000"/>
              <w:right w:val="single" w:sz="4" w:space="0" w:color="000000"/>
            </w:tcBorders>
            <w:shd w:val="clear" w:color="auto" w:fill="D2D2D2"/>
          </w:tcPr>
          <w:p>
            <w:pPr/>
          </w:p>
        </w:tc>
      </w:tr>
      <w:tr>
        <w:trPr>
          <w:trHeight w:val="192" w:hRule="exact"/>
        </w:trPr>
        <w:tc>
          <w:tcPr>
            <w:tcW w:w="1203" w:type="dxa"/>
            <w:vMerge/>
            <w:tcBorders>
              <w:left w:val="single" w:sz="4" w:space="0" w:color="000000"/>
              <w:right w:val="single" w:sz="4" w:space="0" w:color="000000"/>
            </w:tcBorders>
            <w:shd w:val="clear" w:color="auto" w:fill="D2D2D2"/>
          </w:tcPr>
          <w:p>
            <w:pPr/>
          </w:p>
        </w:tc>
        <w:tc>
          <w:tcPr>
            <w:tcW w:w="490" w:type="dxa"/>
            <w:vMerge/>
            <w:tcBorders>
              <w:left w:val="single" w:sz="4" w:space="0" w:color="000000"/>
              <w:bottom w:val="nil" w:sz="6" w:space="0" w:color="auto"/>
              <w:right w:val="single" w:sz="4" w:space="0" w:color="000000"/>
            </w:tcBorders>
            <w:shd w:val="clear" w:color="auto" w:fill="D2D2D2"/>
          </w:tcPr>
          <w:p>
            <w:pPr/>
          </w:p>
        </w:tc>
        <w:tc>
          <w:tcPr>
            <w:tcW w:w="447" w:type="dxa"/>
            <w:vMerge/>
            <w:tcBorders>
              <w:left w:val="single" w:sz="4" w:space="0" w:color="000000"/>
              <w:right w:val="single" w:sz="4" w:space="0" w:color="000000"/>
            </w:tcBorders>
            <w:shd w:val="clear" w:color="auto" w:fill="D2D2D2"/>
          </w:tcPr>
          <w:p>
            <w:pPr/>
          </w:p>
        </w:tc>
        <w:tc>
          <w:tcPr>
            <w:tcW w:w="451" w:type="dxa"/>
            <w:vMerge/>
            <w:tcBorders>
              <w:left w:val="single" w:sz="4" w:space="0" w:color="000000"/>
              <w:right w:val="single" w:sz="4" w:space="0" w:color="000000"/>
            </w:tcBorders>
            <w:shd w:val="clear" w:color="auto" w:fill="D2D2D2"/>
          </w:tcPr>
          <w:p>
            <w:pPr/>
          </w:p>
        </w:tc>
        <w:tc>
          <w:tcPr>
            <w:tcW w:w="4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7"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91" w:type="dxa"/>
            <w:vMerge/>
            <w:tcBorders>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644" w:type="dxa"/>
            <w:vMerge/>
            <w:tcBorders>
              <w:left w:val="single" w:sz="4" w:space="0" w:color="000000"/>
              <w:bottom w:val="nil" w:sz="6" w:space="0" w:color="auto"/>
              <w:right w:val="single" w:sz="4" w:space="0" w:color="000000"/>
            </w:tcBorders>
            <w:shd w:val="clear" w:color="auto" w:fill="D2D2D2"/>
          </w:tcPr>
          <w:p>
            <w:pPr/>
          </w:p>
        </w:tc>
        <w:tc>
          <w:tcPr>
            <w:tcW w:w="648" w:type="dxa"/>
            <w:vMerge/>
            <w:tcBorders>
              <w:left w:val="single" w:sz="4" w:space="0" w:color="000000"/>
              <w:right w:val="single" w:sz="4" w:space="0" w:color="000000"/>
            </w:tcBorders>
            <w:shd w:val="clear" w:color="auto" w:fill="D2D2D2"/>
          </w:tcPr>
          <w:p>
            <w:pPr/>
          </w:p>
        </w:tc>
      </w:tr>
      <w:tr>
        <w:trPr>
          <w:trHeight w:val="132" w:hRule="exact"/>
        </w:trPr>
        <w:tc>
          <w:tcPr>
            <w:tcW w:w="1203" w:type="dxa"/>
            <w:vMerge/>
            <w:tcBorders>
              <w:left w:val="single" w:sz="4" w:space="0" w:color="000000"/>
              <w:right w:val="single" w:sz="4" w:space="0" w:color="000000"/>
            </w:tcBorders>
            <w:shd w:val="clear" w:color="auto" w:fill="D2D2D2"/>
          </w:tcPr>
          <w:p>
            <w:pPr/>
          </w:p>
        </w:tc>
        <w:tc>
          <w:tcPr>
            <w:tcW w:w="490" w:type="dxa"/>
            <w:vMerge w:val="restart"/>
            <w:tcBorders>
              <w:top w:val="nil" w:sz="6" w:space="0" w:color="auto"/>
              <w:left w:val="single" w:sz="4" w:space="0" w:color="000000"/>
              <w:right w:val="single" w:sz="4" w:space="0" w:color="000000"/>
            </w:tcBorders>
            <w:shd w:val="clear" w:color="auto" w:fill="D2D2D2"/>
          </w:tcPr>
          <w:p>
            <w:pPr/>
          </w:p>
        </w:tc>
        <w:tc>
          <w:tcPr>
            <w:tcW w:w="447" w:type="dxa"/>
            <w:vMerge/>
            <w:tcBorders>
              <w:left w:val="single" w:sz="4" w:space="0" w:color="000000"/>
              <w:right w:val="single" w:sz="4" w:space="0" w:color="000000"/>
            </w:tcBorders>
            <w:shd w:val="clear" w:color="auto" w:fill="D2D2D2"/>
          </w:tcPr>
          <w:p>
            <w:pPr/>
          </w:p>
        </w:tc>
        <w:tc>
          <w:tcPr>
            <w:tcW w:w="451" w:type="dxa"/>
            <w:vMerge/>
            <w:tcBorders>
              <w:left w:val="single" w:sz="4" w:space="0" w:color="000000"/>
              <w:right w:val="single" w:sz="4" w:space="0" w:color="000000"/>
            </w:tcBorders>
            <w:shd w:val="clear" w:color="auto" w:fill="D2D2D2"/>
          </w:tcPr>
          <w:p>
            <w:pPr/>
          </w:p>
        </w:tc>
        <w:tc>
          <w:tcPr>
            <w:tcW w:w="490" w:type="dxa"/>
            <w:vMerge/>
            <w:tcBorders>
              <w:left w:val="single" w:sz="4" w:space="0" w:color="000000"/>
              <w:bottom w:val="nil" w:sz="6" w:space="0" w:color="auto"/>
              <w:right w:val="single" w:sz="4" w:space="0" w:color="000000"/>
            </w:tcBorders>
            <w:shd w:val="clear" w:color="auto" w:fill="D2D2D2"/>
          </w:tcPr>
          <w:p>
            <w:pPr/>
          </w:p>
        </w:tc>
        <w:tc>
          <w:tcPr>
            <w:tcW w:w="577"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91"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
        </w:tc>
        <w:tc>
          <w:tcPr>
            <w:tcW w:w="644" w:type="dxa"/>
            <w:vMerge w:val="restart"/>
            <w:tcBorders>
              <w:top w:val="nil" w:sz="6" w:space="0" w:color="auto"/>
              <w:left w:val="single" w:sz="4" w:space="0" w:color="000000"/>
              <w:right w:val="single" w:sz="4" w:space="0" w:color="000000"/>
            </w:tcBorders>
            <w:shd w:val="clear" w:color="auto" w:fill="D2D2D2"/>
          </w:tcPr>
          <w:p>
            <w:pPr/>
          </w:p>
        </w:tc>
        <w:tc>
          <w:tcPr>
            <w:tcW w:w="648" w:type="dxa"/>
            <w:vMerge/>
            <w:tcBorders>
              <w:left w:val="single" w:sz="4" w:space="0" w:color="000000"/>
              <w:bottom w:val="nil" w:sz="6" w:space="0" w:color="auto"/>
              <w:right w:val="single" w:sz="4" w:space="0" w:color="000000"/>
            </w:tcBorders>
            <w:shd w:val="clear" w:color="auto" w:fill="D2D2D2"/>
          </w:tcPr>
          <w:p>
            <w:pPr/>
          </w:p>
        </w:tc>
      </w:tr>
      <w:tr>
        <w:trPr>
          <w:trHeight w:val="217" w:hRule="exact"/>
        </w:trPr>
        <w:tc>
          <w:tcPr>
            <w:tcW w:w="1203" w:type="dxa"/>
            <w:vMerge/>
            <w:tcBorders>
              <w:left w:val="single" w:sz="4" w:space="0" w:color="000000"/>
              <w:bottom w:val="single" w:sz="4" w:space="0" w:color="000000"/>
              <w:right w:val="single" w:sz="4" w:space="0" w:color="000000"/>
            </w:tcBorders>
            <w:shd w:val="clear" w:color="auto" w:fill="D2D2D2"/>
          </w:tcPr>
          <w:p>
            <w:pPr/>
          </w:p>
        </w:tc>
        <w:tc>
          <w:tcPr>
            <w:tcW w:w="490" w:type="dxa"/>
            <w:vMerge/>
            <w:tcBorders>
              <w:left w:val="single" w:sz="4" w:space="0" w:color="000000"/>
              <w:bottom w:val="single" w:sz="4" w:space="0" w:color="000000"/>
              <w:right w:val="single" w:sz="4" w:space="0" w:color="000000"/>
            </w:tcBorders>
            <w:shd w:val="clear" w:color="auto" w:fill="D2D2D2"/>
          </w:tcPr>
          <w:p>
            <w:pPr/>
          </w:p>
        </w:tc>
        <w:tc>
          <w:tcPr>
            <w:tcW w:w="447" w:type="dxa"/>
            <w:vMerge/>
            <w:tcBorders>
              <w:left w:val="single" w:sz="4" w:space="0" w:color="000000"/>
              <w:bottom w:val="single" w:sz="4" w:space="0" w:color="000000"/>
              <w:right w:val="single" w:sz="4" w:space="0" w:color="000000"/>
            </w:tcBorders>
            <w:shd w:val="clear" w:color="auto" w:fill="D2D2D2"/>
          </w:tcPr>
          <w:p>
            <w:pPr/>
          </w:p>
        </w:tc>
        <w:tc>
          <w:tcPr>
            <w:tcW w:w="451" w:type="dxa"/>
            <w:vMerge/>
            <w:tcBorders>
              <w:left w:val="single" w:sz="4" w:space="0" w:color="000000"/>
              <w:bottom w:val="single" w:sz="4" w:space="0" w:color="000000"/>
              <w:right w:val="single" w:sz="4" w:space="0" w:color="000000"/>
            </w:tcBorders>
            <w:shd w:val="clear" w:color="auto" w:fill="D2D2D2"/>
          </w:tcPr>
          <w:p>
            <w:pPr/>
          </w:p>
        </w:tc>
        <w:tc>
          <w:tcPr>
            <w:tcW w:w="490" w:type="dxa"/>
            <w:tcBorders>
              <w:top w:val="nil" w:sz="6" w:space="0" w:color="auto"/>
              <w:left w:val="single" w:sz="4" w:space="0" w:color="000000"/>
              <w:bottom w:val="single" w:sz="4" w:space="0" w:color="000000"/>
              <w:right w:val="single" w:sz="4" w:space="0" w:color="000000"/>
            </w:tcBorders>
            <w:shd w:val="clear" w:color="auto" w:fill="D2D2D2"/>
          </w:tcPr>
          <w:p>
            <w:pPr/>
          </w:p>
        </w:tc>
        <w:tc>
          <w:tcPr>
            <w:tcW w:w="577"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81"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91"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644" w:type="dxa"/>
            <w:vMerge/>
            <w:tcBorders>
              <w:left w:val="single" w:sz="4" w:space="0" w:color="000000"/>
              <w:bottom w:val="single" w:sz="4" w:space="0" w:color="000000"/>
              <w:right w:val="single" w:sz="4" w:space="0" w:color="000000"/>
            </w:tcBorders>
            <w:shd w:val="clear" w:color="auto" w:fill="D2D2D2"/>
          </w:tcPr>
          <w:p>
            <w:pPr/>
          </w:p>
        </w:tc>
        <w:tc>
          <w:tcPr>
            <w:tcW w:w="64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3" w:hRule="exact"/>
        </w:trPr>
        <w:tc>
          <w:tcPr>
            <w:tcW w:w="1203" w:type="dxa"/>
            <w:tcBorders>
              <w:top w:val="single" w:sz="4" w:space="0" w:color="000000"/>
              <w:left w:val="single" w:sz="4" w:space="0" w:color="000000"/>
              <w:bottom w:val="nil" w:sz="6" w:space="0" w:color="auto"/>
              <w:right w:val="single" w:sz="4" w:space="0" w:color="000000"/>
            </w:tcBorders>
            <w:shd w:val="clear" w:color="auto" w:fill="D2D2D2"/>
          </w:tcPr>
          <w:p>
            <w:pPr/>
          </w:p>
        </w:tc>
        <w:tc>
          <w:tcPr>
            <w:tcW w:w="490" w:type="dxa"/>
            <w:vMerge w:val="restart"/>
            <w:tcBorders>
              <w:top w:val="single" w:sz="4" w:space="0" w:color="000000"/>
              <w:left w:val="single" w:sz="10" w:space="0" w:color="D2D2D2"/>
              <w:right w:val="single" w:sz="4" w:space="0" w:color="000000"/>
            </w:tcBorders>
          </w:tcPr>
          <w:p>
            <w:pPr>
              <w:pStyle w:val="TableParagraph"/>
              <w:spacing w:line="240" w:lineRule="auto" w:before="96"/>
              <w:ind w:left="26" w:right="0"/>
              <w:jc w:val="center"/>
              <w:rPr>
                <w:rFonts w:ascii="Times New Roman" w:hAnsi="Times New Roman" w:cs="Times New Roman" w:eastAsia="Times New Roman" w:hint="default"/>
                <w:sz w:val="18"/>
                <w:szCs w:val="18"/>
              </w:rPr>
            </w:pPr>
            <w:r>
              <w:rPr>
                <w:rFonts w:ascii="Times New Roman"/>
                <w:sz w:val="18"/>
              </w:rPr>
              <w:t>80,00</w:t>
            </w:r>
          </w:p>
          <w:p>
            <w:pPr>
              <w:pStyle w:val="TableParagraph"/>
              <w:spacing w:line="240" w:lineRule="auto" w:before="105"/>
              <w:ind w:left="26"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10"/>
              <w:ind w:left="203" w:right="0"/>
              <w:jc w:val="center"/>
              <w:rPr>
                <w:rFonts w:ascii="Times New Roman" w:hAnsi="Times New Roman" w:cs="Times New Roman" w:eastAsia="Times New Roman" w:hint="default"/>
                <w:sz w:val="18"/>
                <w:szCs w:val="18"/>
              </w:rPr>
            </w:pPr>
            <w:r>
              <w:rPr>
                <w:rFonts w:ascii="Times New Roman"/>
                <w:sz w:val="18"/>
              </w:rPr>
              <w:t>.00</w:t>
            </w:r>
          </w:p>
        </w:tc>
        <w:tc>
          <w:tcPr>
            <w:tcW w:w="447" w:type="dxa"/>
            <w:vMerge w:val="restart"/>
            <w:tcBorders>
              <w:top w:val="single" w:sz="4" w:space="0" w:color="000000"/>
              <w:left w:val="single" w:sz="4" w:space="0" w:color="000000"/>
              <w:right w:val="single" w:sz="4" w:space="0" w:color="000000"/>
            </w:tcBorders>
          </w:tcPr>
          <w:p>
            <w:pPr/>
          </w:p>
        </w:tc>
        <w:tc>
          <w:tcPr>
            <w:tcW w:w="451" w:type="dxa"/>
            <w:vMerge w:val="restart"/>
            <w:tcBorders>
              <w:top w:val="single" w:sz="4" w:space="0" w:color="000000"/>
              <w:left w:val="single" w:sz="4" w:space="0" w:color="000000"/>
              <w:right w:val="single" w:sz="4" w:space="0" w:color="000000"/>
            </w:tcBorders>
          </w:tcPr>
          <w:p>
            <w:pPr/>
          </w:p>
        </w:tc>
        <w:tc>
          <w:tcPr>
            <w:tcW w:w="490"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226,78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3,020.</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02</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17" w:space="0" w:color="D2D2D2"/>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20,763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,715.0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576" w:type="dxa"/>
            <w:vMerge w:val="restart"/>
            <w:tcBorders>
              <w:top w:val="single" w:sz="17" w:space="0" w:color="D2D2D2"/>
              <w:left w:val="single" w:sz="4" w:space="0" w:color="000000"/>
              <w:right w:val="single" w:sz="4" w:space="0" w:color="000000"/>
            </w:tcBorders>
          </w:tcPr>
          <w:p>
            <w:pPr/>
          </w:p>
        </w:tc>
        <w:tc>
          <w:tcPr>
            <w:tcW w:w="591" w:type="dxa"/>
            <w:vMerge w:val="restart"/>
            <w:tcBorders>
              <w:top w:val="single" w:sz="17" w:space="0" w:color="D2D2D2"/>
              <w:left w:val="single" w:sz="4" w:space="0" w:color="000000"/>
              <w:right w:val="single" w:sz="4" w:space="0" w:color="000000"/>
            </w:tcBorders>
          </w:tcPr>
          <w:p>
            <w:pPr>
              <w:pStyle w:val="TableParagraph"/>
              <w:spacing w:line="240" w:lineRule="auto" w:before="79"/>
              <w:ind w:left="62" w:right="0"/>
              <w:jc w:val="left"/>
              <w:rPr>
                <w:rFonts w:ascii="Times New Roman" w:hAnsi="Times New Roman" w:cs="Times New Roman" w:eastAsia="Times New Roman" w:hint="default"/>
                <w:sz w:val="18"/>
                <w:szCs w:val="18"/>
              </w:rPr>
            </w:pPr>
            <w:r>
              <w:rPr>
                <w:rFonts w:ascii="Times New Roman"/>
                <w:sz w:val="18"/>
              </w:rPr>
              <w:t>177,29</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3,242.</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59</w:t>
            </w:r>
          </w:p>
        </w:tc>
        <w:tc>
          <w:tcPr>
            <w:tcW w:w="566"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504,83</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9,977.</w:t>
            </w:r>
          </w:p>
          <w:p>
            <w:pPr>
              <w:pStyle w:val="TableParagraph"/>
              <w:spacing w:line="240" w:lineRule="auto" w:before="110"/>
              <w:ind w:left="355" w:right="0"/>
              <w:jc w:val="left"/>
              <w:rPr>
                <w:rFonts w:ascii="Times New Roman" w:hAnsi="Times New Roman" w:cs="Times New Roman" w:eastAsia="Times New Roman" w:hint="default"/>
                <w:sz w:val="18"/>
                <w:szCs w:val="18"/>
              </w:rPr>
            </w:pPr>
            <w:r>
              <w:rPr>
                <w:rFonts w:ascii="Times New Roman"/>
                <w:sz w:val="18"/>
              </w:rPr>
              <w:t>70</w:t>
            </w:r>
          </w:p>
        </w:tc>
        <w:tc>
          <w:tcPr>
            <w:tcW w:w="64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9,684,7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12.94</w:t>
            </w:r>
          </w:p>
        </w:tc>
        <w:tc>
          <w:tcPr>
            <w:tcW w:w="64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514,524</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,690.64</w:t>
            </w:r>
          </w:p>
        </w:tc>
      </w:tr>
      <w:tr>
        <w:trPr>
          <w:trHeight w:val="701" w:hRule="exact"/>
        </w:trPr>
        <w:tc>
          <w:tcPr>
            <w:tcW w:w="12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4"/>
              <w:ind w:left="11" w:right="94"/>
              <w:jc w:val="left"/>
              <w:rPr>
                <w:rFonts w:ascii="宋体" w:hAnsi="宋体" w:cs="宋体" w:eastAsia="宋体" w:hint="default"/>
                <w:sz w:val="18"/>
                <w:szCs w:val="18"/>
              </w:rPr>
            </w:pPr>
            <w:r>
              <w:rPr>
                <w:rFonts w:ascii="宋体" w:hAnsi="宋体" w:cs="宋体" w:eastAsia="宋体" w:hint="default"/>
                <w:spacing w:val="-2"/>
                <w:sz w:val="18"/>
                <w:szCs w:val="18"/>
              </w:rPr>
              <w:t>一、上年期末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c>
          <w:tcPr>
            <w:tcW w:w="490" w:type="dxa"/>
            <w:vMerge/>
            <w:tcBorders>
              <w:left w:val="single" w:sz="10" w:space="0" w:color="D2D2D2"/>
              <w:right w:val="single" w:sz="4" w:space="0" w:color="000000"/>
            </w:tcBorders>
          </w:tcPr>
          <w:p>
            <w:pPr/>
          </w:p>
        </w:tc>
        <w:tc>
          <w:tcPr>
            <w:tcW w:w="447" w:type="dxa"/>
            <w:vMerge/>
            <w:tcBorders>
              <w:left w:val="single" w:sz="4" w:space="0" w:color="000000"/>
              <w:right w:val="single" w:sz="4" w:space="0" w:color="000000"/>
            </w:tcBorders>
          </w:tcPr>
          <w:p>
            <w:pPr/>
          </w:p>
        </w:tc>
        <w:tc>
          <w:tcPr>
            <w:tcW w:w="451"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44" w:type="dxa"/>
            <w:vMerge/>
            <w:tcBorders>
              <w:left w:val="single" w:sz="4" w:space="0" w:color="000000"/>
              <w:right w:val="single" w:sz="4" w:space="0" w:color="000000"/>
            </w:tcBorders>
          </w:tcPr>
          <w:p>
            <w:pPr/>
          </w:p>
        </w:tc>
        <w:tc>
          <w:tcPr>
            <w:tcW w:w="648" w:type="dxa"/>
            <w:vMerge/>
            <w:tcBorders>
              <w:left w:val="single" w:sz="4" w:space="0" w:color="000000"/>
              <w:right w:val="single" w:sz="4" w:space="0" w:color="000000"/>
            </w:tcBorders>
          </w:tcPr>
          <w:p>
            <w:pPr/>
          </w:p>
        </w:tc>
      </w:tr>
      <w:tr>
        <w:trPr>
          <w:trHeight w:val="163" w:hRule="exact"/>
        </w:trPr>
        <w:tc>
          <w:tcPr>
            <w:tcW w:w="1203" w:type="dxa"/>
            <w:tcBorders>
              <w:top w:val="nil" w:sz="6" w:space="0" w:color="auto"/>
              <w:left w:val="single" w:sz="4" w:space="0" w:color="000000"/>
              <w:bottom w:val="single" w:sz="4" w:space="0" w:color="000000"/>
              <w:right w:val="single" w:sz="4" w:space="0" w:color="000000"/>
            </w:tcBorders>
            <w:shd w:val="clear" w:color="auto" w:fill="D2D2D2"/>
          </w:tcPr>
          <w:p>
            <w:pPr/>
          </w:p>
        </w:tc>
        <w:tc>
          <w:tcPr>
            <w:tcW w:w="490" w:type="dxa"/>
            <w:vMerge/>
            <w:tcBorders>
              <w:left w:val="single" w:sz="10" w:space="0" w:color="D2D2D2"/>
              <w:bottom w:val="single" w:sz="4" w:space="0" w:color="000000"/>
              <w:right w:val="single" w:sz="4" w:space="0" w:color="000000"/>
            </w:tcBorders>
          </w:tcPr>
          <w:p>
            <w:pPr/>
          </w:p>
        </w:tc>
        <w:tc>
          <w:tcPr>
            <w:tcW w:w="447" w:type="dxa"/>
            <w:vMerge/>
            <w:tcBorders>
              <w:left w:val="single" w:sz="4" w:space="0" w:color="000000"/>
              <w:bottom w:val="single" w:sz="4" w:space="0" w:color="000000"/>
              <w:right w:val="single" w:sz="4" w:space="0" w:color="000000"/>
            </w:tcBorders>
          </w:tcPr>
          <w:p>
            <w:pPr/>
          </w:p>
        </w:tc>
        <w:tc>
          <w:tcPr>
            <w:tcW w:w="451" w:type="dxa"/>
            <w:vMerge/>
            <w:tcBorders>
              <w:left w:val="single" w:sz="4" w:space="0" w:color="000000"/>
              <w:bottom w:val="single" w:sz="4" w:space="0" w:color="000000"/>
              <w:right w:val="single" w:sz="4" w:space="0" w:color="000000"/>
            </w:tcBorders>
          </w:tcPr>
          <w:p>
            <w:pPr/>
          </w:p>
        </w:tc>
        <w:tc>
          <w:tcPr>
            <w:tcW w:w="490"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91"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44" w:type="dxa"/>
            <w:vMerge/>
            <w:tcBorders>
              <w:left w:val="single" w:sz="4" w:space="0" w:color="000000"/>
              <w:bottom w:val="single" w:sz="4" w:space="0" w:color="000000"/>
              <w:right w:val="single" w:sz="4" w:space="0" w:color="000000"/>
            </w:tcBorders>
          </w:tcPr>
          <w:p>
            <w:pPr/>
          </w:p>
        </w:tc>
        <w:tc>
          <w:tcPr>
            <w:tcW w:w="648" w:type="dxa"/>
            <w:vMerge/>
            <w:tcBorders>
              <w:left w:val="single" w:sz="4" w:space="0" w:color="000000"/>
              <w:bottom w:val="single" w:sz="4" w:space="0" w:color="000000"/>
              <w:right w:val="single" w:sz="4" w:space="0" w:color="000000"/>
            </w:tcBorders>
          </w:tcPr>
          <w:p>
            <w:pPr/>
          </w:p>
        </w:tc>
      </w:tr>
      <w:tr>
        <w:trPr>
          <w:trHeight w:val="715" w:hRule="exact"/>
        </w:trPr>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94" w:firstLine="360"/>
              <w:jc w:val="left"/>
              <w:rPr>
                <w:rFonts w:ascii="宋体" w:hAnsi="宋体" w:cs="宋体" w:eastAsia="宋体" w:hint="default"/>
                <w:sz w:val="18"/>
                <w:szCs w:val="18"/>
              </w:rPr>
            </w:pPr>
            <w:r>
              <w:rPr>
                <w:rFonts w:ascii="宋体" w:hAnsi="宋体" w:cs="宋体" w:eastAsia="宋体" w:hint="default"/>
                <w:sz w:val="18"/>
                <w:szCs w:val="18"/>
              </w:rPr>
              <w:t>加：会计</w:t>
            </w:r>
            <w:r>
              <w:rPr>
                <w:rFonts w:ascii="宋体" w:hAnsi="宋体" w:cs="宋体" w:eastAsia="宋体" w:hint="default"/>
                <w:w w:val="101"/>
                <w:sz w:val="18"/>
                <w:szCs w:val="18"/>
              </w:rPr>
              <w:t> </w:t>
            </w:r>
            <w:r>
              <w:rPr>
                <w:rFonts w:ascii="宋体" w:hAnsi="宋体" w:cs="宋体" w:eastAsia="宋体" w:hint="default"/>
                <w:sz w:val="18"/>
                <w:szCs w:val="18"/>
              </w:rPr>
              <w:t>政策变更</w:t>
            </w:r>
          </w:p>
        </w:tc>
        <w:tc>
          <w:tcPr>
            <w:tcW w:w="490"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94" w:firstLine="720"/>
              <w:jc w:val="left"/>
              <w:rPr>
                <w:rFonts w:ascii="宋体" w:hAnsi="宋体" w:cs="宋体" w:eastAsia="宋体" w:hint="default"/>
                <w:sz w:val="18"/>
                <w:szCs w:val="18"/>
              </w:rPr>
            </w:pPr>
            <w:r>
              <w:rPr>
                <w:rFonts w:ascii="宋体" w:hAnsi="宋体" w:cs="宋体" w:eastAsia="宋体" w:hint="default"/>
                <w:sz w:val="18"/>
                <w:szCs w:val="18"/>
              </w:rPr>
              <w:t>前期</w:t>
            </w:r>
            <w:r>
              <w:rPr>
                <w:rFonts w:ascii="宋体" w:hAnsi="宋体" w:cs="宋体" w:eastAsia="宋体" w:hint="default"/>
                <w:w w:val="101"/>
                <w:sz w:val="18"/>
                <w:szCs w:val="18"/>
              </w:rPr>
              <w:t> </w:t>
            </w:r>
            <w:r>
              <w:rPr>
                <w:rFonts w:ascii="宋体" w:hAnsi="宋体" w:cs="宋体" w:eastAsia="宋体" w:hint="default"/>
                <w:sz w:val="18"/>
                <w:szCs w:val="18"/>
              </w:rPr>
              <w:t>差错更正</w:t>
            </w:r>
          </w:p>
        </w:tc>
        <w:tc>
          <w:tcPr>
            <w:tcW w:w="490"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94" w:firstLine="720"/>
              <w:jc w:val="both"/>
              <w:rPr>
                <w:rFonts w:ascii="宋体" w:hAnsi="宋体" w:cs="宋体" w:eastAsia="宋体" w:hint="default"/>
                <w:sz w:val="18"/>
                <w:szCs w:val="18"/>
              </w:rPr>
            </w:pPr>
            <w:r>
              <w:rPr>
                <w:rFonts w:ascii="宋体" w:hAnsi="宋体" w:cs="宋体" w:eastAsia="宋体" w:hint="default"/>
                <w:sz w:val="18"/>
                <w:szCs w:val="18"/>
              </w:rPr>
              <w:t>同一</w:t>
            </w:r>
            <w:r>
              <w:rPr>
                <w:rFonts w:ascii="宋体" w:hAnsi="宋体" w:cs="宋体" w:eastAsia="宋体" w:hint="default"/>
                <w:w w:val="101"/>
                <w:sz w:val="18"/>
                <w:szCs w:val="18"/>
              </w:rPr>
              <w:t> </w:t>
            </w:r>
            <w:r>
              <w:rPr>
                <w:rFonts w:ascii="宋体" w:hAnsi="宋体" w:cs="宋体" w:eastAsia="宋体" w:hint="default"/>
                <w:spacing w:val="-2"/>
                <w:sz w:val="18"/>
                <w:szCs w:val="18"/>
              </w:rPr>
              <w:t>控制下企业合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并</w:t>
            </w:r>
          </w:p>
        </w:tc>
        <w:tc>
          <w:tcPr>
            <w:tcW w:w="490"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94"/>
              <w:jc w:val="right"/>
              <w:rPr>
                <w:rFonts w:ascii="宋体" w:hAnsi="宋体" w:cs="宋体" w:eastAsia="宋体" w:hint="default"/>
                <w:sz w:val="18"/>
                <w:szCs w:val="18"/>
              </w:rPr>
            </w:pPr>
            <w:r>
              <w:rPr>
                <w:rFonts w:ascii="宋体" w:hAnsi="宋体" w:cs="宋体" w:eastAsia="宋体" w:hint="default"/>
                <w:sz w:val="18"/>
                <w:szCs w:val="18"/>
              </w:rPr>
              <w:t>其他</w:t>
            </w:r>
          </w:p>
        </w:tc>
        <w:tc>
          <w:tcPr>
            <w:tcW w:w="490"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203" w:type="dxa"/>
            <w:tcBorders>
              <w:top w:val="single" w:sz="4" w:space="0" w:color="000000"/>
              <w:left w:val="single" w:sz="4" w:space="0" w:color="000000"/>
              <w:bottom w:val="nil" w:sz="6" w:space="0" w:color="auto"/>
              <w:right w:val="single" w:sz="4" w:space="0" w:color="000000"/>
            </w:tcBorders>
            <w:shd w:val="clear" w:color="auto" w:fill="D2D2D2"/>
          </w:tcPr>
          <w:p>
            <w:pPr/>
          </w:p>
        </w:tc>
        <w:tc>
          <w:tcPr>
            <w:tcW w:w="490" w:type="dxa"/>
            <w:vMerge w:val="restart"/>
            <w:tcBorders>
              <w:top w:val="single" w:sz="4" w:space="0" w:color="000000"/>
              <w:left w:val="single" w:sz="10" w:space="0" w:color="D2D2D2"/>
              <w:right w:val="single" w:sz="4" w:space="0" w:color="000000"/>
            </w:tcBorders>
          </w:tcPr>
          <w:p>
            <w:pPr>
              <w:pStyle w:val="TableParagraph"/>
              <w:spacing w:line="240" w:lineRule="auto" w:before="96"/>
              <w:ind w:left="26" w:right="0"/>
              <w:jc w:val="center"/>
              <w:rPr>
                <w:rFonts w:ascii="Times New Roman" w:hAnsi="Times New Roman" w:cs="Times New Roman" w:eastAsia="Times New Roman" w:hint="default"/>
                <w:sz w:val="18"/>
                <w:szCs w:val="18"/>
              </w:rPr>
            </w:pPr>
            <w:r>
              <w:rPr>
                <w:rFonts w:ascii="Times New Roman"/>
                <w:sz w:val="18"/>
              </w:rPr>
              <w:t>80,00</w:t>
            </w:r>
          </w:p>
          <w:p>
            <w:pPr>
              <w:pStyle w:val="TableParagraph"/>
              <w:spacing w:line="240" w:lineRule="auto" w:before="100"/>
              <w:ind w:left="26"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10"/>
              <w:ind w:left="203" w:right="0"/>
              <w:jc w:val="center"/>
              <w:rPr>
                <w:rFonts w:ascii="Times New Roman" w:hAnsi="Times New Roman" w:cs="Times New Roman" w:eastAsia="Times New Roman" w:hint="default"/>
                <w:sz w:val="18"/>
                <w:szCs w:val="18"/>
              </w:rPr>
            </w:pPr>
            <w:r>
              <w:rPr>
                <w:rFonts w:ascii="Times New Roman"/>
                <w:sz w:val="18"/>
              </w:rPr>
              <w:t>.00</w:t>
            </w:r>
          </w:p>
        </w:tc>
        <w:tc>
          <w:tcPr>
            <w:tcW w:w="447" w:type="dxa"/>
            <w:vMerge w:val="restart"/>
            <w:tcBorders>
              <w:top w:val="single" w:sz="4" w:space="0" w:color="000000"/>
              <w:left w:val="single" w:sz="4" w:space="0" w:color="000000"/>
              <w:right w:val="single" w:sz="4" w:space="0" w:color="000000"/>
            </w:tcBorders>
          </w:tcPr>
          <w:p>
            <w:pPr/>
          </w:p>
        </w:tc>
        <w:tc>
          <w:tcPr>
            <w:tcW w:w="451" w:type="dxa"/>
            <w:vMerge w:val="restart"/>
            <w:tcBorders>
              <w:top w:val="single" w:sz="4" w:space="0" w:color="000000"/>
              <w:left w:val="single" w:sz="4" w:space="0" w:color="000000"/>
              <w:right w:val="single" w:sz="4" w:space="0" w:color="000000"/>
            </w:tcBorders>
          </w:tcPr>
          <w:p>
            <w:pPr/>
          </w:p>
        </w:tc>
        <w:tc>
          <w:tcPr>
            <w:tcW w:w="490"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226,78</w:t>
            </w:r>
          </w:p>
          <w:p>
            <w:pPr>
              <w:pStyle w:val="TableParagraph"/>
              <w:spacing w:line="240" w:lineRule="auto" w:before="100"/>
              <w:ind w:left="91" w:right="0"/>
              <w:jc w:val="left"/>
              <w:rPr>
                <w:rFonts w:ascii="Times New Roman" w:hAnsi="Times New Roman" w:cs="Times New Roman" w:eastAsia="Times New Roman" w:hint="default"/>
                <w:sz w:val="18"/>
                <w:szCs w:val="18"/>
              </w:rPr>
            </w:pPr>
            <w:r>
              <w:rPr>
                <w:rFonts w:ascii="Times New Roman"/>
                <w:sz w:val="18"/>
              </w:rPr>
              <w:t>3,020.</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02</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20,763</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,715.0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576" w:type="dxa"/>
            <w:vMerge w:val="restart"/>
            <w:tcBorders>
              <w:top w:val="single" w:sz="4" w:space="0" w:color="000000"/>
              <w:left w:val="single" w:sz="4" w:space="0" w:color="000000"/>
              <w:right w:val="single" w:sz="4" w:space="0" w:color="000000"/>
            </w:tcBorders>
          </w:tcPr>
          <w:p>
            <w:pPr/>
          </w:p>
        </w:tc>
        <w:tc>
          <w:tcPr>
            <w:tcW w:w="591" w:type="dxa"/>
            <w:vMerge w:val="restart"/>
            <w:tcBorders>
              <w:top w:val="single" w:sz="4" w:space="0" w:color="000000"/>
              <w:left w:val="single" w:sz="4" w:space="0" w:color="000000"/>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177,29</w:t>
            </w:r>
          </w:p>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z w:val="18"/>
              </w:rPr>
              <w:t>3,242.</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59</w:t>
            </w:r>
          </w:p>
        </w:tc>
        <w:tc>
          <w:tcPr>
            <w:tcW w:w="566"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504,83</w:t>
            </w:r>
          </w:p>
          <w:p>
            <w:pPr>
              <w:pStyle w:val="TableParagraph"/>
              <w:spacing w:line="240" w:lineRule="auto" w:before="100"/>
              <w:ind w:left="81" w:right="0"/>
              <w:jc w:val="left"/>
              <w:rPr>
                <w:rFonts w:ascii="Times New Roman" w:hAnsi="Times New Roman" w:cs="Times New Roman" w:eastAsia="Times New Roman" w:hint="default"/>
                <w:sz w:val="18"/>
                <w:szCs w:val="18"/>
              </w:rPr>
            </w:pPr>
            <w:r>
              <w:rPr>
                <w:rFonts w:ascii="Times New Roman"/>
                <w:sz w:val="18"/>
              </w:rPr>
              <w:t>9,977.</w:t>
            </w:r>
          </w:p>
          <w:p>
            <w:pPr>
              <w:pStyle w:val="TableParagraph"/>
              <w:spacing w:line="240" w:lineRule="auto" w:before="110"/>
              <w:ind w:left="355" w:right="0"/>
              <w:jc w:val="left"/>
              <w:rPr>
                <w:rFonts w:ascii="Times New Roman" w:hAnsi="Times New Roman" w:cs="Times New Roman" w:eastAsia="Times New Roman" w:hint="default"/>
                <w:sz w:val="18"/>
                <w:szCs w:val="18"/>
              </w:rPr>
            </w:pPr>
            <w:r>
              <w:rPr>
                <w:rFonts w:ascii="Times New Roman"/>
                <w:sz w:val="18"/>
              </w:rPr>
              <w:t>70</w:t>
            </w:r>
          </w:p>
        </w:tc>
        <w:tc>
          <w:tcPr>
            <w:tcW w:w="64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9,684,7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12.94</w:t>
            </w:r>
          </w:p>
        </w:tc>
        <w:tc>
          <w:tcPr>
            <w:tcW w:w="64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514,524</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,690.64</w:t>
            </w:r>
          </w:p>
        </w:tc>
      </w:tr>
      <w:tr>
        <w:trPr>
          <w:trHeight w:val="701" w:hRule="exact"/>
        </w:trPr>
        <w:tc>
          <w:tcPr>
            <w:tcW w:w="12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11" w:right="94"/>
              <w:jc w:val="left"/>
              <w:rPr>
                <w:rFonts w:ascii="宋体" w:hAnsi="宋体" w:cs="宋体" w:eastAsia="宋体" w:hint="default"/>
                <w:sz w:val="18"/>
                <w:szCs w:val="18"/>
              </w:rPr>
            </w:pPr>
            <w:r>
              <w:rPr>
                <w:rFonts w:ascii="宋体" w:hAnsi="宋体" w:cs="宋体" w:eastAsia="宋体" w:hint="default"/>
                <w:spacing w:val="-2"/>
                <w:sz w:val="18"/>
                <w:szCs w:val="18"/>
              </w:rPr>
              <w:t>二、本年期初</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c>
          <w:tcPr>
            <w:tcW w:w="490" w:type="dxa"/>
            <w:vMerge/>
            <w:tcBorders>
              <w:left w:val="single" w:sz="10" w:space="0" w:color="D2D2D2"/>
              <w:right w:val="single" w:sz="4" w:space="0" w:color="000000"/>
            </w:tcBorders>
          </w:tcPr>
          <w:p>
            <w:pPr/>
          </w:p>
        </w:tc>
        <w:tc>
          <w:tcPr>
            <w:tcW w:w="447" w:type="dxa"/>
            <w:vMerge/>
            <w:tcBorders>
              <w:left w:val="single" w:sz="4" w:space="0" w:color="000000"/>
              <w:right w:val="single" w:sz="4" w:space="0" w:color="000000"/>
            </w:tcBorders>
          </w:tcPr>
          <w:p>
            <w:pPr/>
          </w:p>
        </w:tc>
        <w:tc>
          <w:tcPr>
            <w:tcW w:w="451"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44" w:type="dxa"/>
            <w:vMerge/>
            <w:tcBorders>
              <w:left w:val="single" w:sz="4" w:space="0" w:color="000000"/>
              <w:right w:val="single" w:sz="4" w:space="0" w:color="000000"/>
            </w:tcBorders>
          </w:tcPr>
          <w:p>
            <w:pPr/>
          </w:p>
        </w:tc>
        <w:tc>
          <w:tcPr>
            <w:tcW w:w="648" w:type="dxa"/>
            <w:vMerge/>
            <w:tcBorders>
              <w:left w:val="single" w:sz="4" w:space="0" w:color="000000"/>
              <w:right w:val="single" w:sz="4" w:space="0" w:color="000000"/>
            </w:tcBorders>
          </w:tcPr>
          <w:p>
            <w:pPr/>
          </w:p>
        </w:tc>
      </w:tr>
      <w:tr>
        <w:trPr>
          <w:trHeight w:val="163" w:hRule="exact"/>
        </w:trPr>
        <w:tc>
          <w:tcPr>
            <w:tcW w:w="1203" w:type="dxa"/>
            <w:tcBorders>
              <w:top w:val="nil" w:sz="6" w:space="0" w:color="auto"/>
              <w:left w:val="single" w:sz="4" w:space="0" w:color="000000"/>
              <w:bottom w:val="single" w:sz="4" w:space="0" w:color="000000"/>
              <w:right w:val="single" w:sz="4" w:space="0" w:color="000000"/>
            </w:tcBorders>
            <w:shd w:val="clear" w:color="auto" w:fill="D2D2D2"/>
          </w:tcPr>
          <w:p>
            <w:pPr/>
          </w:p>
        </w:tc>
        <w:tc>
          <w:tcPr>
            <w:tcW w:w="490" w:type="dxa"/>
            <w:vMerge/>
            <w:tcBorders>
              <w:left w:val="single" w:sz="10" w:space="0" w:color="D2D2D2"/>
              <w:bottom w:val="single" w:sz="4" w:space="0" w:color="000000"/>
              <w:right w:val="single" w:sz="4" w:space="0" w:color="000000"/>
            </w:tcBorders>
          </w:tcPr>
          <w:p>
            <w:pPr/>
          </w:p>
        </w:tc>
        <w:tc>
          <w:tcPr>
            <w:tcW w:w="447" w:type="dxa"/>
            <w:vMerge/>
            <w:tcBorders>
              <w:left w:val="single" w:sz="4" w:space="0" w:color="000000"/>
              <w:bottom w:val="single" w:sz="4" w:space="0" w:color="000000"/>
              <w:right w:val="single" w:sz="4" w:space="0" w:color="000000"/>
            </w:tcBorders>
          </w:tcPr>
          <w:p>
            <w:pPr/>
          </w:p>
        </w:tc>
        <w:tc>
          <w:tcPr>
            <w:tcW w:w="451" w:type="dxa"/>
            <w:vMerge/>
            <w:tcBorders>
              <w:left w:val="single" w:sz="4" w:space="0" w:color="000000"/>
              <w:bottom w:val="single" w:sz="4" w:space="0" w:color="000000"/>
              <w:right w:val="single" w:sz="4" w:space="0" w:color="000000"/>
            </w:tcBorders>
          </w:tcPr>
          <w:p>
            <w:pPr/>
          </w:p>
        </w:tc>
        <w:tc>
          <w:tcPr>
            <w:tcW w:w="490"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91"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44" w:type="dxa"/>
            <w:vMerge/>
            <w:tcBorders>
              <w:left w:val="single" w:sz="4" w:space="0" w:color="000000"/>
              <w:bottom w:val="single" w:sz="4" w:space="0" w:color="000000"/>
              <w:right w:val="single" w:sz="4" w:space="0" w:color="000000"/>
            </w:tcBorders>
          </w:tcPr>
          <w:p>
            <w:pPr/>
          </w:p>
        </w:tc>
        <w:tc>
          <w:tcPr>
            <w:tcW w:w="648" w:type="dxa"/>
            <w:vMerge/>
            <w:tcBorders>
              <w:left w:val="single" w:sz="4" w:space="0" w:color="000000"/>
              <w:bottom w:val="single" w:sz="4" w:space="0" w:color="000000"/>
              <w:right w:val="single" w:sz="4" w:space="0" w:color="000000"/>
            </w:tcBorders>
          </w:tcPr>
          <w:p>
            <w:pPr/>
          </w:p>
        </w:tc>
      </w:tr>
      <w:tr>
        <w:trPr>
          <w:trHeight w:val="1335" w:hRule="exact"/>
        </w:trPr>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1" w:right="94"/>
              <w:jc w:val="both"/>
              <w:rPr>
                <w:rFonts w:ascii="宋体" w:hAnsi="宋体" w:cs="宋体" w:eastAsia="宋体" w:hint="default"/>
                <w:sz w:val="18"/>
                <w:szCs w:val="18"/>
              </w:rPr>
            </w:pPr>
            <w:r>
              <w:rPr>
                <w:rFonts w:ascii="宋体" w:hAnsi="宋体" w:cs="宋体" w:eastAsia="宋体" w:hint="default"/>
                <w:spacing w:val="-2"/>
                <w:sz w:val="18"/>
                <w:szCs w:val="18"/>
              </w:rPr>
              <w:t>三、本期增减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变动金额（减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6"/>
                <w:sz w:val="18"/>
                <w:szCs w:val="18"/>
              </w:rPr>
              <w:t> </w:t>
            </w:r>
            <w:r>
              <w:rPr>
                <w:rFonts w:ascii="宋体" w:hAnsi="宋体" w:cs="宋体" w:eastAsia="宋体" w:hint="default"/>
                <w:sz w:val="18"/>
                <w:szCs w:val="18"/>
              </w:rPr>
              <w:t>列）</w:t>
            </w:r>
          </w:p>
        </w:tc>
        <w:tc>
          <w:tcPr>
            <w:tcW w:w="4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3,090</w:t>
            </w:r>
          </w:p>
          <w:p>
            <w:pPr>
              <w:pStyle w:val="TableParagraph"/>
              <w:spacing w:line="240" w:lineRule="auto" w:before="105"/>
              <w:ind w:left="62"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left="247" w:right="0"/>
              <w:jc w:val="center"/>
              <w:rPr>
                <w:rFonts w:ascii="Times New Roman" w:hAnsi="Times New Roman" w:cs="Times New Roman" w:eastAsia="Times New Roman" w:hint="default"/>
                <w:sz w:val="18"/>
                <w:szCs w:val="18"/>
              </w:rPr>
            </w:pPr>
            <w:r>
              <w:rPr>
                <w:rFonts w:ascii="Times New Roman"/>
                <w:sz w:val="18"/>
              </w:rPr>
              <w:t>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54,694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2"/>
                <w:sz w:val="18"/>
              </w:rPr>
              <w:t>,811.7</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50,892</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,300.0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4,300,</w:t>
            </w:r>
          </w:p>
          <w:p>
            <w:pPr>
              <w:pStyle w:val="TableParagraph"/>
              <w:spacing w:line="240" w:lineRule="auto" w:before="105"/>
              <w:ind w:left="47" w:right="0"/>
              <w:jc w:val="left"/>
              <w:rPr>
                <w:rFonts w:ascii="Times New Roman" w:hAnsi="Times New Roman" w:cs="Times New Roman" w:eastAsia="Times New Roman" w:hint="default"/>
                <w:sz w:val="18"/>
                <w:szCs w:val="18"/>
              </w:rPr>
            </w:pPr>
            <w:r>
              <w:rPr>
                <w:rFonts w:ascii="Times New Roman"/>
                <w:sz w:val="18"/>
              </w:rPr>
              <w:t>452.80</w:t>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31,158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,174.0</w:t>
            </w:r>
          </w:p>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42,351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,138.6</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953,993</w:t>
            </w:r>
          </w:p>
          <w:p>
            <w:pPr>
              <w:pStyle w:val="TableParagraph"/>
              <w:spacing w:line="240" w:lineRule="auto" w:before="105"/>
              <w:ind w:left="384" w:right="0"/>
              <w:jc w:val="left"/>
              <w:rPr>
                <w:rFonts w:ascii="Times New Roman" w:hAnsi="Times New Roman" w:cs="Times New Roman" w:eastAsia="Times New Roman" w:hint="default"/>
                <w:sz w:val="18"/>
                <w:szCs w:val="18"/>
              </w:rPr>
            </w:pPr>
            <w:r>
              <w:rPr>
                <w:rFonts w:ascii="Times New Roman"/>
                <w:sz w:val="18"/>
              </w:rPr>
              <w:t>.92</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43,305,</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132.53</w:t>
            </w:r>
          </w:p>
        </w:tc>
      </w:tr>
      <w:tr>
        <w:trPr>
          <w:trHeight w:val="163" w:hRule="exact"/>
        </w:trPr>
        <w:tc>
          <w:tcPr>
            <w:tcW w:w="1203" w:type="dxa"/>
            <w:tcBorders>
              <w:top w:val="single" w:sz="4" w:space="0" w:color="000000"/>
              <w:left w:val="single" w:sz="4" w:space="0" w:color="000000"/>
              <w:bottom w:val="nil" w:sz="6" w:space="0" w:color="auto"/>
              <w:right w:val="single" w:sz="4" w:space="0" w:color="000000"/>
            </w:tcBorders>
            <w:shd w:val="clear" w:color="auto" w:fill="D2D2D2"/>
          </w:tcPr>
          <w:p>
            <w:pPr/>
          </w:p>
        </w:tc>
        <w:tc>
          <w:tcPr>
            <w:tcW w:w="490" w:type="dxa"/>
            <w:vMerge w:val="restart"/>
            <w:tcBorders>
              <w:top w:val="single" w:sz="4" w:space="0" w:color="000000"/>
              <w:left w:val="single" w:sz="10" w:space="0" w:color="D2D2D2"/>
              <w:right w:val="single" w:sz="4" w:space="0" w:color="000000"/>
            </w:tcBorders>
          </w:tcPr>
          <w:p>
            <w:pPr/>
          </w:p>
        </w:tc>
        <w:tc>
          <w:tcPr>
            <w:tcW w:w="447" w:type="dxa"/>
            <w:vMerge w:val="restart"/>
            <w:tcBorders>
              <w:top w:val="single" w:sz="4" w:space="0" w:color="000000"/>
              <w:left w:val="single" w:sz="4" w:space="0" w:color="000000"/>
              <w:right w:val="single" w:sz="4" w:space="0" w:color="000000"/>
            </w:tcBorders>
          </w:tcPr>
          <w:p>
            <w:pPr/>
          </w:p>
        </w:tc>
        <w:tc>
          <w:tcPr>
            <w:tcW w:w="451" w:type="dxa"/>
            <w:vMerge w:val="restart"/>
            <w:tcBorders>
              <w:top w:val="single" w:sz="4" w:space="0" w:color="000000"/>
              <w:left w:val="single" w:sz="4" w:space="0" w:color="000000"/>
              <w:right w:val="single" w:sz="4" w:space="0" w:color="000000"/>
            </w:tcBorders>
          </w:tcPr>
          <w:p>
            <w:pPr/>
          </w:p>
        </w:tc>
        <w:tc>
          <w:tcPr>
            <w:tcW w:w="490"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91" w:type="dxa"/>
            <w:vMerge w:val="restart"/>
            <w:tcBorders>
              <w:top w:val="single" w:sz="4" w:space="0" w:color="000000"/>
              <w:left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40,444</w:t>
            </w:r>
          </w:p>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,026.8</w:t>
            </w:r>
          </w:p>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566"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40,444</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,026.8</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64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-1,849,</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714.20</w:t>
            </w:r>
          </w:p>
        </w:tc>
        <w:tc>
          <w:tcPr>
            <w:tcW w:w="64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38,594,</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312.63</w:t>
            </w:r>
          </w:p>
        </w:tc>
      </w:tr>
      <w:tr>
        <w:trPr>
          <w:trHeight w:val="706" w:hRule="exact"/>
        </w:trPr>
        <w:tc>
          <w:tcPr>
            <w:tcW w:w="12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11" w:right="94"/>
              <w:jc w:val="left"/>
              <w:rPr>
                <w:rFonts w:ascii="宋体" w:hAnsi="宋体" w:cs="宋体" w:eastAsia="宋体" w:hint="default"/>
                <w:sz w:val="18"/>
                <w:szCs w:val="18"/>
              </w:rPr>
            </w:pPr>
            <w:r>
              <w:rPr>
                <w:rFonts w:ascii="宋体" w:hAnsi="宋体" w:cs="宋体" w:eastAsia="宋体" w:hint="default"/>
                <w:spacing w:val="-2"/>
                <w:sz w:val="18"/>
                <w:szCs w:val="18"/>
              </w:rPr>
              <w:t>（一）综合收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益总额</w:t>
            </w:r>
          </w:p>
        </w:tc>
        <w:tc>
          <w:tcPr>
            <w:tcW w:w="490" w:type="dxa"/>
            <w:vMerge/>
            <w:tcBorders>
              <w:left w:val="single" w:sz="10" w:space="0" w:color="D2D2D2"/>
              <w:right w:val="single" w:sz="4" w:space="0" w:color="000000"/>
            </w:tcBorders>
          </w:tcPr>
          <w:p>
            <w:pPr/>
          </w:p>
        </w:tc>
        <w:tc>
          <w:tcPr>
            <w:tcW w:w="447" w:type="dxa"/>
            <w:vMerge/>
            <w:tcBorders>
              <w:left w:val="single" w:sz="4" w:space="0" w:color="000000"/>
              <w:right w:val="single" w:sz="4" w:space="0" w:color="000000"/>
            </w:tcBorders>
          </w:tcPr>
          <w:p>
            <w:pPr/>
          </w:p>
        </w:tc>
        <w:tc>
          <w:tcPr>
            <w:tcW w:w="451"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44" w:type="dxa"/>
            <w:vMerge/>
            <w:tcBorders>
              <w:left w:val="single" w:sz="4" w:space="0" w:color="000000"/>
              <w:right w:val="single" w:sz="4" w:space="0" w:color="000000"/>
            </w:tcBorders>
          </w:tcPr>
          <w:p>
            <w:pPr/>
          </w:p>
        </w:tc>
        <w:tc>
          <w:tcPr>
            <w:tcW w:w="648" w:type="dxa"/>
            <w:vMerge/>
            <w:tcBorders>
              <w:left w:val="single" w:sz="4" w:space="0" w:color="000000"/>
              <w:right w:val="single" w:sz="4" w:space="0" w:color="000000"/>
            </w:tcBorders>
          </w:tcPr>
          <w:p>
            <w:pPr/>
          </w:p>
        </w:tc>
      </w:tr>
      <w:tr>
        <w:trPr>
          <w:trHeight w:val="159" w:hRule="exact"/>
        </w:trPr>
        <w:tc>
          <w:tcPr>
            <w:tcW w:w="1203" w:type="dxa"/>
            <w:tcBorders>
              <w:top w:val="nil" w:sz="6" w:space="0" w:color="auto"/>
              <w:left w:val="single" w:sz="4" w:space="0" w:color="000000"/>
              <w:bottom w:val="single" w:sz="4" w:space="0" w:color="000000"/>
              <w:right w:val="single" w:sz="4" w:space="0" w:color="000000"/>
            </w:tcBorders>
            <w:shd w:val="clear" w:color="auto" w:fill="D2D2D2"/>
          </w:tcPr>
          <w:p>
            <w:pPr/>
          </w:p>
        </w:tc>
        <w:tc>
          <w:tcPr>
            <w:tcW w:w="490" w:type="dxa"/>
            <w:vMerge/>
            <w:tcBorders>
              <w:left w:val="single" w:sz="10" w:space="0" w:color="D2D2D2"/>
              <w:bottom w:val="single" w:sz="4" w:space="0" w:color="000000"/>
              <w:right w:val="single" w:sz="4" w:space="0" w:color="000000"/>
            </w:tcBorders>
          </w:tcPr>
          <w:p>
            <w:pPr/>
          </w:p>
        </w:tc>
        <w:tc>
          <w:tcPr>
            <w:tcW w:w="447" w:type="dxa"/>
            <w:vMerge/>
            <w:tcBorders>
              <w:left w:val="single" w:sz="4" w:space="0" w:color="000000"/>
              <w:bottom w:val="single" w:sz="4" w:space="0" w:color="000000"/>
              <w:right w:val="single" w:sz="4" w:space="0" w:color="000000"/>
            </w:tcBorders>
          </w:tcPr>
          <w:p>
            <w:pPr/>
          </w:p>
        </w:tc>
        <w:tc>
          <w:tcPr>
            <w:tcW w:w="451" w:type="dxa"/>
            <w:vMerge/>
            <w:tcBorders>
              <w:left w:val="single" w:sz="4" w:space="0" w:color="000000"/>
              <w:bottom w:val="single" w:sz="4" w:space="0" w:color="000000"/>
              <w:right w:val="single" w:sz="4" w:space="0" w:color="000000"/>
            </w:tcBorders>
          </w:tcPr>
          <w:p>
            <w:pPr/>
          </w:p>
        </w:tc>
        <w:tc>
          <w:tcPr>
            <w:tcW w:w="490"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91"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44" w:type="dxa"/>
            <w:vMerge/>
            <w:tcBorders>
              <w:left w:val="single" w:sz="4" w:space="0" w:color="000000"/>
              <w:bottom w:val="single" w:sz="4" w:space="0" w:color="000000"/>
              <w:right w:val="single" w:sz="4" w:space="0" w:color="000000"/>
            </w:tcBorders>
          </w:tcPr>
          <w:p>
            <w:pPr/>
          </w:p>
        </w:tc>
        <w:tc>
          <w:tcPr>
            <w:tcW w:w="648" w:type="dxa"/>
            <w:vMerge/>
            <w:tcBorders>
              <w:left w:val="single" w:sz="4" w:space="0" w:color="000000"/>
              <w:bottom w:val="single" w:sz="4" w:space="0" w:color="000000"/>
              <w:right w:val="single" w:sz="4" w:space="0" w:color="000000"/>
            </w:tcBorders>
          </w:tcPr>
          <w:p>
            <w:pPr/>
          </w:p>
        </w:tc>
      </w:tr>
      <w:tr>
        <w:trPr>
          <w:trHeight w:val="1027" w:hRule="exact"/>
        </w:trPr>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94"/>
              <w:jc w:val="both"/>
              <w:rPr>
                <w:rFonts w:ascii="宋体" w:hAnsi="宋体" w:cs="宋体" w:eastAsia="宋体" w:hint="default"/>
                <w:sz w:val="18"/>
                <w:szCs w:val="18"/>
              </w:rPr>
            </w:pPr>
            <w:r>
              <w:rPr>
                <w:rFonts w:ascii="宋体" w:hAnsi="宋体" w:cs="宋体" w:eastAsia="宋体" w:hint="default"/>
                <w:spacing w:val="-2"/>
                <w:sz w:val="18"/>
                <w:szCs w:val="18"/>
              </w:rPr>
              <w:t>（二）所有者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投入和减少资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本</w:t>
            </w:r>
          </w:p>
        </w:tc>
        <w:tc>
          <w:tcPr>
            <w:tcW w:w="4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40" w:right="0"/>
              <w:jc w:val="left"/>
              <w:rPr>
                <w:rFonts w:ascii="Times New Roman" w:hAnsi="Times New Roman" w:cs="Times New Roman" w:eastAsia="Times New Roman" w:hint="default"/>
                <w:sz w:val="18"/>
                <w:szCs w:val="18"/>
              </w:rPr>
            </w:pPr>
            <w:r>
              <w:rPr>
                <w:rFonts w:ascii="Times New Roman"/>
                <w:sz w:val="18"/>
              </w:rPr>
              <w:t>3,090</w:t>
            </w:r>
          </w:p>
          <w:p>
            <w:pPr>
              <w:pStyle w:val="TableParagraph"/>
              <w:spacing w:line="240" w:lineRule="auto" w:before="105"/>
              <w:ind w:left="62"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left="247" w:right="0"/>
              <w:jc w:val="center"/>
              <w:rPr>
                <w:rFonts w:ascii="Times New Roman" w:hAnsi="Times New Roman" w:cs="Times New Roman" w:eastAsia="Times New Roman" w:hint="default"/>
                <w:sz w:val="18"/>
                <w:szCs w:val="18"/>
              </w:rPr>
            </w:pPr>
            <w:r>
              <w:rPr>
                <w:rFonts w:ascii="Times New Roman"/>
                <w:sz w:val="18"/>
              </w:rPr>
              <w:t>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61,138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,583.8</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51,085</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,500.0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13,143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,083.8</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273,756</w:t>
            </w:r>
          </w:p>
          <w:p>
            <w:pPr>
              <w:pStyle w:val="TableParagraph"/>
              <w:spacing w:line="240" w:lineRule="auto" w:before="105"/>
              <w:ind w:left="384" w:right="0"/>
              <w:jc w:val="left"/>
              <w:rPr>
                <w:rFonts w:ascii="Times New Roman" w:hAnsi="Times New Roman" w:cs="Times New Roman" w:eastAsia="Times New Roman" w:hint="default"/>
                <w:sz w:val="18"/>
                <w:szCs w:val="18"/>
              </w:rPr>
            </w:pPr>
            <w:r>
              <w:rPr>
                <w:rFonts w:ascii="Times New Roman"/>
                <w:sz w:val="18"/>
              </w:rPr>
              <w:t>.77</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13,416,</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840.63</w:t>
            </w:r>
          </w:p>
        </w:tc>
      </w:tr>
      <w:tr>
        <w:trPr>
          <w:trHeight w:val="163" w:hRule="exact"/>
        </w:trPr>
        <w:tc>
          <w:tcPr>
            <w:tcW w:w="1203" w:type="dxa"/>
            <w:tcBorders>
              <w:top w:val="single" w:sz="4" w:space="0" w:color="000000"/>
              <w:left w:val="single" w:sz="4" w:space="0" w:color="000000"/>
              <w:bottom w:val="nil" w:sz="6" w:space="0" w:color="auto"/>
              <w:right w:val="single" w:sz="4" w:space="0" w:color="000000"/>
            </w:tcBorders>
            <w:shd w:val="clear" w:color="auto" w:fill="D2D2D2"/>
          </w:tcPr>
          <w:p>
            <w:pPr/>
          </w:p>
        </w:tc>
        <w:tc>
          <w:tcPr>
            <w:tcW w:w="490" w:type="dxa"/>
            <w:vMerge w:val="restart"/>
            <w:tcBorders>
              <w:top w:val="single" w:sz="4" w:space="0" w:color="000000"/>
              <w:left w:val="single" w:sz="10" w:space="0" w:color="D2D2D2"/>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3,220</w:t>
            </w:r>
          </w:p>
          <w:p>
            <w:pPr>
              <w:pStyle w:val="TableParagraph"/>
              <w:spacing w:line="240" w:lineRule="auto" w:before="101"/>
              <w:ind w:left="67"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left="252" w:right="0"/>
              <w:jc w:val="center"/>
              <w:rPr>
                <w:rFonts w:ascii="Times New Roman" w:hAnsi="Times New Roman" w:cs="Times New Roman" w:eastAsia="Times New Roman" w:hint="default"/>
                <w:sz w:val="18"/>
                <w:szCs w:val="18"/>
              </w:rPr>
            </w:pPr>
            <w:r>
              <w:rPr>
                <w:rFonts w:ascii="Times New Roman"/>
                <w:sz w:val="18"/>
              </w:rPr>
              <w:t>00</w:t>
            </w:r>
          </w:p>
        </w:tc>
        <w:tc>
          <w:tcPr>
            <w:tcW w:w="447" w:type="dxa"/>
            <w:vMerge w:val="restart"/>
            <w:tcBorders>
              <w:top w:val="single" w:sz="4" w:space="0" w:color="000000"/>
              <w:left w:val="single" w:sz="4" w:space="0" w:color="000000"/>
              <w:right w:val="single" w:sz="4" w:space="0" w:color="000000"/>
            </w:tcBorders>
          </w:tcPr>
          <w:p>
            <w:pPr/>
          </w:p>
        </w:tc>
        <w:tc>
          <w:tcPr>
            <w:tcW w:w="451" w:type="dxa"/>
            <w:vMerge w:val="restart"/>
            <w:tcBorders>
              <w:top w:val="single" w:sz="4" w:space="0" w:color="000000"/>
              <w:left w:val="single" w:sz="4" w:space="0" w:color="000000"/>
              <w:right w:val="single" w:sz="4" w:space="0" w:color="000000"/>
            </w:tcBorders>
          </w:tcPr>
          <w:p>
            <w:pPr/>
          </w:p>
        </w:tc>
        <w:tc>
          <w:tcPr>
            <w:tcW w:w="490"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50,006</w:t>
            </w:r>
          </w:p>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,600.0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53,226</w:t>
            </w:r>
          </w:p>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,600.0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7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91"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64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819,900</w:t>
            </w:r>
          </w:p>
          <w:p>
            <w:pPr>
              <w:pStyle w:val="TableParagraph"/>
              <w:spacing w:line="240" w:lineRule="auto" w:before="105"/>
              <w:ind w:left="384" w:right="0"/>
              <w:jc w:val="left"/>
              <w:rPr>
                <w:rFonts w:ascii="Times New Roman" w:hAnsi="Times New Roman" w:cs="Times New Roman" w:eastAsia="Times New Roman" w:hint="default"/>
                <w:sz w:val="18"/>
                <w:szCs w:val="18"/>
              </w:rPr>
            </w:pPr>
            <w:r>
              <w:rPr>
                <w:rFonts w:ascii="Times New Roman"/>
                <w:sz w:val="18"/>
              </w:rPr>
              <w:t>.00</w:t>
            </w:r>
          </w:p>
        </w:tc>
        <w:tc>
          <w:tcPr>
            <w:tcW w:w="64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819,900</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.00</w:t>
            </w:r>
          </w:p>
        </w:tc>
      </w:tr>
      <w:tr>
        <w:trPr>
          <w:trHeight w:val="701" w:hRule="exact"/>
        </w:trPr>
        <w:tc>
          <w:tcPr>
            <w:tcW w:w="12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0" w:lineRule="auto" w:before="53"/>
              <w:ind w:left="11"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．所有者投入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的普通股</w:t>
            </w:r>
          </w:p>
        </w:tc>
        <w:tc>
          <w:tcPr>
            <w:tcW w:w="490" w:type="dxa"/>
            <w:vMerge/>
            <w:tcBorders>
              <w:left w:val="single" w:sz="10" w:space="0" w:color="D2D2D2"/>
              <w:right w:val="single" w:sz="4" w:space="0" w:color="000000"/>
            </w:tcBorders>
          </w:tcPr>
          <w:p>
            <w:pPr/>
          </w:p>
        </w:tc>
        <w:tc>
          <w:tcPr>
            <w:tcW w:w="447" w:type="dxa"/>
            <w:vMerge/>
            <w:tcBorders>
              <w:left w:val="single" w:sz="4" w:space="0" w:color="000000"/>
              <w:right w:val="single" w:sz="4" w:space="0" w:color="000000"/>
            </w:tcBorders>
          </w:tcPr>
          <w:p>
            <w:pPr/>
          </w:p>
        </w:tc>
        <w:tc>
          <w:tcPr>
            <w:tcW w:w="451"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44" w:type="dxa"/>
            <w:vMerge/>
            <w:tcBorders>
              <w:left w:val="single" w:sz="4" w:space="0" w:color="000000"/>
              <w:right w:val="single" w:sz="4" w:space="0" w:color="000000"/>
            </w:tcBorders>
          </w:tcPr>
          <w:p>
            <w:pPr/>
          </w:p>
        </w:tc>
        <w:tc>
          <w:tcPr>
            <w:tcW w:w="648" w:type="dxa"/>
            <w:vMerge/>
            <w:tcBorders>
              <w:left w:val="single" w:sz="4" w:space="0" w:color="000000"/>
              <w:right w:val="single" w:sz="4" w:space="0" w:color="000000"/>
            </w:tcBorders>
          </w:tcPr>
          <w:p>
            <w:pPr/>
          </w:p>
        </w:tc>
      </w:tr>
      <w:tr>
        <w:trPr>
          <w:trHeight w:val="163" w:hRule="exact"/>
        </w:trPr>
        <w:tc>
          <w:tcPr>
            <w:tcW w:w="1203" w:type="dxa"/>
            <w:tcBorders>
              <w:top w:val="nil" w:sz="6" w:space="0" w:color="auto"/>
              <w:left w:val="single" w:sz="4" w:space="0" w:color="000000"/>
              <w:bottom w:val="single" w:sz="4" w:space="0" w:color="000000"/>
              <w:right w:val="single" w:sz="4" w:space="0" w:color="000000"/>
            </w:tcBorders>
            <w:shd w:val="clear" w:color="auto" w:fill="D2D2D2"/>
          </w:tcPr>
          <w:p>
            <w:pPr/>
          </w:p>
        </w:tc>
        <w:tc>
          <w:tcPr>
            <w:tcW w:w="490" w:type="dxa"/>
            <w:vMerge/>
            <w:tcBorders>
              <w:left w:val="single" w:sz="10" w:space="0" w:color="D2D2D2"/>
              <w:bottom w:val="single" w:sz="4" w:space="0" w:color="000000"/>
              <w:right w:val="single" w:sz="4" w:space="0" w:color="000000"/>
            </w:tcBorders>
          </w:tcPr>
          <w:p>
            <w:pPr/>
          </w:p>
        </w:tc>
        <w:tc>
          <w:tcPr>
            <w:tcW w:w="447" w:type="dxa"/>
            <w:vMerge/>
            <w:tcBorders>
              <w:left w:val="single" w:sz="4" w:space="0" w:color="000000"/>
              <w:bottom w:val="single" w:sz="4" w:space="0" w:color="000000"/>
              <w:right w:val="single" w:sz="4" w:space="0" w:color="000000"/>
            </w:tcBorders>
          </w:tcPr>
          <w:p>
            <w:pPr/>
          </w:p>
        </w:tc>
        <w:tc>
          <w:tcPr>
            <w:tcW w:w="451" w:type="dxa"/>
            <w:vMerge/>
            <w:tcBorders>
              <w:left w:val="single" w:sz="4" w:space="0" w:color="000000"/>
              <w:bottom w:val="single" w:sz="4" w:space="0" w:color="000000"/>
              <w:right w:val="single" w:sz="4" w:space="0" w:color="000000"/>
            </w:tcBorders>
          </w:tcPr>
          <w:p>
            <w:pPr/>
          </w:p>
        </w:tc>
        <w:tc>
          <w:tcPr>
            <w:tcW w:w="490"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91"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44" w:type="dxa"/>
            <w:vMerge/>
            <w:tcBorders>
              <w:left w:val="single" w:sz="4" w:space="0" w:color="000000"/>
              <w:bottom w:val="single" w:sz="4" w:space="0" w:color="000000"/>
              <w:right w:val="single" w:sz="4" w:space="0" w:color="000000"/>
            </w:tcBorders>
          </w:tcPr>
          <w:p>
            <w:pPr/>
          </w:p>
        </w:tc>
        <w:tc>
          <w:tcPr>
            <w:tcW w:w="648" w:type="dxa"/>
            <w:vMerge/>
            <w:tcBorders>
              <w:left w:val="single" w:sz="4" w:space="0" w:color="000000"/>
              <w:bottom w:val="single" w:sz="4" w:space="0" w:color="000000"/>
              <w:right w:val="single" w:sz="4" w:space="0" w:color="000000"/>
            </w:tcBorders>
          </w:tcPr>
          <w:p>
            <w:pPr/>
          </w:p>
        </w:tc>
      </w:tr>
      <w:tr>
        <w:trPr>
          <w:trHeight w:val="403" w:hRule="exact"/>
        </w:trPr>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17"/>
              <w:jc w:val="righ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．其他权益工</w:t>
            </w:r>
          </w:p>
        </w:tc>
        <w:tc>
          <w:tcPr>
            <w:tcW w:w="490"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15"/>
        <w:gridCol w:w="490"/>
        <w:gridCol w:w="447"/>
        <w:gridCol w:w="451"/>
        <w:gridCol w:w="490"/>
        <w:gridCol w:w="577"/>
        <w:gridCol w:w="576"/>
        <w:gridCol w:w="576"/>
        <w:gridCol w:w="581"/>
        <w:gridCol w:w="576"/>
        <w:gridCol w:w="576"/>
        <w:gridCol w:w="591"/>
        <w:gridCol w:w="566"/>
        <w:gridCol w:w="566"/>
        <w:gridCol w:w="644"/>
        <w:gridCol w:w="648"/>
      </w:tblGrid>
      <w:tr>
        <w:trPr>
          <w:trHeight w:val="672"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10"/>
              <w:ind w:left="24" w:right="94"/>
              <w:jc w:val="left"/>
              <w:rPr>
                <w:rFonts w:ascii="宋体" w:hAnsi="宋体" w:cs="宋体" w:eastAsia="宋体" w:hint="default"/>
                <w:sz w:val="18"/>
                <w:szCs w:val="18"/>
              </w:rPr>
            </w:pPr>
            <w:r>
              <w:rPr>
                <w:rFonts w:ascii="宋体" w:hAnsi="宋体" w:cs="宋体" w:eastAsia="宋体" w:hint="default"/>
                <w:spacing w:val="-2"/>
                <w:sz w:val="18"/>
                <w:szCs w:val="18"/>
              </w:rPr>
              <w:t>具持有者投入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．股份支付计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13,150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pacing w:val="-1"/>
                <w:sz w:val="18"/>
              </w:rPr>
              <w:t>,883.8</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13,150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,883.8</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13,150,</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883.86</w:t>
            </w:r>
          </w:p>
        </w:tc>
      </w:tr>
      <w:tr>
        <w:trPr>
          <w:trHeight w:val="1027"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000.0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105"/>
              <w:ind w:left="47" w:right="0"/>
              <w:jc w:val="left"/>
              <w:rPr>
                <w:rFonts w:ascii="Times New Roman" w:hAnsi="Times New Roman" w:cs="Times New Roman" w:eastAsia="Times New Roman" w:hint="default"/>
                <w:sz w:val="18"/>
                <w:szCs w:val="18"/>
              </w:rPr>
            </w:pPr>
            <w:r>
              <w:rPr>
                <w:rFonts w:ascii="Times New Roman"/>
                <w:sz w:val="18"/>
              </w:rPr>
              <w:t>900.00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-2,141,</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100.00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-7,800.</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-546,14</w:t>
            </w:r>
          </w:p>
          <w:p>
            <w:pPr>
              <w:pStyle w:val="TableParagraph"/>
              <w:spacing w:line="240" w:lineRule="auto" w:before="105"/>
              <w:ind w:left="293" w:right="0"/>
              <w:jc w:val="left"/>
              <w:rPr>
                <w:rFonts w:ascii="Times New Roman" w:hAnsi="Times New Roman" w:cs="Times New Roman" w:eastAsia="Times New Roman" w:hint="default"/>
                <w:sz w:val="18"/>
                <w:szCs w:val="18"/>
              </w:rPr>
            </w:pPr>
            <w:r>
              <w:rPr>
                <w:rFonts w:ascii="Times New Roman"/>
                <w:sz w:val="18"/>
              </w:rPr>
              <w:t>3.23</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-553,94</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3.23</w:t>
            </w:r>
          </w:p>
        </w:tc>
      </w:tr>
      <w:tr>
        <w:trPr>
          <w:trHeight w:val="716"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94"/>
              <w:jc w:val="left"/>
              <w:rPr>
                <w:rFonts w:ascii="宋体" w:hAnsi="宋体" w:cs="宋体" w:eastAsia="宋体" w:hint="default"/>
                <w:sz w:val="18"/>
                <w:szCs w:val="18"/>
              </w:rPr>
            </w:pPr>
            <w:r>
              <w:rPr>
                <w:rFonts w:ascii="宋体" w:hAnsi="宋体" w:cs="宋体" w:eastAsia="宋体" w:hint="default"/>
                <w:spacing w:val="-2"/>
                <w:sz w:val="18"/>
                <w:szCs w:val="18"/>
              </w:rPr>
              <w:t>（三）利润分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left"/>
              <w:rPr>
                <w:rFonts w:ascii="Times New Roman" w:hAnsi="Times New Roman" w:cs="Times New Roman" w:eastAsia="Times New Roman" w:hint="default"/>
                <w:sz w:val="18"/>
                <w:szCs w:val="18"/>
              </w:rPr>
            </w:pPr>
            <w:r>
              <w:rPr>
                <w:rFonts w:ascii="Times New Roman"/>
                <w:sz w:val="18"/>
              </w:rPr>
              <w:t>-193,2</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00.00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4,300,</w:t>
            </w:r>
          </w:p>
          <w:p>
            <w:pPr>
              <w:pStyle w:val="TableParagraph"/>
              <w:spacing w:line="240" w:lineRule="auto" w:before="105"/>
              <w:ind w:left="47" w:right="0"/>
              <w:jc w:val="left"/>
              <w:rPr>
                <w:rFonts w:ascii="Times New Roman" w:hAnsi="Times New Roman" w:cs="Times New Roman" w:eastAsia="Times New Roman" w:hint="default"/>
                <w:sz w:val="18"/>
                <w:szCs w:val="18"/>
              </w:rPr>
            </w:pPr>
            <w:r>
              <w:rPr>
                <w:rFonts w:ascii="Times New Roman"/>
                <w:sz w:val="18"/>
              </w:rPr>
              <w:t>452.80</w:t>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-9,285,</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852.80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-4,792,</w:t>
            </w:r>
          </w:p>
          <w:p>
            <w:pPr>
              <w:pStyle w:val="TableParagraph"/>
              <w:spacing w:line="240" w:lineRule="auto" w:before="105"/>
              <w:ind w:left="38" w:right="0"/>
              <w:jc w:val="left"/>
              <w:rPr>
                <w:rFonts w:ascii="Times New Roman" w:hAnsi="Times New Roman" w:cs="Times New Roman" w:eastAsia="Times New Roman" w:hint="default"/>
                <w:sz w:val="18"/>
                <w:szCs w:val="18"/>
              </w:rPr>
            </w:pPr>
            <w:r>
              <w:rPr>
                <w:rFonts w:ascii="Times New Roman"/>
                <w:sz w:val="18"/>
              </w:rPr>
              <w:t>200.00</w:t>
            </w: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left"/>
              <w:rPr>
                <w:rFonts w:ascii="Times New Roman" w:hAnsi="Times New Roman" w:cs="Times New Roman" w:eastAsia="Times New Roman" w:hint="default"/>
                <w:sz w:val="18"/>
                <w:szCs w:val="18"/>
              </w:rPr>
            </w:pPr>
            <w:r>
              <w:rPr>
                <w:rFonts w:ascii="Times New Roman"/>
                <w:sz w:val="18"/>
              </w:rPr>
              <w:t>-4,792,</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200.00</w:t>
            </w:r>
          </w:p>
        </w:tc>
      </w:tr>
      <w:tr>
        <w:trPr>
          <w:trHeight w:val="710"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．提取盈余公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4,300,</w:t>
            </w:r>
          </w:p>
          <w:p>
            <w:pPr>
              <w:pStyle w:val="TableParagraph"/>
              <w:spacing w:line="240" w:lineRule="auto" w:before="105"/>
              <w:ind w:left="47" w:right="0"/>
              <w:jc w:val="left"/>
              <w:rPr>
                <w:rFonts w:ascii="Times New Roman" w:hAnsi="Times New Roman" w:cs="Times New Roman" w:eastAsia="Times New Roman" w:hint="default"/>
                <w:sz w:val="18"/>
                <w:szCs w:val="18"/>
              </w:rPr>
            </w:pPr>
            <w:r>
              <w:rPr>
                <w:rFonts w:ascii="Times New Roman"/>
                <w:sz w:val="18"/>
              </w:rPr>
              <w:t>452.80</w:t>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-4,300,</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452.80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．提取一般风</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21" w:lineRule="auto" w:before="63"/>
              <w:ind w:left="24" w:right="94"/>
              <w:jc w:val="left"/>
              <w:rPr>
                <w:rFonts w:ascii="宋体" w:hAnsi="宋体" w:cs="宋体" w:eastAsia="宋体" w:hint="default"/>
                <w:sz w:val="18"/>
                <w:szCs w:val="18"/>
              </w:rPr>
            </w:pPr>
            <w:r>
              <w:rPr>
                <w:rFonts w:ascii="宋体" w:hAnsi="宋体" w:cs="宋体" w:eastAsia="宋体" w:hint="default"/>
                <w:spacing w:val="-2"/>
                <w:sz w:val="18"/>
                <w:szCs w:val="18"/>
              </w:rPr>
              <w:t>（或股东）的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-193,2</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00.00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-4,985,</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400.00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-4,792,</w:t>
            </w:r>
          </w:p>
          <w:p>
            <w:pPr>
              <w:pStyle w:val="TableParagraph"/>
              <w:spacing w:line="240" w:lineRule="auto" w:before="105"/>
              <w:ind w:left="38" w:right="0"/>
              <w:jc w:val="left"/>
              <w:rPr>
                <w:rFonts w:ascii="Times New Roman" w:hAnsi="Times New Roman" w:cs="Times New Roman" w:eastAsia="Times New Roman" w:hint="default"/>
                <w:sz w:val="18"/>
                <w:szCs w:val="18"/>
              </w:rPr>
            </w:pPr>
            <w:r>
              <w:rPr>
                <w:rFonts w:ascii="Times New Roman"/>
                <w:sz w:val="18"/>
              </w:rPr>
              <w:t>200.00</w:t>
            </w: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-4,792,</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200.00</w:t>
            </w:r>
          </w:p>
        </w:tc>
      </w:tr>
      <w:tr>
        <w:trPr>
          <w:trHeight w:val="404"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94"/>
              <w:jc w:val="left"/>
              <w:rPr>
                <w:rFonts w:ascii="宋体" w:hAnsi="宋体" w:cs="宋体" w:eastAsia="宋体" w:hint="default"/>
                <w:sz w:val="18"/>
                <w:szCs w:val="18"/>
              </w:rPr>
            </w:pPr>
            <w:r>
              <w:rPr>
                <w:rFonts w:ascii="宋体" w:hAnsi="宋体" w:cs="宋体" w:eastAsia="宋体" w:hint="default"/>
                <w:spacing w:val="-2"/>
                <w:sz w:val="18"/>
                <w:szCs w:val="18"/>
              </w:rPr>
              <w:t>（四）所有者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权益内部结转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．资本公积转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．盈余公积转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．盈余公积弥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．设定受益计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划变动额结转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．其他综合收</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益结转留存收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94"/>
              <w:jc w:val="left"/>
              <w:rPr>
                <w:rFonts w:ascii="宋体" w:hAnsi="宋体" w:cs="宋体" w:eastAsia="宋体" w:hint="default"/>
                <w:sz w:val="18"/>
                <w:szCs w:val="18"/>
              </w:rPr>
            </w:pPr>
            <w:r>
              <w:rPr>
                <w:rFonts w:ascii="宋体" w:hAnsi="宋体" w:cs="宋体" w:eastAsia="宋体" w:hint="default"/>
                <w:spacing w:val="-2"/>
                <w:sz w:val="18"/>
                <w:szCs w:val="18"/>
              </w:rPr>
              <w:t>（五）专项储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15"/>
        <w:gridCol w:w="490"/>
        <w:gridCol w:w="447"/>
        <w:gridCol w:w="451"/>
        <w:gridCol w:w="490"/>
        <w:gridCol w:w="577"/>
        <w:gridCol w:w="576"/>
        <w:gridCol w:w="576"/>
        <w:gridCol w:w="581"/>
        <w:gridCol w:w="576"/>
        <w:gridCol w:w="576"/>
        <w:gridCol w:w="591"/>
        <w:gridCol w:w="566"/>
        <w:gridCol w:w="566"/>
        <w:gridCol w:w="644"/>
        <w:gridCol w:w="648"/>
      </w:tblGrid>
      <w:tr>
        <w:trPr>
          <w:trHeight w:val="715"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 w:right="0"/>
              <w:jc w:val="left"/>
              <w:rPr>
                <w:rFonts w:ascii="Times New Roman" w:hAnsi="Times New Roman" w:cs="Times New Roman" w:eastAsia="Times New Roman" w:hint="default"/>
                <w:sz w:val="18"/>
                <w:szCs w:val="18"/>
              </w:rPr>
            </w:pPr>
            <w:r>
              <w:rPr>
                <w:rFonts w:ascii="Times New Roman"/>
                <w:sz w:val="18"/>
              </w:rPr>
              <w:t>-6,443,</w:t>
            </w:r>
          </w:p>
          <w:p>
            <w:pPr>
              <w:pStyle w:val="TableParagraph"/>
              <w:spacing w:line="240" w:lineRule="auto" w:before="105"/>
              <w:ind w:left="47" w:right="0"/>
              <w:jc w:val="left"/>
              <w:rPr>
                <w:rFonts w:ascii="Times New Roman" w:hAnsi="Times New Roman" w:cs="Times New Roman" w:eastAsia="Times New Roman" w:hint="default"/>
                <w:sz w:val="18"/>
                <w:szCs w:val="18"/>
              </w:rPr>
            </w:pPr>
            <w:r>
              <w:rPr>
                <w:rFonts w:ascii="Times New Roman"/>
                <w:sz w:val="18"/>
              </w:rPr>
              <w:t>772.08</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-6,443,</w:t>
            </w:r>
          </w:p>
          <w:p>
            <w:pPr>
              <w:pStyle w:val="TableParagraph"/>
              <w:spacing w:line="240" w:lineRule="auto" w:before="105"/>
              <w:ind w:left="38" w:right="0"/>
              <w:jc w:val="left"/>
              <w:rPr>
                <w:rFonts w:ascii="Times New Roman" w:hAnsi="Times New Roman" w:cs="Times New Roman" w:eastAsia="Times New Roman" w:hint="default"/>
                <w:sz w:val="18"/>
                <w:szCs w:val="18"/>
              </w:rPr>
            </w:pPr>
            <w:r>
              <w:rPr>
                <w:rFonts w:ascii="Times New Roman"/>
                <w:sz w:val="18"/>
              </w:rPr>
              <w:t>772.08</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3" w:right="0"/>
              <w:jc w:val="center"/>
              <w:rPr>
                <w:rFonts w:ascii="Times New Roman" w:hAnsi="Times New Roman" w:cs="Times New Roman" w:eastAsia="Times New Roman" w:hint="default"/>
                <w:sz w:val="18"/>
                <w:szCs w:val="18"/>
              </w:rPr>
            </w:pPr>
            <w:r>
              <w:rPr>
                <w:rFonts w:ascii="Times New Roman"/>
                <w:sz w:val="18"/>
              </w:rPr>
              <w:t>2,529,9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51.35</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left"/>
              <w:rPr>
                <w:rFonts w:ascii="Times New Roman" w:hAnsi="Times New Roman" w:cs="Times New Roman" w:eastAsia="Times New Roman" w:hint="default"/>
                <w:sz w:val="18"/>
                <w:szCs w:val="18"/>
              </w:rPr>
            </w:pPr>
            <w:r>
              <w:rPr>
                <w:rFonts w:ascii="Times New Roman"/>
                <w:sz w:val="18"/>
              </w:rPr>
              <w:t>-3,913,</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820.73</w:t>
            </w: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21" w:lineRule="auto"/>
              <w:ind w:left="24" w:right="94"/>
              <w:jc w:val="left"/>
              <w:rPr>
                <w:rFonts w:ascii="宋体" w:hAnsi="宋体" w:cs="宋体" w:eastAsia="宋体" w:hint="default"/>
                <w:sz w:val="18"/>
                <w:szCs w:val="18"/>
              </w:rPr>
            </w:pPr>
            <w:r>
              <w:rPr>
                <w:rFonts w:ascii="宋体" w:hAnsi="宋体" w:cs="宋体" w:eastAsia="宋体" w:hint="default"/>
                <w:spacing w:val="-2"/>
                <w:sz w:val="18"/>
                <w:szCs w:val="18"/>
              </w:rPr>
              <w:t>四、本期期末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 w:right="0"/>
              <w:jc w:val="center"/>
              <w:rPr>
                <w:rFonts w:ascii="Times New Roman" w:hAnsi="Times New Roman" w:cs="Times New Roman" w:eastAsia="Times New Roman" w:hint="default"/>
                <w:sz w:val="18"/>
                <w:szCs w:val="18"/>
              </w:rPr>
            </w:pPr>
            <w:r>
              <w:rPr>
                <w:rFonts w:ascii="Times New Roman"/>
                <w:sz w:val="18"/>
              </w:rPr>
              <w:t>83,09</w:t>
            </w:r>
          </w:p>
          <w:p>
            <w:pPr>
              <w:pStyle w:val="TableParagraph"/>
              <w:spacing w:line="240" w:lineRule="auto" w:before="101"/>
              <w:ind w:left="33" w:right="0"/>
              <w:jc w:val="center"/>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10"/>
              <w:ind w:left="210" w:right="0"/>
              <w:jc w:val="center"/>
              <w:rPr>
                <w:rFonts w:ascii="Times New Roman" w:hAnsi="Times New Roman" w:cs="Times New Roman" w:eastAsia="Times New Roman" w:hint="default"/>
                <w:sz w:val="18"/>
                <w:szCs w:val="18"/>
              </w:rPr>
            </w:pPr>
            <w:r>
              <w:rPr>
                <w:rFonts w:ascii="Times New Roman"/>
                <w:sz w:val="18"/>
              </w:rPr>
              <w:t>.00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281,47</w:t>
            </w:r>
          </w:p>
          <w:p>
            <w:pPr>
              <w:pStyle w:val="TableParagraph"/>
              <w:spacing w:line="240" w:lineRule="auto" w:before="101"/>
              <w:ind w:left="91" w:right="0"/>
              <w:jc w:val="left"/>
              <w:rPr>
                <w:rFonts w:ascii="Times New Roman" w:hAnsi="Times New Roman" w:cs="Times New Roman" w:eastAsia="Times New Roman" w:hint="default"/>
                <w:sz w:val="18"/>
                <w:szCs w:val="18"/>
              </w:rPr>
            </w:pPr>
            <w:r>
              <w:rPr>
                <w:rFonts w:ascii="Times New Roman"/>
                <w:sz w:val="18"/>
              </w:rPr>
              <w:t>7,831.</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80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50,892</w:t>
            </w:r>
          </w:p>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,300.0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25,064</w:t>
            </w:r>
          </w:p>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,167.8</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208,45</w:t>
            </w:r>
          </w:p>
          <w:p>
            <w:pPr>
              <w:pStyle w:val="TableParagraph"/>
              <w:spacing w:line="240" w:lineRule="auto" w:before="101"/>
              <w:ind w:left="105" w:right="0"/>
              <w:jc w:val="left"/>
              <w:rPr>
                <w:rFonts w:ascii="Times New Roman" w:hAnsi="Times New Roman" w:cs="Times New Roman" w:eastAsia="Times New Roman" w:hint="default"/>
                <w:sz w:val="18"/>
                <w:szCs w:val="18"/>
              </w:rPr>
            </w:pPr>
            <w:r>
              <w:rPr>
                <w:rFonts w:ascii="Times New Roman"/>
                <w:sz w:val="18"/>
              </w:rPr>
              <w:t>1,416.</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62</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547,19</w:t>
            </w:r>
          </w:p>
          <w:p>
            <w:pPr>
              <w:pStyle w:val="TableParagraph"/>
              <w:spacing w:line="240" w:lineRule="auto" w:before="101"/>
              <w:ind w:left="91" w:right="0"/>
              <w:jc w:val="left"/>
              <w:rPr>
                <w:rFonts w:ascii="Times New Roman" w:hAnsi="Times New Roman" w:cs="Times New Roman" w:eastAsia="Times New Roman" w:hint="default"/>
                <w:sz w:val="18"/>
                <w:szCs w:val="18"/>
              </w:rPr>
            </w:pPr>
            <w:r>
              <w:rPr>
                <w:rFonts w:ascii="Times New Roman"/>
                <w:spacing w:val="-3"/>
                <w:sz w:val="18"/>
              </w:rPr>
              <w:t>1,116.</w:t>
            </w:r>
          </w:p>
          <w:p>
            <w:pPr>
              <w:pStyle w:val="TableParagraph"/>
              <w:spacing w:line="240" w:lineRule="auto" w:before="110"/>
              <w:ind w:left="355" w:right="0"/>
              <w:jc w:val="left"/>
              <w:rPr>
                <w:rFonts w:ascii="Times New Roman" w:hAnsi="Times New Roman" w:cs="Times New Roman" w:eastAsia="Times New Roman" w:hint="default"/>
                <w:sz w:val="18"/>
                <w:szCs w:val="18"/>
              </w:rPr>
            </w:pPr>
            <w:r>
              <w:rPr>
                <w:rFonts w:ascii="Times New Roman"/>
                <w:sz w:val="18"/>
              </w:rPr>
              <w:t>31</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10,638,</w:t>
            </w:r>
          </w:p>
          <w:p>
            <w:pPr>
              <w:pStyle w:val="TableParagraph"/>
              <w:spacing w:line="240" w:lineRule="auto" w:before="110"/>
              <w:ind w:left="115" w:right="0"/>
              <w:jc w:val="left"/>
              <w:rPr>
                <w:rFonts w:ascii="Times New Roman" w:hAnsi="Times New Roman" w:cs="Times New Roman" w:eastAsia="Times New Roman" w:hint="default"/>
                <w:sz w:val="18"/>
                <w:szCs w:val="18"/>
              </w:rPr>
            </w:pPr>
            <w:r>
              <w:rPr>
                <w:rFonts w:ascii="Times New Roman"/>
                <w:sz w:val="18"/>
              </w:rPr>
              <w:t>706.86</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557,829</w:t>
            </w:r>
          </w:p>
          <w:p>
            <w:pPr>
              <w:pStyle w:val="TableParagraph"/>
              <w:spacing w:line="240" w:lineRule="auto" w:before="110"/>
              <w:ind w:left="81" w:right="0"/>
              <w:jc w:val="left"/>
              <w:rPr>
                <w:rFonts w:ascii="Times New Roman" w:hAnsi="Times New Roman" w:cs="Times New Roman" w:eastAsia="Times New Roman" w:hint="default"/>
                <w:sz w:val="18"/>
                <w:szCs w:val="18"/>
              </w:rPr>
            </w:pPr>
            <w:r>
              <w:rPr>
                <w:rFonts w:ascii="Times New Roman"/>
                <w:sz w:val="18"/>
              </w:rPr>
              <w:t>,823.17</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bookmarkStart w:name="8、母公司所有者权益变动表" w:id="166"/>
      <w:bookmarkEnd w:id="166"/>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0"/>
        <w:jc w:val="left"/>
      </w:pPr>
      <w:r>
        <w:rPr/>
        <w:t>本期金额</w:t>
      </w:r>
    </w:p>
    <w:p>
      <w:pPr>
        <w:pStyle w:val="BodyText"/>
        <w:spacing w:line="240" w:lineRule="auto" w:before="115"/>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282"/>
        <w:gridCol w:w="641"/>
        <w:gridCol w:w="605"/>
        <w:gridCol w:w="605"/>
        <w:gridCol w:w="605"/>
        <w:gridCol w:w="725"/>
        <w:gridCol w:w="725"/>
        <w:gridCol w:w="730"/>
        <w:gridCol w:w="725"/>
        <w:gridCol w:w="725"/>
        <w:gridCol w:w="614"/>
        <w:gridCol w:w="711"/>
        <w:gridCol w:w="864"/>
      </w:tblGrid>
      <w:tr>
        <w:trPr>
          <w:trHeight w:val="398" w:hRule="exact"/>
        </w:trPr>
        <w:tc>
          <w:tcPr>
            <w:tcW w:w="128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76"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206" w:hRule="exact"/>
        </w:trPr>
        <w:tc>
          <w:tcPr>
            <w:tcW w:w="12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4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1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6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68" w:right="79" w:hanging="178"/>
              <w:jc w:val="left"/>
              <w:rPr>
                <w:rFonts w:ascii="宋体" w:hAnsi="宋体" w:cs="宋体" w:eastAsia="宋体" w:hint="default"/>
                <w:sz w:val="18"/>
                <w:szCs w:val="18"/>
              </w:rPr>
            </w:pPr>
            <w:r>
              <w:rPr>
                <w:rFonts w:ascii="宋体" w:hAnsi="宋体" w:cs="宋体" w:eastAsia="宋体" w:hint="default"/>
                <w:sz w:val="18"/>
                <w:szCs w:val="18"/>
              </w:rPr>
              <w:t>资本公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69" w:right="12" w:hanging="246"/>
              <w:jc w:val="left"/>
              <w:rPr>
                <w:rFonts w:ascii="宋体" w:hAnsi="宋体" w:cs="宋体" w:eastAsia="宋体" w:hint="default"/>
                <w:sz w:val="18"/>
                <w:szCs w:val="18"/>
              </w:rPr>
            </w:pPr>
            <w:r>
              <w:rPr>
                <w:rFonts w:ascii="宋体" w:hAnsi="宋体" w:cs="宋体" w:eastAsia="宋体" w:hint="default"/>
                <w:spacing w:val="-14"/>
                <w:sz w:val="18"/>
                <w:szCs w:val="18"/>
              </w:rPr>
              <w:t>减：库存</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7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91" w:right="84"/>
              <w:jc w:val="left"/>
              <w:rPr>
                <w:rFonts w:ascii="宋体" w:hAnsi="宋体" w:cs="宋体" w:eastAsia="宋体" w:hint="default"/>
                <w:sz w:val="18"/>
                <w:szCs w:val="18"/>
              </w:rPr>
            </w:pPr>
            <w:r>
              <w:rPr>
                <w:rFonts w:ascii="宋体" w:hAnsi="宋体" w:cs="宋体" w:eastAsia="宋体" w:hint="default"/>
                <w:sz w:val="18"/>
                <w:szCs w:val="18"/>
              </w:rPr>
              <w:t>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68" w:right="79" w:hanging="178"/>
              <w:jc w:val="left"/>
              <w:rPr>
                <w:rFonts w:ascii="宋体" w:hAnsi="宋体" w:cs="宋体" w:eastAsia="宋体" w:hint="default"/>
                <w:sz w:val="18"/>
                <w:szCs w:val="18"/>
              </w:rPr>
            </w:pPr>
            <w:r>
              <w:rPr>
                <w:rFonts w:ascii="宋体" w:hAnsi="宋体" w:cs="宋体" w:eastAsia="宋体" w:hint="default"/>
                <w:sz w:val="18"/>
                <w:szCs w:val="18"/>
              </w:rPr>
              <w:t>专项储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68" w:right="80" w:hanging="178"/>
              <w:jc w:val="left"/>
              <w:rPr>
                <w:rFonts w:ascii="宋体" w:hAnsi="宋体" w:cs="宋体" w:eastAsia="宋体" w:hint="default"/>
                <w:sz w:val="18"/>
                <w:szCs w:val="18"/>
              </w:rPr>
            </w:pPr>
            <w:r>
              <w:rPr>
                <w:rFonts w:ascii="宋体" w:hAnsi="宋体" w:cs="宋体" w:eastAsia="宋体" w:hint="default"/>
                <w:sz w:val="18"/>
                <w:szCs w:val="18"/>
              </w:rPr>
              <w:t>盈余公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6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9" w:right="26" w:hanging="87"/>
              <w:jc w:val="left"/>
              <w:rPr>
                <w:rFonts w:ascii="宋体" w:hAnsi="宋体" w:cs="宋体" w:eastAsia="宋体" w:hint="default"/>
                <w:sz w:val="18"/>
                <w:szCs w:val="18"/>
              </w:rPr>
            </w:pPr>
            <w:r>
              <w:rPr>
                <w:rFonts w:ascii="宋体" w:hAnsi="宋体" w:cs="宋体" w:eastAsia="宋体" w:hint="default"/>
                <w:sz w:val="18"/>
                <w:szCs w:val="18"/>
              </w:rPr>
              <w:t>未分配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利润</w:t>
            </w:r>
          </w:p>
        </w:tc>
        <w:tc>
          <w:tcPr>
            <w:tcW w:w="711" w:type="dxa"/>
            <w:tcBorders>
              <w:top w:val="single" w:sz="4" w:space="0" w:color="000000"/>
              <w:left w:val="single" w:sz="4" w:space="0" w:color="000000"/>
              <w:bottom w:val="nil" w:sz="6" w:space="0" w:color="auto"/>
              <w:right w:val="single" w:sz="4" w:space="0" w:color="000000"/>
            </w:tcBorders>
            <w:shd w:val="clear" w:color="auto" w:fill="D2D2D2"/>
          </w:tcPr>
          <w:p>
            <w:pPr/>
          </w:p>
        </w:tc>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8" w:right="60" w:hanging="92"/>
              <w:jc w:val="left"/>
              <w:rPr>
                <w:rFonts w:ascii="宋体" w:hAnsi="宋体" w:cs="宋体" w:eastAsia="宋体" w:hint="default"/>
                <w:sz w:val="18"/>
                <w:szCs w:val="18"/>
              </w:rPr>
            </w:pPr>
            <w:r>
              <w:rPr>
                <w:rFonts w:ascii="宋体" w:hAnsi="宋体" w:cs="宋体" w:eastAsia="宋体" w:hint="default"/>
                <w:sz w:val="18"/>
                <w:szCs w:val="18"/>
              </w:rPr>
              <w:t>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益合计</w:t>
            </w:r>
          </w:p>
        </w:tc>
      </w:tr>
      <w:tr>
        <w:trPr>
          <w:trHeight w:val="192" w:hRule="exact"/>
        </w:trPr>
        <w:tc>
          <w:tcPr>
            <w:tcW w:w="1282" w:type="dxa"/>
            <w:vMerge/>
            <w:tcBorders>
              <w:left w:val="single" w:sz="4" w:space="0" w:color="000000"/>
              <w:bottom w:val="nil" w:sz="6" w:space="0" w:color="auto"/>
              <w:right w:val="single" w:sz="4" w:space="0" w:color="000000"/>
            </w:tcBorders>
            <w:shd w:val="clear" w:color="auto" w:fill="D2D2D2"/>
          </w:tcPr>
          <w:p>
            <w:pPr/>
          </w:p>
        </w:tc>
        <w:tc>
          <w:tcPr>
            <w:tcW w:w="6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5" w:type="dxa"/>
            <w:gridSpan w:val="3"/>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30"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614" w:type="dxa"/>
            <w:vMerge/>
            <w:tcBorders>
              <w:left w:val="single" w:sz="4" w:space="0" w:color="000000"/>
              <w:right w:val="single" w:sz="4" w:space="0" w:color="000000"/>
            </w:tcBorders>
            <w:shd w:val="clear" w:color="auto" w:fill="D2D2D2"/>
          </w:tcPr>
          <w:p>
            <w:pPr/>
          </w:p>
        </w:tc>
        <w:tc>
          <w:tcPr>
            <w:tcW w:w="7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6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4" w:type="dxa"/>
            <w:vMerge/>
            <w:tcBorders>
              <w:left w:val="single" w:sz="4" w:space="0" w:color="000000"/>
              <w:right w:val="single" w:sz="4" w:space="0" w:color="000000"/>
            </w:tcBorders>
            <w:shd w:val="clear" w:color="auto" w:fill="D2D2D2"/>
          </w:tcPr>
          <w:p>
            <w:pPr/>
          </w:p>
        </w:tc>
      </w:tr>
      <w:tr>
        <w:trPr>
          <w:trHeight w:val="202" w:hRule="exact"/>
        </w:trPr>
        <w:tc>
          <w:tcPr>
            <w:tcW w:w="1282" w:type="dxa"/>
            <w:vMerge w:val="restart"/>
            <w:tcBorders>
              <w:top w:val="nil" w:sz="6" w:space="0" w:color="auto"/>
              <w:left w:val="single" w:sz="4" w:space="0" w:color="000000"/>
              <w:right w:val="single" w:sz="4" w:space="0" w:color="000000"/>
            </w:tcBorders>
            <w:shd w:val="clear" w:color="auto" w:fill="D2D2D2"/>
          </w:tcPr>
          <w:p>
            <w:pPr/>
          </w:p>
        </w:tc>
        <w:tc>
          <w:tcPr>
            <w:tcW w:w="641" w:type="dxa"/>
            <w:vMerge/>
            <w:tcBorders>
              <w:left w:val="single" w:sz="4" w:space="0" w:color="000000"/>
              <w:bottom w:val="nil" w:sz="6" w:space="0" w:color="auto"/>
              <w:right w:val="single" w:sz="4" w:space="0" w:color="000000"/>
            </w:tcBorders>
            <w:shd w:val="clear" w:color="auto" w:fill="D2D2D2"/>
          </w:tcPr>
          <w:p>
            <w:pP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5"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30"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614" w:type="dxa"/>
            <w:vMerge/>
            <w:tcBorders>
              <w:left w:val="single" w:sz="4" w:space="0" w:color="000000"/>
              <w:right w:val="single" w:sz="4" w:space="0" w:color="000000"/>
            </w:tcBorders>
            <w:shd w:val="clear" w:color="auto" w:fill="D2D2D2"/>
          </w:tcPr>
          <w:p>
            <w:pPr/>
          </w:p>
        </w:tc>
        <w:tc>
          <w:tcPr>
            <w:tcW w:w="711" w:type="dxa"/>
            <w:vMerge/>
            <w:tcBorders>
              <w:left w:val="single" w:sz="4" w:space="0" w:color="000000"/>
              <w:bottom w:val="nil" w:sz="6" w:space="0" w:color="auto"/>
              <w:right w:val="single" w:sz="4" w:space="0" w:color="000000"/>
            </w:tcBorders>
            <w:shd w:val="clear" w:color="auto" w:fill="D2D2D2"/>
          </w:tcPr>
          <w:p>
            <w:pPr/>
          </w:p>
        </w:tc>
        <w:tc>
          <w:tcPr>
            <w:tcW w:w="864" w:type="dxa"/>
            <w:vMerge/>
            <w:tcBorders>
              <w:left w:val="single" w:sz="4" w:space="0" w:color="000000"/>
              <w:right w:val="single" w:sz="4" w:space="0" w:color="000000"/>
            </w:tcBorders>
            <w:shd w:val="clear" w:color="auto" w:fill="D2D2D2"/>
          </w:tcPr>
          <w:p>
            <w:pPr/>
          </w:p>
        </w:tc>
      </w:tr>
      <w:tr>
        <w:trPr>
          <w:trHeight w:val="183" w:hRule="exact"/>
        </w:trPr>
        <w:tc>
          <w:tcPr>
            <w:tcW w:w="1282" w:type="dxa"/>
            <w:vMerge/>
            <w:tcBorders>
              <w:left w:val="single" w:sz="4" w:space="0" w:color="000000"/>
              <w:bottom w:val="single" w:sz="4" w:space="0" w:color="000000"/>
              <w:right w:val="single" w:sz="4" w:space="0" w:color="000000"/>
            </w:tcBorders>
            <w:shd w:val="clear" w:color="auto" w:fill="D2D2D2"/>
          </w:tcPr>
          <w:p>
            <w:pPr/>
          </w:p>
        </w:tc>
        <w:tc>
          <w:tcPr>
            <w:tcW w:w="6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30"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614" w:type="dxa"/>
            <w:vMerge/>
            <w:tcBorders>
              <w:left w:val="single" w:sz="4" w:space="0" w:color="000000"/>
              <w:bottom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single" w:sz="4" w:space="0" w:color="000000"/>
              <w:right w:val="single" w:sz="4" w:space="0" w:color="000000"/>
            </w:tcBorders>
            <w:shd w:val="clear" w:color="auto" w:fill="D2D2D2"/>
          </w:tcPr>
          <w:p>
            <w:pPr/>
          </w:p>
        </w:tc>
        <w:tc>
          <w:tcPr>
            <w:tcW w:w="864" w:type="dxa"/>
            <w:vMerge/>
            <w:tcBorders>
              <w:left w:val="single" w:sz="4" w:space="0" w:color="000000"/>
              <w:bottom w:val="single" w:sz="4" w:space="0" w:color="000000"/>
              <w:right w:val="single" w:sz="4" w:space="0" w:color="000000"/>
            </w:tcBorders>
            <w:shd w:val="clear" w:color="auto" w:fill="D2D2D2"/>
          </w:tcPr>
          <w:p>
            <w:pPr/>
          </w:p>
        </w:tc>
      </w:tr>
      <w:tr>
        <w:trPr>
          <w:trHeight w:val="182" w:hRule="exact"/>
        </w:trPr>
        <w:tc>
          <w:tcPr>
            <w:tcW w:w="12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41"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83,090,</w:t>
            </w:r>
          </w:p>
          <w:p>
            <w:pPr>
              <w:pStyle w:val="TableParagraph"/>
              <w:spacing w:line="240" w:lineRule="auto" w:before="110"/>
              <w:ind w:left="105" w:right="0"/>
              <w:jc w:val="left"/>
              <w:rPr>
                <w:rFonts w:ascii="Times New Roman" w:hAnsi="Times New Roman" w:cs="Times New Roman" w:eastAsia="Times New Roman" w:hint="default"/>
                <w:sz w:val="18"/>
                <w:szCs w:val="18"/>
              </w:rPr>
            </w:pPr>
            <w:r>
              <w:rPr>
                <w:rFonts w:ascii="Times New Roman"/>
                <w:sz w:val="18"/>
              </w:rPr>
              <w:t>000.00</w:t>
            </w:r>
          </w:p>
        </w:tc>
        <w:tc>
          <w:tcPr>
            <w:tcW w:w="605"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23" w:space="0" w:color="D2D2D2"/>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288,165,</w:t>
            </w:r>
          </w:p>
          <w:p>
            <w:pPr>
              <w:pStyle w:val="TableParagraph"/>
              <w:spacing w:line="240" w:lineRule="auto" w:before="110"/>
              <w:ind w:left="187" w:right="0"/>
              <w:jc w:val="center"/>
              <w:rPr>
                <w:rFonts w:ascii="Times New Roman" w:hAnsi="Times New Roman" w:cs="Times New Roman" w:eastAsia="Times New Roman" w:hint="default"/>
                <w:sz w:val="18"/>
                <w:szCs w:val="18"/>
              </w:rPr>
            </w:pPr>
            <w:r>
              <w:rPr>
                <w:rFonts w:ascii="Times New Roman"/>
                <w:sz w:val="18"/>
              </w:rPr>
              <w:t>260.91</w:t>
            </w:r>
          </w:p>
        </w:tc>
        <w:tc>
          <w:tcPr>
            <w:tcW w:w="725" w:type="dxa"/>
            <w:vMerge w:val="restart"/>
            <w:tcBorders>
              <w:top w:val="single" w:sz="23" w:space="0" w:color="D2D2D2"/>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50,892,3</w:t>
            </w:r>
          </w:p>
          <w:p>
            <w:pPr>
              <w:pStyle w:val="TableParagraph"/>
              <w:spacing w:line="240" w:lineRule="auto" w:before="110"/>
              <w:ind w:left="293" w:right="0"/>
              <w:jc w:val="left"/>
              <w:rPr>
                <w:rFonts w:ascii="Times New Roman" w:hAnsi="Times New Roman" w:cs="Times New Roman" w:eastAsia="Times New Roman" w:hint="default"/>
                <w:sz w:val="18"/>
                <w:szCs w:val="18"/>
              </w:rPr>
            </w:pPr>
            <w:r>
              <w:rPr>
                <w:rFonts w:ascii="Times New Roman"/>
                <w:sz w:val="18"/>
              </w:rPr>
              <w:t>00.00</w:t>
            </w:r>
          </w:p>
        </w:tc>
        <w:tc>
          <w:tcPr>
            <w:tcW w:w="730" w:type="dxa"/>
            <w:vMerge w:val="restart"/>
            <w:tcBorders>
              <w:top w:val="single" w:sz="23" w:space="0" w:color="D2D2D2"/>
              <w:left w:val="single" w:sz="4" w:space="0" w:color="000000"/>
              <w:right w:val="single" w:sz="4" w:space="0" w:color="000000"/>
            </w:tcBorders>
          </w:tcPr>
          <w:p>
            <w:pPr/>
          </w:p>
        </w:tc>
        <w:tc>
          <w:tcPr>
            <w:tcW w:w="725" w:type="dxa"/>
            <w:vMerge w:val="restart"/>
            <w:tcBorders>
              <w:top w:val="single" w:sz="23" w:space="0" w:color="D2D2D2"/>
              <w:left w:val="single" w:sz="4" w:space="0" w:color="000000"/>
              <w:right w:val="single" w:sz="4" w:space="0" w:color="000000"/>
            </w:tcBorders>
          </w:tcPr>
          <w:p>
            <w:pPr/>
          </w:p>
        </w:tc>
        <w:tc>
          <w:tcPr>
            <w:tcW w:w="725" w:type="dxa"/>
            <w:vMerge w:val="restart"/>
            <w:tcBorders>
              <w:top w:val="single" w:sz="23" w:space="0" w:color="D2D2D2"/>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25,064,1</w:t>
            </w:r>
          </w:p>
          <w:p>
            <w:pPr>
              <w:pStyle w:val="TableParagraph"/>
              <w:spacing w:line="240" w:lineRule="auto" w:before="110"/>
              <w:ind w:left="292" w:right="0"/>
              <w:jc w:val="left"/>
              <w:rPr>
                <w:rFonts w:ascii="Times New Roman" w:hAnsi="Times New Roman" w:cs="Times New Roman" w:eastAsia="Times New Roman" w:hint="default"/>
                <w:sz w:val="18"/>
                <w:szCs w:val="18"/>
              </w:rPr>
            </w:pPr>
            <w:r>
              <w:rPr>
                <w:rFonts w:ascii="Times New Roman"/>
                <w:sz w:val="18"/>
              </w:rPr>
              <w:t>67.89</w:t>
            </w:r>
          </w:p>
        </w:tc>
        <w:tc>
          <w:tcPr>
            <w:tcW w:w="614" w:type="dxa"/>
            <w:vMerge w:val="restart"/>
            <w:tcBorders>
              <w:top w:val="single" w:sz="23" w:space="0" w:color="D2D2D2"/>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212,59</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2,110.9</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711" w:type="dxa"/>
            <w:vMerge w:val="restart"/>
            <w:tcBorders>
              <w:top w:val="single" w:sz="4" w:space="0" w:color="000000"/>
              <w:left w:val="single" w:sz="4" w:space="0" w:color="000000"/>
              <w:right w:val="single" w:sz="4" w:space="0" w:color="000000"/>
            </w:tcBorders>
          </w:tcPr>
          <w:p>
            <w:pPr/>
          </w:p>
        </w:tc>
        <w:tc>
          <w:tcPr>
            <w:tcW w:w="864" w:type="dxa"/>
            <w:vMerge w:val="restart"/>
            <w:tcBorders>
              <w:top w:val="single" w:sz="23" w:space="0" w:color="D2D2D2"/>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558,019,2</w:t>
            </w:r>
          </w:p>
          <w:p>
            <w:pPr>
              <w:pStyle w:val="TableParagraph"/>
              <w:spacing w:line="240" w:lineRule="auto" w:before="110"/>
              <w:ind w:left="427" w:right="0"/>
              <w:jc w:val="left"/>
              <w:rPr>
                <w:rFonts w:ascii="Times New Roman" w:hAnsi="Times New Roman" w:cs="Times New Roman" w:eastAsia="Times New Roman" w:hint="default"/>
                <w:sz w:val="18"/>
                <w:szCs w:val="18"/>
              </w:rPr>
            </w:pPr>
            <w:r>
              <w:rPr>
                <w:rFonts w:ascii="Times New Roman"/>
                <w:sz w:val="18"/>
              </w:rPr>
              <w:t>39.79</w:t>
            </w:r>
          </w:p>
        </w:tc>
      </w:tr>
      <w:tr>
        <w:trPr>
          <w:trHeight w:val="706" w:hRule="exact"/>
        </w:trPr>
        <w:tc>
          <w:tcPr>
            <w:tcW w:w="12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21" w:lineRule="auto" w:before="53"/>
              <w:ind w:left="11" w:right="5"/>
              <w:jc w:val="left"/>
              <w:rPr>
                <w:rFonts w:ascii="宋体" w:hAnsi="宋体" w:cs="宋体" w:eastAsia="宋体" w:hint="default"/>
                <w:sz w:val="18"/>
                <w:szCs w:val="18"/>
              </w:rPr>
            </w:pPr>
            <w:r>
              <w:rPr>
                <w:rFonts w:ascii="宋体" w:hAnsi="宋体" w:cs="宋体" w:eastAsia="宋体" w:hint="default"/>
                <w:spacing w:val="-4"/>
                <w:sz w:val="18"/>
                <w:szCs w:val="18"/>
              </w:rPr>
              <w:t>一、上年期末余</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额</w:t>
            </w:r>
          </w:p>
        </w:tc>
        <w:tc>
          <w:tcPr>
            <w:tcW w:w="641"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30"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r>
      <w:tr>
        <w:trPr>
          <w:trHeight w:val="163" w:hRule="exact"/>
        </w:trPr>
        <w:tc>
          <w:tcPr>
            <w:tcW w:w="12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41"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30"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614"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864" w:type="dxa"/>
            <w:vMerge/>
            <w:tcBorders>
              <w:left w:val="single" w:sz="4" w:space="0" w:color="000000"/>
              <w:bottom w:val="single" w:sz="4" w:space="0" w:color="000000"/>
              <w:right w:val="single" w:sz="4" w:space="0" w:color="000000"/>
            </w:tcBorders>
          </w:tcPr>
          <w:p>
            <w:pPr/>
          </w:p>
        </w:tc>
      </w:tr>
      <w:tr>
        <w:trPr>
          <w:trHeight w:val="711"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5" w:firstLine="360"/>
              <w:jc w:val="left"/>
              <w:rPr>
                <w:rFonts w:ascii="宋体" w:hAnsi="宋体" w:cs="宋体" w:eastAsia="宋体" w:hint="default"/>
                <w:sz w:val="18"/>
                <w:szCs w:val="18"/>
              </w:rPr>
            </w:pPr>
            <w:r>
              <w:rPr>
                <w:rFonts w:ascii="宋体" w:hAnsi="宋体" w:cs="宋体" w:eastAsia="宋体" w:hint="default"/>
                <w:spacing w:val="-4"/>
                <w:sz w:val="18"/>
                <w:szCs w:val="18"/>
              </w:rPr>
              <w:t>加：会计政</w:t>
            </w:r>
            <w:r>
              <w:rPr>
                <w:rFonts w:ascii="宋体" w:hAnsi="宋体" w:cs="宋体" w:eastAsia="宋体" w:hint="default"/>
                <w:w w:val="101"/>
                <w:sz w:val="18"/>
                <w:szCs w:val="18"/>
              </w:rPr>
              <w:t> </w:t>
            </w:r>
            <w:r>
              <w:rPr>
                <w:rFonts w:ascii="宋体" w:hAnsi="宋体" w:cs="宋体" w:eastAsia="宋体" w:hint="default"/>
                <w:sz w:val="18"/>
                <w:szCs w:val="18"/>
              </w:rPr>
              <w:t>策变更</w:t>
            </w:r>
          </w:p>
        </w:tc>
        <w:tc>
          <w:tcPr>
            <w:tcW w:w="641"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173" w:firstLine="720"/>
              <w:jc w:val="left"/>
              <w:rPr>
                <w:rFonts w:ascii="宋体" w:hAnsi="宋体" w:cs="宋体" w:eastAsia="宋体" w:hint="default"/>
                <w:sz w:val="18"/>
                <w:szCs w:val="18"/>
              </w:rPr>
            </w:pPr>
            <w:r>
              <w:rPr>
                <w:rFonts w:ascii="宋体" w:hAnsi="宋体" w:cs="宋体" w:eastAsia="宋体" w:hint="default"/>
                <w:sz w:val="18"/>
                <w:szCs w:val="18"/>
              </w:rPr>
              <w:t>前期</w:t>
            </w:r>
            <w:r>
              <w:rPr>
                <w:rFonts w:ascii="宋体" w:hAnsi="宋体" w:cs="宋体" w:eastAsia="宋体" w:hint="default"/>
                <w:w w:val="101"/>
                <w:sz w:val="18"/>
                <w:szCs w:val="18"/>
              </w:rPr>
              <w:t> </w:t>
            </w:r>
            <w:r>
              <w:rPr>
                <w:rFonts w:ascii="宋体" w:hAnsi="宋体" w:cs="宋体" w:eastAsia="宋体" w:hint="default"/>
                <w:sz w:val="18"/>
                <w:szCs w:val="18"/>
              </w:rPr>
              <w:t>差错更正</w:t>
            </w:r>
          </w:p>
        </w:tc>
        <w:tc>
          <w:tcPr>
            <w:tcW w:w="641"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41"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58" w:hRule="exact"/>
        </w:trPr>
        <w:tc>
          <w:tcPr>
            <w:tcW w:w="12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41"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83,090,</w:t>
            </w:r>
          </w:p>
          <w:p>
            <w:pPr>
              <w:pStyle w:val="TableParagraph"/>
              <w:spacing w:line="240" w:lineRule="auto" w:before="110"/>
              <w:ind w:left="105" w:right="0"/>
              <w:jc w:val="left"/>
              <w:rPr>
                <w:rFonts w:ascii="Times New Roman" w:hAnsi="Times New Roman" w:cs="Times New Roman" w:eastAsia="Times New Roman" w:hint="default"/>
                <w:sz w:val="18"/>
                <w:szCs w:val="18"/>
              </w:rPr>
            </w:pPr>
            <w:r>
              <w:rPr>
                <w:rFonts w:ascii="Times New Roman"/>
                <w:sz w:val="18"/>
              </w:rPr>
              <w:t>000.00</w:t>
            </w:r>
          </w:p>
        </w:tc>
        <w:tc>
          <w:tcPr>
            <w:tcW w:w="605"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288,165,</w:t>
            </w:r>
          </w:p>
          <w:p>
            <w:pPr>
              <w:pStyle w:val="TableParagraph"/>
              <w:spacing w:line="240" w:lineRule="auto" w:before="110"/>
              <w:ind w:left="187" w:right="0"/>
              <w:jc w:val="center"/>
              <w:rPr>
                <w:rFonts w:ascii="Times New Roman" w:hAnsi="Times New Roman" w:cs="Times New Roman" w:eastAsia="Times New Roman" w:hint="default"/>
                <w:sz w:val="18"/>
                <w:szCs w:val="18"/>
              </w:rPr>
            </w:pPr>
            <w:r>
              <w:rPr>
                <w:rFonts w:ascii="Times New Roman"/>
                <w:sz w:val="18"/>
              </w:rPr>
              <w:t>260.91</w:t>
            </w: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50,892,3</w:t>
            </w:r>
          </w:p>
          <w:p>
            <w:pPr>
              <w:pStyle w:val="TableParagraph"/>
              <w:spacing w:line="240" w:lineRule="auto" w:before="110"/>
              <w:ind w:left="293" w:right="0"/>
              <w:jc w:val="left"/>
              <w:rPr>
                <w:rFonts w:ascii="Times New Roman" w:hAnsi="Times New Roman" w:cs="Times New Roman" w:eastAsia="Times New Roman" w:hint="default"/>
                <w:sz w:val="18"/>
                <w:szCs w:val="18"/>
              </w:rPr>
            </w:pPr>
            <w:r>
              <w:rPr>
                <w:rFonts w:ascii="Times New Roman"/>
                <w:sz w:val="18"/>
              </w:rPr>
              <w:t>00.00</w:t>
            </w:r>
          </w:p>
        </w:tc>
        <w:tc>
          <w:tcPr>
            <w:tcW w:w="730"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25,064,1</w:t>
            </w:r>
          </w:p>
          <w:p>
            <w:pPr>
              <w:pStyle w:val="TableParagraph"/>
              <w:spacing w:line="240" w:lineRule="auto" w:before="110"/>
              <w:ind w:left="292" w:right="0"/>
              <w:jc w:val="left"/>
              <w:rPr>
                <w:rFonts w:ascii="Times New Roman" w:hAnsi="Times New Roman" w:cs="Times New Roman" w:eastAsia="Times New Roman" w:hint="default"/>
                <w:sz w:val="18"/>
                <w:szCs w:val="18"/>
              </w:rPr>
            </w:pPr>
            <w:r>
              <w:rPr>
                <w:rFonts w:ascii="Times New Roman"/>
                <w:sz w:val="18"/>
              </w:rPr>
              <w:t>67.89</w:t>
            </w:r>
          </w:p>
        </w:tc>
        <w:tc>
          <w:tcPr>
            <w:tcW w:w="614"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212,59</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2,110.9</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711" w:type="dxa"/>
            <w:vMerge w:val="restart"/>
            <w:tcBorders>
              <w:top w:val="single" w:sz="4" w:space="0" w:color="000000"/>
              <w:left w:val="single" w:sz="4" w:space="0" w:color="000000"/>
              <w:right w:val="single" w:sz="4" w:space="0" w:color="000000"/>
            </w:tcBorders>
          </w:tcPr>
          <w:p>
            <w:pPr/>
          </w:p>
        </w:tc>
        <w:tc>
          <w:tcPr>
            <w:tcW w:w="86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558,019,2</w:t>
            </w:r>
          </w:p>
          <w:p>
            <w:pPr>
              <w:pStyle w:val="TableParagraph"/>
              <w:spacing w:line="240" w:lineRule="auto" w:before="110"/>
              <w:ind w:left="427" w:right="0"/>
              <w:jc w:val="left"/>
              <w:rPr>
                <w:rFonts w:ascii="Times New Roman" w:hAnsi="Times New Roman" w:cs="Times New Roman" w:eastAsia="Times New Roman" w:hint="default"/>
                <w:sz w:val="18"/>
                <w:szCs w:val="18"/>
              </w:rPr>
            </w:pPr>
            <w:r>
              <w:rPr>
                <w:rFonts w:ascii="Times New Roman"/>
                <w:sz w:val="18"/>
              </w:rPr>
              <w:t>39.79</w:t>
            </w:r>
          </w:p>
        </w:tc>
      </w:tr>
      <w:tr>
        <w:trPr>
          <w:trHeight w:val="706" w:hRule="exact"/>
        </w:trPr>
        <w:tc>
          <w:tcPr>
            <w:tcW w:w="12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21" w:lineRule="auto" w:before="54"/>
              <w:ind w:left="11" w:right="5"/>
              <w:jc w:val="left"/>
              <w:rPr>
                <w:rFonts w:ascii="宋体" w:hAnsi="宋体" w:cs="宋体" w:eastAsia="宋体" w:hint="default"/>
                <w:sz w:val="18"/>
                <w:szCs w:val="18"/>
              </w:rPr>
            </w:pPr>
            <w:r>
              <w:rPr>
                <w:rFonts w:ascii="宋体" w:hAnsi="宋体" w:cs="宋体" w:eastAsia="宋体" w:hint="default"/>
                <w:spacing w:val="-4"/>
                <w:sz w:val="18"/>
                <w:szCs w:val="18"/>
              </w:rPr>
              <w:t>二、本年期初余</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额</w:t>
            </w:r>
          </w:p>
        </w:tc>
        <w:tc>
          <w:tcPr>
            <w:tcW w:w="641"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30"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r>
      <w:tr>
        <w:trPr>
          <w:trHeight w:val="163" w:hRule="exact"/>
        </w:trPr>
        <w:tc>
          <w:tcPr>
            <w:tcW w:w="12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41"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30"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614"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864" w:type="dxa"/>
            <w:vMerge/>
            <w:tcBorders>
              <w:left w:val="single" w:sz="4" w:space="0" w:color="000000"/>
              <w:bottom w:val="single" w:sz="4" w:space="0" w:color="000000"/>
              <w:right w:val="single" w:sz="4" w:space="0" w:color="000000"/>
            </w:tcBorders>
          </w:tcPr>
          <w:p>
            <w:pPr/>
          </w:p>
        </w:tc>
      </w:tr>
      <w:tr>
        <w:trPr>
          <w:trHeight w:val="1022"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
              <w:jc w:val="both"/>
              <w:rPr>
                <w:rFonts w:ascii="宋体" w:hAnsi="宋体" w:cs="宋体" w:eastAsia="宋体" w:hint="default"/>
                <w:sz w:val="18"/>
                <w:szCs w:val="18"/>
              </w:rPr>
            </w:pPr>
            <w:r>
              <w:rPr>
                <w:rFonts w:ascii="宋体" w:hAnsi="宋体" w:cs="宋体" w:eastAsia="宋体" w:hint="default"/>
                <w:spacing w:val="-4"/>
                <w:sz w:val="18"/>
                <w:szCs w:val="18"/>
              </w:rPr>
              <w:t>三、本期增减变</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4"/>
                <w:sz w:val="18"/>
                <w:szCs w:val="18"/>
              </w:rPr>
              <w:t>动金额（减少以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4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34,216,</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000.00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6,142,42</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3.22</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4,222,53</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7.50</w:t>
            </w: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4,365,78</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4.21</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33,007,</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808.09</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73,509,47</w:t>
            </w:r>
          </w:p>
          <w:p>
            <w:pPr>
              <w:pStyle w:val="TableParagraph"/>
              <w:spacing w:line="240" w:lineRule="auto" w:before="105"/>
              <w:ind w:left="513" w:right="0"/>
              <w:jc w:val="left"/>
              <w:rPr>
                <w:rFonts w:ascii="Times New Roman" w:hAnsi="Times New Roman" w:cs="Times New Roman" w:eastAsia="Times New Roman" w:hint="default"/>
                <w:sz w:val="18"/>
                <w:szCs w:val="18"/>
              </w:rPr>
            </w:pPr>
            <w:r>
              <w:rPr>
                <w:rFonts w:ascii="Times New Roman"/>
                <w:sz w:val="18"/>
              </w:rPr>
              <w:t>8.02</w:t>
            </w:r>
          </w:p>
        </w:tc>
      </w:tr>
      <w:tr>
        <w:trPr>
          <w:trHeight w:val="716"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1" w:right="5"/>
              <w:jc w:val="left"/>
              <w:rPr>
                <w:rFonts w:ascii="宋体" w:hAnsi="宋体" w:cs="宋体" w:eastAsia="宋体" w:hint="default"/>
                <w:sz w:val="18"/>
                <w:szCs w:val="18"/>
              </w:rPr>
            </w:pPr>
            <w:r>
              <w:rPr>
                <w:rFonts w:ascii="宋体" w:hAnsi="宋体" w:cs="宋体" w:eastAsia="宋体" w:hint="default"/>
                <w:spacing w:val="-4"/>
                <w:sz w:val="18"/>
                <w:szCs w:val="18"/>
              </w:rPr>
              <w:t>（一）综合收益</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总额</w:t>
            </w:r>
          </w:p>
        </w:tc>
        <w:tc>
          <w:tcPr>
            <w:tcW w:w="641"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43,657,</w:t>
            </w:r>
          </w:p>
          <w:p>
            <w:pPr>
              <w:pStyle w:val="TableParagraph"/>
              <w:spacing w:line="240" w:lineRule="auto" w:before="110"/>
              <w:ind w:left="86" w:right="0"/>
              <w:jc w:val="left"/>
              <w:rPr>
                <w:rFonts w:ascii="Times New Roman" w:hAnsi="Times New Roman" w:cs="Times New Roman" w:eastAsia="Times New Roman" w:hint="default"/>
                <w:sz w:val="18"/>
                <w:szCs w:val="18"/>
              </w:rPr>
            </w:pPr>
            <w:r>
              <w:rPr>
                <w:rFonts w:ascii="Times New Roman"/>
                <w:sz w:val="18"/>
              </w:rPr>
              <w:t>842.10</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left"/>
              <w:rPr>
                <w:rFonts w:ascii="Times New Roman" w:hAnsi="Times New Roman" w:cs="Times New Roman" w:eastAsia="Times New Roman" w:hint="default"/>
                <w:sz w:val="18"/>
                <w:szCs w:val="18"/>
              </w:rPr>
            </w:pPr>
            <w:r>
              <w:rPr>
                <w:rFonts w:ascii="Times New Roman"/>
                <w:sz w:val="18"/>
              </w:rPr>
              <w:t>43,657,84</w:t>
            </w:r>
          </w:p>
          <w:p>
            <w:pPr>
              <w:pStyle w:val="TableParagraph"/>
              <w:spacing w:line="240" w:lineRule="auto" w:before="110"/>
              <w:ind w:left="513" w:right="0"/>
              <w:jc w:val="left"/>
              <w:rPr>
                <w:rFonts w:ascii="Times New Roman" w:hAnsi="Times New Roman" w:cs="Times New Roman" w:eastAsia="Times New Roman" w:hint="default"/>
                <w:sz w:val="18"/>
                <w:szCs w:val="18"/>
              </w:rPr>
            </w:pPr>
            <w:r>
              <w:rPr>
                <w:rFonts w:ascii="Times New Roman"/>
                <w:sz w:val="18"/>
              </w:rPr>
              <w:t>2.10</w:t>
            </w:r>
          </w:p>
        </w:tc>
      </w:tr>
      <w:tr>
        <w:trPr>
          <w:trHeight w:val="715"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
              <w:jc w:val="left"/>
              <w:rPr>
                <w:rFonts w:ascii="宋体" w:hAnsi="宋体" w:cs="宋体" w:eastAsia="宋体" w:hint="default"/>
                <w:sz w:val="18"/>
                <w:szCs w:val="18"/>
              </w:rPr>
            </w:pPr>
            <w:r>
              <w:rPr>
                <w:rFonts w:ascii="宋体" w:hAnsi="宋体" w:cs="宋体" w:eastAsia="宋体" w:hint="default"/>
                <w:spacing w:val="-4"/>
                <w:sz w:val="18"/>
                <w:szCs w:val="18"/>
              </w:rPr>
              <w:t>（二）所有者投</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入和减少资本</w:t>
            </w:r>
          </w:p>
        </w:tc>
        <w:tc>
          <w:tcPr>
            <w:tcW w:w="64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81" w:right="0"/>
              <w:jc w:val="center"/>
              <w:rPr>
                <w:rFonts w:ascii="Times New Roman" w:hAnsi="Times New Roman" w:cs="Times New Roman" w:eastAsia="Times New Roman" w:hint="default"/>
                <w:sz w:val="18"/>
                <w:szCs w:val="18"/>
              </w:rPr>
            </w:pPr>
            <w:r>
              <w:rPr>
                <w:rFonts w:ascii="Times New Roman"/>
                <w:sz w:val="18"/>
              </w:rPr>
              <w:t>700,00</w:t>
            </w:r>
          </w:p>
          <w:p>
            <w:pPr>
              <w:pStyle w:val="TableParagraph"/>
              <w:spacing w:line="240" w:lineRule="auto" w:before="105"/>
              <w:ind w:left="258" w:right="0"/>
              <w:jc w:val="center"/>
              <w:rPr>
                <w:rFonts w:ascii="Times New Roman" w:hAnsi="Times New Roman" w:cs="Times New Roman" w:eastAsia="Times New Roman" w:hint="default"/>
                <w:sz w:val="18"/>
                <w:szCs w:val="18"/>
              </w:rPr>
            </w:pPr>
            <w:r>
              <w:rPr>
                <w:rFonts w:ascii="Times New Roman"/>
                <w:sz w:val="18"/>
              </w:rPr>
              <w:t>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39,658,4</w:t>
            </w:r>
          </w:p>
          <w:p>
            <w:pPr>
              <w:pStyle w:val="TableParagraph"/>
              <w:spacing w:line="240" w:lineRule="auto" w:before="105"/>
              <w:ind w:left="292" w:right="0"/>
              <w:jc w:val="left"/>
              <w:rPr>
                <w:rFonts w:ascii="Times New Roman" w:hAnsi="Times New Roman" w:cs="Times New Roman" w:eastAsia="Times New Roman" w:hint="default"/>
                <w:sz w:val="18"/>
                <w:szCs w:val="18"/>
              </w:rPr>
            </w:pPr>
            <w:r>
              <w:rPr>
                <w:rFonts w:ascii="Times New Roman"/>
                <w:sz w:val="18"/>
              </w:rPr>
              <w:t>23.22</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4,449,97</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5.00</w:t>
            </w: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left"/>
              <w:rPr>
                <w:rFonts w:ascii="Times New Roman" w:hAnsi="Times New Roman" w:cs="Times New Roman" w:eastAsia="Times New Roman" w:hint="default"/>
                <w:sz w:val="18"/>
                <w:szCs w:val="18"/>
              </w:rPr>
            </w:pPr>
            <w:r>
              <w:rPr>
                <w:rFonts w:ascii="Times New Roman"/>
                <w:sz w:val="18"/>
              </w:rPr>
              <w:t>35,908,44</w:t>
            </w:r>
          </w:p>
          <w:p>
            <w:pPr>
              <w:pStyle w:val="TableParagraph"/>
              <w:spacing w:line="240" w:lineRule="auto" w:before="105"/>
              <w:ind w:left="513" w:right="0"/>
              <w:jc w:val="left"/>
              <w:rPr>
                <w:rFonts w:ascii="Times New Roman" w:hAnsi="Times New Roman" w:cs="Times New Roman" w:eastAsia="Times New Roman" w:hint="default"/>
                <w:sz w:val="18"/>
                <w:szCs w:val="18"/>
              </w:rPr>
            </w:pPr>
            <w:r>
              <w:rPr>
                <w:rFonts w:ascii="Times New Roman"/>
                <w:sz w:val="18"/>
              </w:rPr>
              <w:t>8.22</w:t>
            </w:r>
          </w:p>
        </w:tc>
      </w:tr>
      <w:tr>
        <w:trPr>
          <w:trHeight w:val="716"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11" w:right="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的普通股</w:t>
            </w:r>
          </w:p>
        </w:tc>
        <w:tc>
          <w:tcPr>
            <w:tcW w:w="64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81" w:right="0"/>
              <w:jc w:val="center"/>
              <w:rPr>
                <w:rFonts w:ascii="Times New Roman" w:hAnsi="Times New Roman" w:cs="Times New Roman" w:eastAsia="Times New Roman" w:hint="default"/>
                <w:sz w:val="18"/>
                <w:szCs w:val="18"/>
              </w:rPr>
            </w:pPr>
            <w:r>
              <w:rPr>
                <w:rFonts w:ascii="Times New Roman"/>
                <w:sz w:val="18"/>
              </w:rPr>
              <w:t>700,00</w:t>
            </w:r>
          </w:p>
          <w:p>
            <w:pPr>
              <w:pStyle w:val="TableParagraph"/>
              <w:spacing w:line="240" w:lineRule="auto" w:before="105"/>
              <w:ind w:left="258" w:right="0"/>
              <w:jc w:val="center"/>
              <w:rPr>
                <w:rFonts w:ascii="Times New Roman" w:hAnsi="Times New Roman" w:cs="Times New Roman" w:eastAsia="Times New Roman" w:hint="default"/>
                <w:sz w:val="18"/>
                <w:szCs w:val="18"/>
              </w:rPr>
            </w:pPr>
            <w:r>
              <w:rPr>
                <w:rFonts w:ascii="Times New Roman"/>
                <w:sz w:val="18"/>
              </w:rPr>
              <w:t>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16,226,0</w:t>
            </w:r>
          </w:p>
          <w:p>
            <w:pPr>
              <w:pStyle w:val="TableParagraph"/>
              <w:spacing w:line="240" w:lineRule="auto" w:before="105"/>
              <w:ind w:left="292" w:right="0"/>
              <w:jc w:val="left"/>
              <w:rPr>
                <w:rFonts w:ascii="Times New Roman" w:hAnsi="Times New Roman" w:cs="Times New Roman" w:eastAsia="Times New Roman" w:hint="default"/>
                <w:sz w:val="18"/>
                <w:szCs w:val="18"/>
              </w:rPr>
            </w:pPr>
            <w:r>
              <w:rPr>
                <w:rFonts w:ascii="Times New Roman"/>
                <w:sz w:val="18"/>
              </w:rPr>
              <w:t>00.00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16,926,0</w:t>
            </w:r>
          </w:p>
          <w:p>
            <w:pPr>
              <w:pStyle w:val="TableParagraph"/>
              <w:spacing w:line="240" w:lineRule="auto" w:before="105"/>
              <w:ind w:left="293" w:right="0"/>
              <w:jc w:val="left"/>
              <w:rPr>
                <w:rFonts w:ascii="Times New Roman" w:hAnsi="Times New Roman" w:cs="Times New Roman" w:eastAsia="Times New Roman" w:hint="default"/>
                <w:sz w:val="18"/>
                <w:szCs w:val="18"/>
              </w:rPr>
            </w:pPr>
            <w:r>
              <w:rPr>
                <w:rFonts w:ascii="Times New Roman"/>
                <w:sz w:val="18"/>
              </w:rPr>
              <w:t>00.00</w:t>
            </w: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1" w:right="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具持有者投入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641"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4"/>
              <w:ind w:left="11" w:right="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641"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21,516,1</w:t>
            </w:r>
          </w:p>
          <w:p>
            <w:pPr>
              <w:pStyle w:val="TableParagraph"/>
              <w:spacing w:line="240" w:lineRule="auto" w:before="105"/>
              <w:ind w:left="292" w:right="0"/>
              <w:jc w:val="left"/>
              <w:rPr>
                <w:rFonts w:ascii="Times New Roman" w:hAnsi="Times New Roman" w:cs="Times New Roman" w:eastAsia="Times New Roman" w:hint="default"/>
                <w:sz w:val="18"/>
                <w:szCs w:val="18"/>
              </w:rPr>
            </w:pPr>
            <w:r>
              <w:rPr>
                <w:rFonts w:ascii="Times New Roman"/>
                <w:sz w:val="18"/>
              </w:rPr>
              <w:t>99.47</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21,516,19</w:t>
            </w:r>
          </w:p>
          <w:p>
            <w:pPr>
              <w:pStyle w:val="TableParagraph"/>
              <w:spacing w:line="240" w:lineRule="auto" w:before="105"/>
              <w:ind w:left="513" w:right="0"/>
              <w:jc w:val="left"/>
              <w:rPr>
                <w:rFonts w:ascii="Times New Roman" w:hAnsi="Times New Roman" w:cs="Times New Roman" w:eastAsia="Times New Roman" w:hint="default"/>
                <w:sz w:val="18"/>
                <w:szCs w:val="18"/>
              </w:rPr>
            </w:pPr>
            <w:r>
              <w:rPr>
                <w:rFonts w:ascii="Times New Roman"/>
                <w:sz w:val="18"/>
              </w:rPr>
              <w:t>9.47</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06"/>
        <w:gridCol w:w="629"/>
        <w:gridCol w:w="605"/>
        <w:gridCol w:w="605"/>
        <w:gridCol w:w="605"/>
        <w:gridCol w:w="725"/>
        <w:gridCol w:w="725"/>
        <w:gridCol w:w="730"/>
        <w:gridCol w:w="725"/>
        <w:gridCol w:w="725"/>
        <w:gridCol w:w="614"/>
        <w:gridCol w:w="711"/>
        <w:gridCol w:w="864"/>
      </w:tblGrid>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1,916,22</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3.75</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9" w:right="0"/>
              <w:jc w:val="center"/>
              <w:rPr>
                <w:rFonts w:ascii="Times New Roman" w:hAnsi="Times New Roman" w:cs="Times New Roman" w:eastAsia="Times New Roman" w:hint="default"/>
                <w:sz w:val="18"/>
                <w:szCs w:val="18"/>
              </w:rPr>
            </w:pPr>
            <w:r>
              <w:rPr>
                <w:rFonts w:ascii="Times New Roman"/>
                <w:sz w:val="18"/>
              </w:rPr>
              <w:t>-12,476,</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025.00</w:t>
            </w: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left"/>
              <w:rPr>
                <w:rFonts w:ascii="Times New Roman" w:hAnsi="Times New Roman" w:cs="Times New Roman" w:eastAsia="Times New Roman" w:hint="default"/>
                <w:sz w:val="18"/>
                <w:szCs w:val="18"/>
              </w:rPr>
            </w:pPr>
            <w:r>
              <w:rPr>
                <w:rFonts w:ascii="Times New Roman"/>
                <w:sz w:val="18"/>
              </w:rPr>
              <w:t>14,392,24</w:t>
            </w:r>
          </w:p>
          <w:p>
            <w:pPr>
              <w:pStyle w:val="TableParagraph"/>
              <w:spacing w:line="240" w:lineRule="auto" w:before="105"/>
              <w:ind w:left="513" w:right="0"/>
              <w:jc w:val="left"/>
              <w:rPr>
                <w:rFonts w:ascii="Times New Roman" w:hAnsi="Times New Roman" w:cs="Times New Roman" w:eastAsia="Times New Roman" w:hint="default"/>
                <w:sz w:val="18"/>
                <w:szCs w:val="18"/>
              </w:rPr>
            </w:pPr>
            <w:r>
              <w:rPr>
                <w:rFonts w:ascii="Times New Roman"/>
                <w:sz w:val="18"/>
              </w:rPr>
              <w:t>8.75</w:t>
            </w:r>
          </w:p>
        </w:tc>
      </w:tr>
      <w:tr>
        <w:trPr>
          <w:trHeight w:val="711"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4"/>
                <w:sz w:val="18"/>
                <w:szCs w:val="18"/>
              </w:rPr>
              <w:t>（三）利润分配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-227,437</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.50</w:t>
            </w: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4,365,78</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4.21</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-10,650</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,034.01</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-6,056,812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.30</w:t>
            </w: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7" w:right="0"/>
              <w:jc w:val="left"/>
              <w:rPr>
                <w:rFonts w:ascii="Times New Roman" w:hAnsi="Times New Roman" w:cs="Times New Roman" w:eastAsia="Times New Roman" w:hint="default"/>
                <w:sz w:val="18"/>
                <w:szCs w:val="18"/>
              </w:rPr>
            </w:pPr>
            <w:r>
              <w:rPr>
                <w:rFonts w:ascii="Times New Roman"/>
                <w:sz w:val="18"/>
              </w:rPr>
              <w:t>4,365,78</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4.21</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sz w:val="18"/>
              </w:rPr>
              <w:t>-4,365,</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784.21</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．对所有者（或</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股东）的分配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-227,437</w:t>
            </w:r>
          </w:p>
          <w:p>
            <w:pPr>
              <w:pStyle w:val="TableParagraph"/>
              <w:spacing w:line="240" w:lineRule="auto" w:before="110"/>
              <w:ind w:left="470" w:right="0"/>
              <w:jc w:val="left"/>
              <w:rPr>
                <w:rFonts w:ascii="Times New Roman" w:hAnsi="Times New Roman" w:cs="Times New Roman" w:eastAsia="Times New Roman" w:hint="default"/>
                <w:sz w:val="18"/>
                <w:szCs w:val="18"/>
              </w:rPr>
            </w:pPr>
            <w:r>
              <w:rPr>
                <w:rFonts w:ascii="Times New Roman"/>
                <w:sz w:val="18"/>
              </w:rPr>
              <w:t>.50</w:t>
            </w: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-6,284,</w:t>
            </w:r>
          </w:p>
          <w:p>
            <w:pPr>
              <w:pStyle w:val="TableParagraph"/>
              <w:spacing w:line="240" w:lineRule="auto" w:before="110"/>
              <w:ind w:left="86" w:right="0"/>
              <w:jc w:val="left"/>
              <w:rPr>
                <w:rFonts w:ascii="Times New Roman" w:hAnsi="Times New Roman" w:cs="Times New Roman" w:eastAsia="Times New Roman" w:hint="default"/>
                <w:sz w:val="18"/>
                <w:szCs w:val="18"/>
              </w:rPr>
            </w:pPr>
            <w:r>
              <w:rPr>
                <w:rFonts w:ascii="Times New Roman"/>
                <w:sz w:val="18"/>
              </w:rPr>
              <w:t>249.80</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-6,056,812</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.30</w:t>
            </w: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4"/>
                <w:sz w:val="18"/>
                <w:szCs w:val="18"/>
              </w:rPr>
              <w:t>（四）所有者权</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益内部结转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33,516,</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000.00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9" w:right="0"/>
              <w:jc w:val="center"/>
              <w:rPr>
                <w:rFonts w:ascii="Times New Roman" w:hAnsi="Times New Roman" w:cs="Times New Roman" w:eastAsia="Times New Roman" w:hint="default"/>
                <w:sz w:val="18"/>
                <w:szCs w:val="18"/>
              </w:rPr>
            </w:pPr>
            <w:r>
              <w:rPr>
                <w:rFonts w:ascii="Times New Roman"/>
                <w:sz w:val="18"/>
              </w:rPr>
              <w:t>-33,516,</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000.00</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8"/>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33,516,</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000.00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-33,516,</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000.00</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划变动额结转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9"/>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益结转留存收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4"/>
                <w:sz w:val="18"/>
                <w:szCs w:val="18"/>
              </w:rPr>
              <w:t>（五）专项储备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pacing w:val="-4"/>
                <w:sz w:val="18"/>
                <w:szCs w:val="18"/>
              </w:rPr>
              <w:t>四、本期期末余</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117,30</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6,000.0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294,307,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684.13</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55,114,8</w:t>
            </w:r>
          </w:p>
          <w:p>
            <w:pPr>
              <w:pStyle w:val="TableParagraph"/>
              <w:spacing w:line="240" w:lineRule="auto" w:before="105"/>
              <w:ind w:left="293" w:right="0"/>
              <w:jc w:val="left"/>
              <w:rPr>
                <w:rFonts w:ascii="Times New Roman" w:hAnsi="Times New Roman" w:cs="Times New Roman" w:eastAsia="Times New Roman" w:hint="default"/>
                <w:sz w:val="18"/>
                <w:szCs w:val="18"/>
              </w:rPr>
            </w:pPr>
            <w:r>
              <w:rPr>
                <w:rFonts w:ascii="Times New Roman"/>
                <w:sz w:val="18"/>
              </w:rPr>
              <w:t>37.50</w:t>
            </w: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29,429,9</w:t>
            </w:r>
          </w:p>
          <w:p>
            <w:pPr>
              <w:pStyle w:val="TableParagraph"/>
              <w:spacing w:line="240" w:lineRule="auto" w:before="105"/>
              <w:ind w:left="292" w:right="0"/>
              <w:jc w:val="left"/>
              <w:rPr>
                <w:rFonts w:ascii="Times New Roman" w:hAnsi="Times New Roman" w:cs="Times New Roman" w:eastAsia="Times New Roman" w:hint="default"/>
                <w:sz w:val="18"/>
                <w:szCs w:val="18"/>
              </w:rPr>
            </w:pPr>
            <w:r>
              <w:rPr>
                <w:rFonts w:ascii="Times New Roman"/>
                <w:sz w:val="18"/>
              </w:rPr>
              <w:t>52.10</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245,59</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9,919.0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631,528,7</w:t>
            </w:r>
          </w:p>
          <w:p>
            <w:pPr>
              <w:pStyle w:val="TableParagraph"/>
              <w:spacing w:line="240" w:lineRule="auto" w:before="105"/>
              <w:ind w:left="427" w:right="0"/>
              <w:jc w:val="left"/>
              <w:rPr>
                <w:rFonts w:ascii="Times New Roman" w:hAnsi="Times New Roman" w:cs="Times New Roman" w:eastAsia="Times New Roman" w:hint="default"/>
                <w:sz w:val="18"/>
                <w:szCs w:val="18"/>
              </w:rPr>
            </w:pPr>
            <w:r>
              <w:rPr>
                <w:rFonts w:ascii="Times New Roman"/>
                <w:sz w:val="18"/>
              </w:rPr>
              <w:t>17.81</w:t>
            </w:r>
          </w:p>
        </w:tc>
      </w:tr>
    </w:tbl>
    <w:p>
      <w:pPr>
        <w:pStyle w:val="BodyText"/>
        <w:spacing w:line="240" w:lineRule="auto" w:before="53"/>
        <w:ind w:right="0"/>
        <w:jc w:val="left"/>
      </w:pPr>
      <w:r>
        <w:rPr/>
        <w:t>上期金额</w:t>
      </w:r>
    </w:p>
    <w:p>
      <w:pPr>
        <w:pStyle w:val="BodyText"/>
        <w:spacing w:line="240" w:lineRule="auto" w:before="115"/>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29"/>
        <w:gridCol w:w="595"/>
        <w:gridCol w:w="572"/>
        <w:gridCol w:w="576"/>
        <w:gridCol w:w="572"/>
        <w:gridCol w:w="682"/>
        <w:gridCol w:w="687"/>
        <w:gridCol w:w="686"/>
        <w:gridCol w:w="783"/>
        <w:gridCol w:w="662"/>
        <w:gridCol w:w="802"/>
        <w:gridCol w:w="797"/>
        <w:gridCol w:w="926"/>
      </w:tblGrid>
      <w:tr>
        <w:trPr>
          <w:trHeight w:val="404" w:hRule="exact"/>
        </w:trPr>
        <w:tc>
          <w:tcPr>
            <w:tcW w:w="12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40" w:type="dxa"/>
            <w:gridSpan w:val="12"/>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w:t>
            </w:r>
          </w:p>
        </w:tc>
      </w:tr>
      <w:tr>
        <w:trPr>
          <w:trHeight w:val="398" w:hRule="exact"/>
        </w:trPr>
        <w:tc>
          <w:tcPr>
            <w:tcW w:w="1229" w:type="dxa"/>
            <w:vMerge/>
            <w:tcBorders>
              <w:left w:val="single" w:sz="4" w:space="0" w:color="000000"/>
              <w:right w:val="single" w:sz="4" w:space="0" w:color="000000"/>
            </w:tcBorders>
            <w:shd w:val="clear" w:color="auto" w:fill="D2D2D2"/>
          </w:tcPr>
          <w:p>
            <w:pPr/>
          </w:p>
        </w:tc>
        <w:tc>
          <w:tcPr>
            <w:tcW w:w="59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19" w:type="dxa"/>
            <w:gridSpan w:val="3"/>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53"/>
              <w:ind w:left="31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2"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49" w:right="60" w:hanging="183"/>
              <w:jc w:val="left"/>
              <w:rPr>
                <w:rFonts w:ascii="宋体" w:hAnsi="宋体" w:cs="宋体" w:eastAsia="宋体" w:hint="default"/>
                <w:sz w:val="18"/>
                <w:szCs w:val="18"/>
              </w:rPr>
            </w:pPr>
            <w:r>
              <w:rPr>
                <w:rFonts w:ascii="宋体" w:hAnsi="宋体" w:cs="宋体" w:eastAsia="宋体" w:hint="default"/>
                <w:sz w:val="18"/>
                <w:szCs w:val="18"/>
              </w:rPr>
              <w:t>资本公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687"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49" w:right="17" w:hanging="226"/>
              <w:jc w:val="left"/>
              <w:rPr>
                <w:rFonts w:ascii="宋体" w:hAnsi="宋体" w:cs="宋体" w:eastAsia="宋体" w:hint="default"/>
                <w:sz w:val="18"/>
                <w:szCs w:val="18"/>
              </w:rPr>
            </w:pPr>
            <w:r>
              <w:rPr>
                <w:rFonts w:ascii="宋体" w:hAnsi="宋体" w:cs="宋体" w:eastAsia="宋体" w:hint="default"/>
                <w:spacing w:val="-24"/>
                <w:w w:val="101"/>
                <w:sz w:val="18"/>
                <w:szCs w:val="18"/>
              </w:rPr>
              <w:t>减：库存</w:t>
            </w:r>
            <w:r>
              <w:rPr>
                <w:rFonts w:ascii="宋体" w:hAnsi="宋体" w:cs="宋体" w:eastAsia="宋体" w:hint="default"/>
                <w:w w:val="101"/>
                <w:sz w:val="18"/>
                <w:szCs w:val="18"/>
              </w:rPr>
              <w:t> </w:t>
            </w:r>
            <w:r>
              <w:rPr>
                <w:rFonts w:ascii="宋体" w:hAnsi="宋体" w:cs="宋体" w:eastAsia="宋体" w:hint="default"/>
                <w:sz w:val="18"/>
                <w:szCs w:val="18"/>
              </w:rPr>
              <w:t>股</w:t>
            </w:r>
          </w:p>
        </w:tc>
        <w:tc>
          <w:tcPr>
            <w:tcW w:w="686"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67" w:right="65"/>
              <w:jc w:val="left"/>
              <w:rPr>
                <w:rFonts w:ascii="宋体" w:hAnsi="宋体" w:cs="宋体" w:eastAsia="宋体" w:hint="default"/>
                <w:sz w:val="18"/>
                <w:szCs w:val="18"/>
              </w:rPr>
            </w:pPr>
            <w:r>
              <w:rPr>
                <w:rFonts w:ascii="宋体" w:hAnsi="宋体" w:cs="宋体" w:eastAsia="宋体" w:hint="default"/>
                <w:sz w:val="18"/>
                <w:szCs w:val="18"/>
              </w:rPr>
              <w:t>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p>
        </w:tc>
        <w:tc>
          <w:tcPr>
            <w:tcW w:w="78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2"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39" w:right="50" w:hanging="183"/>
              <w:jc w:val="left"/>
              <w:rPr>
                <w:rFonts w:ascii="宋体" w:hAnsi="宋体" w:cs="宋体" w:eastAsia="宋体" w:hint="default"/>
                <w:sz w:val="18"/>
                <w:szCs w:val="18"/>
              </w:rPr>
            </w:pPr>
            <w:r>
              <w:rPr>
                <w:rFonts w:ascii="宋体" w:hAnsi="宋体" w:cs="宋体" w:eastAsia="宋体" w:hint="default"/>
                <w:sz w:val="18"/>
                <w:szCs w:val="18"/>
              </w:rPr>
              <w:t>盈余公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802"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307" w:right="31" w:hanging="274"/>
              <w:jc w:val="left"/>
              <w:rPr>
                <w:rFonts w:ascii="宋体" w:hAnsi="宋体" w:cs="宋体" w:eastAsia="宋体" w:hint="default"/>
                <w:sz w:val="18"/>
                <w:szCs w:val="18"/>
              </w:rPr>
            </w:pPr>
            <w:r>
              <w:rPr>
                <w:rFonts w:ascii="宋体" w:hAnsi="宋体" w:cs="宋体" w:eastAsia="宋体" w:hint="default"/>
                <w:sz w:val="18"/>
                <w:szCs w:val="18"/>
              </w:rPr>
              <w:t>未分配利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润</w:t>
            </w:r>
          </w:p>
        </w:tc>
        <w:tc>
          <w:tcPr>
            <w:tcW w:w="797"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26"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192" w:right="89" w:hanging="92"/>
              <w:jc w:val="left"/>
              <w:rPr>
                <w:rFonts w:ascii="宋体" w:hAnsi="宋体" w:cs="宋体" w:eastAsia="宋体" w:hint="default"/>
                <w:sz w:val="18"/>
                <w:szCs w:val="18"/>
              </w:rPr>
            </w:pPr>
            <w:r>
              <w:rPr>
                <w:rFonts w:ascii="宋体" w:hAnsi="宋体" w:cs="宋体" w:eastAsia="宋体" w:hint="default"/>
                <w:sz w:val="18"/>
                <w:szCs w:val="18"/>
              </w:rPr>
              <w:t>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益合计</w:t>
            </w:r>
          </w:p>
        </w:tc>
      </w:tr>
      <w:tr>
        <w:trPr>
          <w:trHeight w:val="403" w:hRule="exact"/>
        </w:trPr>
        <w:tc>
          <w:tcPr>
            <w:tcW w:w="1229" w:type="dxa"/>
            <w:vMerge/>
            <w:tcBorders>
              <w:left w:val="single" w:sz="4" w:space="0" w:color="000000"/>
              <w:bottom w:val="single" w:sz="4" w:space="0" w:color="000000"/>
              <w:right w:val="single" w:sz="4" w:space="0" w:color="000000"/>
            </w:tcBorders>
            <w:shd w:val="clear" w:color="auto" w:fill="D2D2D2"/>
          </w:tcPr>
          <w:p>
            <w:pPr/>
          </w:p>
        </w:tc>
        <w:tc>
          <w:tcPr>
            <w:tcW w:w="595" w:type="dxa"/>
            <w:vMerge/>
            <w:tcBorders>
              <w:left w:val="single" w:sz="4" w:space="0" w:color="000000"/>
              <w:bottom w:val="single" w:sz="4" w:space="0" w:color="000000"/>
              <w:right w:val="single" w:sz="4" w:space="0" w:color="000000"/>
            </w:tcBorders>
            <w:shd w:val="clear" w:color="auto" w:fill="D2D2D2"/>
          </w:tcPr>
          <w:p>
            <w:pPr/>
          </w:p>
        </w:tc>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100" w:right="0"/>
              <w:jc w:val="left"/>
              <w:rPr>
                <w:rFonts w:ascii="宋体" w:hAnsi="宋体" w:cs="宋体" w:eastAsia="宋体" w:hint="default"/>
                <w:sz w:val="18"/>
                <w:szCs w:val="18"/>
              </w:rPr>
            </w:pPr>
            <w:r>
              <w:rPr>
                <w:rFonts w:ascii="宋体" w:hAnsi="宋体" w:cs="宋体" w:eastAsia="宋体" w:hint="default"/>
                <w:sz w:val="18"/>
                <w:szCs w:val="18"/>
              </w:rPr>
              <w:t>优先</w:t>
            </w: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100" w:right="0"/>
              <w:jc w:val="left"/>
              <w:rPr>
                <w:rFonts w:ascii="宋体" w:hAnsi="宋体" w:cs="宋体" w:eastAsia="宋体" w:hint="default"/>
                <w:sz w:val="18"/>
                <w:szCs w:val="18"/>
              </w:rPr>
            </w:pPr>
            <w:r>
              <w:rPr>
                <w:rFonts w:ascii="宋体" w:hAnsi="宋体" w:cs="宋体" w:eastAsia="宋体" w:hint="default"/>
                <w:sz w:val="18"/>
                <w:szCs w:val="18"/>
              </w:rPr>
              <w:t>永续</w:t>
            </w:r>
          </w:p>
        </w:tc>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2" w:type="dxa"/>
            <w:vMerge/>
            <w:tcBorders>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783" w:type="dxa"/>
            <w:vMerge/>
            <w:tcBorders>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26"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208"/>
        <w:gridCol w:w="605"/>
        <w:gridCol w:w="572"/>
        <w:gridCol w:w="576"/>
        <w:gridCol w:w="572"/>
        <w:gridCol w:w="682"/>
        <w:gridCol w:w="687"/>
        <w:gridCol w:w="686"/>
        <w:gridCol w:w="783"/>
        <w:gridCol w:w="662"/>
        <w:gridCol w:w="802"/>
        <w:gridCol w:w="797"/>
        <w:gridCol w:w="926"/>
      </w:tblGrid>
      <w:tr>
        <w:trPr>
          <w:trHeight w:val="360"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92" w:right="0"/>
              <w:jc w:val="left"/>
              <w:rPr>
                <w:rFonts w:ascii="宋体" w:hAnsi="宋体" w:cs="宋体" w:eastAsia="宋体" w:hint="default"/>
                <w:sz w:val="18"/>
                <w:szCs w:val="18"/>
              </w:rPr>
            </w:pPr>
            <w:r>
              <w:rPr>
                <w:rFonts w:ascii="宋体" w:hAnsi="宋体" w:cs="宋体" w:eastAsia="宋体" w:hint="default"/>
                <w:w w:val="101"/>
                <w:sz w:val="18"/>
                <w:szCs w:val="18"/>
              </w:rPr>
              <w:t>股</w:t>
            </w:r>
            <w:r>
              <w:rPr>
                <w:rFonts w:ascii="宋体" w:hAnsi="宋体" w:cs="宋体" w:eastAsia="宋体" w:hint="default"/>
                <w:sz w:val="18"/>
                <w:szCs w:val="18"/>
              </w:rPr>
            </w: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w w:val="101"/>
                <w:sz w:val="18"/>
                <w:szCs w:val="18"/>
              </w:rPr>
              <w:t>债</w:t>
            </w:r>
            <w:r>
              <w:rPr>
                <w:rFonts w:ascii="宋体" w:hAnsi="宋体" w:cs="宋体" w:eastAsia="宋体" w:hint="default"/>
                <w:sz w:val="18"/>
                <w:szCs w:val="18"/>
              </w:rPr>
            </w:r>
          </w:p>
        </w:tc>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63" w:hRule="exact"/>
        </w:trPr>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605" w:type="dxa"/>
            <w:vMerge w:val="restart"/>
            <w:tcBorders>
              <w:top w:val="single" w:sz="4" w:space="0" w:color="000000"/>
              <w:left w:val="single" w:sz="10" w:space="0" w:color="D2D2D2"/>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,000.0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72"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227,026</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,677.05</w:t>
            </w:r>
          </w:p>
        </w:tc>
        <w:tc>
          <w:tcPr>
            <w:tcW w:w="687"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78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20,763,</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715.09</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178,873,4</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35.76</w:t>
            </w:r>
          </w:p>
        </w:tc>
        <w:tc>
          <w:tcPr>
            <w:tcW w:w="797" w:type="dxa"/>
            <w:vMerge w:val="restart"/>
            <w:tcBorders>
              <w:top w:val="single" w:sz="4" w:space="0" w:color="000000"/>
              <w:left w:val="single" w:sz="4" w:space="0" w:color="000000"/>
              <w:right w:val="single" w:sz="4" w:space="0" w:color="000000"/>
            </w:tcBorders>
          </w:tcPr>
          <w:p>
            <w:pPr/>
          </w:p>
        </w:tc>
        <w:tc>
          <w:tcPr>
            <w:tcW w:w="92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506,663,82</w:t>
            </w:r>
          </w:p>
          <w:p>
            <w:pPr>
              <w:pStyle w:val="TableParagraph"/>
              <w:spacing w:line="240" w:lineRule="auto" w:before="105"/>
              <w:ind w:left="580" w:right="0"/>
              <w:jc w:val="left"/>
              <w:rPr>
                <w:rFonts w:ascii="Times New Roman" w:hAnsi="Times New Roman" w:cs="Times New Roman" w:eastAsia="Times New Roman" w:hint="default"/>
                <w:sz w:val="18"/>
                <w:szCs w:val="18"/>
              </w:rPr>
            </w:pPr>
            <w:r>
              <w:rPr>
                <w:rFonts w:ascii="Times New Roman"/>
                <w:sz w:val="18"/>
              </w:rPr>
              <w:t>7.90</w:t>
            </w:r>
          </w:p>
        </w:tc>
      </w:tr>
      <w:tr>
        <w:trPr>
          <w:trHeight w:val="706" w:hRule="exact"/>
        </w:trPr>
        <w:tc>
          <w:tcPr>
            <w:tcW w:w="12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3"/>
              <w:ind w:left="11" w:right="3"/>
              <w:jc w:val="left"/>
              <w:rPr>
                <w:rFonts w:ascii="宋体" w:hAnsi="宋体" w:cs="宋体" w:eastAsia="宋体" w:hint="default"/>
                <w:sz w:val="18"/>
                <w:szCs w:val="18"/>
              </w:rPr>
            </w:pPr>
            <w:r>
              <w:rPr>
                <w:rFonts w:ascii="宋体" w:hAnsi="宋体" w:cs="宋体" w:eastAsia="宋体" w:hint="default"/>
                <w:spacing w:val="-14"/>
                <w:w w:val="101"/>
                <w:sz w:val="18"/>
                <w:szCs w:val="18"/>
              </w:rPr>
              <w:t>一、上年期末余</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605" w:type="dxa"/>
            <w:vMerge/>
            <w:tcBorders>
              <w:left w:val="single" w:sz="10" w:space="0" w:color="D2D2D2"/>
              <w:right w:val="single" w:sz="4" w:space="0" w:color="000000"/>
            </w:tcBorders>
          </w:tcPr>
          <w:p>
            <w:pPr/>
          </w:p>
        </w:tc>
        <w:tc>
          <w:tcPr>
            <w:tcW w:w="572"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78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26" w:type="dxa"/>
            <w:vMerge/>
            <w:tcBorders>
              <w:left w:val="single" w:sz="4" w:space="0" w:color="000000"/>
              <w:right w:val="single" w:sz="4" w:space="0" w:color="000000"/>
            </w:tcBorders>
          </w:tcPr>
          <w:p>
            <w:pPr/>
          </w:p>
        </w:tc>
      </w:tr>
      <w:tr>
        <w:trPr>
          <w:trHeight w:val="158" w:hRule="exact"/>
        </w:trPr>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605" w:type="dxa"/>
            <w:vMerge/>
            <w:tcBorders>
              <w:left w:val="single" w:sz="10" w:space="0" w:color="D2D2D2"/>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78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26" w:type="dxa"/>
            <w:vMerge/>
            <w:tcBorders>
              <w:left w:val="single" w:sz="4" w:space="0" w:color="000000"/>
              <w:bottom w:val="single" w:sz="4" w:space="0" w:color="000000"/>
              <w:right w:val="single" w:sz="4" w:space="0" w:color="000000"/>
            </w:tcBorders>
          </w:tcPr>
          <w:p>
            <w:pPr/>
          </w:p>
        </w:tc>
      </w:tr>
      <w:tr>
        <w:trPr>
          <w:trHeight w:val="715"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3" w:firstLine="360"/>
              <w:jc w:val="left"/>
              <w:rPr>
                <w:rFonts w:ascii="宋体" w:hAnsi="宋体" w:cs="宋体" w:eastAsia="宋体" w:hint="default"/>
                <w:sz w:val="18"/>
                <w:szCs w:val="18"/>
              </w:rPr>
            </w:pPr>
            <w:r>
              <w:rPr>
                <w:rFonts w:ascii="宋体" w:hAnsi="宋体" w:cs="宋体" w:eastAsia="宋体" w:hint="default"/>
                <w:spacing w:val="-19"/>
                <w:w w:val="101"/>
                <w:sz w:val="18"/>
                <w:szCs w:val="18"/>
              </w:rPr>
              <w:t>加：会计政</w:t>
            </w:r>
            <w:r>
              <w:rPr>
                <w:rFonts w:ascii="宋体" w:hAnsi="宋体" w:cs="宋体" w:eastAsia="宋体" w:hint="default"/>
                <w:w w:val="101"/>
                <w:sz w:val="18"/>
                <w:szCs w:val="18"/>
              </w:rPr>
              <w:t> </w:t>
            </w:r>
            <w:r>
              <w:rPr>
                <w:rFonts w:ascii="宋体" w:hAnsi="宋体" w:cs="宋体" w:eastAsia="宋体" w:hint="default"/>
                <w:sz w:val="18"/>
                <w:szCs w:val="18"/>
              </w:rPr>
              <w:t>策变更</w:t>
            </w:r>
          </w:p>
        </w:tc>
        <w:tc>
          <w:tcPr>
            <w:tcW w:w="605"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99" w:firstLine="720"/>
              <w:jc w:val="left"/>
              <w:rPr>
                <w:rFonts w:ascii="宋体" w:hAnsi="宋体" w:cs="宋体" w:eastAsia="宋体" w:hint="default"/>
                <w:sz w:val="18"/>
                <w:szCs w:val="18"/>
              </w:rPr>
            </w:pPr>
            <w:r>
              <w:rPr>
                <w:rFonts w:ascii="宋体" w:hAnsi="宋体" w:cs="宋体" w:eastAsia="宋体" w:hint="default"/>
                <w:sz w:val="18"/>
                <w:szCs w:val="18"/>
              </w:rPr>
              <w:t>前期</w:t>
            </w:r>
            <w:r>
              <w:rPr>
                <w:rFonts w:ascii="宋体" w:hAnsi="宋体" w:cs="宋体" w:eastAsia="宋体" w:hint="default"/>
                <w:w w:val="101"/>
                <w:sz w:val="18"/>
                <w:szCs w:val="18"/>
              </w:rPr>
              <w:t> </w:t>
            </w:r>
            <w:r>
              <w:rPr>
                <w:rFonts w:ascii="宋体" w:hAnsi="宋体" w:cs="宋体" w:eastAsia="宋体" w:hint="default"/>
                <w:sz w:val="18"/>
                <w:szCs w:val="18"/>
              </w:rPr>
              <w:t>差错更正</w:t>
            </w:r>
          </w:p>
        </w:tc>
        <w:tc>
          <w:tcPr>
            <w:tcW w:w="605"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99"/>
              <w:jc w:val="right"/>
              <w:rPr>
                <w:rFonts w:ascii="宋体" w:hAnsi="宋体" w:cs="宋体" w:eastAsia="宋体" w:hint="default"/>
                <w:sz w:val="18"/>
                <w:szCs w:val="18"/>
              </w:rPr>
            </w:pPr>
            <w:r>
              <w:rPr>
                <w:rFonts w:ascii="宋体" w:hAnsi="宋体" w:cs="宋体" w:eastAsia="宋体" w:hint="default"/>
                <w:sz w:val="18"/>
                <w:szCs w:val="18"/>
              </w:rPr>
              <w:t>其他</w:t>
            </w:r>
          </w:p>
        </w:tc>
        <w:tc>
          <w:tcPr>
            <w:tcW w:w="605"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605" w:type="dxa"/>
            <w:vMerge w:val="restart"/>
            <w:tcBorders>
              <w:top w:val="single" w:sz="4" w:space="0" w:color="000000"/>
              <w:left w:val="single" w:sz="10" w:space="0" w:color="D2D2D2"/>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,000.0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72"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227,026</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,677.05</w:t>
            </w:r>
          </w:p>
        </w:tc>
        <w:tc>
          <w:tcPr>
            <w:tcW w:w="687"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78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20,763,</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715.09</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178,873,4</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35.76</w:t>
            </w:r>
          </w:p>
        </w:tc>
        <w:tc>
          <w:tcPr>
            <w:tcW w:w="797" w:type="dxa"/>
            <w:vMerge w:val="restart"/>
            <w:tcBorders>
              <w:top w:val="single" w:sz="4" w:space="0" w:color="000000"/>
              <w:left w:val="single" w:sz="4" w:space="0" w:color="000000"/>
              <w:right w:val="single" w:sz="4" w:space="0" w:color="000000"/>
            </w:tcBorders>
          </w:tcPr>
          <w:p>
            <w:pPr/>
          </w:p>
        </w:tc>
        <w:tc>
          <w:tcPr>
            <w:tcW w:w="92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506,663,82</w:t>
            </w:r>
          </w:p>
          <w:p>
            <w:pPr>
              <w:pStyle w:val="TableParagraph"/>
              <w:spacing w:line="240" w:lineRule="auto" w:before="105"/>
              <w:ind w:left="580" w:right="0"/>
              <w:jc w:val="left"/>
              <w:rPr>
                <w:rFonts w:ascii="Times New Roman" w:hAnsi="Times New Roman" w:cs="Times New Roman" w:eastAsia="Times New Roman" w:hint="default"/>
                <w:sz w:val="18"/>
                <w:szCs w:val="18"/>
              </w:rPr>
            </w:pPr>
            <w:r>
              <w:rPr>
                <w:rFonts w:ascii="Times New Roman"/>
                <w:sz w:val="18"/>
              </w:rPr>
              <w:t>7.90</w:t>
            </w:r>
          </w:p>
        </w:tc>
      </w:tr>
      <w:tr>
        <w:trPr>
          <w:trHeight w:val="706" w:hRule="exact"/>
        </w:trPr>
        <w:tc>
          <w:tcPr>
            <w:tcW w:w="12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11" w:right="3"/>
              <w:jc w:val="left"/>
              <w:rPr>
                <w:rFonts w:ascii="宋体" w:hAnsi="宋体" w:cs="宋体" w:eastAsia="宋体" w:hint="default"/>
                <w:sz w:val="18"/>
                <w:szCs w:val="18"/>
              </w:rPr>
            </w:pPr>
            <w:r>
              <w:rPr>
                <w:rFonts w:ascii="宋体" w:hAnsi="宋体" w:cs="宋体" w:eastAsia="宋体" w:hint="default"/>
                <w:spacing w:val="-14"/>
                <w:w w:val="101"/>
                <w:sz w:val="18"/>
                <w:szCs w:val="18"/>
              </w:rPr>
              <w:t>二、本年期初余</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605" w:type="dxa"/>
            <w:vMerge/>
            <w:tcBorders>
              <w:left w:val="single" w:sz="10" w:space="0" w:color="D2D2D2"/>
              <w:right w:val="single" w:sz="4" w:space="0" w:color="000000"/>
            </w:tcBorders>
          </w:tcPr>
          <w:p>
            <w:pPr/>
          </w:p>
        </w:tc>
        <w:tc>
          <w:tcPr>
            <w:tcW w:w="572"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78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26" w:type="dxa"/>
            <w:vMerge/>
            <w:tcBorders>
              <w:left w:val="single" w:sz="4" w:space="0" w:color="000000"/>
              <w:right w:val="single" w:sz="4" w:space="0" w:color="000000"/>
            </w:tcBorders>
          </w:tcPr>
          <w:p>
            <w:pPr/>
          </w:p>
        </w:tc>
      </w:tr>
      <w:tr>
        <w:trPr>
          <w:trHeight w:val="158" w:hRule="exact"/>
        </w:trPr>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605" w:type="dxa"/>
            <w:vMerge/>
            <w:tcBorders>
              <w:left w:val="single" w:sz="10" w:space="0" w:color="D2D2D2"/>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78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26" w:type="dxa"/>
            <w:vMerge/>
            <w:tcBorders>
              <w:left w:val="single" w:sz="4" w:space="0" w:color="000000"/>
              <w:bottom w:val="single" w:sz="4" w:space="0" w:color="000000"/>
              <w:right w:val="single" w:sz="4" w:space="0" w:color="000000"/>
            </w:tcBorders>
          </w:tcPr>
          <w:p>
            <w:pPr/>
          </w:p>
        </w:tc>
      </w:tr>
      <w:tr>
        <w:trPr>
          <w:trHeight w:val="1028"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11" w:right="3"/>
              <w:jc w:val="both"/>
              <w:rPr>
                <w:rFonts w:ascii="宋体" w:hAnsi="宋体" w:cs="宋体" w:eastAsia="宋体" w:hint="default"/>
                <w:sz w:val="18"/>
                <w:szCs w:val="18"/>
              </w:rPr>
            </w:pPr>
            <w:r>
              <w:rPr>
                <w:rFonts w:ascii="宋体" w:hAnsi="宋体" w:cs="宋体" w:eastAsia="宋体" w:hint="default"/>
                <w:spacing w:val="-14"/>
                <w:w w:val="101"/>
                <w:sz w:val="18"/>
                <w:szCs w:val="18"/>
              </w:rPr>
              <w:t>三、本期增减变</w:t>
            </w:r>
            <w:r>
              <w:rPr>
                <w:rFonts w:ascii="宋体" w:hAnsi="宋体" w:cs="宋体" w:eastAsia="宋体" w:hint="default"/>
                <w:w w:val="101"/>
                <w:sz w:val="18"/>
                <w:szCs w:val="18"/>
              </w:rPr>
              <w:t> </w:t>
            </w:r>
            <w:r>
              <w:rPr>
                <w:rFonts w:ascii="宋体" w:hAnsi="宋体" w:cs="宋体" w:eastAsia="宋体" w:hint="default"/>
                <w:spacing w:val="-14"/>
                <w:w w:val="101"/>
                <w:sz w:val="18"/>
                <w:szCs w:val="18"/>
              </w:rPr>
              <w:t>动金额（减少以</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3,090,</w:t>
            </w:r>
          </w:p>
          <w:p>
            <w:pPr>
              <w:pStyle w:val="TableParagraph"/>
              <w:spacing w:line="240" w:lineRule="auto" w:before="105"/>
              <w:ind w:left="74" w:right="0"/>
              <w:jc w:val="left"/>
              <w:rPr>
                <w:rFonts w:ascii="Times New Roman" w:hAnsi="Times New Roman" w:cs="Times New Roman" w:eastAsia="Times New Roman" w:hint="default"/>
                <w:sz w:val="18"/>
                <w:szCs w:val="18"/>
              </w:rPr>
            </w:pPr>
            <w:r>
              <w:rPr>
                <w:rFonts w:ascii="Times New Roman"/>
                <w:sz w:val="18"/>
              </w:rPr>
              <w:t>000.00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61,138,</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583.86</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50,892,3</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4,300,4</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52.80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33,718,67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5.23</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2"/>
                <w:sz w:val="18"/>
              </w:rPr>
              <w:t>51,355,411.</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89</w:t>
            </w:r>
          </w:p>
        </w:tc>
      </w:tr>
      <w:tr>
        <w:trPr>
          <w:trHeight w:val="715"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
              <w:jc w:val="left"/>
              <w:rPr>
                <w:rFonts w:ascii="宋体" w:hAnsi="宋体" w:cs="宋体" w:eastAsia="宋体" w:hint="default"/>
                <w:sz w:val="18"/>
                <w:szCs w:val="18"/>
              </w:rPr>
            </w:pPr>
            <w:r>
              <w:rPr>
                <w:rFonts w:ascii="宋体" w:hAnsi="宋体" w:cs="宋体" w:eastAsia="宋体" w:hint="default"/>
                <w:spacing w:val="-14"/>
                <w:w w:val="101"/>
                <w:sz w:val="18"/>
                <w:szCs w:val="18"/>
              </w:rPr>
              <w:t>（一）综合收益</w:t>
            </w:r>
            <w:r>
              <w:rPr>
                <w:rFonts w:ascii="宋体" w:hAnsi="宋体" w:cs="宋体" w:eastAsia="宋体" w:hint="default"/>
                <w:w w:val="101"/>
                <w:sz w:val="18"/>
                <w:szCs w:val="18"/>
              </w:rPr>
              <w:t> </w:t>
            </w:r>
            <w:r>
              <w:rPr>
                <w:rFonts w:ascii="宋体" w:hAnsi="宋体" w:cs="宋体" w:eastAsia="宋体" w:hint="default"/>
                <w:sz w:val="18"/>
                <w:szCs w:val="18"/>
              </w:rPr>
              <w:t>总额</w:t>
            </w:r>
          </w:p>
        </w:tc>
        <w:tc>
          <w:tcPr>
            <w:tcW w:w="605"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43,004,52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8.03</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43,004,528.</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03</w:t>
            </w:r>
          </w:p>
        </w:tc>
      </w:tr>
      <w:tr>
        <w:trPr>
          <w:trHeight w:val="711"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3"/>
              <w:jc w:val="left"/>
              <w:rPr>
                <w:rFonts w:ascii="宋体" w:hAnsi="宋体" w:cs="宋体" w:eastAsia="宋体" w:hint="default"/>
                <w:sz w:val="18"/>
                <w:szCs w:val="18"/>
              </w:rPr>
            </w:pPr>
            <w:r>
              <w:rPr>
                <w:rFonts w:ascii="宋体" w:hAnsi="宋体" w:cs="宋体" w:eastAsia="宋体" w:hint="default"/>
                <w:spacing w:val="-14"/>
                <w:w w:val="101"/>
                <w:sz w:val="18"/>
                <w:szCs w:val="18"/>
              </w:rPr>
              <w:t>（二）所有者投</w:t>
            </w:r>
            <w:r>
              <w:rPr>
                <w:rFonts w:ascii="宋体" w:hAnsi="宋体" w:cs="宋体" w:eastAsia="宋体" w:hint="default"/>
                <w:w w:val="101"/>
                <w:sz w:val="18"/>
                <w:szCs w:val="18"/>
              </w:rPr>
              <w:t> </w:t>
            </w:r>
            <w:r>
              <w:rPr>
                <w:rFonts w:ascii="宋体" w:hAnsi="宋体" w:cs="宋体" w:eastAsia="宋体" w:hint="default"/>
                <w:sz w:val="18"/>
                <w:szCs w:val="18"/>
              </w:rPr>
              <w:t>入和减少资本</w:t>
            </w:r>
          </w:p>
        </w:tc>
        <w:tc>
          <w:tcPr>
            <w:tcW w:w="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117" w:right="0"/>
              <w:jc w:val="left"/>
              <w:rPr>
                <w:rFonts w:ascii="Times New Roman" w:hAnsi="Times New Roman" w:cs="Times New Roman" w:eastAsia="Times New Roman" w:hint="default"/>
                <w:sz w:val="18"/>
                <w:szCs w:val="18"/>
              </w:rPr>
            </w:pPr>
            <w:r>
              <w:rPr>
                <w:rFonts w:ascii="Times New Roman"/>
                <w:sz w:val="18"/>
              </w:rPr>
              <w:t>3,090,</w:t>
            </w:r>
          </w:p>
          <w:p>
            <w:pPr>
              <w:pStyle w:val="TableParagraph"/>
              <w:spacing w:line="240" w:lineRule="auto" w:before="105"/>
              <w:ind w:left="74" w:right="0"/>
              <w:jc w:val="left"/>
              <w:rPr>
                <w:rFonts w:ascii="Times New Roman" w:hAnsi="Times New Roman" w:cs="Times New Roman" w:eastAsia="Times New Roman" w:hint="default"/>
                <w:sz w:val="18"/>
                <w:szCs w:val="18"/>
              </w:rPr>
            </w:pPr>
            <w:r>
              <w:rPr>
                <w:rFonts w:ascii="Times New Roman"/>
                <w:sz w:val="18"/>
              </w:rPr>
              <w:t>000.00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5" w:right="0"/>
              <w:jc w:val="left"/>
              <w:rPr>
                <w:rFonts w:ascii="Times New Roman" w:hAnsi="Times New Roman" w:cs="Times New Roman" w:eastAsia="Times New Roman" w:hint="default"/>
                <w:sz w:val="18"/>
                <w:szCs w:val="18"/>
              </w:rPr>
            </w:pPr>
            <w:r>
              <w:rPr>
                <w:rFonts w:ascii="Times New Roman"/>
                <w:sz w:val="18"/>
              </w:rPr>
              <w:t>61,138,</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583.86</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51,085,5</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13,143,083.</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86</w:t>
            </w:r>
          </w:p>
        </w:tc>
      </w:tr>
      <w:tr>
        <w:trPr>
          <w:trHeight w:val="715"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1" w:right="8"/>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的普通股</w:t>
            </w:r>
          </w:p>
        </w:tc>
        <w:tc>
          <w:tcPr>
            <w:tcW w:w="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117" w:right="0"/>
              <w:jc w:val="left"/>
              <w:rPr>
                <w:rFonts w:ascii="Times New Roman" w:hAnsi="Times New Roman" w:cs="Times New Roman" w:eastAsia="Times New Roman" w:hint="default"/>
                <w:sz w:val="18"/>
                <w:szCs w:val="18"/>
              </w:rPr>
            </w:pPr>
            <w:r>
              <w:rPr>
                <w:rFonts w:ascii="Times New Roman"/>
                <w:sz w:val="18"/>
              </w:rPr>
              <w:t>3,220,</w:t>
            </w:r>
          </w:p>
          <w:p>
            <w:pPr>
              <w:pStyle w:val="TableParagraph"/>
              <w:spacing w:line="240" w:lineRule="auto" w:before="110"/>
              <w:ind w:left="74" w:right="0"/>
              <w:jc w:val="left"/>
              <w:rPr>
                <w:rFonts w:ascii="Times New Roman" w:hAnsi="Times New Roman" w:cs="Times New Roman" w:eastAsia="Times New Roman" w:hint="default"/>
                <w:sz w:val="18"/>
                <w:szCs w:val="18"/>
              </w:rPr>
            </w:pPr>
            <w:r>
              <w:rPr>
                <w:rFonts w:ascii="Times New Roman"/>
                <w:sz w:val="18"/>
              </w:rPr>
              <w:t>000.00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5" w:right="0"/>
              <w:jc w:val="left"/>
              <w:rPr>
                <w:rFonts w:ascii="Times New Roman" w:hAnsi="Times New Roman" w:cs="Times New Roman" w:eastAsia="Times New Roman" w:hint="default"/>
                <w:sz w:val="18"/>
                <w:szCs w:val="18"/>
              </w:rPr>
            </w:pPr>
            <w:r>
              <w:rPr>
                <w:rFonts w:ascii="Times New Roman"/>
                <w:sz w:val="18"/>
              </w:rPr>
              <w:t>50,006,</w:t>
            </w:r>
          </w:p>
          <w:p>
            <w:pPr>
              <w:pStyle w:val="TableParagraph"/>
              <w:spacing w:line="240" w:lineRule="auto" w:before="110"/>
              <w:ind w:left="158" w:right="0"/>
              <w:jc w:val="left"/>
              <w:rPr>
                <w:rFonts w:ascii="Times New Roman" w:hAnsi="Times New Roman" w:cs="Times New Roman" w:eastAsia="Times New Roman" w:hint="default"/>
                <w:sz w:val="18"/>
                <w:szCs w:val="18"/>
              </w:rPr>
            </w:pPr>
            <w:r>
              <w:rPr>
                <w:rFonts w:ascii="Times New Roman"/>
                <w:sz w:val="18"/>
              </w:rPr>
              <w:t>600.00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53,226,6</w:t>
            </w:r>
          </w:p>
          <w:p>
            <w:pPr>
              <w:pStyle w:val="TableParagraph"/>
              <w:spacing w:line="240" w:lineRule="auto" w:before="110"/>
              <w:ind w:left="249" w:right="0"/>
              <w:jc w:val="left"/>
              <w:rPr>
                <w:rFonts w:ascii="Times New Roman" w:hAnsi="Times New Roman" w:cs="Times New Roman" w:eastAsia="Times New Roman" w:hint="default"/>
                <w:sz w:val="18"/>
                <w:szCs w:val="18"/>
              </w:rPr>
            </w:pPr>
            <w:r>
              <w:rPr>
                <w:rFonts w:ascii="Times New Roman"/>
                <w:sz w:val="18"/>
              </w:rPr>
              <w:t>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1" w:right="8"/>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具持有者投入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605"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1" w:right="8"/>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605"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13,150,</w:t>
            </w:r>
          </w:p>
          <w:p>
            <w:pPr>
              <w:pStyle w:val="TableParagraph"/>
              <w:spacing w:line="240" w:lineRule="auto" w:before="110"/>
              <w:ind w:left="158" w:right="0"/>
              <w:jc w:val="left"/>
              <w:rPr>
                <w:rFonts w:ascii="Times New Roman" w:hAnsi="Times New Roman" w:cs="Times New Roman" w:eastAsia="Times New Roman" w:hint="default"/>
                <w:sz w:val="18"/>
                <w:szCs w:val="18"/>
              </w:rPr>
            </w:pPr>
            <w:r>
              <w:rPr>
                <w:rFonts w:ascii="Times New Roman"/>
                <w:sz w:val="18"/>
              </w:rPr>
              <w:t>883.86</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13,150,883.</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86</w:t>
            </w:r>
          </w:p>
        </w:tc>
      </w:tr>
      <w:tr>
        <w:trPr>
          <w:trHeight w:val="159" w:hRule="exact"/>
        </w:trPr>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605" w:type="dxa"/>
            <w:vMerge w:val="restart"/>
            <w:tcBorders>
              <w:top w:val="single" w:sz="4" w:space="0" w:color="000000"/>
              <w:left w:val="single" w:sz="10" w:space="0" w:color="D2D2D2"/>
              <w:right w:val="single" w:sz="4" w:space="0" w:color="000000"/>
            </w:tcBorders>
          </w:tcPr>
          <w:p>
            <w:pPr>
              <w:pStyle w:val="TableParagraph"/>
              <w:spacing w:line="240" w:lineRule="auto" w:before="96"/>
              <w:ind w:left="103" w:right="0"/>
              <w:jc w:val="left"/>
              <w:rPr>
                <w:rFonts w:ascii="Times New Roman" w:hAnsi="Times New Roman" w:cs="Times New Roman" w:eastAsia="Times New Roman" w:hint="default"/>
                <w:sz w:val="18"/>
                <w:szCs w:val="18"/>
              </w:rPr>
            </w:pPr>
            <w:r>
              <w:rPr>
                <w:rFonts w:ascii="Times New Roman"/>
                <w:sz w:val="18"/>
              </w:rPr>
              <w:t>-130,0</w:t>
            </w:r>
          </w:p>
          <w:p>
            <w:pPr>
              <w:pStyle w:val="TableParagraph"/>
              <w:spacing w:line="240" w:lineRule="auto" w:before="105"/>
              <w:ind w:left="165" w:right="0"/>
              <w:jc w:val="left"/>
              <w:rPr>
                <w:rFonts w:ascii="Times New Roman" w:hAnsi="Times New Roman" w:cs="Times New Roman" w:eastAsia="Times New Roman" w:hint="default"/>
                <w:sz w:val="18"/>
                <w:szCs w:val="18"/>
              </w:rPr>
            </w:pPr>
            <w:r>
              <w:rPr>
                <w:rFonts w:ascii="Times New Roman"/>
                <w:sz w:val="18"/>
              </w:rPr>
              <w:t>00.00</w:t>
            </w:r>
          </w:p>
        </w:tc>
        <w:tc>
          <w:tcPr>
            <w:tcW w:w="572"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Style w:val="TableParagraph"/>
              <w:spacing w:line="240" w:lineRule="auto" w:before="96"/>
              <w:ind w:left="38" w:right="0"/>
              <w:jc w:val="center"/>
              <w:rPr>
                <w:rFonts w:ascii="Times New Roman" w:hAnsi="Times New Roman" w:cs="Times New Roman" w:eastAsia="Times New Roman" w:hint="default"/>
                <w:sz w:val="18"/>
                <w:szCs w:val="18"/>
              </w:rPr>
            </w:pPr>
            <w:r>
              <w:rPr>
                <w:rFonts w:ascii="Times New Roman"/>
                <w:sz w:val="18"/>
              </w:rPr>
              <w:t>-2,018,9</w:t>
            </w:r>
          </w:p>
          <w:p>
            <w:pPr>
              <w:pStyle w:val="TableParagraph"/>
              <w:spacing w:line="240" w:lineRule="auto" w:before="105"/>
              <w:ind w:left="235" w:right="0"/>
              <w:jc w:val="center"/>
              <w:rPr>
                <w:rFonts w:ascii="Times New Roman" w:hAnsi="Times New Roman" w:cs="Times New Roman" w:eastAsia="Times New Roman" w:hint="default"/>
                <w:sz w:val="18"/>
                <w:szCs w:val="18"/>
              </w:rPr>
            </w:pPr>
            <w:r>
              <w:rPr>
                <w:rFonts w:ascii="Times New Roman"/>
                <w:sz w:val="18"/>
              </w:rPr>
              <w:t>00.00</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96"/>
              <w:ind w:left="32" w:right="0"/>
              <w:jc w:val="center"/>
              <w:rPr>
                <w:rFonts w:ascii="Times New Roman" w:hAnsi="Times New Roman" w:cs="Times New Roman" w:eastAsia="Times New Roman" w:hint="default"/>
                <w:sz w:val="18"/>
                <w:szCs w:val="18"/>
              </w:rPr>
            </w:pPr>
            <w:r>
              <w:rPr>
                <w:rFonts w:ascii="Times New Roman"/>
                <w:sz w:val="18"/>
              </w:rPr>
              <w:t>-2,141,1</w:t>
            </w:r>
          </w:p>
          <w:p>
            <w:pPr>
              <w:pStyle w:val="TableParagraph"/>
              <w:spacing w:line="240" w:lineRule="auto" w:before="105"/>
              <w:ind w:left="229" w:right="0"/>
              <w:jc w:val="center"/>
              <w:rPr>
                <w:rFonts w:ascii="Times New Roman" w:hAnsi="Times New Roman" w:cs="Times New Roman" w:eastAsia="Times New Roman" w:hint="default"/>
                <w:sz w:val="18"/>
                <w:szCs w:val="18"/>
              </w:rPr>
            </w:pPr>
            <w:r>
              <w:rPr>
                <w:rFonts w:ascii="Times New Roman"/>
                <w:sz w:val="18"/>
              </w:rPr>
              <w:t>00.00</w:t>
            </w:r>
          </w:p>
        </w:tc>
        <w:tc>
          <w:tcPr>
            <w:tcW w:w="686" w:type="dxa"/>
            <w:vMerge w:val="restart"/>
            <w:tcBorders>
              <w:top w:val="single" w:sz="4" w:space="0" w:color="000000"/>
              <w:left w:val="single" w:sz="4" w:space="0" w:color="000000"/>
              <w:right w:val="single" w:sz="4" w:space="0" w:color="000000"/>
            </w:tcBorders>
          </w:tcPr>
          <w:p>
            <w:pPr/>
          </w:p>
        </w:tc>
        <w:tc>
          <w:tcPr>
            <w:tcW w:w="78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802"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92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-7,800.00</w:t>
            </w:r>
          </w:p>
        </w:tc>
      </w:tr>
      <w:tr>
        <w:trPr>
          <w:trHeight w:val="394" w:hRule="exact"/>
        </w:trPr>
        <w:tc>
          <w:tcPr>
            <w:tcW w:w="12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05" w:type="dxa"/>
            <w:vMerge/>
            <w:tcBorders>
              <w:left w:val="single" w:sz="10" w:space="0" w:color="D2D2D2"/>
              <w:right w:val="single" w:sz="4" w:space="0" w:color="000000"/>
            </w:tcBorders>
          </w:tcPr>
          <w:p>
            <w:pPr/>
          </w:p>
        </w:tc>
        <w:tc>
          <w:tcPr>
            <w:tcW w:w="572"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78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26" w:type="dxa"/>
            <w:vMerge/>
            <w:tcBorders>
              <w:left w:val="single" w:sz="4" w:space="0" w:color="000000"/>
              <w:right w:val="single" w:sz="4" w:space="0" w:color="000000"/>
            </w:tcBorders>
          </w:tcPr>
          <w:p>
            <w:pPr/>
          </w:p>
        </w:tc>
      </w:tr>
      <w:tr>
        <w:trPr>
          <w:trHeight w:val="158" w:hRule="exact"/>
        </w:trPr>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605" w:type="dxa"/>
            <w:vMerge/>
            <w:tcBorders>
              <w:left w:val="single" w:sz="10" w:space="0" w:color="D2D2D2"/>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78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26" w:type="dxa"/>
            <w:vMerge/>
            <w:tcBorders>
              <w:left w:val="single" w:sz="4" w:space="0" w:color="000000"/>
              <w:bottom w:val="single" w:sz="4" w:space="0" w:color="000000"/>
              <w:right w:val="single" w:sz="4" w:space="0" w:color="000000"/>
            </w:tcBorders>
          </w:tcPr>
          <w:p>
            <w:pPr/>
          </w:p>
        </w:tc>
      </w:tr>
      <w:tr>
        <w:trPr>
          <w:trHeight w:val="163" w:hRule="exact"/>
        </w:trPr>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605" w:type="dxa"/>
            <w:vMerge w:val="restart"/>
            <w:tcBorders>
              <w:top w:val="single" w:sz="4" w:space="0" w:color="000000"/>
              <w:left w:val="single" w:sz="10" w:space="0" w:color="D2D2D2"/>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96"/>
              <w:ind w:left="96" w:right="0"/>
              <w:jc w:val="left"/>
              <w:rPr>
                <w:rFonts w:ascii="Times New Roman" w:hAnsi="Times New Roman" w:cs="Times New Roman" w:eastAsia="Times New Roman" w:hint="default"/>
                <w:sz w:val="18"/>
                <w:szCs w:val="18"/>
              </w:rPr>
            </w:pPr>
            <w:r>
              <w:rPr>
                <w:rFonts w:ascii="Times New Roman"/>
                <w:sz w:val="18"/>
              </w:rPr>
              <w:t>-193,20</w:t>
            </w:r>
          </w:p>
          <w:p>
            <w:pPr>
              <w:pStyle w:val="TableParagraph"/>
              <w:spacing w:line="240" w:lineRule="auto" w:before="110"/>
              <w:ind w:left="336" w:right="0"/>
              <w:jc w:val="left"/>
              <w:rPr>
                <w:rFonts w:ascii="Times New Roman" w:hAnsi="Times New Roman" w:cs="Times New Roman" w:eastAsia="Times New Roman" w:hint="default"/>
                <w:sz w:val="18"/>
                <w:szCs w:val="18"/>
              </w:rPr>
            </w:pPr>
            <w:r>
              <w:rPr>
                <w:rFonts w:ascii="Times New Roman"/>
                <w:sz w:val="18"/>
              </w:rPr>
              <w:t>0.00</w:t>
            </w:r>
          </w:p>
        </w:tc>
        <w:tc>
          <w:tcPr>
            <w:tcW w:w="686" w:type="dxa"/>
            <w:vMerge w:val="restart"/>
            <w:tcBorders>
              <w:top w:val="single" w:sz="4" w:space="0" w:color="000000"/>
              <w:left w:val="single" w:sz="4" w:space="0" w:color="000000"/>
              <w:right w:val="single" w:sz="4" w:space="0" w:color="000000"/>
            </w:tcBorders>
          </w:tcPr>
          <w:p>
            <w:pPr/>
          </w:p>
        </w:tc>
        <w:tc>
          <w:tcPr>
            <w:tcW w:w="78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96"/>
              <w:ind w:left="81" w:right="0"/>
              <w:jc w:val="center"/>
              <w:rPr>
                <w:rFonts w:ascii="Times New Roman" w:hAnsi="Times New Roman" w:cs="Times New Roman" w:eastAsia="Times New Roman" w:hint="default"/>
                <w:sz w:val="18"/>
                <w:szCs w:val="18"/>
              </w:rPr>
            </w:pPr>
            <w:r>
              <w:rPr>
                <w:rFonts w:ascii="Times New Roman"/>
                <w:sz w:val="18"/>
              </w:rPr>
              <w:t>4,300,4</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52.80</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96"/>
              <w:ind w:left="77" w:right="0"/>
              <w:jc w:val="left"/>
              <w:rPr>
                <w:rFonts w:ascii="Times New Roman" w:hAnsi="Times New Roman" w:cs="Times New Roman" w:eastAsia="Times New Roman" w:hint="default"/>
                <w:sz w:val="18"/>
                <w:szCs w:val="18"/>
              </w:rPr>
            </w:pPr>
            <w:r>
              <w:rPr>
                <w:rFonts w:ascii="Times New Roman"/>
                <w:sz w:val="18"/>
              </w:rPr>
              <w:t>-9,285,85</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2.80</w:t>
            </w:r>
          </w:p>
        </w:tc>
        <w:tc>
          <w:tcPr>
            <w:tcW w:w="797" w:type="dxa"/>
            <w:vMerge w:val="restart"/>
            <w:tcBorders>
              <w:top w:val="single" w:sz="4" w:space="0" w:color="000000"/>
              <w:left w:val="single" w:sz="4" w:space="0" w:color="000000"/>
              <w:right w:val="single" w:sz="4" w:space="0" w:color="000000"/>
            </w:tcBorders>
          </w:tcPr>
          <w:p>
            <w:pPr/>
          </w:p>
        </w:tc>
        <w:tc>
          <w:tcPr>
            <w:tcW w:w="926" w:type="dxa"/>
            <w:vMerge w:val="restart"/>
            <w:tcBorders>
              <w:top w:val="single" w:sz="4" w:space="0" w:color="000000"/>
              <w:left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-4,792,200.</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r>
      <w:tr>
        <w:trPr>
          <w:trHeight w:val="394" w:hRule="exact"/>
        </w:trPr>
        <w:tc>
          <w:tcPr>
            <w:tcW w:w="12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3"/>
              <w:jc w:val="right"/>
              <w:rPr>
                <w:rFonts w:ascii="宋体" w:hAnsi="宋体" w:cs="宋体" w:eastAsia="宋体" w:hint="default"/>
                <w:sz w:val="18"/>
                <w:szCs w:val="18"/>
              </w:rPr>
            </w:pPr>
            <w:r>
              <w:rPr>
                <w:rFonts w:ascii="宋体" w:hAnsi="宋体" w:cs="宋体" w:eastAsia="宋体" w:hint="default"/>
                <w:w w:val="101"/>
                <w:sz w:val="18"/>
                <w:szCs w:val="18"/>
              </w:rPr>
              <w:t>（三</w:t>
            </w:r>
            <w:r>
              <w:rPr>
                <w:rFonts w:ascii="宋体" w:hAnsi="宋体" w:cs="宋体" w:eastAsia="宋体" w:hint="default"/>
                <w:spacing w:val="-92"/>
                <w:w w:val="101"/>
                <w:sz w:val="18"/>
                <w:szCs w:val="18"/>
              </w:rPr>
              <w:t>）</w:t>
            </w:r>
            <w:r>
              <w:rPr>
                <w:rFonts w:ascii="宋体" w:hAnsi="宋体" w:cs="宋体" w:eastAsia="宋体" w:hint="default"/>
                <w:w w:val="101"/>
                <w:sz w:val="18"/>
                <w:szCs w:val="18"/>
              </w:rPr>
              <w:t>利</w:t>
            </w:r>
            <w:r>
              <w:rPr>
                <w:rFonts w:ascii="宋体" w:hAnsi="宋体" w:cs="宋体" w:eastAsia="宋体" w:hint="default"/>
                <w:spacing w:val="-5"/>
                <w:w w:val="101"/>
                <w:sz w:val="18"/>
                <w:szCs w:val="18"/>
              </w:rPr>
              <w:t>润</w:t>
            </w:r>
            <w:r>
              <w:rPr>
                <w:rFonts w:ascii="宋体" w:hAnsi="宋体" w:cs="宋体" w:eastAsia="宋体" w:hint="default"/>
                <w:w w:val="101"/>
                <w:sz w:val="18"/>
                <w:szCs w:val="18"/>
              </w:rPr>
              <w:t>分配</w:t>
            </w:r>
            <w:r>
              <w:rPr>
                <w:rFonts w:ascii="宋体" w:hAnsi="宋体" w:cs="宋体" w:eastAsia="宋体" w:hint="default"/>
                <w:sz w:val="18"/>
                <w:szCs w:val="18"/>
              </w:rPr>
            </w:r>
          </w:p>
        </w:tc>
        <w:tc>
          <w:tcPr>
            <w:tcW w:w="605" w:type="dxa"/>
            <w:vMerge/>
            <w:tcBorders>
              <w:left w:val="single" w:sz="10" w:space="0" w:color="D2D2D2"/>
              <w:right w:val="single" w:sz="4" w:space="0" w:color="000000"/>
            </w:tcBorders>
          </w:tcPr>
          <w:p>
            <w:pPr/>
          </w:p>
        </w:tc>
        <w:tc>
          <w:tcPr>
            <w:tcW w:w="572"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78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26" w:type="dxa"/>
            <w:vMerge/>
            <w:tcBorders>
              <w:left w:val="single" w:sz="4" w:space="0" w:color="000000"/>
              <w:right w:val="single" w:sz="4" w:space="0" w:color="000000"/>
            </w:tcBorders>
          </w:tcPr>
          <w:p>
            <w:pPr/>
          </w:p>
        </w:tc>
      </w:tr>
      <w:tr>
        <w:trPr>
          <w:trHeight w:val="158" w:hRule="exact"/>
        </w:trPr>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605" w:type="dxa"/>
            <w:vMerge/>
            <w:tcBorders>
              <w:left w:val="single" w:sz="10" w:space="0" w:color="D2D2D2"/>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78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26" w:type="dxa"/>
            <w:vMerge/>
            <w:tcBorders>
              <w:left w:val="single" w:sz="4" w:space="0" w:color="000000"/>
              <w:bottom w:val="single" w:sz="4" w:space="0" w:color="000000"/>
              <w:right w:val="single" w:sz="4" w:space="0" w:color="000000"/>
            </w:tcBorders>
          </w:tcPr>
          <w:p>
            <w:pPr/>
          </w:p>
        </w:tc>
      </w:tr>
      <w:tr>
        <w:trPr>
          <w:trHeight w:val="716"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1" w:right="8"/>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积</w:t>
            </w:r>
          </w:p>
        </w:tc>
        <w:tc>
          <w:tcPr>
            <w:tcW w:w="605"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center"/>
              <w:rPr>
                <w:rFonts w:ascii="Times New Roman" w:hAnsi="Times New Roman" w:cs="Times New Roman" w:eastAsia="Times New Roman" w:hint="default"/>
                <w:sz w:val="18"/>
                <w:szCs w:val="18"/>
              </w:rPr>
            </w:pPr>
            <w:r>
              <w:rPr>
                <w:rFonts w:ascii="Times New Roman"/>
                <w:sz w:val="18"/>
              </w:rPr>
              <w:t>4,300,4</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52.80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7" w:right="0"/>
              <w:jc w:val="left"/>
              <w:rPr>
                <w:rFonts w:ascii="Times New Roman" w:hAnsi="Times New Roman" w:cs="Times New Roman" w:eastAsia="Times New Roman" w:hint="default"/>
                <w:sz w:val="18"/>
                <w:szCs w:val="18"/>
              </w:rPr>
            </w:pPr>
            <w:r>
              <w:rPr>
                <w:rFonts w:ascii="Times New Roman"/>
                <w:sz w:val="18"/>
              </w:rPr>
              <w:t>-4,300,45</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2.80</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3"/>
              <w:jc w:val="left"/>
              <w:rPr>
                <w:rFonts w:ascii="宋体" w:hAnsi="宋体" w:cs="宋体" w:eastAsia="宋体" w:hint="default"/>
                <w:sz w:val="18"/>
                <w:szCs w:val="18"/>
              </w:rPr>
            </w:pPr>
            <w:r>
              <w:rPr>
                <w:rFonts w:ascii="Times New Roman" w:hAnsi="Times New Roman" w:cs="Times New Roman" w:eastAsia="Times New Roman" w:hint="default"/>
                <w:spacing w:val="-24"/>
                <w:w w:val="101"/>
                <w:sz w:val="18"/>
                <w:szCs w:val="18"/>
              </w:rPr>
              <w:t>2</w:t>
            </w:r>
            <w:r>
              <w:rPr>
                <w:rFonts w:ascii="宋体" w:hAnsi="宋体" w:cs="宋体" w:eastAsia="宋体" w:hint="default"/>
                <w:spacing w:val="-24"/>
                <w:w w:val="101"/>
                <w:sz w:val="18"/>
                <w:szCs w:val="18"/>
              </w:rPr>
              <w:t>．对所有者（或</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股东）的分配</w:t>
            </w:r>
          </w:p>
        </w:tc>
        <w:tc>
          <w:tcPr>
            <w:tcW w:w="605"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6" w:right="0"/>
              <w:jc w:val="left"/>
              <w:rPr>
                <w:rFonts w:ascii="Times New Roman" w:hAnsi="Times New Roman" w:cs="Times New Roman" w:eastAsia="Times New Roman" w:hint="default"/>
                <w:sz w:val="18"/>
                <w:szCs w:val="18"/>
              </w:rPr>
            </w:pPr>
            <w:r>
              <w:rPr>
                <w:rFonts w:ascii="Times New Roman"/>
                <w:sz w:val="18"/>
              </w:rPr>
              <w:t>-193,20</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7" w:right="0"/>
              <w:jc w:val="left"/>
              <w:rPr>
                <w:rFonts w:ascii="Times New Roman" w:hAnsi="Times New Roman" w:cs="Times New Roman" w:eastAsia="Times New Roman" w:hint="default"/>
                <w:sz w:val="18"/>
                <w:szCs w:val="18"/>
              </w:rPr>
            </w:pPr>
            <w:r>
              <w:rPr>
                <w:rFonts w:ascii="Times New Roman"/>
                <w:sz w:val="18"/>
              </w:rPr>
              <w:t>-4,985,40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-4,792,200.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r>
      <w:tr>
        <w:trPr>
          <w:trHeight w:val="398"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05"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1" w:right="3"/>
              <w:jc w:val="left"/>
              <w:rPr>
                <w:rFonts w:ascii="宋体" w:hAnsi="宋体" w:cs="宋体" w:eastAsia="宋体" w:hint="default"/>
                <w:sz w:val="18"/>
                <w:szCs w:val="18"/>
              </w:rPr>
            </w:pPr>
            <w:r>
              <w:rPr>
                <w:rFonts w:ascii="宋体" w:hAnsi="宋体" w:cs="宋体" w:eastAsia="宋体" w:hint="default"/>
                <w:spacing w:val="-14"/>
                <w:w w:val="101"/>
                <w:sz w:val="18"/>
                <w:szCs w:val="18"/>
              </w:rPr>
              <w:t>（四）所有者权</w:t>
            </w:r>
            <w:r>
              <w:rPr>
                <w:rFonts w:ascii="宋体" w:hAnsi="宋体" w:cs="宋体" w:eastAsia="宋体" w:hint="default"/>
                <w:w w:val="101"/>
                <w:sz w:val="18"/>
                <w:szCs w:val="18"/>
              </w:rPr>
              <w:t> </w:t>
            </w:r>
            <w:r>
              <w:rPr>
                <w:rFonts w:ascii="宋体" w:hAnsi="宋体" w:cs="宋体" w:eastAsia="宋体" w:hint="default"/>
                <w:sz w:val="18"/>
                <w:szCs w:val="18"/>
              </w:rPr>
              <w:t>益内部结转</w:t>
            </w:r>
          </w:p>
        </w:tc>
        <w:tc>
          <w:tcPr>
            <w:tcW w:w="605"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8"/>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p>
        </w:tc>
        <w:tc>
          <w:tcPr>
            <w:tcW w:w="605"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29"/>
        <w:gridCol w:w="595"/>
        <w:gridCol w:w="572"/>
        <w:gridCol w:w="576"/>
        <w:gridCol w:w="572"/>
        <w:gridCol w:w="682"/>
        <w:gridCol w:w="687"/>
        <w:gridCol w:w="686"/>
        <w:gridCol w:w="783"/>
        <w:gridCol w:w="662"/>
        <w:gridCol w:w="802"/>
        <w:gridCol w:w="797"/>
        <w:gridCol w:w="926"/>
      </w:tblGrid>
      <w:tr>
        <w:trPr>
          <w:trHeight w:val="672"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10"/>
              <w:ind w:left="24" w:right="108"/>
              <w:jc w:val="left"/>
              <w:rPr>
                <w:rFonts w:ascii="宋体" w:hAnsi="宋体" w:cs="宋体" w:eastAsia="宋体" w:hint="default"/>
                <w:sz w:val="18"/>
                <w:szCs w:val="18"/>
              </w:rPr>
            </w:pPr>
            <w:r>
              <w:rPr>
                <w:rFonts w:ascii="宋体" w:hAnsi="宋体" w:cs="宋体" w:eastAsia="宋体" w:hint="default"/>
                <w:spacing w:val="-2"/>
                <w:sz w:val="18"/>
                <w:szCs w:val="18"/>
              </w:rPr>
              <w:t>增资本（或股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本）</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补亏损</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划变动额结转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留存收益</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益结转留存收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（五</w:t>
            </w:r>
            <w:r>
              <w:rPr>
                <w:rFonts w:ascii="宋体" w:hAnsi="宋体" w:cs="宋体" w:eastAsia="宋体" w:hint="default"/>
                <w:spacing w:val="-92"/>
                <w:w w:val="101"/>
                <w:sz w:val="18"/>
                <w:szCs w:val="18"/>
              </w:rPr>
              <w:t>）</w:t>
            </w:r>
            <w:r>
              <w:rPr>
                <w:rFonts w:ascii="宋体" w:hAnsi="宋体" w:cs="宋体" w:eastAsia="宋体" w:hint="default"/>
                <w:w w:val="101"/>
                <w:sz w:val="18"/>
                <w:szCs w:val="18"/>
              </w:rPr>
              <w:t>专</w:t>
            </w:r>
            <w:r>
              <w:rPr>
                <w:rFonts w:ascii="宋体" w:hAnsi="宋体" w:cs="宋体" w:eastAsia="宋体" w:hint="default"/>
                <w:spacing w:val="-5"/>
                <w:w w:val="101"/>
                <w:sz w:val="18"/>
                <w:szCs w:val="18"/>
              </w:rPr>
              <w:t>项</w:t>
            </w:r>
            <w:r>
              <w:rPr>
                <w:rFonts w:ascii="宋体" w:hAnsi="宋体" w:cs="宋体" w:eastAsia="宋体" w:hint="default"/>
                <w:w w:val="101"/>
                <w:sz w:val="18"/>
                <w:szCs w:val="18"/>
              </w:rPr>
              <w:t>储备</w:t>
            </w:r>
            <w:r>
              <w:rPr>
                <w:rFonts w:ascii="宋体" w:hAnsi="宋体" w:cs="宋体" w:eastAsia="宋体" w:hint="default"/>
                <w:sz w:val="18"/>
                <w:szCs w:val="18"/>
              </w:rPr>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12"/>
              <w:jc w:val="left"/>
              <w:rPr>
                <w:rFonts w:ascii="宋体" w:hAnsi="宋体" w:cs="宋体" w:eastAsia="宋体" w:hint="default"/>
                <w:sz w:val="18"/>
                <w:szCs w:val="18"/>
              </w:rPr>
            </w:pPr>
            <w:r>
              <w:rPr>
                <w:rFonts w:ascii="宋体" w:hAnsi="宋体" w:cs="宋体" w:eastAsia="宋体" w:hint="default"/>
                <w:spacing w:val="-14"/>
                <w:w w:val="101"/>
                <w:sz w:val="18"/>
                <w:szCs w:val="18"/>
              </w:rPr>
              <w:t>四、本期期末余</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83,090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pacing w:val="-1"/>
                <w:sz w:val="18"/>
              </w:rPr>
              <w:t>,000.0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288,165</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,260.91</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50,892,3</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25,064,</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167.89</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212,592,1</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10.99</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558,019,23</w:t>
            </w:r>
          </w:p>
          <w:p>
            <w:pPr>
              <w:pStyle w:val="TableParagraph"/>
              <w:spacing w:line="240" w:lineRule="auto" w:before="105"/>
              <w:ind w:left="580" w:right="0"/>
              <w:jc w:val="left"/>
              <w:rPr>
                <w:rFonts w:ascii="Times New Roman" w:hAnsi="Times New Roman" w:cs="Times New Roman" w:eastAsia="Times New Roman" w:hint="default"/>
                <w:sz w:val="18"/>
                <w:szCs w:val="18"/>
              </w:rPr>
            </w:pPr>
            <w:r>
              <w:rPr>
                <w:rFonts w:ascii="Times New Roman"/>
                <w:sz w:val="18"/>
              </w:rPr>
              <w:t>9.79</w:t>
            </w:r>
          </w:p>
        </w:tc>
      </w:tr>
    </w:tbl>
    <w:p>
      <w:pPr>
        <w:spacing w:line="240" w:lineRule="auto" w:before="2"/>
        <w:rPr>
          <w:rFonts w:ascii="Times New Roman" w:hAnsi="Times New Roman" w:cs="Times New Roman" w:eastAsia="Times New Roman" w:hint="default"/>
          <w:sz w:val="20"/>
          <w:szCs w:val="20"/>
        </w:rPr>
      </w:pPr>
    </w:p>
    <w:p>
      <w:pPr>
        <w:pStyle w:val="Heading2"/>
        <w:spacing w:line="240" w:lineRule="auto" w:before="26"/>
        <w:ind w:right="0"/>
        <w:jc w:val="both"/>
        <w:rPr>
          <w:b w:val="0"/>
          <w:bCs w:val="0"/>
        </w:rPr>
      </w:pPr>
      <w:bookmarkStart w:name="三、公司基本情况" w:id="167"/>
      <w:bookmarkEnd w:id="167"/>
      <w:r>
        <w:rPr>
          <w:b w:val="0"/>
          <w:bCs w:val="0"/>
        </w:rPr>
      </w:r>
      <w:r>
        <w:rPr/>
        <w:t>三、公司基本情况</w:t>
      </w:r>
      <w:r>
        <w:rPr>
          <w:b w:val="0"/>
          <w:bCs w:val="0"/>
        </w:rPr>
      </w:r>
    </w:p>
    <w:p>
      <w:pPr>
        <w:spacing w:line="240" w:lineRule="auto" w:before="11"/>
        <w:rPr>
          <w:rFonts w:ascii="宋体" w:hAnsi="宋体" w:cs="宋体" w:eastAsia="宋体" w:hint="default"/>
          <w:b/>
          <w:bCs/>
          <w:sz w:val="26"/>
          <w:szCs w:val="26"/>
        </w:rPr>
      </w:pPr>
    </w:p>
    <w:p>
      <w:pPr>
        <w:pStyle w:val="BodyText"/>
        <w:spacing w:line="304" w:lineRule="auto"/>
        <w:ind w:right="1122" w:firstLine="422"/>
        <w:jc w:val="both"/>
      </w:pPr>
      <w:r>
        <w:rPr>
          <w:spacing w:val="-2"/>
        </w:rPr>
        <w:t>浙江和仁科技股份有限公司（以下简称公司或本公司）系由浙江和仁科技有限公司整体变更设立的股份有限公司，于</w:t>
      </w:r>
      <w:r>
        <w:rPr>
          <w:w w:val="101"/>
        </w:rPr>
        <w:t> </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26</w:t>
      </w:r>
      <w:r>
        <w:rPr>
          <w:spacing w:val="-2"/>
        </w:rPr>
        <w:t>日在杭州市工商局高新区（滨江）分局登记注册，取得注册号为</w:t>
      </w:r>
      <w:r>
        <w:rPr>
          <w:rFonts w:ascii="Times New Roman" w:hAnsi="Times New Roman" w:cs="Times New Roman" w:eastAsia="Times New Roman" w:hint="default"/>
          <w:spacing w:val="-2"/>
        </w:rPr>
        <w:t>330108000063896</w:t>
      </w:r>
      <w:r>
        <w:rPr>
          <w:spacing w:val="-2"/>
        </w:rPr>
        <w:t>的企业法人营业执照。浙江</w:t>
      </w:r>
      <w:r>
        <w:rPr>
          <w:spacing w:val="44"/>
        </w:rPr>
        <w:t> </w:t>
      </w:r>
      <w:r>
        <w:rPr>
          <w:spacing w:val="44"/>
        </w:rPr>
      </w:r>
      <w:r>
        <w:rPr>
          <w:spacing w:val="-4"/>
        </w:rPr>
        <w:t>和仁科技有限公司以</w:t>
      </w:r>
      <w:r>
        <w:rPr>
          <w:rFonts w:ascii="Times New Roman" w:hAnsi="Times New Roman" w:cs="Times New Roman" w:eastAsia="Times New Roman" w:hint="default"/>
          <w:spacing w:val="-4"/>
        </w:rPr>
        <w:t>2013</w:t>
      </w:r>
      <w:r>
        <w:rPr>
          <w:spacing w:val="-4"/>
        </w:rPr>
        <w:t>年</w:t>
      </w:r>
      <w:r>
        <w:rPr>
          <w:rFonts w:ascii="Times New Roman" w:hAnsi="Times New Roman" w:cs="Times New Roman" w:eastAsia="Times New Roman" w:hint="default"/>
          <w:spacing w:val="-4"/>
        </w:rPr>
        <w:t>10</w:t>
      </w:r>
      <w:r>
        <w:rPr>
          <w:spacing w:val="-4"/>
        </w:rPr>
        <w:t>月</w:t>
      </w:r>
      <w:r>
        <w:rPr>
          <w:rFonts w:ascii="Times New Roman" w:hAnsi="Times New Roman" w:cs="Times New Roman" w:eastAsia="Times New Roman" w:hint="default"/>
          <w:spacing w:val="-4"/>
        </w:rPr>
        <w:t>31</w:t>
      </w:r>
      <w:r>
        <w:rPr>
          <w:spacing w:val="-4"/>
        </w:rPr>
        <w:t>日为基准日，采取整体变更方式设立本公司，本公司于</w:t>
      </w:r>
      <w:r>
        <w:rPr>
          <w:rFonts w:ascii="Times New Roman" w:hAnsi="Times New Roman" w:cs="Times New Roman" w:eastAsia="Times New Roman" w:hint="default"/>
          <w:spacing w:val="-4"/>
        </w:rPr>
        <w:t>2013</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10</w:t>
      </w:r>
      <w:r>
        <w:rPr>
          <w:spacing w:val="-4"/>
        </w:rPr>
        <w:t>日在杭州市工商行政</w:t>
      </w:r>
      <w:r>
        <w:rPr>
          <w:spacing w:val="74"/>
        </w:rPr>
        <w:t> </w:t>
      </w:r>
      <w:r>
        <w:rPr>
          <w:spacing w:val="74"/>
        </w:rPr>
      </w:r>
      <w:r>
        <w:rPr>
          <w:spacing w:val="-1"/>
        </w:rPr>
        <w:t>管理局办妥工商变更登记。总部位于浙江省杭州市。公司现持有统一社会信用代码为</w:t>
      </w:r>
      <w:r>
        <w:rPr>
          <w:rFonts w:ascii="Times New Roman" w:hAnsi="Times New Roman" w:cs="Times New Roman" w:eastAsia="Times New Roman" w:hint="default"/>
          <w:spacing w:val="-1"/>
        </w:rPr>
        <w:t>91330100563023775L</w:t>
      </w:r>
      <w:r>
        <w:rPr>
          <w:spacing w:val="-1"/>
        </w:rPr>
        <w:t>的营业执照，注</w:t>
      </w:r>
      <w:r>
        <w:rPr>
          <w:spacing w:val="50"/>
        </w:rPr>
        <w:t> </w:t>
      </w:r>
      <w:r>
        <w:rPr>
          <w:spacing w:val="-4"/>
        </w:rPr>
        <w:t>册资本</w:t>
      </w:r>
      <w:r>
        <w:rPr>
          <w:rFonts w:ascii="Times New Roman" w:hAnsi="Times New Roman" w:cs="Times New Roman" w:eastAsia="Times New Roman" w:hint="default"/>
          <w:spacing w:val="-4"/>
        </w:rPr>
        <w:t>11,719.05</w:t>
      </w:r>
      <w:r>
        <w:rPr>
          <w:spacing w:val="-4"/>
        </w:rPr>
        <w:t>万元，股份总数</w:t>
      </w:r>
      <w:r>
        <w:rPr>
          <w:rFonts w:ascii="Times New Roman" w:hAnsi="Times New Roman" w:cs="Times New Roman" w:eastAsia="Times New Roman" w:hint="default"/>
          <w:spacing w:val="-4"/>
        </w:rPr>
        <w:t>11,719.05</w:t>
      </w:r>
      <w:r>
        <w:rPr>
          <w:spacing w:val="-4"/>
        </w:rPr>
        <w:t>万股（每股面值</w:t>
      </w:r>
      <w:r>
        <w:rPr>
          <w:rFonts w:ascii="Times New Roman" w:hAnsi="Times New Roman" w:cs="Times New Roman" w:eastAsia="Times New Roman" w:hint="default"/>
          <w:spacing w:val="-4"/>
        </w:rPr>
        <w:t>1</w:t>
      </w:r>
      <w:r>
        <w:rPr>
          <w:spacing w:val="-4"/>
        </w:rPr>
        <w:t>元）。其中，有限售条件的流通股份</w:t>
      </w:r>
      <w:r>
        <w:rPr>
          <w:rFonts w:ascii="Times New Roman" w:hAnsi="Times New Roman" w:cs="Times New Roman" w:eastAsia="Times New Roman" w:hint="default"/>
          <w:spacing w:val="-4"/>
        </w:rPr>
        <w:t>A</w:t>
      </w:r>
      <w:r>
        <w:rPr>
          <w:spacing w:val="-4"/>
        </w:rPr>
        <w:t>股</w:t>
      </w:r>
      <w:r>
        <w:rPr>
          <w:rFonts w:ascii="Times New Roman" w:hAnsi="Times New Roman" w:cs="Times New Roman" w:eastAsia="Times New Roman" w:hint="default"/>
          <w:spacing w:val="-4"/>
        </w:rPr>
        <w:t>434.00</w:t>
      </w:r>
      <w:r>
        <w:rPr>
          <w:spacing w:val="-4"/>
        </w:rPr>
        <w:t>万股；无限售条件</w:t>
      </w:r>
      <w:r>
        <w:rPr>
          <w:spacing w:val="12"/>
        </w:rPr>
        <w:t> </w:t>
      </w:r>
      <w:r>
        <w:rPr>
          <w:spacing w:val="12"/>
        </w:rPr>
      </w:r>
      <w:r>
        <w:rPr>
          <w:spacing w:val="-3"/>
        </w:rPr>
        <w:t>的流通股份</w:t>
      </w:r>
      <w:r>
        <w:rPr>
          <w:rFonts w:ascii="Times New Roman" w:hAnsi="Times New Roman" w:cs="Times New Roman" w:eastAsia="Times New Roman" w:hint="default"/>
          <w:spacing w:val="-3"/>
        </w:rPr>
        <w:t>A</w:t>
      </w:r>
      <w:r>
        <w:rPr>
          <w:spacing w:val="-3"/>
        </w:rPr>
        <w:t>股</w:t>
      </w:r>
      <w:r>
        <w:rPr>
          <w:rFonts w:ascii="Times New Roman" w:hAnsi="Times New Roman" w:cs="Times New Roman" w:eastAsia="Times New Roman" w:hint="default"/>
          <w:spacing w:val="-3"/>
        </w:rPr>
        <w:t>11,285.05</w:t>
      </w:r>
      <w:r>
        <w:rPr>
          <w:spacing w:val="-3"/>
        </w:rPr>
        <w:t>万股。公司股票已于</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18</w:t>
      </w:r>
      <w:r>
        <w:rPr>
          <w:spacing w:val="-3"/>
        </w:rPr>
        <w:t>日在深圳证券交易所挂牌交易。</w:t>
      </w:r>
    </w:p>
    <w:p>
      <w:pPr>
        <w:pStyle w:val="BodyText"/>
        <w:spacing w:line="316" w:lineRule="auto" w:before="9"/>
        <w:ind w:right="1124" w:firstLine="422"/>
        <w:jc w:val="both"/>
      </w:pPr>
      <w:r>
        <w:rPr>
          <w:spacing w:val="-2"/>
        </w:rPr>
        <w:t>本公司属软件与信息服务行业。公司主要经营活动是医疗机构的医疗信息系统及数字化场景应用系统的研发销售、实</w:t>
      </w:r>
      <w:r>
        <w:rPr>
          <w:w w:val="101"/>
        </w:rPr>
        <w:t> </w:t>
      </w:r>
      <w:r>
        <w:rPr>
          <w:spacing w:val="-3"/>
        </w:rPr>
        <w:t>施集成、服务支持。主要产品或提供的劳务：医疗信息系统的开发与服务、数字化场景应用系统的实施。</w:t>
      </w:r>
    </w:p>
    <w:p>
      <w:pPr>
        <w:pStyle w:val="BodyText"/>
        <w:spacing w:line="300" w:lineRule="auto" w:before="19"/>
        <w:ind w:left="575" w:right="0"/>
        <w:jc w:val="left"/>
      </w:pPr>
      <w:r>
        <w:rPr>
          <w:spacing w:val="-3"/>
        </w:rPr>
        <w:t>本财务报表业经公司</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23</w:t>
      </w:r>
      <w:r>
        <w:rPr>
          <w:spacing w:val="-3"/>
        </w:rPr>
        <w:t>日三届四次董事会批准对外报出。</w:t>
      </w:r>
      <w:r>
        <w:rPr>
          <w:spacing w:val="8"/>
        </w:rPr>
        <w:t> </w:t>
      </w:r>
      <w:r>
        <w:rPr>
          <w:spacing w:val="8"/>
        </w:rPr>
      </w:r>
      <w:r>
        <w:rPr>
          <w:spacing w:val="-2"/>
        </w:rPr>
        <w:t>本公司将湖南和仁湘雅数字医疗技术有限公司、和仁（天津）科技有限公司、赣州和仁信息服务有限公司、重庆和仁</w:t>
      </w:r>
    </w:p>
    <w:p>
      <w:pPr>
        <w:pStyle w:val="BodyText"/>
        <w:spacing w:line="312" w:lineRule="auto" w:before="31"/>
        <w:ind w:right="1124"/>
        <w:jc w:val="both"/>
      </w:pPr>
      <w:r>
        <w:rPr>
          <w:spacing w:val="-4"/>
        </w:rPr>
        <w:t>同创科技有限公司、广西和仁医铭科技有限公司、西安和仁汇达信息科技有限公司、江苏和仁泰颐智能科技有限公司、杭州</w:t>
      </w:r>
      <w:r>
        <w:rPr>
          <w:spacing w:val="40"/>
        </w:rPr>
        <w:t> </w:t>
      </w:r>
      <w:r>
        <w:rPr>
          <w:spacing w:val="40"/>
        </w:rPr>
      </w:r>
      <w:r>
        <w:rPr>
          <w:spacing w:val="-4"/>
        </w:rPr>
        <w:t>云医健康服务有限公司、和仁数字科技（北京）有限公司（以下分别简称和仁湘雅公司、天津和仁公司、赣州和仁公司、重</w:t>
      </w:r>
      <w:r>
        <w:rPr>
          <w:spacing w:val="40"/>
        </w:rPr>
        <w:t> </w:t>
      </w:r>
      <w:r>
        <w:rPr>
          <w:spacing w:val="40"/>
        </w:rPr>
      </w:r>
      <w:r>
        <w:rPr>
          <w:spacing w:val="-3"/>
        </w:rPr>
        <w:t>庆和仁公司、广西和仁公司、西安和仁公司、江苏和仁公司、杭州云医公司、北京和仁公司）等</w:t>
      </w:r>
      <w:r>
        <w:rPr>
          <w:rFonts w:ascii="Times New Roman" w:hAnsi="Times New Roman" w:cs="Times New Roman" w:eastAsia="Times New Roman" w:hint="default"/>
          <w:spacing w:val="-3"/>
        </w:rPr>
        <w:t>9</w:t>
      </w:r>
      <w:r>
        <w:rPr>
          <w:spacing w:val="-3"/>
        </w:rPr>
        <w:t>家子公司纳入报告期合并</w:t>
      </w:r>
      <w:r>
        <w:rPr>
          <w:spacing w:val="76"/>
        </w:rPr>
        <w:t> </w:t>
      </w:r>
      <w:r>
        <w:rPr>
          <w:spacing w:val="76"/>
        </w:rPr>
      </w:r>
      <w:r>
        <w:rPr>
          <w:spacing w:val="-3"/>
        </w:rPr>
        <w:t>财务报表范围，情况详见本财务报表附注六和七之说明。</w:t>
      </w:r>
    </w:p>
    <w:p>
      <w:pPr>
        <w:spacing w:after="0" w:line="312" w:lineRule="auto"/>
        <w:jc w:val="both"/>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spacing w:line="511" w:lineRule="auto" w:before="26"/>
        <w:ind w:left="153" w:right="7272" w:firstLine="0"/>
        <w:jc w:val="left"/>
        <w:rPr>
          <w:rFonts w:ascii="宋体" w:hAnsi="宋体" w:cs="宋体" w:eastAsia="宋体" w:hint="default"/>
          <w:sz w:val="18"/>
          <w:szCs w:val="18"/>
        </w:rPr>
      </w:pPr>
      <w:bookmarkStart w:name="四、财务报表的编制基础" w:id="168"/>
      <w:bookmarkEnd w:id="168"/>
      <w:r>
        <w:rPr/>
      </w:r>
      <w:r>
        <w:rPr>
          <w:rFonts w:ascii="宋体" w:hAnsi="宋体" w:cs="宋体" w:eastAsia="宋体" w:hint="default"/>
          <w:b/>
          <w:bCs/>
          <w:sz w:val="24"/>
          <w:szCs w:val="24"/>
        </w:rPr>
        <w:t>四、财务报表的编制基础</w:t>
      </w:r>
      <w:r>
        <w:rPr>
          <w:rFonts w:ascii="宋体" w:hAnsi="宋体" w:cs="宋体" w:eastAsia="宋体" w:hint="default"/>
          <w:b/>
          <w:bCs/>
          <w:w w:val="99"/>
          <w:sz w:val="24"/>
          <w:szCs w:val="24"/>
        </w:rPr>
        <w:t> </w:t>
      </w:r>
      <w:bookmarkStart w:name="1、编制基础" w:id="169"/>
      <w:bookmarkEnd w:id="16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、编制基础</w:t>
      </w:r>
      <w:r>
        <w:rPr>
          <w:rFonts w:ascii="宋体" w:hAnsi="宋体" w:cs="宋体" w:eastAsia="宋体" w:hint="default"/>
          <w:b/>
          <w:bCs/>
          <w:spacing w:val="-104"/>
          <w:sz w:val="21"/>
          <w:szCs w:val="21"/>
        </w:rPr>
        <w:t> </w:t>
      </w:r>
      <w:r>
        <w:rPr>
          <w:rFonts w:ascii="宋体" w:hAnsi="宋体" w:cs="宋体" w:eastAsia="宋体" w:hint="default"/>
          <w:spacing w:val="-3"/>
          <w:sz w:val="18"/>
          <w:szCs w:val="18"/>
        </w:rPr>
        <w:t>本公司财务报表以持续经营为编制基础。</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9"/>
          <w:szCs w:val="19"/>
        </w:rPr>
      </w:pPr>
    </w:p>
    <w:p>
      <w:pPr>
        <w:pStyle w:val="Heading4"/>
        <w:spacing w:line="240" w:lineRule="auto"/>
        <w:ind w:right="0"/>
        <w:jc w:val="left"/>
        <w:rPr>
          <w:b w:val="0"/>
          <w:bCs w:val="0"/>
        </w:rPr>
      </w:pPr>
      <w:bookmarkStart w:name="2、持续经营" w:id="170"/>
      <w:bookmarkEnd w:id="170"/>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spacing w:val="-3"/>
        </w:rPr>
        <w:t>本公司不存在导致对报告期末起 </w:t>
      </w:r>
      <w:r>
        <w:rPr>
          <w:rFonts w:ascii="Times New Roman" w:hAnsi="Times New Roman" w:cs="Times New Roman" w:eastAsia="Times New Roman" w:hint="default"/>
        </w:rPr>
        <w:t>12 </w:t>
      </w:r>
      <w:r>
        <w:rPr>
          <w:rFonts w:ascii="Times New Roman" w:hAnsi="Times New Roman" w:cs="Times New Roman" w:eastAsia="Times New Roman" w:hint="default"/>
          <w:spacing w:val="26"/>
        </w:rPr>
        <w:t> </w:t>
      </w:r>
      <w:r>
        <w:rPr>
          <w:spacing w:val="-3"/>
        </w:rPr>
        <w:t>个月内的持续经营能力产生重大疑虑的事项或情况。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4"/>
          <w:szCs w:val="14"/>
        </w:rPr>
      </w:pPr>
    </w:p>
    <w:p>
      <w:pPr>
        <w:pStyle w:val="Heading2"/>
        <w:spacing w:line="240" w:lineRule="auto"/>
        <w:ind w:right="0"/>
        <w:jc w:val="left"/>
        <w:rPr>
          <w:b w:val="0"/>
          <w:bCs w:val="0"/>
        </w:rPr>
      </w:pPr>
      <w:bookmarkStart w:name="五、重要会计政策及会计估计" w:id="171"/>
      <w:bookmarkEnd w:id="171"/>
      <w:r>
        <w:rPr>
          <w:b w:val="0"/>
          <w:bCs w:val="0"/>
        </w:rPr>
      </w:r>
      <w:r>
        <w:rPr/>
        <w:t>五、重要会计政策及会计估计</w:t>
      </w:r>
      <w:r>
        <w:rPr>
          <w:b w:val="0"/>
          <w:bCs w:val="0"/>
        </w:rPr>
      </w:r>
    </w:p>
    <w:p>
      <w:pPr>
        <w:spacing w:line="240" w:lineRule="auto" w:before="8"/>
        <w:rPr>
          <w:rFonts w:ascii="宋体" w:hAnsi="宋体" w:cs="宋体" w:eastAsia="宋体" w:hint="default"/>
          <w:b/>
          <w:bCs/>
          <w:sz w:val="27"/>
          <w:szCs w:val="27"/>
        </w:rPr>
      </w:pPr>
    </w:p>
    <w:p>
      <w:pPr>
        <w:pStyle w:val="BodyText"/>
        <w:spacing w:line="338" w:lineRule="auto"/>
        <w:ind w:right="1037"/>
        <w:jc w:val="left"/>
      </w:pPr>
      <w:r>
        <w:rPr>
          <w:spacing w:val="-3"/>
        </w:rPr>
        <w:t>具体会计政策和会计估计提示：</w:t>
      </w:r>
      <w:r>
        <w:rPr>
          <w:spacing w:val="-45"/>
        </w:rPr>
        <w:t> </w:t>
      </w:r>
      <w:r>
        <w:rPr>
          <w:spacing w:val="-45"/>
        </w:rPr>
      </w:r>
      <w:r>
        <w:rPr>
          <w:spacing w:val="-4"/>
        </w:rPr>
        <w:t>本公司根据实际生产经营特点针对金融工具减值、固定资产折旧、无形资产摊销、收入确认等交易或事项制定了具体会计政</w:t>
      </w:r>
      <w:r>
        <w:rPr>
          <w:spacing w:val="43"/>
        </w:rPr>
        <w:t> </w:t>
      </w:r>
      <w:r>
        <w:rPr>
          <w:spacing w:val="43"/>
        </w:rPr>
      </w:r>
      <w:r>
        <w:rPr>
          <w:spacing w:val="-3"/>
        </w:rPr>
        <w:t>策和会计估计。</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1、遵循企业会计准则的声明" w:id="172"/>
      <w:bookmarkEnd w:id="172"/>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w w:val="101"/>
        </w:rPr>
        <w:t>本</w:t>
      </w:r>
      <w:r>
        <w:rPr>
          <w:spacing w:val="-5"/>
          <w:w w:val="101"/>
        </w:rPr>
        <w:t>公</w:t>
      </w:r>
      <w:r>
        <w:rPr>
          <w:w w:val="101"/>
        </w:rPr>
        <w:t>司</w:t>
      </w:r>
      <w:r>
        <w:rPr>
          <w:spacing w:val="-5"/>
          <w:w w:val="101"/>
        </w:rPr>
        <w:t>所</w:t>
      </w:r>
      <w:r>
        <w:rPr>
          <w:w w:val="101"/>
        </w:rPr>
        <w:t>编</w:t>
      </w:r>
      <w:r>
        <w:rPr>
          <w:spacing w:val="-5"/>
          <w:w w:val="101"/>
        </w:rPr>
        <w:t>制</w:t>
      </w:r>
      <w:r>
        <w:rPr>
          <w:w w:val="101"/>
        </w:rPr>
        <w:t>的</w:t>
      </w:r>
      <w:r>
        <w:rPr>
          <w:spacing w:val="-5"/>
          <w:w w:val="101"/>
        </w:rPr>
        <w:t>财</w:t>
      </w:r>
      <w:r>
        <w:rPr>
          <w:w w:val="101"/>
        </w:rPr>
        <w:t>务</w:t>
      </w:r>
      <w:r>
        <w:rPr>
          <w:spacing w:val="-5"/>
          <w:w w:val="101"/>
        </w:rPr>
        <w:t>报</w:t>
      </w:r>
      <w:r>
        <w:rPr>
          <w:w w:val="101"/>
        </w:rPr>
        <w:t>表</w:t>
      </w:r>
      <w:r>
        <w:rPr>
          <w:spacing w:val="-5"/>
          <w:w w:val="101"/>
        </w:rPr>
        <w:t>符</w:t>
      </w:r>
      <w:r>
        <w:rPr>
          <w:w w:val="101"/>
        </w:rPr>
        <w:t>合</w:t>
      </w:r>
      <w:r>
        <w:rPr>
          <w:spacing w:val="-5"/>
          <w:w w:val="101"/>
        </w:rPr>
        <w:t>企</w:t>
      </w:r>
      <w:r>
        <w:rPr>
          <w:w w:val="101"/>
        </w:rPr>
        <w:t>业</w:t>
      </w:r>
      <w:r>
        <w:rPr>
          <w:spacing w:val="-5"/>
          <w:w w:val="101"/>
        </w:rPr>
        <w:t>会</w:t>
      </w:r>
      <w:r>
        <w:rPr>
          <w:w w:val="101"/>
        </w:rPr>
        <w:t>计</w:t>
      </w:r>
      <w:r>
        <w:rPr>
          <w:spacing w:val="-5"/>
          <w:w w:val="101"/>
        </w:rPr>
        <w:t>准</w:t>
      </w:r>
      <w:r>
        <w:rPr>
          <w:w w:val="101"/>
        </w:rPr>
        <w:t>则</w:t>
      </w:r>
      <w:r>
        <w:rPr>
          <w:spacing w:val="-5"/>
          <w:w w:val="101"/>
        </w:rPr>
        <w:t>的</w:t>
      </w:r>
      <w:r>
        <w:rPr>
          <w:w w:val="101"/>
        </w:rPr>
        <w:t>要</w:t>
      </w:r>
      <w:r>
        <w:rPr>
          <w:spacing w:val="-5"/>
          <w:w w:val="101"/>
        </w:rPr>
        <w:t>求</w:t>
      </w:r>
      <w:r>
        <w:rPr>
          <w:spacing w:val="-87"/>
          <w:w w:val="101"/>
        </w:rPr>
        <w:t>，</w:t>
      </w:r>
      <w:r>
        <w:rPr>
          <w:spacing w:val="-5"/>
          <w:w w:val="101"/>
        </w:rPr>
        <w:t>真实</w:t>
      </w:r>
      <w:r>
        <w:rPr>
          <w:spacing w:val="-87"/>
          <w:w w:val="101"/>
        </w:rPr>
        <w:t>、</w:t>
      </w:r>
      <w:r>
        <w:rPr>
          <w:spacing w:val="-5"/>
          <w:w w:val="101"/>
        </w:rPr>
        <w:t>完整</w:t>
      </w:r>
      <w:r>
        <w:rPr>
          <w:w w:val="101"/>
        </w:rPr>
        <w:t>地</w:t>
      </w:r>
      <w:r>
        <w:rPr>
          <w:spacing w:val="-5"/>
          <w:w w:val="101"/>
        </w:rPr>
        <w:t>反</w:t>
      </w:r>
      <w:r>
        <w:rPr>
          <w:w w:val="101"/>
        </w:rPr>
        <w:t>映</w:t>
      </w:r>
      <w:r>
        <w:rPr>
          <w:spacing w:val="-5"/>
          <w:w w:val="101"/>
        </w:rPr>
        <w:t>了</w:t>
      </w:r>
      <w:r>
        <w:rPr>
          <w:w w:val="101"/>
        </w:rPr>
        <w:t>公</w:t>
      </w:r>
      <w:r>
        <w:rPr>
          <w:spacing w:val="-5"/>
          <w:w w:val="101"/>
        </w:rPr>
        <w:t>司</w:t>
      </w:r>
      <w:r>
        <w:rPr>
          <w:w w:val="101"/>
        </w:rPr>
        <w:t>的</w:t>
      </w:r>
      <w:r>
        <w:rPr>
          <w:spacing w:val="-5"/>
          <w:w w:val="101"/>
        </w:rPr>
        <w:t>财</w:t>
      </w:r>
      <w:r>
        <w:rPr>
          <w:w w:val="101"/>
        </w:rPr>
        <w:t>务</w:t>
      </w:r>
      <w:r>
        <w:rPr>
          <w:spacing w:val="-5"/>
          <w:w w:val="101"/>
        </w:rPr>
        <w:t>状</w:t>
      </w:r>
      <w:r>
        <w:rPr>
          <w:w w:val="101"/>
        </w:rPr>
        <w:t>况</w:t>
      </w:r>
      <w:r>
        <w:rPr>
          <w:spacing w:val="-92"/>
          <w:w w:val="101"/>
        </w:rPr>
        <w:t>、</w:t>
      </w:r>
      <w:r>
        <w:rPr>
          <w:w w:val="101"/>
        </w:rPr>
        <w:t>经</w:t>
      </w:r>
      <w:r>
        <w:rPr>
          <w:spacing w:val="-5"/>
          <w:w w:val="101"/>
        </w:rPr>
        <w:t>营</w:t>
      </w:r>
      <w:r>
        <w:rPr>
          <w:w w:val="101"/>
        </w:rPr>
        <w:t>成</w:t>
      </w:r>
      <w:r>
        <w:rPr>
          <w:spacing w:val="-5"/>
          <w:w w:val="101"/>
        </w:rPr>
        <w:t>果</w:t>
      </w:r>
      <w:r>
        <w:rPr>
          <w:w w:val="101"/>
        </w:rPr>
        <w:t>和</w:t>
      </w:r>
      <w:r>
        <w:rPr>
          <w:spacing w:val="-5"/>
          <w:w w:val="101"/>
        </w:rPr>
        <w:t>现</w:t>
      </w:r>
      <w:r>
        <w:rPr>
          <w:w w:val="101"/>
        </w:rPr>
        <w:t>金</w:t>
      </w:r>
      <w:r>
        <w:rPr>
          <w:spacing w:val="-5"/>
          <w:w w:val="101"/>
        </w:rPr>
        <w:t>流</w:t>
      </w:r>
      <w:r>
        <w:rPr>
          <w:w w:val="101"/>
        </w:rPr>
        <w:t>量</w:t>
      </w:r>
      <w:r>
        <w:rPr>
          <w:spacing w:val="-5"/>
          <w:w w:val="101"/>
        </w:rPr>
        <w:t>等</w:t>
      </w:r>
      <w:r>
        <w:rPr>
          <w:w w:val="101"/>
        </w:rPr>
        <w:t>有</w:t>
      </w:r>
      <w:r>
        <w:rPr>
          <w:spacing w:val="-5"/>
          <w:w w:val="101"/>
        </w:rPr>
        <w:t>关</w:t>
      </w:r>
      <w:r>
        <w:rPr>
          <w:w w:val="101"/>
        </w:rPr>
        <w:t>信</w:t>
      </w:r>
      <w:r>
        <w:rPr>
          <w:spacing w:val="-5"/>
          <w:w w:val="101"/>
        </w:rPr>
        <w:t>息</w:t>
      </w:r>
      <w:r>
        <w:rPr>
          <w:w w:val="101"/>
        </w:rPr>
        <w:t>。</w:t>
      </w:r>
      <w:r>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Heading4"/>
        <w:spacing w:line="240" w:lineRule="auto"/>
        <w:ind w:right="0"/>
        <w:jc w:val="left"/>
        <w:rPr>
          <w:b w:val="0"/>
          <w:bCs w:val="0"/>
        </w:rPr>
      </w:pPr>
      <w:bookmarkStart w:name="2、会计期间" w:id="173"/>
      <w:bookmarkEnd w:id="173"/>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5"/>
        <w:rPr>
          <w:rFonts w:ascii="宋体" w:hAnsi="宋体" w:cs="宋体" w:eastAsia="宋体" w:hint="default"/>
          <w:b/>
          <w:bCs/>
          <w:sz w:val="24"/>
          <w:szCs w:val="24"/>
        </w:rPr>
      </w:pPr>
    </w:p>
    <w:p>
      <w:pPr>
        <w:pStyle w:val="Heading5"/>
        <w:spacing w:line="240" w:lineRule="auto"/>
        <w:ind w:left="575" w:right="0"/>
        <w:jc w:val="left"/>
      </w:pPr>
      <w:r>
        <w:rPr/>
        <w:t>会计年度自公历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bookmarkStart w:name="3、营业周期" w:id="174"/>
      <w:bookmarkEnd w:id="174"/>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5"/>
        <w:rPr>
          <w:rFonts w:ascii="宋体" w:hAnsi="宋体" w:cs="宋体" w:eastAsia="宋体" w:hint="default"/>
          <w:b/>
          <w:bCs/>
          <w:sz w:val="24"/>
          <w:szCs w:val="24"/>
        </w:rPr>
      </w:pPr>
    </w:p>
    <w:p>
      <w:pPr>
        <w:pStyle w:val="Heading5"/>
        <w:spacing w:line="240" w:lineRule="auto"/>
        <w:ind w:left="575" w:right="0"/>
        <w:jc w:val="left"/>
      </w:pPr>
      <w:r>
        <w:rPr/>
        <w:t>公司经营业务的营业周期较短，以</w:t>
      </w:r>
      <w:r>
        <w:rPr>
          <w:rFonts w:ascii="Times New Roman" w:hAnsi="Times New Roman" w:cs="Times New Roman" w:eastAsia="Times New Roman" w:hint="default"/>
        </w:rPr>
        <w:t>12</w:t>
      </w:r>
      <w:r>
        <w:rPr/>
        <w:t>个月作为资产和负债的流动性划分标准。</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bookmarkStart w:name="4、记账本位币" w:id="175"/>
      <w:bookmarkEnd w:id="175"/>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5"/>
        <w:rPr>
          <w:rFonts w:ascii="宋体" w:hAnsi="宋体" w:cs="宋体" w:eastAsia="宋体" w:hint="default"/>
          <w:b/>
          <w:bCs/>
          <w:sz w:val="24"/>
          <w:szCs w:val="24"/>
        </w:rPr>
      </w:pPr>
    </w:p>
    <w:p>
      <w:pPr>
        <w:pStyle w:val="Heading5"/>
        <w:spacing w:line="240" w:lineRule="auto"/>
        <w:ind w:left="575" w:right="0"/>
        <w:jc w:val="left"/>
      </w:pPr>
      <w:r>
        <w:rPr/>
        <w:t>采用人民币为记账本位币。</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Heading4"/>
        <w:spacing w:line="240" w:lineRule="auto"/>
        <w:ind w:right="0"/>
        <w:jc w:val="left"/>
        <w:rPr>
          <w:b w:val="0"/>
          <w:bCs w:val="0"/>
        </w:rPr>
      </w:pPr>
      <w:bookmarkStart w:name="5、同一控制下和非同一控制下企业合并的会计处理方法" w:id="176"/>
      <w:bookmarkEnd w:id="176"/>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9"/>
        <w:rPr>
          <w:rFonts w:ascii="宋体" w:hAnsi="宋体" w:cs="宋体" w:eastAsia="宋体" w:hint="default"/>
          <w:b/>
          <w:bCs/>
          <w:sz w:val="26"/>
          <w:szCs w:val="26"/>
        </w:rPr>
      </w:pPr>
    </w:p>
    <w:p>
      <w:pPr>
        <w:pStyle w:val="BodyText"/>
        <w:spacing w:line="300" w:lineRule="auto"/>
        <w:ind w:left="575" w:right="0"/>
        <w:jc w:val="left"/>
      </w:pPr>
      <w:r>
        <w:rPr>
          <w:rFonts w:ascii="Times New Roman" w:hAnsi="Times New Roman" w:cs="Times New Roman" w:eastAsia="Times New Roman" w:hint="default"/>
        </w:rPr>
        <w:t>1. </w:t>
      </w:r>
      <w:r>
        <w:rPr>
          <w:spacing w:val="-3"/>
        </w:rPr>
        <w:t>同一控制下企业合并的会计处理方法</w:t>
      </w:r>
      <w:r>
        <w:rPr>
          <w:spacing w:val="-58"/>
        </w:rPr>
        <w:t> </w:t>
      </w:r>
      <w:r>
        <w:rPr>
          <w:spacing w:val="-58"/>
        </w:rPr>
      </w:r>
      <w:r>
        <w:rPr>
          <w:spacing w:val="-2"/>
        </w:rPr>
        <w:t>公司在企业合并中取得的资产和负债，按照合并日被合并方在最终控制方合并财务报表中的账面价值计量。公司按照</w:t>
      </w:r>
    </w:p>
    <w:p>
      <w:pPr>
        <w:pStyle w:val="BodyText"/>
        <w:spacing w:line="316" w:lineRule="auto" w:before="31"/>
        <w:ind w:right="0"/>
        <w:jc w:val="left"/>
      </w:pPr>
      <w:r>
        <w:rPr>
          <w:spacing w:val="-3"/>
        </w:rPr>
        <w:t>被合并方所有者权益在最终控制方合并财务报表中的账面价值份额与支付的合并对价账面价值或发行股份面值总额的差额，</w:t>
      </w:r>
      <w:r>
        <w:rPr>
          <w:spacing w:val="76"/>
        </w:rPr>
        <w:t> </w:t>
      </w:r>
      <w:r>
        <w:rPr>
          <w:spacing w:val="76"/>
        </w:rPr>
      </w:r>
      <w:r>
        <w:rPr>
          <w:spacing w:val="-3"/>
        </w:rPr>
        <w:t>调整资本公积；资本公积不足冲减的，调整留存收益。</w:t>
      </w:r>
    </w:p>
    <w:p>
      <w:pPr>
        <w:spacing w:after="0" w:line="316"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00" w:lineRule="auto" w:before="46"/>
        <w:ind w:left="575" w:right="0"/>
        <w:jc w:val="left"/>
      </w:pPr>
      <w:r>
        <w:rPr>
          <w:rFonts w:ascii="Times New Roman" w:hAnsi="Times New Roman" w:cs="Times New Roman" w:eastAsia="Times New Roman" w:hint="default"/>
        </w:rPr>
        <w:t>2. </w:t>
      </w:r>
      <w:r>
        <w:rPr>
          <w:spacing w:val="-3"/>
        </w:rPr>
        <w:t>非同一控制下企业合并的会计处理方法</w:t>
      </w:r>
      <w:r>
        <w:rPr>
          <w:spacing w:val="-53"/>
        </w:rPr>
        <w:t> </w:t>
      </w:r>
      <w:r>
        <w:rPr>
          <w:spacing w:val="-53"/>
        </w:rPr>
      </w:r>
      <w:r>
        <w:rPr>
          <w:spacing w:val="-2"/>
        </w:rPr>
        <w:t>公司在购买日对合并成本大于合并中取得的被购买方可辨认净资产公允价值份额的差额，确认为商誉；如果合并成本</w:t>
      </w:r>
    </w:p>
    <w:p>
      <w:pPr>
        <w:pStyle w:val="BodyText"/>
        <w:spacing w:line="319" w:lineRule="auto" w:before="31"/>
        <w:ind w:right="1124"/>
        <w:jc w:val="both"/>
      </w:pPr>
      <w:r>
        <w:rPr>
          <w:spacing w:val="-4"/>
        </w:rPr>
        <w:t>小于合并中取得的被购买方可辨认净资产公允价值份额，首先对取得的被购买方各项可辨认资产、负债及或有负债的公允价</w:t>
      </w:r>
      <w:r>
        <w:rPr>
          <w:spacing w:val="43"/>
        </w:rPr>
        <w:t> </w:t>
      </w:r>
      <w:r>
        <w:rPr>
          <w:spacing w:val="43"/>
        </w:rPr>
      </w:r>
      <w:r>
        <w:rPr>
          <w:spacing w:val="-4"/>
        </w:rPr>
        <w:t>值以及合并成本的计量进行复核，经复核后合并成本仍小于合并中取得的被购买方可辨认净资产公允价值份额的，其差额计</w:t>
      </w:r>
      <w:r>
        <w:rPr>
          <w:spacing w:val="44"/>
        </w:rPr>
        <w:t> </w:t>
      </w:r>
      <w:r>
        <w:rPr>
          <w:spacing w:val="44"/>
        </w:rPr>
      </w:r>
      <w:r>
        <w:rPr/>
        <w:t>入当期损益。</w:t>
      </w:r>
    </w:p>
    <w:p>
      <w:pPr>
        <w:spacing w:line="240" w:lineRule="auto" w:before="6"/>
        <w:rPr>
          <w:rFonts w:ascii="宋体" w:hAnsi="宋体" w:cs="宋体" w:eastAsia="宋体" w:hint="default"/>
          <w:sz w:val="22"/>
          <w:szCs w:val="22"/>
        </w:rPr>
      </w:pPr>
    </w:p>
    <w:p>
      <w:pPr>
        <w:pStyle w:val="Heading4"/>
        <w:spacing w:line="240" w:lineRule="auto"/>
        <w:ind w:right="0"/>
        <w:jc w:val="both"/>
        <w:rPr>
          <w:b w:val="0"/>
          <w:bCs w:val="0"/>
        </w:rPr>
      </w:pPr>
      <w:bookmarkStart w:name="6、合并财务报表的编制方法" w:id="177"/>
      <w:bookmarkEnd w:id="177"/>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122" w:firstLine="422"/>
        <w:jc w:val="both"/>
      </w:pPr>
      <w:r>
        <w:rPr>
          <w:spacing w:val="-2"/>
        </w:rPr>
        <w:t>母公司将其控制的所有子公司纳入合并财务报表的合并范围。合并财务报表以母公司及其子公司的财务报表为基础，</w:t>
      </w:r>
      <w:r>
        <w:rPr>
          <w:w w:val="101"/>
        </w:rPr>
        <w:t> </w:t>
      </w:r>
      <w:r>
        <w:rPr>
          <w:spacing w:val="-3"/>
        </w:rPr>
        <w:t>根据其他有关资料，由母公司按照《企业会计准则第</w:t>
      </w:r>
      <w:r>
        <w:rPr>
          <w:rFonts w:ascii="Times New Roman" w:hAnsi="Times New Roman" w:cs="Times New Roman" w:eastAsia="Times New Roman" w:hint="default"/>
          <w:spacing w:val="-3"/>
        </w:rPr>
        <w:t>33</w:t>
      </w:r>
      <w:r>
        <w:rPr>
          <w:spacing w:val="-3"/>
        </w:rPr>
        <w:t>号</w:t>
      </w:r>
      <w:r>
        <w:rPr>
          <w:rFonts w:ascii="Times New Roman" w:hAnsi="Times New Roman" w:cs="Times New Roman" w:eastAsia="Times New Roman" w:hint="default"/>
          <w:spacing w:val="-3"/>
        </w:rPr>
        <w:t>——</w:t>
      </w:r>
      <w:r>
        <w:rPr>
          <w:spacing w:val="-3"/>
        </w:rPr>
        <w:t>合并财务报表》编制。</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6"/>
          <w:szCs w:val="26"/>
        </w:rPr>
      </w:pPr>
    </w:p>
    <w:p>
      <w:pPr>
        <w:pStyle w:val="Heading4"/>
        <w:spacing w:line="240" w:lineRule="auto"/>
        <w:ind w:right="0"/>
        <w:jc w:val="both"/>
        <w:rPr>
          <w:b w:val="0"/>
          <w:bCs w:val="0"/>
        </w:rPr>
      </w:pPr>
      <w:bookmarkStart w:name="7、现金及现金等价物的确定标准" w:id="178"/>
      <w:bookmarkEnd w:id="178"/>
      <w:r>
        <w:rPr>
          <w:b w:val="0"/>
          <w:bCs w:val="0"/>
        </w:rPr>
      </w:r>
      <w:r>
        <w:rPr>
          <w:rFonts w:ascii="Times New Roman" w:hAnsi="Times New Roman" w:cs="Times New Roman" w:eastAsia="Times New Roman" w:hint="default"/>
        </w:rPr>
        <w:t>7</w:t>
      </w:r>
      <w:r>
        <w:rPr/>
        <w:t>、现金及现金等价物的确定标准</w:t>
      </w:r>
      <w:r>
        <w:rPr>
          <w:b w:val="0"/>
          <w:bCs w:val="0"/>
        </w:rPr>
      </w:r>
    </w:p>
    <w:p>
      <w:pPr>
        <w:spacing w:line="240" w:lineRule="auto" w:before="10"/>
        <w:rPr>
          <w:rFonts w:ascii="宋体" w:hAnsi="宋体" w:cs="宋体" w:eastAsia="宋体" w:hint="default"/>
          <w:b/>
          <w:bCs/>
          <w:sz w:val="26"/>
          <w:szCs w:val="26"/>
        </w:rPr>
      </w:pPr>
    </w:p>
    <w:p>
      <w:pPr>
        <w:pStyle w:val="BodyText"/>
        <w:spacing w:line="316" w:lineRule="auto"/>
        <w:ind w:right="1124" w:firstLine="422"/>
        <w:jc w:val="both"/>
      </w:pPr>
      <w:r>
        <w:rPr>
          <w:spacing w:val="-2"/>
        </w:rPr>
        <w:t>列示于现金流量表中的现金是指库存现金以及可以随时用于支付的存款。现金等价物是指企业持有的期限短、流动性</w:t>
      </w:r>
      <w:r>
        <w:rPr>
          <w:w w:val="101"/>
        </w:rPr>
        <w:t> </w:t>
      </w:r>
      <w:r>
        <w:rPr>
          <w:spacing w:val="-3"/>
        </w:rPr>
        <w:t>强、易于转换为已知金额现金、价值变动风险很小的投资。</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6"/>
        <w:ind w:right="0"/>
        <w:jc w:val="both"/>
        <w:rPr>
          <w:b w:val="0"/>
          <w:bCs w:val="0"/>
        </w:rPr>
      </w:pPr>
      <w:bookmarkStart w:name="8、外币业务和外币报表折算" w:id="179"/>
      <w:bookmarkEnd w:id="179"/>
      <w:r>
        <w:rPr>
          <w:b w:val="0"/>
          <w:bCs w:val="0"/>
        </w:rPr>
      </w:r>
      <w:r>
        <w:rPr>
          <w:rFonts w:ascii="Times New Roman" w:hAnsi="Times New Roman" w:cs="Times New Roman" w:eastAsia="Times New Roman" w:hint="default"/>
        </w:rPr>
        <w:t>8</w:t>
      </w:r>
      <w:r>
        <w:rPr/>
        <w:t>、外币业务和外币报表折算</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24" w:firstLine="422"/>
        <w:jc w:val="both"/>
      </w:pPr>
      <w:r>
        <w:rPr>
          <w:spacing w:val="-2"/>
        </w:rPr>
        <w:t>外币交易在初始确认时，采用交易发生日即期汇率的近似汇率折算为人民币金额。资产负债表日，外币货币性项目采</w:t>
      </w:r>
      <w:r>
        <w:rPr>
          <w:w w:val="101"/>
        </w:rPr>
        <w:t> </w:t>
      </w:r>
      <w:r>
        <w:rPr>
          <w:spacing w:val="-4"/>
        </w:rPr>
        <w:t>用资产负债表日即期汇率折算，因汇率不同而产生的汇兑差额，除与购建符合资本化条件资产有关的外币专门借款本金及利</w:t>
      </w:r>
      <w:r>
        <w:rPr>
          <w:spacing w:val="42"/>
        </w:rPr>
        <w:t> </w:t>
      </w:r>
      <w:r>
        <w:rPr>
          <w:spacing w:val="42"/>
        </w:rPr>
      </w:r>
      <w:r>
        <w:rPr>
          <w:spacing w:val="-4"/>
        </w:rPr>
        <w:t>息的汇兑差额外，计入当期损益；以历史成本计量的外币非货币性项目仍采用交易发生日即期汇率的近似汇率折算，不改变</w:t>
      </w:r>
      <w:r>
        <w:rPr>
          <w:spacing w:val="43"/>
        </w:rPr>
        <w:t> </w:t>
      </w:r>
      <w:r>
        <w:rPr>
          <w:spacing w:val="43"/>
        </w:rPr>
      </w:r>
      <w:r>
        <w:rPr>
          <w:spacing w:val="-4"/>
        </w:rPr>
        <w:t>其人民币金额；以公允价值计量的外币非货币性项目，采用公允价值确定日的即期汇率折算，差额计入当期损益或其他综合</w:t>
      </w:r>
      <w:r>
        <w:rPr>
          <w:spacing w:val="43"/>
        </w:rPr>
        <w:t> </w:t>
      </w:r>
      <w:r>
        <w:rPr>
          <w:spacing w:val="43"/>
        </w:rPr>
      </w:r>
      <w:r>
        <w:rPr/>
        <w:t>收益。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7"/>
        <w:ind w:right="0"/>
        <w:jc w:val="both"/>
        <w:rPr>
          <w:b w:val="0"/>
          <w:bCs w:val="0"/>
        </w:rPr>
      </w:pPr>
      <w:bookmarkStart w:name="9、金融工具" w:id="180"/>
      <w:bookmarkEnd w:id="180"/>
      <w:r>
        <w:rPr>
          <w:b w:val="0"/>
          <w:bCs w:val="0"/>
        </w:rPr>
      </w:r>
      <w:r>
        <w:rPr>
          <w:rFonts w:ascii="Times New Roman" w:hAnsi="Times New Roman" w:cs="Times New Roman" w:eastAsia="Times New Roman" w:hint="default"/>
        </w:rPr>
        <w:t>9</w:t>
      </w:r>
      <w:r>
        <w:rPr/>
        <w:t>、金融工具</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75" w:right="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20"/>
        </w:rPr>
        <w:t> </w:t>
      </w:r>
      <w:r>
        <w:rPr>
          <w:spacing w:val="-3"/>
        </w:rPr>
        <w:t>金融资产和金融负债的分类</w:t>
      </w:r>
    </w:p>
    <w:p>
      <w:pPr>
        <w:pStyle w:val="BodyText"/>
        <w:spacing w:line="300" w:lineRule="auto" w:before="63"/>
        <w:ind w:right="1122" w:firstLine="422"/>
        <w:jc w:val="both"/>
      </w:pPr>
      <w:r>
        <w:rPr/>
        <w:t>金融资产在初始确认时划分为以下三类：</w:t>
      </w:r>
      <w:r>
        <w:rPr>
          <w:rFonts w:ascii="Times New Roman" w:hAnsi="Times New Roman" w:cs="Times New Roman" w:eastAsia="Times New Roman" w:hint="default"/>
        </w:rPr>
        <w:t>(1) </w:t>
      </w:r>
      <w:r>
        <w:rPr/>
        <w:t>以摊余成本计量的金融资产；</w:t>
      </w:r>
      <w:r>
        <w:rPr>
          <w:rFonts w:ascii="Times New Roman" w:hAnsi="Times New Roman" w:cs="Times New Roman" w:eastAsia="Times New Roman" w:hint="default"/>
        </w:rPr>
        <w:t>(2)</w:t>
      </w:r>
      <w:r>
        <w:rPr>
          <w:rFonts w:ascii="Times New Roman" w:hAnsi="Times New Roman" w:cs="Times New Roman" w:eastAsia="Times New Roman" w:hint="default"/>
          <w:spacing w:val="18"/>
        </w:rPr>
        <w:t> </w:t>
      </w:r>
      <w:r>
        <w:rPr>
          <w:spacing w:val="-3"/>
        </w:rPr>
        <w:t>以公允价值计量且其变动计入其他综合</w:t>
      </w:r>
      <w:r>
        <w:rPr>
          <w:w w:val="101"/>
        </w:rPr>
        <w:t> </w:t>
      </w:r>
      <w:r>
        <w:rPr/>
        <w:t>收益的金融资产；</w:t>
      </w:r>
      <w:r>
        <w:rPr>
          <w:rFonts w:ascii="Times New Roman" w:hAnsi="Times New Roman" w:cs="Times New Roman" w:eastAsia="Times New Roman" w:hint="default"/>
        </w:rPr>
        <w:t>(3)  </w:t>
      </w:r>
      <w:r>
        <w:rPr>
          <w:rFonts w:ascii="Times New Roman" w:hAnsi="Times New Roman" w:cs="Times New Roman" w:eastAsia="Times New Roman" w:hint="default"/>
          <w:spacing w:val="6"/>
        </w:rPr>
        <w:t> </w:t>
      </w:r>
      <w:r>
        <w:rPr>
          <w:spacing w:val="-3"/>
        </w:rPr>
        <w:t>以公允价值计量且其变动计入当期损益的金融资产。</w:t>
      </w:r>
    </w:p>
    <w:p>
      <w:pPr>
        <w:pStyle w:val="BodyText"/>
        <w:spacing w:line="300" w:lineRule="auto" w:before="13"/>
        <w:ind w:right="1122" w:firstLine="422"/>
        <w:jc w:val="both"/>
      </w:pPr>
      <w:r>
        <w:rPr/>
        <w:t>金融负债在初始确认时划分为以下四类：</w:t>
      </w:r>
      <w:r>
        <w:rPr>
          <w:rFonts w:ascii="Times New Roman" w:hAnsi="Times New Roman" w:cs="Times New Roman" w:eastAsia="Times New Roman" w:hint="default"/>
        </w:rPr>
        <w:t>(1) </w:t>
      </w:r>
      <w:r>
        <w:rPr/>
        <w:t>以公允价值计量且其变动计入当期损益的金融负债；</w:t>
      </w:r>
      <w:r>
        <w:rPr>
          <w:rFonts w:ascii="Times New Roman" w:hAnsi="Times New Roman" w:cs="Times New Roman" w:eastAsia="Times New Roman" w:hint="default"/>
        </w:rPr>
        <w:t>(2)</w:t>
      </w:r>
      <w:r>
        <w:rPr>
          <w:rFonts w:ascii="Times New Roman" w:hAnsi="Times New Roman" w:cs="Times New Roman" w:eastAsia="Times New Roman" w:hint="default"/>
          <w:spacing w:val="39"/>
        </w:rPr>
        <w:t> </w:t>
      </w:r>
      <w:r>
        <w:rPr>
          <w:spacing w:val="-3"/>
        </w:rPr>
        <w:t>金融资产转移不</w:t>
      </w:r>
      <w:r>
        <w:rPr>
          <w:w w:val="101"/>
        </w:rPr>
        <w:t> </w:t>
      </w:r>
      <w:r>
        <w:rPr>
          <w:spacing w:val="-4"/>
        </w:rPr>
        <w:t>符合终止确认条件或继续涉入被转移金融资产所形成的金融负债；</w:t>
      </w:r>
      <w:r>
        <w:rPr>
          <w:rFonts w:ascii="Times New Roman" w:hAnsi="Times New Roman" w:cs="Times New Roman" w:eastAsia="Times New Roman" w:hint="default"/>
          <w:spacing w:val="-4"/>
        </w:rPr>
        <w:t>(3) </w:t>
      </w:r>
      <w:r>
        <w:rPr>
          <w:spacing w:val="-4"/>
        </w:rPr>
        <w:t>不属于上述</w:t>
      </w:r>
      <w:r>
        <w:rPr>
          <w:rFonts w:ascii="Times New Roman" w:hAnsi="Times New Roman" w:cs="Times New Roman" w:eastAsia="Times New Roman" w:hint="default"/>
          <w:spacing w:val="-4"/>
        </w:rPr>
        <w:t>(1)</w:t>
      </w:r>
      <w:r>
        <w:rPr>
          <w:spacing w:val="-4"/>
        </w:rPr>
        <w:t>或</w:t>
      </w:r>
      <w:r>
        <w:rPr>
          <w:rFonts w:ascii="Times New Roman" w:hAnsi="Times New Roman" w:cs="Times New Roman" w:eastAsia="Times New Roman" w:hint="default"/>
          <w:spacing w:val="-4"/>
        </w:rPr>
        <w:t>(2)</w:t>
      </w:r>
      <w:r>
        <w:rPr>
          <w:spacing w:val="-4"/>
        </w:rPr>
        <w:t>的财务担保合同，以及不属于上述</w:t>
      </w:r>
      <w:r>
        <w:rPr>
          <w:spacing w:val="-60"/>
        </w:rPr>
        <w:t> </w:t>
      </w:r>
      <w:r>
        <w:rPr>
          <w:spacing w:val="-60"/>
        </w:rPr>
      </w:r>
      <w:r>
        <w:rPr>
          <w:rFonts w:ascii="Times New Roman" w:hAnsi="Times New Roman" w:cs="Times New Roman" w:eastAsia="Times New Roman" w:hint="default"/>
          <w:spacing w:val="-3"/>
        </w:rPr>
        <w:t>(1)</w:t>
      </w:r>
      <w:r>
        <w:rPr>
          <w:spacing w:val="-3"/>
        </w:rPr>
        <w:t>并以低于市场利率贷款的贷款承诺；</w:t>
      </w:r>
      <w:r>
        <w:rPr>
          <w:rFonts w:ascii="Times New Roman" w:hAnsi="Times New Roman" w:cs="Times New Roman" w:eastAsia="Times New Roman" w:hint="default"/>
          <w:spacing w:val="-3"/>
        </w:rPr>
        <w:t>(4)   </w:t>
      </w:r>
      <w:r>
        <w:rPr>
          <w:rFonts w:ascii="Times New Roman" w:hAnsi="Times New Roman" w:cs="Times New Roman" w:eastAsia="Times New Roman" w:hint="default"/>
          <w:spacing w:val="2"/>
        </w:rPr>
        <w:t> </w:t>
      </w:r>
      <w:r>
        <w:rPr>
          <w:spacing w:val="-3"/>
        </w:rPr>
        <w:t>以摊余成本计量的金融负债。</w:t>
      </w:r>
    </w:p>
    <w:p>
      <w:pPr>
        <w:pStyle w:val="BodyText"/>
        <w:spacing w:line="240" w:lineRule="auto" w:before="13"/>
        <w:ind w:left="575"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17"/>
        </w:rPr>
        <w:t> </w:t>
      </w:r>
      <w:r>
        <w:rPr>
          <w:spacing w:val="-3"/>
        </w:rPr>
        <w:t>金融资产和金融负债的确认依据、计量方法和终止确认条件</w:t>
      </w:r>
    </w:p>
    <w:p>
      <w:pPr>
        <w:pStyle w:val="BodyText"/>
        <w:spacing w:line="300" w:lineRule="auto" w:before="63"/>
        <w:ind w:left="575" w:right="0"/>
        <w:jc w:val="left"/>
      </w:pPr>
      <w:r>
        <w:rPr>
          <w:rFonts w:ascii="Times New Roman" w:hAnsi="Times New Roman" w:cs="Times New Roman" w:eastAsia="Times New Roman" w:hint="default"/>
        </w:rPr>
        <w:t>(1) </w:t>
      </w:r>
      <w:r>
        <w:rPr>
          <w:spacing w:val="-3"/>
        </w:rPr>
        <w:t>金融资产和金融负债的确认依据和初始计量方法</w:t>
      </w:r>
      <w:r>
        <w:rPr>
          <w:spacing w:val="-44"/>
        </w:rPr>
        <w:t> </w:t>
      </w:r>
      <w:r>
        <w:rPr>
          <w:spacing w:val="-44"/>
        </w:rPr>
      </w:r>
      <w:r>
        <w:rPr>
          <w:spacing w:val="-2"/>
        </w:rPr>
        <w:t>公司成为金融工具合同的一方时，确认一项金融资产或金融负债。初始确认金融资产或金融负债时，按照公允价值计</w:t>
      </w:r>
    </w:p>
    <w:p>
      <w:pPr>
        <w:pStyle w:val="BodyText"/>
        <w:spacing w:line="316" w:lineRule="auto" w:before="31"/>
        <w:ind w:right="1124"/>
        <w:jc w:val="both"/>
      </w:pPr>
      <w:r>
        <w:rPr>
          <w:spacing w:val="-4"/>
        </w:rPr>
        <w:t>量；对于以公允价值计量且其变动计入当期损益的金融资产和金融负债，相关交易费用直接计入当期损益；对于其他类别的</w:t>
      </w:r>
      <w:r>
        <w:rPr>
          <w:spacing w:val="43"/>
        </w:rPr>
        <w:t> </w:t>
      </w:r>
      <w:r>
        <w:rPr>
          <w:spacing w:val="43"/>
        </w:rPr>
      </w:r>
      <w:r>
        <w:rPr>
          <w:spacing w:val="-4"/>
        </w:rPr>
        <w:t>金融资产或金融负债，相关交易费用计入初始确认金额。但是，公司初始确认的应收账款未包含重大融资成分或公司不考虑</w:t>
      </w:r>
      <w:r>
        <w:rPr>
          <w:spacing w:val="43"/>
        </w:rPr>
        <w:t> </w:t>
      </w:r>
      <w:r>
        <w:rPr>
          <w:spacing w:val="43"/>
        </w:rPr>
      </w:r>
      <w:r>
        <w:rPr>
          <w:spacing w:val="-3"/>
        </w:rPr>
        <w:t>未超过一年的合同中的融资成分的，按照交易价格进行初始计量。</w:t>
      </w:r>
    </w:p>
    <w:p>
      <w:pPr>
        <w:pStyle w:val="BodyText"/>
        <w:spacing w:line="240" w:lineRule="auto" w:before="19"/>
        <w:ind w:left="575"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17"/>
        </w:rPr>
        <w:t> </w:t>
      </w:r>
      <w:r>
        <w:rPr>
          <w:spacing w:val="-3"/>
        </w:rPr>
        <w:t>金融资产的后续计量方法</w:t>
      </w:r>
    </w:p>
    <w:p>
      <w:pPr>
        <w:pStyle w:val="BodyText"/>
        <w:spacing w:line="300" w:lineRule="auto" w:before="63"/>
        <w:ind w:left="575" w:right="0"/>
        <w:jc w:val="left"/>
      </w:pPr>
      <w:r>
        <w:rPr>
          <w:rFonts w:ascii="Times New Roman" w:hAnsi="Times New Roman" w:cs="Times New Roman" w:eastAsia="Times New Roman" w:hint="default"/>
        </w:rPr>
        <w:t>1) </w:t>
      </w:r>
      <w:r>
        <w:rPr>
          <w:spacing w:val="-3"/>
        </w:rPr>
        <w:t>以摊余成本计量的金融资产</w:t>
      </w:r>
      <w:r>
        <w:rPr>
          <w:spacing w:val="-71"/>
        </w:rPr>
        <w:t> </w:t>
      </w:r>
      <w:r>
        <w:rPr>
          <w:spacing w:val="-71"/>
        </w:rPr>
      </w:r>
      <w:r>
        <w:rPr>
          <w:spacing w:val="-2"/>
        </w:rPr>
        <w:t>采用实际利率法，按照摊余成本进行后续计量。以摊余成本计量且不属于任何套期关系的一部分的金融资产所产生的</w:t>
      </w:r>
    </w:p>
    <w:p>
      <w:pPr>
        <w:pStyle w:val="BodyText"/>
        <w:spacing w:line="240" w:lineRule="auto" w:before="31"/>
        <w:ind w:right="0"/>
        <w:jc w:val="both"/>
      </w:pPr>
      <w:r>
        <w:rPr>
          <w:spacing w:val="-3"/>
        </w:rPr>
        <w:t>利得或损失，在终止确认、重分类、按照实际利率法摊销或确认减值时，计入当期损益。</w:t>
      </w:r>
    </w:p>
    <w:p>
      <w:pPr>
        <w:spacing w:after="0" w:line="240" w:lineRule="auto"/>
        <w:jc w:val="both"/>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00" w:lineRule="auto" w:before="46"/>
        <w:ind w:left="575" w:right="0"/>
        <w:jc w:val="left"/>
      </w:pPr>
      <w:r>
        <w:rPr>
          <w:rFonts w:ascii="Times New Roman" w:hAnsi="Times New Roman" w:cs="Times New Roman" w:eastAsia="Times New Roman" w:hint="default"/>
        </w:rPr>
        <w:t>2) </w:t>
      </w:r>
      <w:r>
        <w:rPr>
          <w:spacing w:val="-3"/>
        </w:rPr>
        <w:t>以公允价值计量且其变动计入其他综合收益的债务工具投资</w:t>
      </w:r>
      <w:r>
        <w:rPr>
          <w:spacing w:val="-30"/>
        </w:rPr>
        <w:t> </w:t>
      </w:r>
      <w:r>
        <w:rPr>
          <w:spacing w:val="-30"/>
        </w:rPr>
      </w:r>
      <w:r>
        <w:rPr>
          <w:spacing w:val="-2"/>
        </w:rPr>
        <w:t>采用公允价值进行后续计量。采用实际利率法计算的利息、减值损失或利得及汇兑损益计入当期损益，其他利得或损</w:t>
      </w:r>
    </w:p>
    <w:p>
      <w:pPr>
        <w:pStyle w:val="BodyText"/>
        <w:spacing w:line="309" w:lineRule="auto" w:before="31"/>
        <w:ind w:left="575" w:right="1231" w:hanging="423"/>
        <w:jc w:val="left"/>
      </w:pPr>
      <w:r>
        <w:rPr>
          <w:spacing w:val="-3"/>
        </w:rPr>
        <w:t>失计入其他综合收益。终止确认时，将之前计入其他综合收益的累计利得或损失从其他综合收益中转出，计入当期损益。</w:t>
      </w:r>
      <w:r>
        <w:rPr>
          <w:spacing w:val="66"/>
        </w:rPr>
        <w:t> </w:t>
      </w:r>
      <w:r>
        <w:rPr>
          <w:spacing w:val="66"/>
        </w:rPr>
      </w:r>
      <w:r>
        <w:rPr>
          <w:rFonts w:ascii="Times New Roman" w:hAnsi="Times New Roman" w:cs="Times New Roman" w:eastAsia="Times New Roman" w:hint="default"/>
        </w:rPr>
        <w:t>3)</w:t>
      </w:r>
      <w:r>
        <w:rPr>
          <w:rFonts w:ascii="Times New Roman" w:hAnsi="Times New Roman" w:cs="Times New Roman" w:eastAsia="Times New Roman" w:hint="default"/>
          <w:spacing w:val="29"/>
        </w:rPr>
        <w:t> </w:t>
      </w:r>
      <w:r>
        <w:rPr>
          <w:spacing w:val="-3"/>
        </w:rPr>
        <w:t>以公允价值计量且其变动计入其他综合收益的权益工具投资</w:t>
      </w:r>
      <w:r>
        <w:rPr>
          <w:w w:val="101"/>
        </w:rPr>
        <w:t> </w:t>
      </w:r>
      <w:r>
        <w:rPr>
          <w:spacing w:val="-2"/>
        </w:rPr>
        <w:t>采用公允价值进行后续计量。获得的股利（属于投资成本收回部分的除外）计入当期损益，其他利得或损失计入其他</w:t>
      </w:r>
    </w:p>
    <w:p>
      <w:pPr>
        <w:pStyle w:val="BodyText"/>
        <w:spacing w:line="240" w:lineRule="auto" w:before="24"/>
        <w:ind w:right="0"/>
        <w:jc w:val="both"/>
      </w:pPr>
      <w:r>
        <w:rPr>
          <w:spacing w:val="-3"/>
        </w:rPr>
        <w:t>综合收益。终止确认时，将之前计入其他综合收益的累计利得或损失从其他综合收益中转出，计入留存收益。</w:t>
      </w:r>
    </w:p>
    <w:p>
      <w:pPr>
        <w:pStyle w:val="BodyText"/>
        <w:spacing w:line="300" w:lineRule="auto" w:before="76"/>
        <w:ind w:left="575" w:right="0"/>
        <w:jc w:val="left"/>
      </w:pPr>
      <w:r>
        <w:rPr>
          <w:rFonts w:ascii="Times New Roman" w:hAnsi="Times New Roman" w:cs="Times New Roman" w:eastAsia="Times New Roman" w:hint="default"/>
        </w:rPr>
        <w:t>4) </w:t>
      </w:r>
      <w:r>
        <w:rPr>
          <w:spacing w:val="-3"/>
        </w:rPr>
        <w:t>以公允价值计量且其变动计入当期损益的金融资产</w:t>
      </w:r>
      <w:r>
        <w:rPr>
          <w:spacing w:val="-42"/>
        </w:rPr>
        <w:t> </w:t>
      </w:r>
      <w:r>
        <w:rPr>
          <w:spacing w:val="-42"/>
        </w:rPr>
      </w:r>
      <w:r>
        <w:rPr>
          <w:spacing w:val="-3"/>
        </w:rPr>
        <w:t>采用公允价值进行后续计量，产生的利得或损失（包括利息和股利收入</w:t>
      </w:r>
      <w:r>
        <w:rPr>
          <w:rFonts w:ascii="Times New Roman" w:hAnsi="Times New Roman" w:cs="Times New Roman" w:eastAsia="Times New Roman" w:hint="default"/>
          <w:spacing w:val="-3"/>
        </w:rPr>
        <w:t>)</w:t>
      </w:r>
      <w:r>
        <w:rPr>
          <w:spacing w:val="-3"/>
        </w:rPr>
        <w:t>计入当期损益，除非该金融资产属于套期关系</w:t>
      </w:r>
    </w:p>
    <w:p>
      <w:pPr>
        <w:pStyle w:val="BodyText"/>
        <w:spacing w:line="240" w:lineRule="auto" w:before="13"/>
        <w:ind w:right="0"/>
        <w:jc w:val="both"/>
      </w:pPr>
      <w:r>
        <w:rPr/>
        <w:t>的一部分。</w:t>
      </w:r>
    </w:p>
    <w:p>
      <w:pPr>
        <w:pStyle w:val="BodyText"/>
        <w:spacing w:line="240" w:lineRule="auto" w:before="77"/>
        <w:ind w:left="575" w:right="0"/>
        <w:jc w:val="left"/>
      </w:pPr>
      <w:r>
        <w:rPr>
          <w:rFonts w:ascii="Times New Roman" w:hAnsi="Times New Roman" w:cs="Times New Roman" w:eastAsia="Times New Roman" w:hint="default"/>
        </w:rPr>
        <w:t>(3) </w:t>
      </w:r>
      <w:r>
        <w:rPr>
          <w:rFonts w:ascii="Times New Roman" w:hAnsi="Times New Roman" w:cs="Times New Roman" w:eastAsia="Times New Roman" w:hint="default"/>
          <w:spacing w:val="17"/>
        </w:rPr>
        <w:t> </w:t>
      </w:r>
      <w:r>
        <w:rPr>
          <w:spacing w:val="-3"/>
        </w:rPr>
        <w:t>金融负债的后续计量方法</w:t>
      </w:r>
    </w:p>
    <w:p>
      <w:pPr>
        <w:pStyle w:val="BodyText"/>
        <w:spacing w:line="300" w:lineRule="auto" w:before="63"/>
        <w:ind w:left="575" w:right="0"/>
        <w:jc w:val="left"/>
      </w:pPr>
      <w:r>
        <w:rPr>
          <w:rFonts w:ascii="Times New Roman" w:hAnsi="Times New Roman" w:cs="Times New Roman" w:eastAsia="Times New Roman" w:hint="default"/>
        </w:rPr>
        <w:t>1) </w:t>
      </w:r>
      <w:r>
        <w:rPr>
          <w:spacing w:val="-3"/>
        </w:rPr>
        <w:t>以公允价值计量且其变动计入当期损益的金融负债</w:t>
      </w:r>
      <w:r>
        <w:rPr>
          <w:spacing w:val="-42"/>
        </w:rPr>
        <w:t> </w:t>
      </w:r>
      <w:r>
        <w:rPr>
          <w:spacing w:val="-42"/>
        </w:rPr>
      </w:r>
      <w:r>
        <w:rPr>
          <w:spacing w:val="-2"/>
        </w:rPr>
        <w:t>此类金融负债包括交易性金融负债（含属于金融负债的衍生工具）和指定为以公允价值计量且其变动计入当期损益的</w:t>
      </w:r>
    </w:p>
    <w:p>
      <w:pPr>
        <w:pStyle w:val="BodyText"/>
        <w:spacing w:line="319" w:lineRule="auto" w:before="31"/>
        <w:ind w:right="1037"/>
        <w:jc w:val="both"/>
      </w:pPr>
      <w:r>
        <w:rPr>
          <w:spacing w:val="-4"/>
        </w:rPr>
        <w:t>金融负债。对于此类金融负债以公允价值进行后续计量。因公司自身信用风险变动引起的指定为以公允价值计量且其变动计</w:t>
      </w:r>
      <w:r>
        <w:rPr>
          <w:spacing w:val="38"/>
        </w:rPr>
        <w:t> </w:t>
      </w:r>
      <w:r>
        <w:rPr>
          <w:spacing w:val="38"/>
        </w:rPr>
      </w:r>
      <w:r>
        <w:rPr>
          <w:spacing w:val="-5"/>
        </w:rPr>
        <w:t>入当期损益的金融负债的公允价值变动金额计入其他综合收益，除非该处理会造成或扩大损益中的会计错配。此类金融负债</w:t>
      </w:r>
      <w:r>
        <w:rPr>
          <w:spacing w:val="6"/>
        </w:rPr>
        <w:t> </w:t>
      </w:r>
      <w:r>
        <w:rPr>
          <w:spacing w:val="6"/>
        </w:rPr>
      </w:r>
      <w:r>
        <w:rPr>
          <w:spacing w:val="-4"/>
        </w:rPr>
        <w:t>产生的其他利得或损失（包括利息费用、除因公司自身信用风险变动引起的公允价值变动）计入当期损益，除非该金融负债</w:t>
      </w:r>
      <w:r>
        <w:rPr>
          <w:spacing w:val="40"/>
        </w:rPr>
        <w:t> </w:t>
      </w:r>
      <w:r>
        <w:rPr>
          <w:spacing w:val="40"/>
        </w:rPr>
      </w:r>
      <w:r>
        <w:rPr>
          <w:spacing w:val="-3"/>
        </w:rPr>
        <w:t>属于套期关系的一部分。终止确认时，将之前计入其他综合收益的累计利得或损失从其他综合收益中转出，计入留存收益。</w:t>
      </w:r>
    </w:p>
    <w:p>
      <w:pPr>
        <w:pStyle w:val="BodyText"/>
        <w:spacing w:line="300" w:lineRule="auto" w:before="17"/>
        <w:ind w:left="575" w:right="0"/>
        <w:jc w:val="left"/>
      </w:pPr>
      <w:r>
        <w:rPr>
          <w:rFonts w:ascii="Times New Roman" w:hAnsi="Times New Roman" w:cs="Times New Roman" w:eastAsia="Times New Roman" w:hint="default"/>
        </w:rPr>
        <w:t>2) </w:t>
      </w:r>
      <w:r>
        <w:rPr>
          <w:spacing w:val="-3"/>
        </w:rPr>
        <w:t>金融资产转移不符合终止确认条件或继续涉入被转移金融资产所形成的金融负债</w:t>
      </w:r>
      <w:r>
        <w:rPr>
          <w:spacing w:val="-50"/>
        </w:rPr>
        <w:t> </w:t>
      </w:r>
      <w:r>
        <w:rPr>
          <w:spacing w:val="-50"/>
        </w:rPr>
      </w:r>
      <w:r>
        <w:rPr>
          <w:spacing w:val="-3"/>
        </w:rPr>
        <w:t>按照《企业会计准则第</w:t>
      </w:r>
      <w:r>
        <w:rPr>
          <w:rFonts w:ascii="Times New Roman" w:hAnsi="Times New Roman" w:cs="Times New Roman" w:eastAsia="Times New Roman" w:hint="default"/>
          <w:spacing w:val="-3"/>
        </w:rPr>
        <w:t>23</w:t>
      </w:r>
      <w:r>
        <w:rPr>
          <w:spacing w:val="-3"/>
        </w:rPr>
        <w:t>号</w:t>
      </w:r>
      <w:r>
        <w:rPr>
          <w:rFonts w:ascii="Times New Roman" w:hAnsi="Times New Roman" w:cs="Times New Roman" w:eastAsia="Times New Roman" w:hint="default"/>
          <w:spacing w:val="-3"/>
        </w:rPr>
        <w:t>——</w:t>
      </w:r>
      <w:r>
        <w:rPr>
          <w:spacing w:val="-3"/>
        </w:rPr>
        <w:t>金融资产转移》相关规定进行计量。</w:t>
      </w:r>
    </w:p>
    <w:p>
      <w:pPr>
        <w:pStyle w:val="BodyText"/>
        <w:spacing w:line="300" w:lineRule="auto" w:before="13"/>
        <w:ind w:left="575" w:right="1113"/>
        <w:jc w:val="left"/>
      </w:pPr>
      <w:r>
        <w:rPr>
          <w:rFonts w:ascii="Times New Roman" w:hAnsi="Times New Roman" w:cs="Times New Roman" w:eastAsia="Times New Roman" w:hint="default"/>
        </w:rPr>
        <w:t>3) </w:t>
      </w:r>
      <w:r>
        <w:rPr>
          <w:spacing w:val="-3"/>
        </w:rPr>
        <w:t>不属于上述</w:t>
      </w:r>
      <w:r>
        <w:rPr>
          <w:rFonts w:ascii="Times New Roman" w:hAnsi="Times New Roman" w:cs="Times New Roman" w:eastAsia="Times New Roman" w:hint="default"/>
          <w:spacing w:val="-3"/>
        </w:rPr>
        <w:t>1)</w:t>
      </w:r>
      <w:r>
        <w:rPr>
          <w:spacing w:val="-3"/>
        </w:rPr>
        <w:t>或</w:t>
      </w:r>
      <w:r>
        <w:rPr>
          <w:rFonts w:ascii="Times New Roman" w:hAnsi="Times New Roman" w:cs="Times New Roman" w:eastAsia="Times New Roman" w:hint="default"/>
          <w:spacing w:val="-3"/>
        </w:rPr>
        <w:t>2)</w:t>
      </w:r>
      <w:r>
        <w:rPr>
          <w:spacing w:val="-3"/>
        </w:rPr>
        <w:t>的财务担保合同，以及不属于上述</w:t>
      </w:r>
      <w:r>
        <w:rPr>
          <w:rFonts w:ascii="Times New Roman" w:hAnsi="Times New Roman" w:cs="Times New Roman" w:eastAsia="Times New Roman" w:hint="default"/>
          <w:spacing w:val="-3"/>
        </w:rPr>
        <w:t>1)</w:t>
      </w:r>
      <w:r>
        <w:rPr>
          <w:spacing w:val="-3"/>
        </w:rPr>
        <w:t>并以低于市场利率贷款的贷款承诺</w:t>
      </w:r>
      <w:r>
        <w:rPr>
          <w:spacing w:val="12"/>
        </w:rPr>
        <w:t> </w:t>
      </w:r>
      <w:r>
        <w:rPr>
          <w:spacing w:val="12"/>
        </w:rPr>
      </w:r>
      <w:r>
        <w:rPr>
          <w:spacing w:val="-5"/>
        </w:rPr>
        <w:t>在初始确认后按照下列两项金额之中的较高者进行后续计量：①  按照金融工具的减值规定确定的损失准备金额；②</w:t>
      </w:r>
      <w:r>
        <w:rPr>
          <w:spacing w:val="26"/>
        </w:rPr>
        <w:t> </w:t>
      </w:r>
      <w:r>
        <w:rPr/>
        <w:t>初</w:t>
      </w:r>
    </w:p>
    <w:p>
      <w:pPr>
        <w:pStyle w:val="BodyText"/>
        <w:spacing w:line="240" w:lineRule="auto" w:before="31"/>
        <w:ind w:right="0"/>
        <w:jc w:val="both"/>
      </w:pPr>
      <w:r>
        <w:rPr>
          <w:spacing w:val="-3"/>
        </w:rPr>
        <w:t>始确认金额扣除按照相关规定所确定的累计摊销额后的余额。</w:t>
      </w:r>
    </w:p>
    <w:p>
      <w:pPr>
        <w:pStyle w:val="BodyText"/>
        <w:spacing w:line="300" w:lineRule="auto" w:before="76"/>
        <w:ind w:left="575" w:right="0"/>
        <w:jc w:val="left"/>
      </w:pPr>
      <w:r>
        <w:rPr>
          <w:rFonts w:ascii="Times New Roman" w:hAnsi="Times New Roman" w:cs="Times New Roman" w:eastAsia="Times New Roman" w:hint="default"/>
        </w:rPr>
        <w:t>4) </w:t>
      </w:r>
      <w:r>
        <w:rPr>
          <w:spacing w:val="-3"/>
        </w:rPr>
        <w:t>以摊余成本计量的金融负债</w:t>
      </w:r>
      <w:r>
        <w:rPr>
          <w:spacing w:val="-71"/>
        </w:rPr>
        <w:t> </w:t>
      </w:r>
      <w:r>
        <w:rPr>
          <w:spacing w:val="-71"/>
        </w:rPr>
      </w:r>
      <w:r>
        <w:rPr>
          <w:spacing w:val="-2"/>
        </w:rPr>
        <w:t>采用实际利率法以摊余成本计量。以摊余成本计量且不属于任何套期关系的一部分的金融负债所产生的利得或损失，</w:t>
      </w:r>
    </w:p>
    <w:p>
      <w:pPr>
        <w:pStyle w:val="BodyText"/>
        <w:spacing w:line="240" w:lineRule="auto" w:before="31"/>
        <w:ind w:right="0"/>
        <w:jc w:val="both"/>
      </w:pPr>
      <w:r>
        <w:rPr>
          <w:spacing w:val="-3"/>
        </w:rPr>
        <w:t>在终止确认、按照实际利率法摊销时计入当期损益。</w:t>
      </w:r>
    </w:p>
    <w:p>
      <w:pPr>
        <w:pStyle w:val="BodyText"/>
        <w:spacing w:line="240" w:lineRule="auto" w:before="76"/>
        <w:ind w:left="575" w:right="0"/>
        <w:jc w:val="left"/>
      </w:pPr>
      <w:r>
        <w:rPr>
          <w:rFonts w:ascii="Times New Roman" w:hAnsi="Times New Roman" w:cs="Times New Roman" w:eastAsia="Times New Roman" w:hint="default"/>
        </w:rPr>
        <w:t>(4) </w:t>
      </w:r>
      <w:r>
        <w:rPr>
          <w:rFonts w:ascii="Times New Roman" w:hAnsi="Times New Roman" w:cs="Times New Roman" w:eastAsia="Times New Roman" w:hint="default"/>
          <w:spacing w:val="28"/>
        </w:rPr>
        <w:t> </w:t>
      </w:r>
      <w:r>
        <w:rPr>
          <w:spacing w:val="-3"/>
        </w:rPr>
        <w:t>金融资产和金融负债的终止确认</w:t>
      </w:r>
    </w:p>
    <w:p>
      <w:pPr>
        <w:pStyle w:val="BodyText"/>
        <w:spacing w:line="240" w:lineRule="auto" w:before="63"/>
        <w:ind w:left="575" w:right="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43"/>
        </w:rPr>
        <w:t> </w:t>
      </w:r>
      <w:r>
        <w:rPr>
          <w:spacing w:val="-3"/>
        </w:rPr>
        <w:t>当满足下列条件之一时，终止确认金融资产：</w:t>
      </w:r>
    </w:p>
    <w:p>
      <w:pPr>
        <w:pStyle w:val="BodyText"/>
        <w:spacing w:line="240" w:lineRule="auto" w:before="63"/>
        <w:ind w:left="575" w:right="0"/>
        <w:jc w:val="left"/>
      </w:pPr>
      <w:r>
        <w:rPr/>
        <w:t>①</w:t>
      </w:r>
      <w:r>
        <w:rPr>
          <w:spacing w:val="42"/>
        </w:rPr>
        <w:t> </w:t>
      </w:r>
      <w:r>
        <w:rPr>
          <w:spacing w:val="-3"/>
        </w:rPr>
        <w:t>收取金融资产现金流量的合同权利已终止；</w:t>
      </w:r>
    </w:p>
    <w:p>
      <w:pPr>
        <w:pStyle w:val="BodyText"/>
        <w:spacing w:line="300" w:lineRule="auto" w:before="76"/>
        <w:ind w:left="575" w:right="1627"/>
        <w:jc w:val="left"/>
      </w:pPr>
      <w:r>
        <w:rPr/>
        <w:t>② </w:t>
      </w:r>
      <w:r>
        <w:rPr>
          <w:spacing w:val="-3"/>
        </w:rPr>
        <w:t>金融资产已转移，且该转移满足《企业会计准则第</w:t>
      </w:r>
      <w:r>
        <w:rPr>
          <w:rFonts w:ascii="Times New Roman" w:hAnsi="Times New Roman" w:cs="Times New Roman" w:eastAsia="Times New Roman" w:hint="default"/>
          <w:spacing w:val="-3"/>
        </w:rPr>
        <w:t>23</w:t>
      </w:r>
      <w:r>
        <w:rPr>
          <w:spacing w:val="-3"/>
        </w:rPr>
        <w:t>号</w:t>
      </w:r>
      <w:r>
        <w:rPr>
          <w:rFonts w:ascii="Times New Roman" w:hAnsi="Times New Roman" w:cs="Times New Roman" w:eastAsia="Times New Roman" w:hint="default"/>
          <w:spacing w:val="-3"/>
        </w:rPr>
        <w:t>——</w:t>
      </w:r>
      <w:r>
        <w:rPr>
          <w:spacing w:val="-3"/>
        </w:rPr>
        <w:t>金融资产转移》关于金融资产终止确认的规定。</w:t>
      </w:r>
      <w:r>
        <w:rPr>
          <w:spacing w:val="-53"/>
        </w:rPr>
        <w:t> </w:t>
      </w:r>
      <w:r>
        <w:rPr>
          <w:spacing w:val="-53"/>
        </w:rPr>
      </w:r>
      <w:r>
        <w:rPr>
          <w:rFonts w:ascii="Times New Roman" w:hAnsi="Times New Roman" w:cs="Times New Roman" w:eastAsia="Times New Roman" w:hint="default"/>
        </w:rPr>
        <w:t>2)   </w:t>
      </w:r>
      <w:r>
        <w:rPr>
          <w:rFonts w:ascii="Times New Roman" w:hAnsi="Times New Roman" w:cs="Times New Roman" w:eastAsia="Times New Roman" w:hint="default"/>
          <w:spacing w:val="23"/>
        </w:rPr>
        <w:t> </w:t>
      </w:r>
      <w:r>
        <w:rPr>
          <w:spacing w:val="-3"/>
        </w:rPr>
        <w:t>当金融负债（或其一部分）的现时义务已经解除时，相应终止确认该金融负债（或该部分金融负债）。</w:t>
      </w:r>
    </w:p>
    <w:p>
      <w:pPr>
        <w:pStyle w:val="BodyText"/>
        <w:spacing w:line="300" w:lineRule="auto" w:before="13"/>
        <w:ind w:left="575" w:right="0"/>
        <w:jc w:val="left"/>
      </w:pPr>
      <w:r>
        <w:rPr>
          <w:rFonts w:ascii="Times New Roman" w:hAnsi="Times New Roman" w:cs="Times New Roman" w:eastAsia="Times New Roman" w:hint="default"/>
        </w:rPr>
        <w:t>3. </w:t>
      </w:r>
      <w:r>
        <w:rPr>
          <w:spacing w:val="-3"/>
        </w:rPr>
        <w:t>金融资产转移的确认依据和计量方法</w:t>
      </w:r>
      <w:r>
        <w:rPr>
          <w:spacing w:val="-58"/>
        </w:rPr>
        <w:t> </w:t>
      </w:r>
      <w:r>
        <w:rPr>
          <w:spacing w:val="-58"/>
        </w:rPr>
      </w:r>
      <w:r>
        <w:rPr>
          <w:spacing w:val="-2"/>
        </w:rPr>
        <w:t>公司转移了金融资产所有权上几乎所有的风险和报酬的，终止确认该金融资产，并将转移中产生或保留的权利和义务</w:t>
      </w:r>
    </w:p>
    <w:p>
      <w:pPr>
        <w:pStyle w:val="BodyText"/>
        <w:spacing w:line="307" w:lineRule="auto" w:before="31"/>
        <w:ind w:right="1122"/>
        <w:jc w:val="both"/>
      </w:pPr>
      <w:r>
        <w:rPr>
          <w:spacing w:val="-4"/>
        </w:rPr>
        <w:t>单独确认为资产或负债；保留了金融资产所有权上几乎所有的风险和报酬的，继续确认所转移的金融资产。公司既没有转移</w:t>
      </w:r>
      <w:r>
        <w:rPr>
          <w:spacing w:val="43"/>
        </w:rPr>
        <w:t> </w:t>
      </w:r>
      <w:r>
        <w:rPr>
          <w:spacing w:val="43"/>
        </w:rPr>
      </w:r>
      <w:r>
        <w:rPr>
          <w:spacing w:val="-3"/>
        </w:rPr>
        <w:t>也没有保留金融资产所有权上几乎所有的风险和报酬的，分别下列情况处理：</w:t>
      </w:r>
      <w:r>
        <w:rPr>
          <w:rFonts w:ascii="Times New Roman" w:hAnsi="Times New Roman" w:cs="Times New Roman" w:eastAsia="Times New Roman" w:hint="default"/>
          <w:spacing w:val="-3"/>
        </w:rPr>
        <w:t>(1) </w:t>
      </w:r>
      <w:r>
        <w:rPr>
          <w:spacing w:val="-3"/>
        </w:rPr>
        <w:t>未保留对该金融资产控制的，终止确认该</w:t>
      </w:r>
      <w:r>
        <w:rPr>
          <w:spacing w:val="-68"/>
        </w:rPr>
        <w:t> </w:t>
      </w:r>
      <w:r>
        <w:rPr>
          <w:spacing w:val="-68"/>
        </w:rPr>
      </w:r>
      <w:r>
        <w:rPr>
          <w:spacing w:val="-3"/>
        </w:rPr>
        <w:t>金融资产，并将转移中产生或保留的权利和义务单独确认为资产或负债；</w:t>
      </w:r>
      <w:r>
        <w:rPr>
          <w:rFonts w:ascii="Times New Roman" w:hAnsi="Times New Roman" w:cs="Times New Roman" w:eastAsia="Times New Roman" w:hint="default"/>
          <w:spacing w:val="-3"/>
        </w:rPr>
        <w:t>(2) </w:t>
      </w:r>
      <w:r>
        <w:rPr>
          <w:spacing w:val="-3"/>
        </w:rPr>
        <w:t>保留了对该金融资产控制的，按照继续涉入所</w:t>
      </w:r>
      <w:r>
        <w:rPr>
          <w:spacing w:val="-67"/>
        </w:rPr>
        <w:t> </w:t>
      </w:r>
      <w:r>
        <w:rPr>
          <w:spacing w:val="-67"/>
        </w:rPr>
      </w:r>
      <w:r>
        <w:rPr>
          <w:spacing w:val="-3"/>
        </w:rPr>
        <w:t>转移金融资产的程度确认有关金融资产，并相应确认有关负债。</w:t>
      </w:r>
    </w:p>
    <w:p>
      <w:pPr>
        <w:pStyle w:val="BodyText"/>
        <w:spacing w:line="300" w:lineRule="auto" w:before="26"/>
        <w:ind w:right="1120" w:firstLine="422"/>
        <w:jc w:val="left"/>
      </w:pPr>
      <w:r>
        <w:rPr>
          <w:spacing w:val="-4"/>
        </w:rPr>
        <w:t>金融资产整体转移满足终止确认条件的，将下列两项金额的差额计入当期损益：</w:t>
      </w:r>
      <w:r>
        <w:rPr>
          <w:rFonts w:ascii="Times New Roman" w:hAnsi="Times New Roman" w:cs="Times New Roman" w:eastAsia="Times New Roman" w:hint="default"/>
          <w:spacing w:val="-4"/>
        </w:rPr>
        <w:t>(1)</w:t>
      </w:r>
      <w:r>
        <w:rPr>
          <w:rFonts w:ascii="Times New Roman" w:hAnsi="Times New Roman" w:cs="Times New Roman" w:eastAsia="Times New Roman" w:hint="default"/>
          <w:spacing w:val="7"/>
        </w:rPr>
        <w:t> </w:t>
      </w:r>
      <w:r>
        <w:rPr>
          <w:spacing w:val="-3"/>
        </w:rPr>
        <w:t>所转移金融资产在终止确认日的账</w:t>
      </w:r>
      <w:r>
        <w:rPr>
          <w:w w:val="101"/>
        </w:rPr>
        <w:t> </w:t>
      </w:r>
      <w:r>
        <w:rPr/>
        <w:t>面价值；</w:t>
      </w:r>
      <w:r>
        <w:rPr>
          <w:rFonts w:ascii="Times New Roman" w:hAnsi="Times New Roman" w:cs="Times New Roman" w:eastAsia="Times New Roman" w:hint="default"/>
        </w:rPr>
        <w:t>(2)   </w:t>
      </w:r>
      <w:r>
        <w:rPr>
          <w:rFonts w:ascii="Times New Roman" w:hAnsi="Times New Roman" w:cs="Times New Roman" w:eastAsia="Times New Roman" w:hint="default"/>
          <w:spacing w:val="25"/>
        </w:rPr>
        <w:t> </w:t>
      </w:r>
      <w:r>
        <w:rPr>
          <w:spacing w:val="-3"/>
        </w:rPr>
        <w:t>因转移金融资产而收到的对价，与原直接计入其他综合收益的公允价值变动累计额中对应终止确认部分的金额</w:t>
      </w:r>
    </w:p>
    <w:p>
      <w:pPr>
        <w:pStyle w:val="BodyText"/>
        <w:spacing w:line="314" w:lineRule="auto" w:before="13"/>
        <w:ind w:right="1123"/>
        <w:jc w:val="both"/>
      </w:pPr>
      <w:r>
        <w:rPr>
          <w:spacing w:val="-4"/>
        </w:rPr>
        <w:t>（涉及转移的金融资产为以公允价值计量且其变动计入其他综合收益的债务工具投资）之和。转移了金融资产的一部分，且</w:t>
      </w:r>
      <w:r>
        <w:rPr>
          <w:spacing w:val="38"/>
        </w:rPr>
        <w:t> </w:t>
      </w:r>
      <w:r>
        <w:rPr>
          <w:spacing w:val="38"/>
        </w:rPr>
      </w:r>
      <w:r>
        <w:rPr>
          <w:spacing w:val="-4"/>
        </w:rPr>
        <w:t>该被转移部分整体满足终止确认条件的，将转移前金融资产整体的账面价值，在终止确认部分和继续确认部分之间，按照转</w:t>
      </w:r>
      <w:r>
        <w:rPr>
          <w:spacing w:val="43"/>
        </w:rPr>
        <w:t> </w:t>
      </w:r>
      <w:r>
        <w:rPr>
          <w:spacing w:val="43"/>
        </w:rPr>
      </w:r>
      <w:r>
        <w:rPr/>
        <w:t>移日各自的相对公允价值进行分摊，并将下列两项金额的差额计入当期损益：</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终止确认部分的账面价值；</w:t>
      </w:r>
      <w:r>
        <w:rPr>
          <w:rFonts w:ascii="Times New Roman" w:hAnsi="Times New Roman" w:cs="Times New Roman" w:eastAsia="Times New Roman" w:hint="default"/>
        </w:rPr>
        <w:t>(2)</w:t>
      </w:r>
      <w:r>
        <w:rPr>
          <w:rFonts w:ascii="Times New Roman" w:hAnsi="Times New Roman" w:cs="Times New Roman" w:eastAsia="Times New Roman" w:hint="default"/>
          <w:spacing w:val="13"/>
        </w:rPr>
        <w:t> </w:t>
      </w:r>
      <w:r>
        <w:rPr/>
        <w:t>终止确认</w:t>
      </w:r>
      <w:r>
        <w:rPr>
          <w:spacing w:val="-83"/>
        </w:rPr>
        <w:t> </w:t>
      </w:r>
      <w:r>
        <w:rPr>
          <w:spacing w:val="-83"/>
        </w:rPr>
      </w:r>
      <w:r>
        <w:rPr>
          <w:spacing w:val="-4"/>
        </w:rPr>
        <w:t>部分的对价，与原直接计入其他综合收益的公允价值变动累计额中对应终止确认部分的金额（涉及转移的金融资产为以公允</w:t>
      </w:r>
      <w:r>
        <w:rPr>
          <w:spacing w:val="42"/>
        </w:rPr>
        <w:t> </w:t>
      </w:r>
      <w:r>
        <w:rPr>
          <w:spacing w:val="42"/>
        </w:rPr>
      </w:r>
      <w:r>
        <w:rPr>
          <w:spacing w:val="-3"/>
        </w:rPr>
        <w:t>价值计量且其变动计入其他综合收益的债务工具投资）之和。</w:t>
      </w:r>
    </w:p>
    <w:p>
      <w:pPr>
        <w:pStyle w:val="BodyText"/>
        <w:spacing w:line="300" w:lineRule="auto" w:before="20"/>
        <w:ind w:left="575" w:right="0"/>
        <w:jc w:val="left"/>
      </w:pPr>
      <w:r>
        <w:rPr>
          <w:rFonts w:ascii="Times New Roman" w:hAnsi="Times New Roman" w:cs="Times New Roman" w:eastAsia="Times New Roman" w:hint="default"/>
        </w:rPr>
        <w:t>4. </w:t>
      </w:r>
      <w:r>
        <w:rPr>
          <w:spacing w:val="-3"/>
        </w:rPr>
        <w:t>金融资产和金融负债的公允价值确定方法</w:t>
      </w:r>
      <w:r>
        <w:rPr>
          <w:spacing w:val="-52"/>
        </w:rPr>
        <w:t> </w:t>
      </w:r>
      <w:r>
        <w:rPr>
          <w:spacing w:val="-52"/>
        </w:rPr>
      </w:r>
      <w:r>
        <w:rPr>
          <w:spacing w:val="-2"/>
        </w:rPr>
        <w:t>公司采用在当前情况下适用并且有足够可利用数据和其他信息支持的估值技术确定相关金融资产和金融负债的公允价</w:t>
      </w:r>
    </w:p>
    <w:p>
      <w:pPr>
        <w:spacing w:after="0" w:line="30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240" w:lineRule="auto" w:before="46"/>
        <w:ind w:right="0"/>
        <w:jc w:val="both"/>
      </w:pPr>
      <w:r>
        <w:rPr>
          <w:spacing w:val="-3"/>
        </w:rPr>
        <w:t>值。公司将估值技术使用的输入值分以下层级，并依次使用：</w:t>
      </w:r>
    </w:p>
    <w:p>
      <w:pPr>
        <w:pStyle w:val="BodyText"/>
        <w:spacing w:line="240" w:lineRule="auto" w:before="76"/>
        <w:ind w:left="575" w:right="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2"/>
        </w:rPr>
        <w:t> </w:t>
      </w:r>
      <w:r>
        <w:rPr>
          <w:spacing w:val="-3"/>
        </w:rPr>
        <w:t>第一层次输入值是在计量日能够取得的相同资产或负债在活跃市场上未经调整的报价；</w:t>
      </w:r>
    </w:p>
    <w:p>
      <w:pPr>
        <w:pStyle w:val="BodyText"/>
        <w:spacing w:line="309" w:lineRule="auto" w:before="63"/>
        <w:ind w:right="1122" w:firstLine="422"/>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43"/>
        </w:rPr>
        <w:t> </w:t>
      </w:r>
      <w:r>
        <w:rPr>
          <w:spacing w:val="-4"/>
        </w:rPr>
        <w:t>第二层次输入值是除第一层次输入值外相关资产或负债直接或间接可观察的输入值，包括：活跃市场中类似资产或</w:t>
      </w:r>
      <w:r>
        <w:rPr>
          <w:w w:val="101"/>
        </w:rPr>
        <w:t> </w:t>
      </w:r>
      <w:r>
        <w:rPr>
          <w:spacing w:val="-4"/>
        </w:rPr>
        <w:t>负债的报价；非活跃市场中相同或类似资产或负债的报价；除报价以外的其他可观察输入值，如在正常报价间隔期间可观察</w:t>
      </w:r>
      <w:r>
        <w:rPr>
          <w:spacing w:val="43"/>
        </w:rPr>
        <w:t> </w:t>
      </w:r>
      <w:r>
        <w:rPr>
          <w:spacing w:val="43"/>
        </w:rPr>
      </w:r>
      <w:r>
        <w:rPr>
          <w:spacing w:val="-3"/>
        </w:rPr>
        <w:t>的利率和收益率曲线等；市场验证的输入值等；</w:t>
      </w:r>
    </w:p>
    <w:p>
      <w:pPr>
        <w:pStyle w:val="BodyText"/>
        <w:spacing w:line="300" w:lineRule="auto" w:before="24"/>
        <w:ind w:right="1124" w:firstLine="422"/>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43"/>
        </w:rPr>
        <w:t> </w:t>
      </w:r>
      <w:r>
        <w:rPr>
          <w:spacing w:val="-4"/>
        </w:rPr>
        <w:t>第三层次输入值是相关资产或负债的不可观察输入值，包括不能直接观察或无法由可观察市场数据验证的利率、股</w:t>
      </w:r>
      <w:r>
        <w:rPr>
          <w:w w:val="101"/>
        </w:rPr>
        <w:t> </w:t>
      </w:r>
      <w:r>
        <w:rPr>
          <w:spacing w:val="-3"/>
        </w:rPr>
        <w:t>票波动率、企业合并中承担的弃置义务的未来现金流量、使用自身数据作出的财务预测等。</w:t>
      </w:r>
    </w:p>
    <w:p>
      <w:pPr>
        <w:pStyle w:val="BodyText"/>
        <w:spacing w:line="240" w:lineRule="auto" w:before="31"/>
        <w:ind w:left="575" w:right="0"/>
        <w:jc w:val="left"/>
      </w:pPr>
      <w:r>
        <w:rPr>
          <w:rFonts w:ascii="Times New Roman" w:hAnsi="Times New Roman" w:cs="Times New Roman" w:eastAsia="Times New Roman" w:hint="default"/>
        </w:rPr>
        <w:t>5. </w:t>
      </w:r>
      <w:r>
        <w:rPr>
          <w:rFonts w:ascii="Times New Roman" w:hAnsi="Times New Roman" w:cs="Times New Roman" w:eastAsia="Times New Roman" w:hint="default"/>
          <w:spacing w:val="3"/>
        </w:rPr>
        <w:t> </w:t>
      </w:r>
      <w:r>
        <w:rPr>
          <w:spacing w:val="-3"/>
        </w:rPr>
        <w:t>金融工具减值</w:t>
      </w:r>
    </w:p>
    <w:p>
      <w:pPr>
        <w:pStyle w:val="BodyText"/>
        <w:spacing w:line="300" w:lineRule="auto" w:before="63"/>
        <w:ind w:left="575" w:right="0"/>
        <w:jc w:val="left"/>
      </w:pPr>
      <w:r>
        <w:rPr>
          <w:rFonts w:ascii="Times New Roman" w:hAnsi="Times New Roman" w:cs="Times New Roman" w:eastAsia="Times New Roman" w:hint="default"/>
        </w:rPr>
        <w:t>(1) </w:t>
      </w:r>
      <w:r>
        <w:rPr>
          <w:spacing w:val="-3"/>
        </w:rPr>
        <w:t>金融工具减值计量和会计处理</w:t>
      </w:r>
      <w:r>
        <w:rPr>
          <w:spacing w:val="-67"/>
        </w:rPr>
        <w:t> </w:t>
      </w:r>
      <w:r>
        <w:rPr>
          <w:spacing w:val="-67"/>
        </w:rPr>
      </w:r>
      <w:r>
        <w:rPr>
          <w:spacing w:val="-2"/>
        </w:rPr>
        <w:t>公司以预期信用损失为基础，对以摊余成本计量的金融资产、以公允价值计量且其变动计入其他综合收益的债务工具</w:t>
      </w:r>
    </w:p>
    <w:p>
      <w:pPr>
        <w:pStyle w:val="BodyText"/>
        <w:spacing w:line="316" w:lineRule="auto" w:before="31"/>
        <w:ind w:right="1124"/>
        <w:jc w:val="both"/>
      </w:pPr>
      <w:r>
        <w:rPr>
          <w:spacing w:val="-4"/>
        </w:rPr>
        <w:t>投资、租赁应收款、分类为以公允价值计量且其变动计入当期损益的金融负债以外的贷款承诺、不属于以公允价值计量且其</w:t>
      </w:r>
      <w:r>
        <w:rPr>
          <w:spacing w:val="43"/>
        </w:rPr>
        <w:t> </w:t>
      </w:r>
      <w:r>
        <w:rPr>
          <w:spacing w:val="43"/>
        </w:rPr>
      </w:r>
      <w:r>
        <w:rPr>
          <w:spacing w:val="-1"/>
        </w:rPr>
        <w:t>变动计入当期损益的金融负债或不属于金融资产转移不符合终止确认条件或继续涉入被转移金融资产所形成的金融负债的</w:t>
      </w:r>
      <w:r>
        <w:rPr>
          <w:spacing w:val="65"/>
        </w:rPr>
        <w:t> </w:t>
      </w:r>
      <w:r>
        <w:rPr>
          <w:spacing w:val="65"/>
        </w:rPr>
      </w:r>
      <w:r>
        <w:rPr>
          <w:spacing w:val="-3"/>
        </w:rPr>
        <w:t>财务担保合同进行减值处理并确认损失准备。</w:t>
      </w:r>
    </w:p>
    <w:p>
      <w:pPr>
        <w:pStyle w:val="BodyText"/>
        <w:spacing w:line="319" w:lineRule="auto" w:before="19"/>
        <w:ind w:right="1123" w:firstLine="422"/>
        <w:jc w:val="both"/>
      </w:pPr>
      <w:r>
        <w:rPr>
          <w:spacing w:val="-2"/>
        </w:rPr>
        <w:t>预期信用损失，是指以发生违约的风险为权重的金融工具信用损失的加权平均值。信用损失，是指公司按照原实际利</w:t>
      </w:r>
      <w:r>
        <w:rPr>
          <w:w w:val="101"/>
        </w:rPr>
        <w:t> </w:t>
      </w:r>
      <w:r>
        <w:rPr>
          <w:spacing w:val="-4"/>
        </w:rPr>
        <w:t>率折现的、根据合同应收的所有合同现金流量与预期收取的所有现金流量之间的差额，即全部现金短缺的现值。其中，对于</w:t>
      </w:r>
      <w:r>
        <w:rPr>
          <w:spacing w:val="40"/>
        </w:rPr>
        <w:t> </w:t>
      </w:r>
      <w:r>
        <w:rPr>
          <w:spacing w:val="40"/>
        </w:rPr>
      </w:r>
      <w:r>
        <w:rPr>
          <w:spacing w:val="-3"/>
        </w:rPr>
        <w:t>公司购买或源生的已发生信用减值的金融资产，按照该金融资产经信用调整的实际利率折现。</w:t>
      </w:r>
    </w:p>
    <w:p>
      <w:pPr>
        <w:pStyle w:val="BodyText"/>
        <w:spacing w:line="316" w:lineRule="auto" w:before="17"/>
        <w:ind w:right="1124" w:firstLine="422"/>
        <w:jc w:val="both"/>
      </w:pPr>
      <w:r>
        <w:rPr>
          <w:spacing w:val="-2"/>
        </w:rPr>
        <w:t>对于购买或源生的已发生信用减值的金融资产，公司在资产负债表日仅将自初始确认后整个存续期内预期信用损失的</w:t>
      </w:r>
      <w:r>
        <w:rPr>
          <w:w w:val="101"/>
        </w:rPr>
        <w:t> </w:t>
      </w:r>
      <w:r>
        <w:rPr>
          <w:spacing w:val="-3"/>
        </w:rPr>
        <w:t>累计变动确认为损失准备。</w:t>
      </w:r>
    </w:p>
    <w:p>
      <w:pPr>
        <w:pStyle w:val="BodyText"/>
        <w:spacing w:line="319" w:lineRule="auto" w:before="19"/>
        <w:ind w:right="1124" w:firstLine="422"/>
        <w:jc w:val="both"/>
      </w:pPr>
      <w:r>
        <w:rPr>
          <w:spacing w:val="-2"/>
        </w:rPr>
        <w:t>对于不含重大融资成分或者公司不考虑不超过一年的合同中的融资成分的应收账款，公司运用简化计量方法，按照相</w:t>
      </w:r>
      <w:r>
        <w:rPr>
          <w:w w:val="101"/>
        </w:rPr>
        <w:t> </w:t>
      </w:r>
      <w:r>
        <w:rPr>
          <w:spacing w:val="-3"/>
        </w:rPr>
        <w:t>当于整个存续期内的预期信用损失金额计量损失准备。</w:t>
      </w:r>
    </w:p>
    <w:p>
      <w:pPr>
        <w:pStyle w:val="BodyText"/>
        <w:spacing w:line="316" w:lineRule="auto" w:before="17"/>
        <w:ind w:right="1124" w:firstLine="422"/>
        <w:jc w:val="both"/>
      </w:pPr>
      <w:r>
        <w:rPr>
          <w:spacing w:val="-2"/>
        </w:rPr>
        <w:t>对于包含重大融资成分的应收账款，公司运用简化计量方法，按照相当于整个存续期内的预期信用损失金额计量损失</w:t>
      </w:r>
      <w:r>
        <w:rPr>
          <w:w w:val="101"/>
        </w:rPr>
        <w:t> </w:t>
      </w:r>
      <w:r>
        <w:rPr/>
        <w:t>准备。</w:t>
      </w:r>
    </w:p>
    <w:p>
      <w:pPr>
        <w:pStyle w:val="BodyText"/>
        <w:spacing w:line="316" w:lineRule="auto" w:before="19"/>
        <w:ind w:right="1123" w:firstLine="422"/>
        <w:jc w:val="both"/>
      </w:pPr>
      <w:r>
        <w:rPr>
          <w:spacing w:val="-2"/>
        </w:rPr>
        <w:t>除上述计量方法以外的金融资产，公司在每个资产负债表日评估其信用风险自初始确认后是否已经显著增加。如果信</w:t>
      </w:r>
      <w:r>
        <w:rPr>
          <w:w w:val="101"/>
        </w:rPr>
        <w:t> </w:t>
      </w:r>
      <w:r>
        <w:rPr>
          <w:spacing w:val="-4"/>
        </w:rPr>
        <w:t>用风险自初始确认后已显著增加，公司按照整个存续期内预期信用损失的金额计量损失准备；如果信用风险自初始确认后未</w:t>
      </w:r>
      <w:r>
        <w:rPr>
          <w:spacing w:val="43"/>
        </w:rPr>
        <w:t> </w:t>
      </w:r>
      <w:r>
        <w:rPr>
          <w:spacing w:val="43"/>
        </w:rPr>
      </w:r>
      <w:r>
        <w:rPr>
          <w:spacing w:val="-3"/>
        </w:rPr>
        <w:t>显著增加，公司按照该金融工具未来</w:t>
      </w:r>
      <w:r>
        <w:rPr>
          <w:rFonts w:ascii="Times New Roman" w:hAnsi="Times New Roman" w:cs="Times New Roman" w:eastAsia="Times New Roman" w:hint="default"/>
          <w:spacing w:val="-3"/>
        </w:rPr>
        <w:t>12</w:t>
      </w:r>
      <w:r>
        <w:rPr>
          <w:spacing w:val="-3"/>
        </w:rPr>
        <w:t>个月内预期信用损失的金额计量损失准备。</w:t>
      </w:r>
    </w:p>
    <w:p>
      <w:pPr>
        <w:pStyle w:val="BodyText"/>
        <w:spacing w:line="316" w:lineRule="auto"/>
        <w:ind w:right="1124" w:firstLine="422"/>
        <w:jc w:val="both"/>
      </w:pPr>
      <w:r>
        <w:rPr>
          <w:spacing w:val="-2"/>
        </w:rPr>
        <w:t>公司利用可获得的合理且有依据的信息，包括前瞻性信息，通过比较金融工具在资产负债表日发生违约的风险与在初</w:t>
      </w:r>
      <w:r>
        <w:rPr>
          <w:w w:val="101"/>
        </w:rPr>
        <w:t> </w:t>
      </w:r>
      <w:r>
        <w:rPr>
          <w:spacing w:val="-3"/>
        </w:rPr>
        <w:t>始确认日发生违约的风险，以确定金融工具的信用风险自初始确认后是否已显著增加。</w:t>
      </w:r>
    </w:p>
    <w:p>
      <w:pPr>
        <w:pStyle w:val="BodyText"/>
        <w:spacing w:line="316" w:lineRule="auto" w:before="19"/>
        <w:ind w:right="1124" w:firstLine="422"/>
        <w:jc w:val="both"/>
      </w:pPr>
      <w:r>
        <w:rPr>
          <w:spacing w:val="-2"/>
        </w:rPr>
        <w:t>于资产负债表日，若公司判断金融工具只具有较低的信用风险，则假定该金融工具的信用风险自初始确认后并未显著</w:t>
      </w:r>
      <w:r>
        <w:rPr>
          <w:w w:val="101"/>
        </w:rPr>
        <w:t> </w:t>
      </w:r>
      <w:r>
        <w:rPr/>
        <w:t>增加。</w:t>
      </w:r>
    </w:p>
    <w:p>
      <w:pPr>
        <w:pStyle w:val="BodyText"/>
        <w:spacing w:line="319" w:lineRule="auto" w:before="19"/>
        <w:ind w:right="1124" w:firstLine="422"/>
        <w:jc w:val="both"/>
      </w:pPr>
      <w:r>
        <w:rPr>
          <w:spacing w:val="-2"/>
        </w:rPr>
        <w:t>公司以单项金融工具或金融工具组合为基础评估预期信用风险和计量预期信用损失。当以金融工具组合为基础时，公</w:t>
      </w:r>
      <w:r>
        <w:rPr>
          <w:w w:val="101"/>
        </w:rPr>
        <w:t> </w:t>
      </w:r>
      <w:r>
        <w:rPr>
          <w:spacing w:val="-3"/>
        </w:rPr>
        <w:t>司以共同风险特征为依据，将金融工具划分为不同组合。</w:t>
      </w:r>
    </w:p>
    <w:p>
      <w:pPr>
        <w:pStyle w:val="BodyText"/>
        <w:spacing w:line="316" w:lineRule="auto" w:before="17"/>
        <w:ind w:right="1124" w:firstLine="422"/>
        <w:jc w:val="both"/>
      </w:pPr>
      <w:r>
        <w:rPr>
          <w:spacing w:val="-2"/>
        </w:rPr>
        <w:t>公司在每个资产负债表日重新计量预期信用损失，由此形成的损失准备的增加或转回金额，作为减值损失或利得计入</w:t>
      </w:r>
      <w:r>
        <w:rPr>
          <w:w w:val="101"/>
        </w:rPr>
        <w:t> </w:t>
      </w:r>
      <w:r>
        <w:rPr>
          <w:spacing w:val="-4"/>
        </w:rPr>
        <w:t>当期损益。对于以摊余成本计量的金融资产，损失准备抵减该金融资产在资产负债表中列示的账面价值；对于以公允价值计</w:t>
      </w:r>
      <w:r>
        <w:rPr>
          <w:spacing w:val="43"/>
        </w:rPr>
        <w:t> </w:t>
      </w:r>
      <w:r>
        <w:rPr>
          <w:spacing w:val="43"/>
        </w:rPr>
      </w:r>
      <w:r>
        <w:rPr>
          <w:spacing w:val="-3"/>
        </w:rPr>
        <w:t>量且其变动计入其他综合收益的债权投资，公司在其他综合收益中确认其损失准备，不抵减该金融资产的账面价值。</w:t>
      </w:r>
    </w:p>
    <w:p>
      <w:pPr>
        <w:pStyle w:val="BodyText"/>
        <w:spacing w:line="240" w:lineRule="auto" w:before="19"/>
        <w:ind w:left="575"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12"/>
        </w:rPr>
        <w:t> </w:t>
      </w:r>
      <w:r>
        <w:rPr>
          <w:spacing w:val="-3"/>
        </w:rPr>
        <w:t>按组合评估预期信用风险和计量预期信用损失的金融工具</w:t>
      </w:r>
    </w:p>
    <w:p>
      <w:pPr>
        <w:spacing w:line="240" w:lineRule="auto" w:before="13"/>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2864"/>
        <w:gridCol w:w="2795"/>
        <w:gridCol w:w="2862"/>
      </w:tblGrid>
      <w:tr>
        <w:trPr>
          <w:trHeight w:val="346" w:hRule="exact"/>
        </w:trPr>
        <w:tc>
          <w:tcPr>
            <w:tcW w:w="28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580"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3"/>
                <w:sz w:val="18"/>
                <w:szCs w:val="18"/>
              </w:rPr>
              <w:t> </w:t>
            </w:r>
            <w:r>
              <w:rPr>
                <w:rFonts w:ascii="宋体" w:hAnsi="宋体" w:cs="宋体" w:eastAsia="宋体" w:hint="default"/>
                <w:sz w:val="18"/>
                <w:szCs w:val="18"/>
              </w:rPr>
              <w:t>目</w:t>
            </w:r>
          </w:p>
        </w:tc>
        <w:tc>
          <w:tcPr>
            <w:tcW w:w="2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27" w:right="0"/>
              <w:jc w:val="left"/>
              <w:rPr>
                <w:rFonts w:ascii="宋体" w:hAnsi="宋体" w:cs="宋体" w:eastAsia="宋体" w:hint="default"/>
                <w:sz w:val="18"/>
                <w:szCs w:val="18"/>
              </w:rPr>
            </w:pPr>
            <w:r>
              <w:rPr>
                <w:rFonts w:ascii="宋体" w:hAnsi="宋体" w:cs="宋体" w:eastAsia="宋体" w:hint="default"/>
                <w:spacing w:val="-3"/>
                <w:sz w:val="18"/>
                <w:szCs w:val="18"/>
              </w:rPr>
              <w:t>确定组合的依据</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27" w:right="0"/>
              <w:jc w:val="left"/>
              <w:rPr>
                <w:rFonts w:ascii="宋体" w:hAnsi="宋体" w:cs="宋体" w:eastAsia="宋体" w:hint="default"/>
                <w:sz w:val="18"/>
                <w:szCs w:val="18"/>
              </w:rPr>
            </w:pPr>
            <w:r>
              <w:rPr>
                <w:rFonts w:ascii="宋体" w:hAnsi="宋体" w:cs="宋体" w:eastAsia="宋体" w:hint="default"/>
                <w:spacing w:val="-3"/>
                <w:sz w:val="18"/>
                <w:szCs w:val="18"/>
              </w:rPr>
              <w:t>计量预期信用损失的方法</w:t>
            </w:r>
          </w:p>
        </w:tc>
      </w:tr>
      <w:tr>
        <w:trPr>
          <w:trHeight w:val="662" w:hRule="exact"/>
        </w:trPr>
        <w:tc>
          <w:tcPr>
            <w:tcW w:w="2864" w:type="dxa"/>
            <w:tcBorders>
              <w:top w:val="single" w:sz="6" w:space="0" w:color="000000"/>
              <w:left w:val="nil" w:sz="6" w:space="0" w:color="auto"/>
              <w:bottom w:val="single" w:sz="6" w:space="0" w:color="000000"/>
              <w:right w:val="single" w:sz="6" w:space="0" w:color="000000"/>
            </w:tcBorders>
          </w:tcPr>
          <w:p>
            <w:pPr>
              <w:pStyle w:val="TableParagraph"/>
              <w:spacing w:line="300" w:lineRule="auto" w:before="20"/>
              <w:ind w:left="9" w:right="-4" w:firstLine="422"/>
              <w:jc w:val="left"/>
              <w:rPr>
                <w:rFonts w:ascii="宋体" w:hAnsi="宋体" w:cs="宋体" w:eastAsia="宋体" w:hint="default"/>
                <w:sz w:val="18"/>
                <w:szCs w:val="18"/>
              </w:rPr>
            </w:pPr>
            <w:r>
              <w:rPr>
                <w:rFonts w:ascii="宋体" w:hAnsi="宋体" w:cs="宋体" w:eastAsia="宋体" w:hint="default"/>
                <w:spacing w:val="3"/>
                <w:sz w:val="18"/>
                <w:szCs w:val="18"/>
              </w:rPr>
              <w:t>其他应收款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应收增值税退</w:t>
            </w:r>
            <w:r>
              <w:rPr>
                <w:rFonts w:ascii="宋体" w:hAnsi="宋体" w:cs="宋体" w:eastAsia="宋体" w:hint="default"/>
                <w:w w:val="101"/>
                <w:sz w:val="18"/>
                <w:szCs w:val="18"/>
              </w:rPr>
              <w:t> </w:t>
            </w:r>
            <w:r>
              <w:rPr>
                <w:rFonts w:ascii="宋体" w:hAnsi="宋体" w:cs="宋体" w:eastAsia="宋体" w:hint="default"/>
                <w:sz w:val="18"/>
                <w:szCs w:val="18"/>
              </w:rPr>
              <w:t>税款组合</w:t>
            </w:r>
          </w:p>
        </w:tc>
        <w:tc>
          <w:tcPr>
            <w:tcW w:w="2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27" w:right="0"/>
              <w:jc w:val="left"/>
              <w:rPr>
                <w:rFonts w:ascii="宋体" w:hAnsi="宋体" w:cs="宋体" w:eastAsia="宋体" w:hint="default"/>
                <w:sz w:val="18"/>
                <w:szCs w:val="18"/>
              </w:rPr>
            </w:pPr>
            <w:r>
              <w:rPr>
                <w:rFonts w:ascii="宋体" w:hAnsi="宋体" w:cs="宋体" w:eastAsia="宋体" w:hint="default"/>
                <w:sz w:val="18"/>
                <w:szCs w:val="18"/>
              </w:rPr>
              <w:t>款项性质</w:t>
            </w:r>
          </w:p>
        </w:tc>
        <w:tc>
          <w:tcPr>
            <w:tcW w:w="2862" w:type="dxa"/>
            <w:vMerge w:val="restart"/>
            <w:tcBorders>
              <w:top w:val="single" w:sz="6" w:space="0" w:color="000000"/>
              <w:left w:val="single" w:sz="6" w:space="0" w:color="000000"/>
              <w:right w:val="single" w:sz="6" w:space="0" w:color="000000"/>
            </w:tcBorders>
          </w:tcPr>
          <w:p>
            <w:pPr>
              <w:pStyle w:val="TableParagraph"/>
              <w:spacing w:line="314" w:lineRule="auto" w:before="20"/>
              <w:ind w:left="4" w:right="-14" w:firstLine="422"/>
              <w:jc w:val="both"/>
              <w:rPr>
                <w:rFonts w:ascii="宋体" w:hAnsi="宋体" w:cs="宋体" w:eastAsia="宋体" w:hint="default"/>
                <w:sz w:val="18"/>
                <w:szCs w:val="18"/>
              </w:rPr>
            </w:pPr>
            <w:r>
              <w:rPr>
                <w:rFonts w:ascii="宋体" w:hAnsi="宋体" w:cs="宋体" w:eastAsia="宋体" w:hint="default"/>
                <w:spacing w:val="3"/>
                <w:sz w:val="18"/>
                <w:szCs w:val="18"/>
              </w:rPr>
              <w:t>参考历史信用损失经验，结合</w:t>
            </w:r>
            <w:r>
              <w:rPr>
                <w:rFonts w:ascii="宋体" w:hAnsi="宋体" w:cs="宋体" w:eastAsia="宋体" w:hint="default"/>
                <w:spacing w:val="4"/>
                <w:w w:val="101"/>
                <w:sz w:val="18"/>
                <w:szCs w:val="18"/>
              </w:rPr>
              <w:t> </w:t>
            </w:r>
            <w:r>
              <w:rPr>
                <w:rFonts w:ascii="宋体" w:hAnsi="宋体" w:cs="宋体" w:eastAsia="宋体" w:hint="default"/>
                <w:spacing w:val="6"/>
                <w:sz w:val="18"/>
                <w:szCs w:val="18"/>
              </w:rPr>
              <w:t>当前状况以及对未来经济状况的预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5"/>
                <w:sz w:val="18"/>
                <w:szCs w:val="18"/>
              </w:rPr>
              <w:t>测，通过违约风险敞口和未来</w:t>
            </w:r>
            <w:r>
              <w:rPr>
                <w:rFonts w:ascii="Times New Roman" w:hAnsi="Times New Roman" w:cs="Times New Roman" w:eastAsia="Times New Roman" w:hint="default"/>
                <w:spacing w:val="-5"/>
                <w:sz w:val="18"/>
                <w:szCs w:val="18"/>
              </w:rPr>
              <w:t>12</w:t>
            </w:r>
            <w:r>
              <w:rPr>
                <w:rFonts w:ascii="宋体" w:hAnsi="宋体" w:cs="宋体" w:eastAsia="宋体" w:hint="default"/>
                <w:spacing w:val="-5"/>
                <w:sz w:val="18"/>
                <w:szCs w:val="18"/>
              </w:rPr>
              <w:t>个月</w:t>
            </w:r>
            <w:r>
              <w:rPr>
                <w:rFonts w:ascii="宋体" w:hAnsi="宋体" w:cs="宋体" w:eastAsia="宋体" w:hint="default"/>
                <w:spacing w:val="-36"/>
                <w:sz w:val="18"/>
                <w:szCs w:val="18"/>
              </w:rPr>
              <w:t> </w:t>
            </w:r>
            <w:r>
              <w:rPr>
                <w:rFonts w:ascii="宋体" w:hAnsi="宋体" w:cs="宋体" w:eastAsia="宋体" w:hint="default"/>
                <w:spacing w:val="-5"/>
                <w:sz w:val="18"/>
                <w:szCs w:val="18"/>
              </w:rPr>
              <w:t>内或整个存续期预期信用损失率，计</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pacing w:val="-3"/>
                <w:sz w:val="18"/>
                <w:szCs w:val="18"/>
              </w:rPr>
              <w:t>算预期信用损失</w:t>
            </w:r>
          </w:p>
        </w:tc>
      </w:tr>
      <w:tr>
        <w:trPr>
          <w:trHeight w:val="346" w:hRule="exact"/>
        </w:trPr>
        <w:tc>
          <w:tcPr>
            <w:tcW w:w="28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431" w:right="0"/>
              <w:jc w:val="left"/>
              <w:rPr>
                <w:rFonts w:ascii="宋体" w:hAnsi="宋体" w:cs="宋体" w:eastAsia="宋体" w:hint="default"/>
                <w:sz w:val="18"/>
                <w:szCs w:val="18"/>
              </w:rPr>
            </w:pPr>
            <w:r>
              <w:rPr>
                <w:rFonts w:ascii="宋体" w:hAnsi="宋体" w:cs="宋体" w:eastAsia="宋体" w:hint="default"/>
                <w:spacing w:val="-3"/>
                <w:sz w:val="18"/>
                <w:szCs w:val="18"/>
              </w:rPr>
              <w:t>其他应收款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账龄组合</w:t>
            </w:r>
          </w:p>
        </w:tc>
        <w:tc>
          <w:tcPr>
            <w:tcW w:w="2795" w:type="dxa"/>
            <w:vMerge w:val="restart"/>
            <w:tcBorders>
              <w:top w:val="single" w:sz="6" w:space="0" w:color="000000"/>
              <w:left w:val="single" w:sz="6" w:space="0" w:color="000000"/>
              <w:right w:val="single" w:sz="6" w:space="0" w:color="000000"/>
            </w:tcBorders>
          </w:tcPr>
          <w:p>
            <w:pPr>
              <w:pStyle w:val="TableParagraph"/>
              <w:spacing w:line="240" w:lineRule="auto" w:before="20"/>
              <w:ind w:left="427"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862" w:type="dxa"/>
            <w:vMerge/>
            <w:tcBorders>
              <w:left w:val="single" w:sz="6" w:space="0" w:color="000000"/>
              <w:right w:val="single" w:sz="6" w:space="0" w:color="000000"/>
            </w:tcBorders>
          </w:tcPr>
          <w:p>
            <w:pPr/>
          </w:p>
        </w:tc>
      </w:tr>
      <w:tr>
        <w:trPr>
          <w:trHeight w:val="591" w:hRule="exact"/>
        </w:trPr>
        <w:tc>
          <w:tcPr>
            <w:tcW w:w="28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431" w:right="0"/>
              <w:jc w:val="left"/>
              <w:rPr>
                <w:rFonts w:ascii="宋体" w:hAnsi="宋体" w:cs="宋体" w:eastAsia="宋体" w:hint="default"/>
                <w:sz w:val="18"/>
                <w:szCs w:val="18"/>
              </w:rPr>
            </w:pPr>
            <w:r>
              <w:rPr>
                <w:rFonts w:ascii="宋体" w:hAnsi="宋体" w:cs="宋体" w:eastAsia="宋体" w:hint="default"/>
                <w:spacing w:val="-3"/>
                <w:sz w:val="18"/>
                <w:szCs w:val="18"/>
              </w:rPr>
              <w:t>长期应收款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账龄组合</w:t>
            </w:r>
          </w:p>
        </w:tc>
        <w:tc>
          <w:tcPr>
            <w:tcW w:w="2795" w:type="dxa"/>
            <w:vMerge/>
            <w:tcBorders>
              <w:left w:val="single" w:sz="6" w:space="0" w:color="000000"/>
              <w:bottom w:val="single" w:sz="6" w:space="0" w:color="000000"/>
              <w:right w:val="single" w:sz="6" w:space="0" w:color="000000"/>
            </w:tcBorders>
          </w:tcPr>
          <w:p>
            <w:pPr/>
          </w:p>
        </w:tc>
        <w:tc>
          <w:tcPr>
            <w:tcW w:w="2862" w:type="dxa"/>
            <w:vMerge/>
            <w:tcBorders>
              <w:left w:val="single" w:sz="6" w:space="0" w:color="000000"/>
              <w:bottom w:val="single" w:sz="6" w:space="0" w:color="000000"/>
              <w:right w:val="single" w:sz="6" w:space="0" w:color="000000"/>
            </w:tcBorders>
          </w:tcPr>
          <w:p>
            <w:pPr/>
          </w:p>
        </w:tc>
      </w:tr>
    </w:tbl>
    <w:p>
      <w:pPr>
        <w:pStyle w:val="BodyText"/>
        <w:spacing w:line="240" w:lineRule="auto" w:before="10"/>
        <w:ind w:left="575" w:right="0"/>
        <w:jc w:val="left"/>
      </w:pPr>
      <w:r>
        <w:rPr>
          <w:rFonts w:ascii="Times New Roman" w:hAnsi="Times New Roman" w:cs="Times New Roman" w:eastAsia="Times New Roman" w:hint="default"/>
        </w:rPr>
        <w:t>(3) </w:t>
      </w:r>
      <w:r>
        <w:rPr>
          <w:rFonts w:ascii="Times New Roman" w:hAnsi="Times New Roman" w:cs="Times New Roman" w:eastAsia="Times New Roman" w:hint="default"/>
          <w:spacing w:val="34"/>
        </w:rPr>
        <w:t> </w:t>
      </w:r>
      <w:r>
        <w:rPr>
          <w:spacing w:val="-3"/>
        </w:rPr>
        <w:t>按组合计量预期信用损失的应收款项</w:t>
      </w:r>
    </w:p>
    <w:p>
      <w:pPr>
        <w:pStyle w:val="BodyText"/>
        <w:spacing w:line="240" w:lineRule="auto" w:before="62"/>
        <w:ind w:left="575" w:right="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31"/>
        </w:rPr>
        <w:t> </w:t>
      </w:r>
      <w:r>
        <w:rPr>
          <w:spacing w:val="-3"/>
        </w:rPr>
        <w:t>具体组合及计量预期信用损失的方法</w:t>
      </w:r>
    </w:p>
    <w:p>
      <w:pPr>
        <w:spacing w:line="240" w:lineRule="auto" w:before="13"/>
        <w:rPr>
          <w:rFonts w:ascii="宋体" w:hAnsi="宋体" w:cs="宋体" w:eastAsia="宋体" w:hint="default"/>
          <w:sz w:val="3"/>
          <w:szCs w:val="3"/>
        </w:rPr>
      </w:pPr>
    </w:p>
    <w:tbl>
      <w:tblPr>
        <w:tblW w:w="0" w:type="auto"/>
        <w:jc w:val="left"/>
        <w:tblInd w:w="131" w:type="dxa"/>
        <w:tblLayout w:type="fixed"/>
        <w:tblCellMar>
          <w:top w:w="0" w:type="dxa"/>
          <w:left w:w="0" w:type="dxa"/>
          <w:bottom w:w="0" w:type="dxa"/>
          <w:right w:w="0" w:type="dxa"/>
        </w:tblCellMar>
        <w:tblLook w:val="01E0"/>
      </w:tblPr>
      <w:tblGrid>
        <w:gridCol w:w="2879"/>
        <w:gridCol w:w="2795"/>
        <w:gridCol w:w="2862"/>
      </w:tblGrid>
      <w:tr>
        <w:trPr>
          <w:trHeight w:val="346" w:hRule="exact"/>
        </w:trPr>
        <w:tc>
          <w:tcPr>
            <w:tcW w:w="287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595"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3"/>
                <w:sz w:val="18"/>
                <w:szCs w:val="18"/>
              </w:rPr>
              <w:t> </w:t>
            </w:r>
            <w:r>
              <w:rPr>
                <w:rFonts w:ascii="宋体" w:hAnsi="宋体" w:cs="宋体" w:eastAsia="宋体" w:hint="default"/>
                <w:sz w:val="18"/>
                <w:szCs w:val="18"/>
              </w:rPr>
              <w:t>目</w:t>
            </w:r>
          </w:p>
        </w:tc>
        <w:tc>
          <w:tcPr>
            <w:tcW w:w="2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27" w:right="0"/>
              <w:jc w:val="left"/>
              <w:rPr>
                <w:rFonts w:ascii="宋体" w:hAnsi="宋体" w:cs="宋体" w:eastAsia="宋体" w:hint="default"/>
                <w:sz w:val="18"/>
                <w:szCs w:val="18"/>
              </w:rPr>
            </w:pPr>
            <w:r>
              <w:rPr>
                <w:rFonts w:ascii="宋体" w:hAnsi="宋体" w:cs="宋体" w:eastAsia="宋体" w:hint="default"/>
                <w:spacing w:val="-3"/>
                <w:sz w:val="18"/>
                <w:szCs w:val="18"/>
              </w:rPr>
              <w:t>确定组合的依据</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27" w:right="0"/>
              <w:jc w:val="left"/>
              <w:rPr>
                <w:rFonts w:ascii="宋体" w:hAnsi="宋体" w:cs="宋体" w:eastAsia="宋体" w:hint="default"/>
                <w:sz w:val="18"/>
                <w:szCs w:val="18"/>
              </w:rPr>
            </w:pPr>
            <w:r>
              <w:rPr>
                <w:rFonts w:ascii="宋体" w:hAnsi="宋体" w:cs="宋体" w:eastAsia="宋体" w:hint="default"/>
                <w:spacing w:val="-3"/>
                <w:sz w:val="18"/>
                <w:szCs w:val="18"/>
              </w:rPr>
              <w:t>计量预期信用损失的方法</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864"/>
        <w:gridCol w:w="2795"/>
        <w:gridCol w:w="2862"/>
      </w:tblGrid>
      <w:tr>
        <w:trPr>
          <w:trHeight w:val="1282" w:hRule="exact"/>
        </w:trPr>
        <w:tc>
          <w:tcPr>
            <w:tcW w:w="28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431" w:right="0"/>
              <w:jc w:val="left"/>
              <w:rPr>
                <w:rFonts w:ascii="宋体" w:hAnsi="宋体" w:cs="宋体" w:eastAsia="宋体" w:hint="default"/>
                <w:sz w:val="18"/>
                <w:szCs w:val="18"/>
              </w:rPr>
            </w:pPr>
            <w:r>
              <w:rPr>
                <w:rFonts w:ascii="宋体" w:hAnsi="宋体" w:cs="宋体" w:eastAsia="宋体" w:hint="default"/>
                <w:spacing w:val="-3"/>
                <w:sz w:val="18"/>
                <w:szCs w:val="18"/>
              </w:rPr>
              <w:t>应收票据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银行承兑汇票</w:t>
            </w:r>
          </w:p>
        </w:tc>
        <w:tc>
          <w:tcPr>
            <w:tcW w:w="2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27" w:right="0"/>
              <w:jc w:val="left"/>
              <w:rPr>
                <w:rFonts w:ascii="宋体" w:hAnsi="宋体" w:cs="宋体" w:eastAsia="宋体" w:hint="default"/>
                <w:sz w:val="18"/>
                <w:szCs w:val="18"/>
              </w:rPr>
            </w:pPr>
            <w:r>
              <w:rPr>
                <w:rFonts w:ascii="宋体" w:hAnsi="宋体" w:cs="宋体" w:eastAsia="宋体" w:hint="default"/>
                <w:sz w:val="18"/>
                <w:szCs w:val="18"/>
              </w:rPr>
              <w:t>票据类型</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14" w:firstLine="422"/>
              <w:jc w:val="both"/>
              <w:rPr>
                <w:rFonts w:ascii="宋体" w:hAnsi="宋体" w:cs="宋体" w:eastAsia="宋体" w:hint="default"/>
                <w:sz w:val="18"/>
                <w:szCs w:val="18"/>
              </w:rPr>
            </w:pPr>
            <w:r>
              <w:rPr>
                <w:rFonts w:ascii="宋体" w:hAnsi="宋体" w:cs="宋体" w:eastAsia="宋体" w:hint="default"/>
                <w:spacing w:val="3"/>
                <w:sz w:val="18"/>
                <w:szCs w:val="18"/>
              </w:rPr>
              <w:t>参考历史信用损失经验，结合</w:t>
            </w:r>
            <w:r>
              <w:rPr>
                <w:rFonts w:ascii="宋体" w:hAnsi="宋体" w:cs="宋体" w:eastAsia="宋体" w:hint="default"/>
                <w:spacing w:val="4"/>
                <w:w w:val="101"/>
                <w:sz w:val="18"/>
                <w:szCs w:val="18"/>
              </w:rPr>
              <w:t> </w:t>
            </w:r>
            <w:r>
              <w:rPr>
                <w:rFonts w:ascii="宋体" w:hAnsi="宋体" w:cs="宋体" w:eastAsia="宋体" w:hint="default"/>
                <w:spacing w:val="6"/>
                <w:sz w:val="18"/>
                <w:szCs w:val="18"/>
              </w:rPr>
              <w:t>当前状况以及对未来经济状况的预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5"/>
                <w:sz w:val="18"/>
                <w:szCs w:val="18"/>
              </w:rPr>
              <w:t>测，通过违约风险敞口和整个存续期</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pacing w:val="-5"/>
                <w:sz w:val="18"/>
                <w:szCs w:val="18"/>
              </w:rPr>
              <w:t>预期信用损失率，计算预期信用损失</w:t>
            </w:r>
          </w:p>
        </w:tc>
      </w:tr>
      <w:tr>
        <w:trPr>
          <w:trHeight w:val="350" w:hRule="exact"/>
        </w:trPr>
        <w:tc>
          <w:tcPr>
            <w:tcW w:w="28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431"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账龄组合</w:t>
            </w:r>
          </w:p>
        </w:tc>
        <w:tc>
          <w:tcPr>
            <w:tcW w:w="2795" w:type="dxa"/>
            <w:vMerge w:val="restart"/>
            <w:tcBorders>
              <w:top w:val="single" w:sz="6" w:space="0" w:color="000000"/>
              <w:left w:val="single" w:sz="6" w:space="0" w:color="000000"/>
              <w:right w:val="single" w:sz="6" w:space="0" w:color="000000"/>
            </w:tcBorders>
          </w:tcPr>
          <w:p>
            <w:pPr>
              <w:pStyle w:val="TableParagraph"/>
              <w:spacing w:line="240" w:lineRule="auto" w:before="20"/>
              <w:ind w:left="427"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862" w:type="dxa"/>
            <w:vMerge w:val="restart"/>
            <w:tcBorders>
              <w:top w:val="single" w:sz="6" w:space="0" w:color="000000"/>
              <w:left w:val="single" w:sz="6" w:space="0" w:color="000000"/>
              <w:right w:val="single" w:sz="6" w:space="0" w:color="000000"/>
            </w:tcBorders>
          </w:tcPr>
          <w:p>
            <w:pPr>
              <w:pStyle w:val="TableParagraph"/>
              <w:spacing w:line="319" w:lineRule="auto" w:before="20"/>
              <w:ind w:left="4" w:right="-14" w:firstLine="422"/>
              <w:jc w:val="both"/>
              <w:rPr>
                <w:rFonts w:ascii="宋体" w:hAnsi="宋体" w:cs="宋体" w:eastAsia="宋体" w:hint="default"/>
                <w:sz w:val="18"/>
                <w:szCs w:val="18"/>
              </w:rPr>
            </w:pPr>
            <w:r>
              <w:rPr>
                <w:rFonts w:ascii="宋体" w:hAnsi="宋体" w:cs="宋体" w:eastAsia="宋体" w:hint="default"/>
                <w:spacing w:val="3"/>
                <w:sz w:val="18"/>
                <w:szCs w:val="18"/>
              </w:rPr>
              <w:t>参考历史信用损失经验，结合</w:t>
            </w:r>
            <w:r>
              <w:rPr>
                <w:rFonts w:ascii="宋体" w:hAnsi="宋体" w:cs="宋体" w:eastAsia="宋体" w:hint="default"/>
                <w:spacing w:val="4"/>
                <w:w w:val="101"/>
                <w:sz w:val="18"/>
                <w:szCs w:val="18"/>
              </w:rPr>
              <w:t> </w:t>
            </w:r>
            <w:r>
              <w:rPr>
                <w:rFonts w:ascii="宋体" w:hAnsi="宋体" w:cs="宋体" w:eastAsia="宋体" w:hint="default"/>
                <w:spacing w:val="6"/>
                <w:sz w:val="18"/>
                <w:szCs w:val="18"/>
              </w:rPr>
              <w:t>当前状况以及对未来经济状况的预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5"/>
                <w:sz w:val="18"/>
                <w:szCs w:val="18"/>
              </w:rPr>
              <w:t>测，编制应收账款账龄与整个存续期</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pacing w:val="-5"/>
                <w:sz w:val="18"/>
                <w:szCs w:val="18"/>
              </w:rPr>
              <w:t>预期信用损失率对照表，计算预期信</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z w:val="18"/>
                <w:szCs w:val="18"/>
              </w:rPr>
              <w:t>用损失</w:t>
            </w:r>
          </w:p>
        </w:tc>
      </w:tr>
      <w:tr>
        <w:trPr>
          <w:trHeight w:val="1248" w:hRule="exact"/>
        </w:trPr>
        <w:tc>
          <w:tcPr>
            <w:tcW w:w="28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431" w:right="0"/>
              <w:jc w:val="left"/>
              <w:rPr>
                <w:rFonts w:ascii="宋体" w:hAnsi="宋体" w:cs="宋体" w:eastAsia="宋体" w:hint="default"/>
                <w:sz w:val="18"/>
                <w:szCs w:val="18"/>
              </w:rPr>
            </w:pPr>
            <w:r>
              <w:rPr>
                <w:rFonts w:ascii="宋体" w:hAnsi="宋体" w:cs="宋体" w:eastAsia="宋体" w:hint="default"/>
                <w:spacing w:val="-3"/>
                <w:sz w:val="18"/>
                <w:szCs w:val="18"/>
              </w:rPr>
              <w:t>应收票据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商业承兑汇票</w:t>
            </w:r>
          </w:p>
        </w:tc>
        <w:tc>
          <w:tcPr>
            <w:tcW w:w="2795" w:type="dxa"/>
            <w:vMerge/>
            <w:tcBorders>
              <w:left w:val="single" w:sz="6" w:space="0" w:color="000000"/>
              <w:bottom w:val="single" w:sz="6" w:space="0" w:color="000000"/>
              <w:right w:val="single" w:sz="6" w:space="0" w:color="000000"/>
            </w:tcBorders>
          </w:tcPr>
          <w:p>
            <w:pPr/>
          </w:p>
        </w:tc>
        <w:tc>
          <w:tcPr>
            <w:tcW w:w="2862" w:type="dxa"/>
            <w:vMerge/>
            <w:tcBorders>
              <w:left w:val="single" w:sz="6" w:space="0" w:color="000000"/>
              <w:bottom w:val="single" w:sz="6" w:space="0" w:color="000000"/>
              <w:right w:val="single" w:sz="6" w:space="0" w:color="000000"/>
            </w:tcBorders>
          </w:tcPr>
          <w:p>
            <w:pPr/>
          </w:p>
        </w:tc>
      </w:tr>
    </w:tbl>
    <w:p>
      <w:pPr>
        <w:pStyle w:val="BodyText"/>
        <w:spacing w:line="240" w:lineRule="auto" w:before="10"/>
        <w:ind w:left="575"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16"/>
        </w:rPr>
        <w:t> </w:t>
      </w:r>
      <w:r>
        <w:rPr>
          <w:spacing w:val="-3"/>
        </w:rPr>
        <w:t>应收账款</w:t>
      </w:r>
      <w:r>
        <w:rPr>
          <w:rFonts w:ascii="Times New Roman" w:hAnsi="Times New Roman" w:cs="Times New Roman" w:eastAsia="Times New Roman" w:hint="default"/>
          <w:spacing w:val="-3"/>
        </w:rPr>
        <w:t>——</w:t>
      </w:r>
      <w:r>
        <w:rPr>
          <w:spacing w:val="-3"/>
        </w:rPr>
        <w:t>账龄组合、应收票据</w:t>
      </w:r>
      <w:r>
        <w:rPr>
          <w:rFonts w:ascii="Times New Roman" w:hAnsi="Times New Roman" w:cs="Times New Roman" w:eastAsia="Times New Roman" w:hint="default"/>
          <w:spacing w:val="-3"/>
        </w:rPr>
        <w:t>——</w:t>
      </w:r>
      <w:r>
        <w:rPr>
          <w:spacing w:val="-3"/>
        </w:rPr>
        <w:t>商业承兑汇票的账龄与整个存续期预期信用损失率对照表</w:t>
      </w:r>
    </w:p>
    <w:p>
      <w:pPr>
        <w:spacing w:line="240" w:lineRule="auto" w:before="13"/>
        <w:rPr>
          <w:rFonts w:ascii="宋体" w:hAnsi="宋体" w:cs="宋体" w:eastAsia="宋体" w:hint="default"/>
          <w:sz w:val="3"/>
          <w:szCs w:val="3"/>
        </w:rPr>
      </w:pPr>
    </w:p>
    <w:tbl>
      <w:tblPr>
        <w:tblW w:w="0" w:type="auto"/>
        <w:jc w:val="left"/>
        <w:tblInd w:w="143" w:type="dxa"/>
        <w:tblLayout w:type="fixed"/>
        <w:tblCellMar>
          <w:top w:w="0" w:type="dxa"/>
          <w:left w:w="0" w:type="dxa"/>
          <w:bottom w:w="0" w:type="dxa"/>
          <w:right w:w="0" w:type="dxa"/>
        </w:tblCellMar>
        <w:tblLook w:val="01E0"/>
      </w:tblPr>
      <w:tblGrid>
        <w:gridCol w:w="4518"/>
        <w:gridCol w:w="2002"/>
        <w:gridCol w:w="2005"/>
      </w:tblGrid>
      <w:tr>
        <w:trPr>
          <w:trHeight w:val="658" w:hRule="exact"/>
        </w:trPr>
        <w:tc>
          <w:tcPr>
            <w:tcW w:w="4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75" w:right="0"/>
              <w:jc w:val="left"/>
              <w:rPr>
                <w:rFonts w:ascii="宋体" w:hAnsi="宋体" w:cs="宋体" w:eastAsia="宋体" w:hint="default"/>
                <w:sz w:val="18"/>
                <w:szCs w:val="18"/>
              </w:rPr>
            </w:pPr>
            <w:r>
              <w:rPr>
                <w:rFonts w:ascii="宋体" w:hAnsi="宋体" w:cs="宋体" w:eastAsia="宋体" w:hint="default"/>
                <w:sz w:val="18"/>
                <w:szCs w:val="18"/>
              </w:rPr>
              <w:t>账</w:t>
            </w:r>
            <w:r>
              <w:rPr>
                <w:rFonts w:ascii="宋体" w:hAnsi="宋体" w:cs="宋体" w:eastAsia="宋体" w:hint="default"/>
                <w:spacing w:val="53"/>
                <w:sz w:val="18"/>
                <w:szCs w:val="18"/>
              </w:rPr>
              <w:t> </w:t>
            </w:r>
            <w:r>
              <w:rPr>
                <w:rFonts w:ascii="宋体" w:hAnsi="宋体" w:cs="宋体" w:eastAsia="宋体" w:hint="default"/>
                <w:sz w:val="18"/>
                <w:szCs w:val="18"/>
              </w:rPr>
              <w:t>龄</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27"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预期信用损失率</w:t>
            </w:r>
            <w:r>
              <w:rPr>
                <w:rFonts w:ascii="Times New Roman" w:hAnsi="Times New Roman" w:cs="Times New Roman" w:eastAsia="Times New Roman" w:hint="default"/>
                <w:spacing w:val="-2"/>
                <w:sz w:val="18"/>
                <w:szCs w:val="18"/>
              </w:rPr>
              <w:t>(%)</w:t>
            </w:r>
          </w:p>
        </w:tc>
        <w:tc>
          <w:tcPr>
            <w:tcW w:w="2005" w:type="dxa"/>
            <w:tcBorders>
              <w:top w:val="single" w:sz="6" w:space="0" w:color="000000"/>
              <w:left w:val="single" w:sz="6" w:space="0" w:color="000000"/>
              <w:bottom w:val="single" w:sz="6" w:space="0" w:color="000000"/>
              <w:right w:val="nil" w:sz="6" w:space="0" w:color="auto"/>
            </w:tcBorders>
          </w:tcPr>
          <w:p>
            <w:pPr>
              <w:pStyle w:val="TableParagraph"/>
              <w:spacing w:line="316" w:lineRule="auto" w:before="20"/>
              <w:ind w:left="427" w:right="33"/>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应收票据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预期信用损失率</w:t>
            </w:r>
            <w:r>
              <w:rPr>
                <w:rFonts w:ascii="Times New Roman" w:hAnsi="Times New Roman" w:cs="Times New Roman" w:eastAsia="Times New Roman" w:hint="default"/>
                <w:spacing w:val="-2"/>
                <w:sz w:val="18"/>
                <w:szCs w:val="18"/>
              </w:rPr>
              <w:t>(%)</w:t>
            </w:r>
          </w:p>
        </w:tc>
      </w:tr>
      <w:tr>
        <w:trPr>
          <w:trHeight w:val="346" w:hRule="exact"/>
        </w:trPr>
        <w:tc>
          <w:tcPr>
            <w:tcW w:w="4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年以内（含，下同）</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27" w:right="0"/>
              <w:jc w:val="left"/>
              <w:rPr>
                <w:rFonts w:ascii="Times New Roman" w:hAnsi="Times New Roman" w:cs="Times New Roman" w:eastAsia="Times New Roman" w:hint="default"/>
                <w:sz w:val="18"/>
                <w:szCs w:val="18"/>
              </w:rPr>
            </w:pPr>
            <w:r>
              <w:rPr>
                <w:rFonts w:ascii="Times New Roman"/>
                <w:sz w:val="18"/>
              </w:rPr>
              <w:t>3.00</w:t>
            </w:r>
          </w:p>
        </w:tc>
        <w:tc>
          <w:tcPr>
            <w:tcW w:w="20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left="427" w:right="0"/>
              <w:jc w:val="left"/>
              <w:rPr>
                <w:rFonts w:ascii="Times New Roman" w:hAnsi="Times New Roman" w:cs="Times New Roman" w:eastAsia="Times New Roman" w:hint="default"/>
                <w:sz w:val="18"/>
                <w:szCs w:val="18"/>
              </w:rPr>
            </w:pPr>
            <w:r>
              <w:rPr>
                <w:rFonts w:ascii="Times New Roman"/>
                <w:sz w:val="18"/>
              </w:rPr>
              <w:t>3.00</w:t>
            </w:r>
          </w:p>
        </w:tc>
      </w:tr>
      <w:tr>
        <w:trPr>
          <w:trHeight w:val="351" w:hRule="exact"/>
        </w:trPr>
        <w:tc>
          <w:tcPr>
            <w:tcW w:w="4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27" w:right="0"/>
              <w:jc w:val="left"/>
              <w:rPr>
                <w:rFonts w:ascii="Times New Roman" w:hAnsi="Times New Roman" w:cs="Times New Roman" w:eastAsia="Times New Roman" w:hint="default"/>
                <w:sz w:val="18"/>
                <w:szCs w:val="18"/>
              </w:rPr>
            </w:pPr>
            <w:r>
              <w:rPr>
                <w:rFonts w:ascii="Times New Roman"/>
                <w:sz w:val="18"/>
              </w:rPr>
              <w:t>10.00</w:t>
            </w:r>
          </w:p>
        </w:tc>
        <w:tc>
          <w:tcPr>
            <w:tcW w:w="20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3"/>
              <w:ind w:left="427" w:right="0"/>
              <w:jc w:val="left"/>
              <w:rPr>
                <w:rFonts w:ascii="Times New Roman" w:hAnsi="Times New Roman" w:cs="Times New Roman" w:eastAsia="Times New Roman" w:hint="default"/>
                <w:sz w:val="18"/>
                <w:szCs w:val="18"/>
              </w:rPr>
            </w:pPr>
            <w:r>
              <w:rPr>
                <w:rFonts w:ascii="Times New Roman"/>
                <w:sz w:val="18"/>
              </w:rPr>
              <w:t>10.00</w:t>
            </w:r>
          </w:p>
        </w:tc>
      </w:tr>
      <w:tr>
        <w:trPr>
          <w:trHeight w:val="346" w:hRule="exact"/>
        </w:trPr>
        <w:tc>
          <w:tcPr>
            <w:tcW w:w="4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27" w:right="0"/>
              <w:jc w:val="left"/>
              <w:rPr>
                <w:rFonts w:ascii="Times New Roman" w:hAnsi="Times New Roman" w:cs="Times New Roman" w:eastAsia="Times New Roman" w:hint="default"/>
                <w:sz w:val="18"/>
                <w:szCs w:val="18"/>
              </w:rPr>
            </w:pPr>
            <w:r>
              <w:rPr>
                <w:rFonts w:ascii="Times New Roman"/>
                <w:sz w:val="18"/>
              </w:rPr>
              <w:t>20.00</w:t>
            </w:r>
          </w:p>
        </w:tc>
        <w:tc>
          <w:tcPr>
            <w:tcW w:w="20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left="427" w:right="0"/>
              <w:jc w:val="left"/>
              <w:rPr>
                <w:rFonts w:ascii="Times New Roman" w:hAnsi="Times New Roman" w:cs="Times New Roman" w:eastAsia="Times New Roman" w:hint="default"/>
                <w:sz w:val="18"/>
                <w:szCs w:val="18"/>
              </w:rPr>
            </w:pPr>
            <w:r>
              <w:rPr>
                <w:rFonts w:ascii="Times New Roman"/>
                <w:sz w:val="18"/>
              </w:rPr>
              <w:t>20.00</w:t>
            </w:r>
          </w:p>
        </w:tc>
      </w:tr>
      <w:tr>
        <w:trPr>
          <w:trHeight w:val="346" w:hRule="exact"/>
        </w:trPr>
        <w:tc>
          <w:tcPr>
            <w:tcW w:w="4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宋体" w:hAnsi="宋体" w:cs="宋体" w:eastAsia="宋体" w:hint="default"/>
                <w:sz w:val="18"/>
                <w:szCs w:val="18"/>
              </w:rPr>
              <w:t>年</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27" w:right="0"/>
              <w:jc w:val="left"/>
              <w:rPr>
                <w:rFonts w:ascii="Times New Roman" w:hAnsi="Times New Roman" w:cs="Times New Roman" w:eastAsia="Times New Roman" w:hint="default"/>
                <w:sz w:val="18"/>
                <w:szCs w:val="18"/>
              </w:rPr>
            </w:pPr>
            <w:r>
              <w:rPr>
                <w:rFonts w:ascii="Times New Roman"/>
                <w:sz w:val="18"/>
              </w:rPr>
              <w:t>50.00</w:t>
            </w:r>
          </w:p>
        </w:tc>
        <w:tc>
          <w:tcPr>
            <w:tcW w:w="20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left="427" w:right="0"/>
              <w:jc w:val="left"/>
              <w:rPr>
                <w:rFonts w:ascii="Times New Roman" w:hAnsi="Times New Roman" w:cs="Times New Roman" w:eastAsia="Times New Roman" w:hint="default"/>
                <w:sz w:val="18"/>
                <w:szCs w:val="18"/>
              </w:rPr>
            </w:pPr>
            <w:r>
              <w:rPr>
                <w:rFonts w:ascii="Times New Roman"/>
                <w:sz w:val="18"/>
              </w:rPr>
              <w:t>50.00</w:t>
            </w:r>
          </w:p>
        </w:tc>
      </w:tr>
      <w:tr>
        <w:trPr>
          <w:trHeight w:val="346" w:hRule="exact"/>
        </w:trPr>
        <w:tc>
          <w:tcPr>
            <w:tcW w:w="4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宋体" w:hAnsi="宋体" w:cs="宋体" w:eastAsia="宋体" w:hint="default"/>
                <w:sz w:val="18"/>
                <w:szCs w:val="18"/>
              </w:rPr>
              <w:t>年</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27" w:right="0"/>
              <w:jc w:val="left"/>
              <w:rPr>
                <w:rFonts w:ascii="Times New Roman" w:hAnsi="Times New Roman" w:cs="Times New Roman" w:eastAsia="Times New Roman" w:hint="default"/>
                <w:sz w:val="18"/>
                <w:szCs w:val="18"/>
              </w:rPr>
            </w:pPr>
            <w:r>
              <w:rPr>
                <w:rFonts w:ascii="Times New Roman"/>
                <w:sz w:val="18"/>
              </w:rPr>
              <w:t>80.00</w:t>
            </w:r>
          </w:p>
        </w:tc>
        <w:tc>
          <w:tcPr>
            <w:tcW w:w="20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left="427" w:right="0"/>
              <w:jc w:val="left"/>
              <w:rPr>
                <w:rFonts w:ascii="Times New Roman" w:hAnsi="Times New Roman" w:cs="Times New Roman" w:eastAsia="Times New Roman" w:hint="default"/>
                <w:sz w:val="18"/>
                <w:szCs w:val="18"/>
              </w:rPr>
            </w:pPr>
            <w:r>
              <w:rPr>
                <w:rFonts w:ascii="Times New Roman"/>
                <w:sz w:val="18"/>
              </w:rPr>
              <w:t>80.00</w:t>
            </w:r>
          </w:p>
        </w:tc>
      </w:tr>
      <w:tr>
        <w:trPr>
          <w:trHeight w:val="350" w:hRule="exact"/>
        </w:trPr>
        <w:tc>
          <w:tcPr>
            <w:tcW w:w="4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20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427" w:right="0"/>
              <w:jc w:val="left"/>
              <w:rPr>
                <w:rFonts w:ascii="Times New Roman" w:hAnsi="Times New Roman" w:cs="Times New Roman" w:eastAsia="Times New Roman" w:hint="default"/>
                <w:sz w:val="18"/>
                <w:szCs w:val="18"/>
              </w:rPr>
            </w:pPr>
            <w:r>
              <w:rPr>
                <w:rFonts w:ascii="Times New Roman"/>
                <w:sz w:val="18"/>
              </w:rPr>
              <w:t>100.00</w:t>
            </w:r>
          </w:p>
        </w:tc>
        <w:tc>
          <w:tcPr>
            <w:tcW w:w="20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7"/>
              <w:ind w:left="427" w:right="0"/>
              <w:jc w:val="left"/>
              <w:rPr>
                <w:rFonts w:ascii="Times New Roman" w:hAnsi="Times New Roman" w:cs="Times New Roman" w:eastAsia="Times New Roman" w:hint="default"/>
                <w:sz w:val="18"/>
                <w:szCs w:val="18"/>
              </w:rPr>
            </w:pPr>
            <w:r>
              <w:rPr>
                <w:rFonts w:ascii="Times New Roman"/>
                <w:sz w:val="18"/>
              </w:rPr>
              <w:t>100.00</w:t>
            </w:r>
          </w:p>
        </w:tc>
      </w:tr>
    </w:tbl>
    <w:p>
      <w:pPr>
        <w:pStyle w:val="BodyText"/>
        <w:spacing w:line="300" w:lineRule="auto" w:before="11"/>
        <w:ind w:left="575" w:right="0"/>
        <w:jc w:val="left"/>
      </w:pPr>
      <w:r>
        <w:rPr>
          <w:rFonts w:ascii="Times New Roman" w:hAnsi="Times New Roman" w:cs="Times New Roman" w:eastAsia="Times New Roman" w:hint="default"/>
        </w:rPr>
        <w:t>6. </w:t>
      </w:r>
      <w:r>
        <w:rPr>
          <w:spacing w:val="-3"/>
        </w:rPr>
        <w:t>金融资产和金融负债的抵销</w:t>
      </w:r>
      <w:r>
        <w:rPr>
          <w:spacing w:val="-70"/>
        </w:rPr>
        <w:t> </w:t>
      </w:r>
      <w:r>
        <w:rPr>
          <w:spacing w:val="-70"/>
        </w:rPr>
      </w:r>
      <w:r>
        <w:rPr>
          <w:spacing w:val="-2"/>
        </w:rPr>
        <w:t>金融资产和金融负债在资产负债表内分别列示，不相互抵销。但同时满足下列条件的，公司以相互抵销后的净额在资</w:t>
      </w:r>
    </w:p>
    <w:p>
      <w:pPr>
        <w:pStyle w:val="BodyText"/>
        <w:spacing w:line="300" w:lineRule="auto" w:before="31"/>
        <w:ind w:right="1122"/>
        <w:jc w:val="both"/>
      </w:pPr>
      <w:r>
        <w:rPr/>
        <w:t>产负债表内列示：</w:t>
      </w:r>
      <w:r>
        <w:rPr>
          <w:rFonts w:ascii="Times New Roman" w:hAnsi="Times New Roman" w:cs="Times New Roman" w:eastAsia="Times New Roman" w:hint="default"/>
        </w:rPr>
        <w:t>(1)</w:t>
      </w:r>
      <w:r>
        <w:rPr>
          <w:rFonts w:ascii="Times New Roman" w:hAnsi="Times New Roman" w:cs="Times New Roman" w:eastAsia="Times New Roman" w:hint="default"/>
          <w:spacing w:val="16"/>
        </w:rPr>
        <w:t> </w:t>
      </w:r>
      <w:r>
        <w:rPr/>
        <w:t>公司具有抵销已确认金额的法定权利，且该种法定权利是当前可执行的；</w:t>
      </w:r>
      <w:r>
        <w:rPr>
          <w:rFonts w:ascii="Times New Roman" w:hAnsi="Times New Roman" w:cs="Times New Roman" w:eastAsia="Times New Roman" w:hint="default"/>
        </w:rPr>
        <w:t>(2)</w:t>
      </w:r>
      <w:r>
        <w:rPr>
          <w:rFonts w:ascii="Times New Roman" w:hAnsi="Times New Roman" w:cs="Times New Roman" w:eastAsia="Times New Roman" w:hint="default"/>
          <w:spacing w:val="16"/>
        </w:rPr>
        <w:t> </w:t>
      </w:r>
      <w:r>
        <w:rPr/>
        <w:t>公司计划以净额结算，</w:t>
      </w:r>
      <w:r>
        <w:rPr>
          <w:spacing w:val="-84"/>
        </w:rPr>
        <w:t> </w:t>
      </w:r>
      <w:r>
        <w:rPr>
          <w:spacing w:val="-84"/>
        </w:rPr>
      </w:r>
      <w:r>
        <w:rPr>
          <w:spacing w:val="-3"/>
        </w:rPr>
        <w:t>或同时变现该金融资产和清偿该金融负债。</w:t>
      </w:r>
    </w:p>
    <w:p>
      <w:pPr>
        <w:spacing w:line="240" w:lineRule="auto" w:before="7"/>
        <w:rPr>
          <w:rFonts w:ascii="宋体" w:hAnsi="宋体" w:cs="宋体" w:eastAsia="宋体" w:hint="default"/>
          <w:sz w:val="23"/>
          <w:szCs w:val="23"/>
        </w:rPr>
      </w:pPr>
    </w:p>
    <w:p>
      <w:pPr>
        <w:pStyle w:val="Heading4"/>
        <w:spacing w:line="240" w:lineRule="auto"/>
        <w:ind w:right="0"/>
        <w:jc w:val="both"/>
        <w:rPr>
          <w:b w:val="0"/>
          <w:bCs w:val="0"/>
        </w:rPr>
      </w:pPr>
      <w:bookmarkStart w:name="10、存货" w:id="181"/>
      <w:bookmarkEnd w:id="181"/>
      <w:r>
        <w:rPr>
          <w:b w:val="0"/>
          <w:bCs w:val="0"/>
        </w:rPr>
      </w:r>
      <w:r>
        <w:rPr>
          <w:rFonts w:ascii="Times New Roman" w:hAnsi="Times New Roman" w:cs="Times New Roman" w:eastAsia="Times New Roman" w:hint="default"/>
        </w:rPr>
        <w:t>10</w:t>
      </w:r>
      <w:r>
        <w:rPr/>
        <w:t>、存货</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left="575" w:right="103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存货的分类</w:t>
      </w:r>
      <w:r>
        <w:rPr>
          <w:spacing w:val="-87"/>
        </w:rPr>
        <w:t> </w:t>
      </w:r>
      <w:r>
        <w:rPr>
          <w:spacing w:val="-87"/>
        </w:rPr>
      </w:r>
      <w:r>
        <w:rPr>
          <w:spacing w:val="-2"/>
        </w:rPr>
        <w:t>存货包括在日常活动中持有以备出售的产成品或商品、处在生产过程中的在产品、在生产过程或提供劳务过程中耗用</w:t>
      </w:r>
    </w:p>
    <w:p>
      <w:pPr>
        <w:pStyle w:val="BodyText"/>
        <w:spacing w:line="240" w:lineRule="auto" w:before="31"/>
        <w:ind w:right="0"/>
        <w:jc w:val="both"/>
      </w:pPr>
      <w:r>
        <w:rPr/>
        <w:t>的材料和物料等。</w:t>
      </w:r>
    </w:p>
    <w:p>
      <w:pPr>
        <w:pStyle w:val="BodyText"/>
        <w:spacing w:line="300" w:lineRule="auto" w:before="76"/>
        <w:ind w:left="575" w:right="7956"/>
        <w:jc w:val="left"/>
      </w:pPr>
      <w:r>
        <w:rPr>
          <w:rFonts w:ascii="Times New Roman" w:hAnsi="Times New Roman" w:cs="Times New Roman" w:eastAsia="Times New Roman" w:hint="default"/>
        </w:rPr>
        <w:t>2. </w:t>
      </w:r>
      <w:r>
        <w:rPr>
          <w:spacing w:val="-3"/>
        </w:rPr>
        <w:t>发出存货的计价方法</w:t>
      </w:r>
      <w:r>
        <w:rPr>
          <w:spacing w:val="-76"/>
        </w:rPr>
        <w:t> </w:t>
      </w:r>
      <w:r>
        <w:rPr>
          <w:spacing w:val="-76"/>
        </w:rPr>
      </w:r>
      <w:r>
        <w:rPr>
          <w:spacing w:val="-3"/>
        </w:rPr>
        <w:t>发出存货采用个别计价法。</w:t>
      </w:r>
    </w:p>
    <w:p>
      <w:pPr>
        <w:pStyle w:val="BodyText"/>
        <w:spacing w:line="300" w:lineRule="auto" w:before="31"/>
        <w:ind w:left="575" w:right="0"/>
        <w:jc w:val="left"/>
      </w:pPr>
      <w:r>
        <w:rPr>
          <w:rFonts w:ascii="Times New Roman" w:hAnsi="Times New Roman" w:cs="Times New Roman" w:eastAsia="Times New Roman" w:hint="default"/>
        </w:rPr>
        <w:t>3. </w:t>
      </w:r>
      <w:r>
        <w:rPr>
          <w:spacing w:val="-3"/>
        </w:rPr>
        <w:t>存货可变现净值的确定依据</w:t>
      </w:r>
      <w:r>
        <w:rPr>
          <w:spacing w:val="-70"/>
        </w:rPr>
        <w:t> </w:t>
      </w:r>
      <w:r>
        <w:rPr>
          <w:spacing w:val="-70"/>
        </w:rPr>
      </w:r>
      <w:r>
        <w:rPr>
          <w:spacing w:val="-2"/>
        </w:rPr>
        <w:t>资产负债表日，存货采用成本与可变现净值孰低计量，按照单个存货成本高于可变现净值的差额计提存货跌价准备。</w:t>
      </w:r>
    </w:p>
    <w:p>
      <w:pPr>
        <w:pStyle w:val="BodyText"/>
        <w:spacing w:line="319" w:lineRule="auto" w:before="31"/>
        <w:ind w:right="1122"/>
        <w:jc w:val="both"/>
      </w:pPr>
      <w:r>
        <w:rPr>
          <w:spacing w:val="-4"/>
          <w:w w:val="101"/>
        </w:rPr>
        <w:t>直接用于出售的存货，在正常生产经营过程中以该存货的估计售价减去估计的销售费用和相关税费后的金额确定其可变现净</w:t>
      </w:r>
      <w:r>
        <w:rPr>
          <w:w w:val="101"/>
        </w:rPr>
        <w:t> </w:t>
      </w:r>
      <w:r>
        <w:rPr>
          <w:spacing w:val="-4"/>
        </w:rPr>
        <w:t>值；需要经过加工的存货，在正常生产经营过程中以所生产的产成品的估计售价减去至完工时估计将要发生的成本、估计的</w:t>
      </w:r>
      <w:r>
        <w:rPr>
          <w:spacing w:val="44"/>
        </w:rPr>
        <w:t> </w:t>
      </w:r>
      <w:r>
        <w:rPr>
          <w:spacing w:val="44"/>
        </w:rPr>
      </w:r>
      <w:r>
        <w:rPr>
          <w:spacing w:val="-4"/>
        </w:rPr>
        <w:t>销售费用和相关税费后的金额确定其可变现净值；资产负债表日，同一项存货中一部分有合同价格约定、其他部分不存在合</w:t>
      </w:r>
      <w:r>
        <w:rPr>
          <w:spacing w:val="43"/>
        </w:rPr>
        <w:t> </w:t>
      </w:r>
      <w:r>
        <w:rPr>
          <w:spacing w:val="43"/>
        </w:rPr>
      </w:r>
      <w:r>
        <w:rPr>
          <w:spacing w:val="-3"/>
        </w:rPr>
        <w:t>同价格的，分别确定其可变现净值，并与其对应的成本进行比较，分别确定存货跌价准备的计提或转回的金额。</w:t>
      </w:r>
    </w:p>
    <w:p>
      <w:pPr>
        <w:pStyle w:val="BodyText"/>
        <w:spacing w:line="300" w:lineRule="auto" w:before="17"/>
        <w:ind w:left="575" w:right="7272"/>
        <w:jc w:val="left"/>
      </w:pPr>
      <w:r>
        <w:rPr>
          <w:rFonts w:ascii="Times New Roman" w:hAnsi="Times New Roman" w:cs="Times New Roman" w:eastAsia="Times New Roman" w:hint="default"/>
        </w:rPr>
        <w:t>4. </w:t>
      </w:r>
      <w:r>
        <w:rPr>
          <w:spacing w:val="-3"/>
        </w:rPr>
        <w:t>存货的盘存制度</w:t>
      </w:r>
      <w:r>
        <w:rPr>
          <w:spacing w:val="-82"/>
        </w:rPr>
        <w:t> </w:t>
      </w:r>
      <w:r>
        <w:rPr>
          <w:spacing w:val="-82"/>
        </w:rPr>
      </w:r>
      <w:r>
        <w:rPr>
          <w:spacing w:val="-3"/>
        </w:rPr>
        <w:t>存货的盘存制度为永续盘存制。</w:t>
      </w:r>
    </w:p>
    <w:p>
      <w:pPr>
        <w:pStyle w:val="BodyText"/>
        <w:spacing w:line="240" w:lineRule="auto" w:before="31"/>
        <w:ind w:left="575" w:right="0"/>
        <w:jc w:val="left"/>
      </w:pPr>
      <w:r>
        <w:rPr>
          <w:rFonts w:ascii="Times New Roman" w:hAnsi="Times New Roman" w:cs="Times New Roman" w:eastAsia="Times New Roman" w:hint="default"/>
        </w:rPr>
        <w:t>5. </w:t>
      </w:r>
      <w:r>
        <w:rPr>
          <w:rFonts w:ascii="Times New Roman" w:hAnsi="Times New Roman" w:cs="Times New Roman" w:eastAsia="Times New Roman" w:hint="default"/>
          <w:spacing w:val="26"/>
        </w:rPr>
        <w:t> </w:t>
      </w:r>
      <w:r>
        <w:rPr>
          <w:spacing w:val="-3"/>
        </w:rPr>
        <w:t>低值易耗品和包装物的摊销方法</w:t>
      </w:r>
    </w:p>
    <w:p>
      <w:pPr>
        <w:pStyle w:val="BodyText"/>
        <w:spacing w:line="307" w:lineRule="auto" w:before="63"/>
        <w:ind w:left="575" w:right="768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t>低值易耗品</w:t>
      </w:r>
      <w:r>
        <w:rPr>
          <w:spacing w:val="-85"/>
        </w:rPr>
        <w:t> </w:t>
      </w:r>
      <w:r>
        <w:rPr>
          <w:spacing w:val="-85"/>
        </w:rPr>
      </w:r>
      <w:r>
        <w:rPr>
          <w:spacing w:val="-3"/>
        </w:rPr>
        <w:t>按照使用一次转销法进行摊销。</w:t>
      </w:r>
      <w:r>
        <w:rPr>
          <w:spacing w:val="-45"/>
        </w:rPr>
        <w:t> </w:t>
      </w:r>
      <w:r>
        <w:rPr>
          <w:spacing w:val="-45"/>
        </w:rPr>
      </w: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t>包装物</w:t>
      </w:r>
      <w:r>
        <w:rPr>
          <w:spacing w:val="-85"/>
        </w:rPr>
        <w:t> </w:t>
      </w:r>
      <w:r>
        <w:rPr>
          <w:spacing w:val="-85"/>
        </w:rPr>
      </w:r>
      <w:r>
        <w:rPr>
          <w:spacing w:val="-3"/>
        </w:rPr>
        <w:t>按照使用一次转销法进行摊销。</w:t>
      </w:r>
    </w:p>
    <w:p>
      <w:pPr>
        <w:spacing w:after="0" w:line="307" w:lineRule="auto"/>
        <w:jc w:val="left"/>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4"/>
        <w:spacing w:line="240" w:lineRule="auto" w:before="36"/>
        <w:ind w:right="0"/>
        <w:jc w:val="left"/>
        <w:rPr>
          <w:b w:val="0"/>
          <w:bCs w:val="0"/>
        </w:rPr>
      </w:pPr>
      <w:bookmarkStart w:name="11、长期股权投资" w:id="182"/>
      <w:bookmarkEnd w:id="182"/>
      <w:r>
        <w:rPr>
          <w:b w:val="0"/>
          <w:bCs w:val="0"/>
        </w:rPr>
      </w:r>
      <w:r>
        <w:rPr>
          <w:rFonts w:ascii="Times New Roman" w:hAnsi="Times New Roman" w:cs="Times New Roman" w:eastAsia="Times New Roman" w:hint="default"/>
        </w:rPr>
        <w:t>11</w:t>
      </w:r>
      <w:r>
        <w:rPr/>
        <w:t>、长期股权投资</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75" w:right="0"/>
        <w:jc w:val="left"/>
      </w:pPr>
      <w:r>
        <w:rPr>
          <w:rFonts w:ascii="Times New Roman" w:hAnsi="Times New Roman" w:cs="Times New Roman" w:eastAsia="Times New Roman" w:hint="default"/>
        </w:rPr>
        <w:t>1. </w:t>
      </w:r>
      <w:r>
        <w:rPr>
          <w:spacing w:val="-3"/>
        </w:rPr>
        <w:t>共同控制、重要影响的判断</w:t>
      </w:r>
      <w:r>
        <w:rPr>
          <w:spacing w:val="-70"/>
        </w:rPr>
        <w:t> </w:t>
      </w:r>
      <w:r>
        <w:rPr>
          <w:spacing w:val="-70"/>
        </w:rPr>
      </w:r>
      <w:r>
        <w:rPr>
          <w:spacing w:val="-4"/>
        </w:rPr>
        <w:t>按照相关约定对某项安排存在共有的控制，并且该安排的相关活动必须经过分享控制权的参与方一致同意后才能决策，</w:t>
      </w:r>
    </w:p>
    <w:p>
      <w:pPr>
        <w:pStyle w:val="BodyText"/>
        <w:spacing w:line="316" w:lineRule="auto" w:before="31"/>
        <w:ind w:right="0"/>
        <w:jc w:val="left"/>
      </w:pPr>
      <w:r>
        <w:rPr>
          <w:spacing w:val="-4"/>
        </w:rPr>
        <w:t>认定为共同控制。对被投资单位的财务和经营政策有参与决策的权力，但并不能够控制或者与其他方一起共同控制这些政策</w:t>
      </w:r>
      <w:r>
        <w:rPr>
          <w:spacing w:val="42"/>
        </w:rPr>
        <w:t> </w:t>
      </w:r>
      <w:r>
        <w:rPr>
          <w:spacing w:val="42"/>
        </w:rPr>
      </w:r>
      <w:r>
        <w:rPr>
          <w:spacing w:val="-3"/>
        </w:rPr>
        <w:t>的制定，认定为重大影响。</w:t>
      </w:r>
    </w:p>
    <w:p>
      <w:pPr>
        <w:pStyle w:val="BodyText"/>
        <w:spacing w:line="240" w:lineRule="auto" w:before="19"/>
        <w:ind w:left="575"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8"/>
        </w:rPr>
        <w:t> </w:t>
      </w:r>
      <w:r>
        <w:rPr>
          <w:spacing w:val="-3"/>
        </w:rPr>
        <w:t>投资成本的确定</w:t>
      </w:r>
    </w:p>
    <w:p>
      <w:pPr>
        <w:pStyle w:val="BodyText"/>
        <w:spacing w:line="312" w:lineRule="auto" w:before="63"/>
        <w:ind w:right="1124" w:firstLine="422"/>
        <w:jc w:val="both"/>
      </w:pPr>
      <w:r>
        <w:rPr>
          <w:rFonts w:ascii="Times New Roman" w:hAnsi="Times New Roman" w:cs="Times New Roman" w:eastAsia="Times New Roman" w:hint="default"/>
          <w:w w:val="101"/>
        </w:rPr>
        <w:t>(1)</w:t>
      </w:r>
      <w:r>
        <w:rPr>
          <w:rFonts w:ascii="Times New Roman" w:hAnsi="Times New Roman" w:cs="Times New Roman" w:eastAsia="Times New Roman" w:hint="default"/>
          <w:spacing w:val="8"/>
          <w:w w:val="101"/>
        </w:rPr>
        <w:t> </w:t>
      </w:r>
      <w:r>
        <w:rPr>
          <w:spacing w:val="-8"/>
          <w:w w:val="101"/>
        </w:rPr>
        <w:t>同一控制下的企业合并形成的，合并方以支付现金、转让非现金资产、承担债务或发行权益性证券作为合并对价的，</w:t>
      </w:r>
      <w:r>
        <w:rPr>
          <w:w w:val="101"/>
        </w:rPr>
        <w:t> </w:t>
      </w:r>
      <w:r>
        <w:rPr>
          <w:spacing w:val="-4"/>
          <w:w w:val="101"/>
        </w:rPr>
        <w:t>在合并日按照取得被合并方所有者权益在最终控制方合并财务报表中的账面价值的份额作为其初始投资成本。长期股权投资</w:t>
      </w:r>
      <w:r>
        <w:rPr>
          <w:w w:val="101"/>
        </w:rPr>
        <w:t> </w:t>
      </w:r>
      <w:r>
        <w:rPr>
          <w:spacing w:val="-4"/>
        </w:rPr>
        <w:t>初始投资成本与支付的合并对价的账面价值或发行股份的面值总额之间的差额调整资本公积；资本公积不足冲减的，调整留</w:t>
      </w:r>
      <w:r>
        <w:rPr>
          <w:spacing w:val="38"/>
        </w:rPr>
        <w:t> </w:t>
      </w:r>
      <w:r>
        <w:rPr>
          <w:spacing w:val="38"/>
        </w:rPr>
      </w:r>
      <w:r>
        <w:rPr/>
        <w:t>存收益。</w:t>
      </w:r>
    </w:p>
    <w:p>
      <w:pPr>
        <w:pStyle w:val="BodyText"/>
        <w:spacing w:line="309" w:lineRule="auto" w:before="22"/>
        <w:ind w:right="1122" w:firstLine="422"/>
        <w:jc w:val="both"/>
      </w:pPr>
      <w:r>
        <w:rPr>
          <w:spacing w:val="-5"/>
        </w:rPr>
        <w:t>公司通过多次交易分步实现同一控制下企业合并形成的长期股权投资，判断是否属于</w:t>
      </w:r>
      <w:r>
        <w:rPr>
          <w:rFonts w:ascii="Times New Roman" w:hAnsi="Times New Roman" w:cs="Times New Roman" w:eastAsia="Times New Roman" w:hint="default"/>
          <w:spacing w:val="-5"/>
        </w:rPr>
        <w:t>“</w:t>
      </w:r>
      <w:r>
        <w:rPr>
          <w:spacing w:val="-5"/>
        </w:rPr>
        <w:t>一揽子交易</w:t>
      </w:r>
      <w:r>
        <w:rPr>
          <w:rFonts w:ascii="Times New Roman" w:hAnsi="Times New Roman" w:cs="Times New Roman" w:eastAsia="Times New Roman" w:hint="default"/>
          <w:spacing w:val="-5"/>
        </w:rPr>
        <w:t>”</w:t>
      </w:r>
      <w:r>
        <w:rPr>
          <w:spacing w:val="-5"/>
        </w:rPr>
        <w:t>。属于</w:t>
      </w:r>
      <w:r>
        <w:rPr>
          <w:rFonts w:ascii="Times New Roman" w:hAnsi="Times New Roman" w:cs="Times New Roman" w:eastAsia="Times New Roman" w:hint="default"/>
          <w:spacing w:val="-5"/>
        </w:rPr>
        <w:t>“</w:t>
      </w:r>
      <w:r>
        <w:rPr>
          <w:spacing w:val="-5"/>
        </w:rPr>
        <w:t>一揽子交易</w:t>
      </w:r>
      <w:r>
        <w:rPr>
          <w:rFonts w:ascii="Times New Roman" w:hAnsi="Times New Roman" w:cs="Times New Roman" w:eastAsia="Times New Roman" w:hint="default"/>
          <w:spacing w:val="-5"/>
        </w:rPr>
        <w:t>”</w:t>
      </w:r>
      <w:r>
        <w:rPr>
          <w:rFonts w:ascii="Times New Roman" w:hAnsi="Times New Roman" w:cs="Times New Roman" w:eastAsia="Times New Roman" w:hint="default"/>
          <w:w w:val="101"/>
        </w:rPr>
        <w:t> </w:t>
      </w:r>
      <w:r>
        <w:rPr>
          <w:spacing w:val="-4"/>
        </w:rPr>
        <w:t>的，把各项交易作为一项取得控制权的交易进行会计处理。不属于</w:t>
      </w:r>
      <w:r>
        <w:rPr>
          <w:rFonts w:ascii="Times New Roman" w:hAnsi="Times New Roman" w:cs="Times New Roman" w:eastAsia="Times New Roman" w:hint="default"/>
          <w:spacing w:val="-4"/>
        </w:rPr>
        <w:t>“</w:t>
      </w:r>
      <w:r>
        <w:rPr>
          <w:spacing w:val="-4"/>
        </w:rPr>
        <w:t>一揽子交易</w:t>
      </w:r>
      <w:r>
        <w:rPr>
          <w:rFonts w:ascii="Times New Roman" w:hAnsi="Times New Roman" w:cs="Times New Roman" w:eastAsia="Times New Roman" w:hint="default"/>
          <w:spacing w:val="-4"/>
        </w:rPr>
        <w:t>”</w:t>
      </w:r>
      <w:r>
        <w:rPr>
          <w:spacing w:val="-4"/>
        </w:rPr>
        <w:t>的，在合并日，根据合并后应享有被合并方</w:t>
      </w:r>
      <w:r>
        <w:rPr>
          <w:spacing w:val="65"/>
        </w:rPr>
        <w:t> </w:t>
      </w:r>
      <w:r>
        <w:rPr>
          <w:spacing w:val="65"/>
        </w:rPr>
      </w:r>
      <w:r>
        <w:rPr>
          <w:spacing w:val="-5"/>
        </w:rPr>
        <w:t>净资产在最终控制方合并财务报表中的账面价值的份额确定初始投资成本。合并日长期股权投资的初始投资成本，与达到合</w:t>
      </w:r>
      <w:r>
        <w:rPr>
          <w:spacing w:val="6"/>
        </w:rPr>
        <w:t> </w:t>
      </w:r>
      <w:r>
        <w:rPr>
          <w:spacing w:val="6"/>
        </w:rPr>
      </w:r>
      <w:r>
        <w:rPr>
          <w:spacing w:val="-4"/>
        </w:rPr>
        <w:t>并前的长期股权投资账面价值加上合并日进一步取得股份新支付对价的账面价值之和的差额，调整资本公积；资本公积不足</w:t>
      </w:r>
      <w:r>
        <w:rPr>
          <w:spacing w:val="39"/>
        </w:rPr>
        <w:t> </w:t>
      </w:r>
      <w:r>
        <w:rPr>
          <w:spacing w:val="39"/>
        </w:rPr>
      </w:r>
      <w:r>
        <w:rPr>
          <w:spacing w:val="-3"/>
        </w:rPr>
        <w:t>冲减的，调整留存收益。</w:t>
      </w:r>
    </w:p>
    <w:p>
      <w:pPr>
        <w:pStyle w:val="BodyText"/>
        <w:spacing w:line="300" w:lineRule="auto" w:before="24"/>
        <w:ind w:left="575" w:right="0"/>
        <w:jc w:val="left"/>
      </w:pPr>
      <w:r>
        <w:rPr>
          <w:rFonts w:ascii="Times New Roman" w:hAnsi="Times New Roman" w:cs="Times New Roman" w:eastAsia="Times New Roman" w:hint="default"/>
        </w:rPr>
        <w:t>(2) </w:t>
      </w:r>
      <w:r>
        <w:rPr>
          <w:spacing w:val="-3"/>
        </w:rPr>
        <w:t>非同一控制下的企业合并形成的，在购买日按照支付的合并对价的公允价值作为其初始投资成本。</w:t>
      </w:r>
      <w:r>
        <w:rPr>
          <w:spacing w:val="19"/>
        </w:rPr>
        <w:t> </w:t>
      </w:r>
      <w:r>
        <w:rPr>
          <w:spacing w:val="19"/>
        </w:rPr>
      </w:r>
      <w:r>
        <w:rPr>
          <w:spacing w:val="-2"/>
        </w:rPr>
        <w:t>公司通过多次交易分步实现非同一控制下企业合并形成的长期股权投资，区分个别财务报表和合并财务报表进行相关</w:t>
      </w:r>
    </w:p>
    <w:p>
      <w:pPr>
        <w:pStyle w:val="BodyText"/>
        <w:spacing w:line="240" w:lineRule="auto" w:before="31"/>
        <w:ind w:right="0"/>
        <w:jc w:val="left"/>
      </w:pPr>
      <w:r>
        <w:rPr/>
        <w:t>会计处理：</w:t>
      </w:r>
    </w:p>
    <w:p>
      <w:pPr>
        <w:pStyle w:val="BodyText"/>
        <w:spacing w:line="240" w:lineRule="auto" w:before="77"/>
        <w:ind w:left="575" w:right="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34"/>
        </w:rPr>
        <w:t> </w:t>
      </w:r>
      <w:r>
        <w:rPr>
          <w:spacing w:val="-3"/>
        </w:rPr>
        <w:t>在个别财务报表中，按照原持有的股权投资的账面价值加上新增投资成本之和，作为改按成本法核算的初始投资成</w:t>
      </w:r>
    </w:p>
    <w:p>
      <w:pPr>
        <w:pStyle w:val="BodyText"/>
        <w:spacing w:line="240" w:lineRule="auto" w:before="63"/>
        <w:ind w:right="0"/>
        <w:jc w:val="left"/>
      </w:pPr>
      <w:r>
        <w:rPr/>
        <w:t>本。</w:t>
      </w:r>
    </w:p>
    <w:p>
      <w:pPr>
        <w:pStyle w:val="BodyText"/>
        <w:spacing w:line="240" w:lineRule="auto" w:before="76"/>
        <w:ind w:left="575"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28"/>
        </w:rPr>
        <w:t> </w:t>
      </w:r>
      <w:r>
        <w:rPr>
          <w:spacing w:val="-2"/>
        </w:rPr>
        <w:t>在合并财务报表中，判断是否属于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的，把各项交易作为一项取得控制权的交易进</w:t>
      </w:r>
    </w:p>
    <w:p>
      <w:pPr>
        <w:pStyle w:val="BodyText"/>
        <w:spacing w:line="312" w:lineRule="auto" w:before="63"/>
        <w:ind w:right="1123"/>
        <w:jc w:val="both"/>
      </w:pPr>
      <w:r>
        <w:rPr>
          <w:spacing w:val="-4"/>
        </w:rPr>
        <w:t>行会计处理。不属于</w:t>
      </w:r>
      <w:r>
        <w:rPr>
          <w:rFonts w:ascii="Times New Roman" w:hAnsi="Times New Roman" w:cs="Times New Roman" w:eastAsia="Times New Roman" w:hint="default"/>
          <w:spacing w:val="-4"/>
        </w:rPr>
        <w:t>“</w:t>
      </w:r>
      <w:r>
        <w:rPr>
          <w:spacing w:val="-4"/>
        </w:rPr>
        <w:t>一揽子交易</w:t>
      </w:r>
      <w:r>
        <w:rPr>
          <w:rFonts w:ascii="Times New Roman" w:hAnsi="Times New Roman" w:cs="Times New Roman" w:eastAsia="Times New Roman" w:hint="default"/>
          <w:spacing w:val="-4"/>
        </w:rPr>
        <w:t>”</w:t>
      </w:r>
      <w:r>
        <w:rPr>
          <w:spacing w:val="-4"/>
        </w:rPr>
        <w:t>的，对于购买日之前持有的被购买方的股权，按照该股权在购买日的公允价值进行重新计</w:t>
      </w:r>
      <w:r>
        <w:rPr>
          <w:spacing w:val="64"/>
        </w:rPr>
        <w:t> </w:t>
      </w:r>
      <w:r>
        <w:rPr>
          <w:spacing w:val="64"/>
        </w:rPr>
      </w:r>
      <w:r>
        <w:rPr>
          <w:spacing w:val="-4"/>
        </w:rPr>
        <w:t>量，公允价值与其账面价值的差额计入当期投资收益；购买日之前持有的被购买方的股权涉及权益法核算下的其他综合收益</w:t>
      </w:r>
      <w:r>
        <w:rPr>
          <w:spacing w:val="38"/>
        </w:rPr>
        <w:t> </w:t>
      </w:r>
      <w:r>
        <w:rPr>
          <w:spacing w:val="38"/>
        </w:rPr>
      </w:r>
      <w:r>
        <w:rPr>
          <w:spacing w:val="-4"/>
        </w:rPr>
        <w:t>等的，与其相关的其他综合收益等转为购买日所属当期收益。但由于被投资方重新计量设定受益计划净负债或净资产变动而</w:t>
      </w:r>
      <w:r>
        <w:rPr>
          <w:spacing w:val="39"/>
        </w:rPr>
        <w:t> </w:t>
      </w:r>
      <w:r>
        <w:rPr>
          <w:spacing w:val="39"/>
        </w:rPr>
      </w:r>
      <w:r>
        <w:rPr>
          <w:spacing w:val="-3"/>
        </w:rPr>
        <w:t>产生的其他综合收益除外。</w:t>
      </w:r>
    </w:p>
    <w:p>
      <w:pPr>
        <w:pStyle w:val="BodyText"/>
        <w:spacing w:line="300" w:lineRule="auto" w:before="22"/>
        <w:ind w:right="1122" w:firstLine="422"/>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37"/>
        </w:rPr>
        <w:t> </w:t>
      </w:r>
      <w:r>
        <w:rPr>
          <w:spacing w:val="-4"/>
        </w:rPr>
        <w:t>除企业合并形成以外的：以支付现金取得的，按照实际支付的购买价款作为其初始投资成本；以发行权益性证券取</w:t>
      </w:r>
      <w:r>
        <w:rPr>
          <w:w w:val="101"/>
        </w:rPr>
        <w:t> </w:t>
      </w:r>
      <w:r>
        <w:rPr>
          <w:spacing w:val="-4"/>
        </w:rPr>
        <w:t>得的，按照发行权益性证券的公允价值作为其初始投资成本；以债务重组方式取得的，按《企业会计准则第</w:t>
      </w:r>
      <w:r>
        <w:rPr>
          <w:rFonts w:ascii="Times New Roman" w:hAnsi="Times New Roman" w:cs="Times New Roman" w:eastAsia="Times New Roman" w:hint="default"/>
          <w:spacing w:val="-4"/>
        </w:rPr>
        <w:t>12</w:t>
      </w:r>
      <w:r>
        <w:rPr>
          <w:spacing w:val="-4"/>
        </w:rPr>
        <w:t>号</w:t>
      </w:r>
      <w:r>
        <w:rPr>
          <w:rFonts w:ascii="Times New Roman" w:hAnsi="Times New Roman" w:cs="Times New Roman" w:eastAsia="Times New Roman" w:hint="default"/>
          <w:spacing w:val="-4"/>
        </w:rPr>
        <w:t>——</w:t>
      </w:r>
      <w:r>
        <w:rPr>
          <w:spacing w:val="-4"/>
        </w:rPr>
        <w:t>债务重</w:t>
      </w:r>
      <w:r>
        <w:rPr>
          <w:spacing w:val="46"/>
        </w:rPr>
        <w:t> </w:t>
      </w:r>
      <w:r>
        <w:rPr>
          <w:spacing w:val="46"/>
        </w:rPr>
      </w:r>
      <w:r>
        <w:rPr>
          <w:spacing w:val="-3"/>
        </w:rPr>
        <w:t>组》确定其初始投资成本；以非货币性资产交换取得的，按《企业会计准则第</w:t>
      </w:r>
      <w:r>
        <w:rPr>
          <w:rFonts w:ascii="Times New Roman" w:hAnsi="Times New Roman" w:cs="Times New Roman" w:eastAsia="Times New Roman" w:hint="default"/>
          <w:spacing w:val="-3"/>
        </w:rPr>
        <w:t>7</w:t>
      </w:r>
      <w:r>
        <w:rPr>
          <w:spacing w:val="-3"/>
        </w:rPr>
        <w:t>号</w:t>
      </w:r>
      <w:r>
        <w:rPr>
          <w:rFonts w:ascii="Times New Roman" w:hAnsi="Times New Roman" w:cs="Times New Roman" w:eastAsia="Times New Roman" w:hint="default"/>
          <w:spacing w:val="-3"/>
        </w:rPr>
        <w:t>——</w:t>
      </w:r>
      <w:r>
        <w:rPr>
          <w:spacing w:val="-3"/>
        </w:rPr>
        <w:t>非货币性资产交换》确定其初始投资</w:t>
      </w:r>
      <w:r>
        <w:rPr>
          <w:spacing w:val="76"/>
        </w:rPr>
        <w:t> </w:t>
      </w:r>
      <w:r>
        <w:rPr>
          <w:spacing w:val="76"/>
        </w:rPr>
      </w:r>
      <w:r>
        <w:rPr/>
        <w:t>成本。</w:t>
      </w:r>
    </w:p>
    <w:p>
      <w:pPr>
        <w:pStyle w:val="BodyText"/>
        <w:spacing w:line="309" w:lineRule="auto" w:before="32"/>
        <w:ind w:left="575" w:right="1203"/>
        <w:jc w:val="left"/>
      </w:pPr>
      <w:r>
        <w:rPr>
          <w:rFonts w:ascii="Times New Roman" w:hAnsi="Times New Roman" w:cs="Times New Roman" w:eastAsia="Times New Roman" w:hint="default"/>
        </w:rPr>
        <w:t>3. </w:t>
      </w:r>
      <w:r>
        <w:rPr>
          <w:spacing w:val="-3"/>
        </w:rPr>
        <w:t>后续计量及损益确认方法</w:t>
      </w:r>
      <w:r>
        <w:rPr>
          <w:spacing w:val="-70"/>
        </w:rPr>
        <w:t> </w:t>
      </w:r>
      <w:r>
        <w:rPr>
          <w:spacing w:val="-70"/>
        </w:rPr>
      </w:r>
      <w:r>
        <w:rPr>
          <w:spacing w:val="-3"/>
        </w:rPr>
        <w:t>对被投资单位实施控制的长期股权投资采用成本法核算；对联营企业和合营企业的长期股权投资，采用权益法核算。</w:t>
      </w:r>
      <w:r>
        <w:rPr>
          <w:spacing w:val="60"/>
        </w:rPr>
        <w:t> </w:t>
      </w:r>
      <w:r>
        <w:rPr>
          <w:spacing w:val="60"/>
        </w:rPr>
      </w:r>
      <w:r>
        <w:rPr>
          <w:rFonts w:ascii="Times New Roman" w:hAnsi="Times New Roman" w:cs="Times New Roman" w:eastAsia="Times New Roman" w:hint="default"/>
        </w:rPr>
        <w:t>4.  </w:t>
      </w:r>
      <w:r>
        <w:rPr>
          <w:rFonts w:ascii="Times New Roman" w:hAnsi="Times New Roman" w:cs="Times New Roman" w:eastAsia="Times New Roman" w:hint="default"/>
          <w:spacing w:val="16"/>
        </w:rPr>
        <w:t> </w:t>
      </w:r>
      <w:r>
        <w:rPr>
          <w:spacing w:val="-3"/>
        </w:rPr>
        <w:t>通过多次交易分步处置对子公司投资至丧失控制权的处理方法</w:t>
      </w:r>
    </w:p>
    <w:p>
      <w:pPr>
        <w:pStyle w:val="BodyText"/>
        <w:spacing w:line="300" w:lineRule="auto" w:before="5"/>
        <w:ind w:left="575"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t>个别财务报表</w:t>
      </w:r>
      <w:r>
        <w:rPr>
          <w:spacing w:val="-82"/>
        </w:rPr>
        <w:t> </w:t>
      </w:r>
      <w:r>
        <w:rPr>
          <w:spacing w:val="-82"/>
        </w:rPr>
      </w:r>
      <w:r>
        <w:rPr>
          <w:spacing w:val="-2"/>
        </w:rPr>
        <w:t>对处置的股权，其账面价值与实际取得价款之间的差额，计入当期损益。对于剩余股权，对被投资单位仍具有重大影</w:t>
      </w:r>
    </w:p>
    <w:p>
      <w:pPr>
        <w:pStyle w:val="BodyText"/>
        <w:spacing w:line="319" w:lineRule="auto" w:before="31"/>
        <w:ind w:right="1123"/>
        <w:jc w:val="both"/>
      </w:pPr>
      <w:r>
        <w:rPr>
          <w:spacing w:val="-4"/>
        </w:rPr>
        <w:t>响或者与其他方一起实施共同控制的，转为权益法核算；不能再对被投资单位实施控制、共同控制或重大影响的，按照《企</w:t>
      </w:r>
      <w:r>
        <w:rPr>
          <w:spacing w:val="40"/>
        </w:rPr>
        <w:t> </w:t>
      </w:r>
      <w:r>
        <w:rPr>
          <w:spacing w:val="40"/>
        </w:rPr>
      </w:r>
      <w:r>
        <w:rPr>
          <w:spacing w:val="-3"/>
        </w:rPr>
        <w:t>业会计准则第</w:t>
      </w:r>
      <w:r>
        <w:rPr>
          <w:rFonts w:ascii="Times New Roman" w:hAnsi="Times New Roman" w:cs="Times New Roman" w:eastAsia="Times New Roman" w:hint="default"/>
          <w:spacing w:val="-3"/>
        </w:rPr>
        <w:t>22</w:t>
      </w:r>
      <w:r>
        <w:rPr>
          <w:spacing w:val="-3"/>
        </w:rPr>
        <w:t>号</w:t>
      </w:r>
      <w:r>
        <w:rPr>
          <w:rFonts w:ascii="Times New Roman" w:hAnsi="Times New Roman" w:cs="Times New Roman" w:eastAsia="Times New Roman" w:hint="default"/>
          <w:spacing w:val="-3"/>
        </w:rPr>
        <w:t>——</w:t>
      </w:r>
      <w:r>
        <w:rPr>
          <w:spacing w:val="-3"/>
        </w:rPr>
        <w:t>金融工具确认和计量》的相关规定进行核算。</w:t>
      </w:r>
    </w:p>
    <w:p>
      <w:pPr>
        <w:pStyle w:val="BodyText"/>
        <w:spacing w:line="246" w:lineRule="exact"/>
        <w:ind w:left="575"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合并财务报表</w:t>
      </w:r>
    </w:p>
    <w:p>
      <w:pPr>
        <w:pStyle w:val="BodyText"/>
        <w:spacing w:line="300" w:lineRule="auto" w:before="63"/>
        <w:ind w:left="575" w:right="0"/>
        <w:jc w:val="left"/>
      </w:pPr>
      <w:r>
        <w:rPr>
          <w:rFonts w:ascii="Times New Roman" w:hAnsi="Times New Roman" w:cs="Times New Roman" w:eastAsia="Times New Roman" w:hint="default"/>
        </w:rPr>
        <w:t>1) </w:t>
      </w:r>
      <w:r>
        <w:rPr>
          <w:spacing w:val="-3"/>
        </w:rPr>
        <w:t>通过多次交易分步处置对子公司投资至丧失控制权，且不属于</w:t>
      </w:r>
      <w:r>
        <w:rPr>
          <w:rFonts w:ascii="Times New Roman" w:hAnsi="Times New Roman" w:cs="Times New Roman" w:eastAsia="Times New Roman" w:hint="default"/>
          <w:spacing w:val="-3"/>
        </w:rPr>
        <w:t>“</w:t>
      </w:r>
      <w:r>
        <w:rPr>
          <w:spacing w:val="-3"/>
        </w:rPr>
        <w:t>一揽子交易</w:t>
      </w:r>
      <w:r>
        <w:rPr>
          <w:rFonts w:ascii="Times New Roman" w:hAnsi="Times New Roman" w:cs="Times New Roman" w:eastAsia="Times New Roman" w:hint="default"/>
          <w:spacing w:val="-3"/>
        </w:rPr>
        <w:t>”</w:t>
      </w:r>
      <w:r>
        <w:rPr>
          <w:spacing w:val="-3"/>
        </w:rPr>
        <w:t>的 </w:t>
      </w:r>
      <w:r>
        <w:rPr>
          <w:spacing w:val="-2"/>
        </w:rPr>
        <w:t>在丧失控制权之前，处置价款与处置长期股权投资相对应享有子公司自购买日或合并日开始持续计算的净资产份额之</w:t>
      </w:r>
    </w:p>
    <w:p>
      <w:pPr>
        <w:pStyle w:val="BodyText"/>
        <w:spacing w:line="319" w:lineRule="auto" w:before="31"/>
        <w:ind w:left="575" w:right="0" w:hanging="423"/>
        <w:jc w:val="left"/>
      </w:pPr>
      <w:r>
        <w:rPr>
          <w:spacing w:val="-3"/>
        </w:rPr>
        <w:t>间的差额，调整资本公积（资本溢价），资本溢价不足冲减的，冲减留存收益。</w:t>
      </w:r>
      <w:r>
        <w:rPr>
          <w:spacing w:val="13"/>
        </w:rPr>
        <w:t> </w:t>
      </w:r>
      <w:r>
        <w:rPr>
          <w:spacing w:val="13"/>
        </w:rPr>
      </w:r>
      <w:r>
        <w:rPr>
          <w:spacing w:val="-2"/>
        </w:rPr>
        <w:t>丧失对原子公司控制权时，对于剩余股权，按照其在丧失控制权日的公允价值进行重新计量。处置股权取得的对价与</w:t>
      </w:r>
    </w:p>
    <w:p>
      <w:pPr>
        <w:pStyle w:val="BodyText"/>
        <w:spacing w:line="316" w:lineRule="auto" w:before="17"/>
        <w:ind w:right="1124"/>
        <w:jc w:val="both"/>
      </w:pPr>
      <w:r>
        <w:rPr>
          <w:spacing w:val="-4"/>
          <w:w w:val="101"/>
        </w:rPr>
        <w:t>剩余股权公允价值之和，减去按原持股比例计算应享有原有子公司自购买日或合并日开始持续计算的净资产的份额之间的差</w:t>
      </w:r>
      <w:r>
        <w:rPr>
          <w:w w:val="101"/>
        </w:rPr>
        <w:t> </w:t>
      </w:r>
      <w:r>
        <w:rPr>
          <w:spacing w:val="-4"/>
        </w:rPr>
        <w:t>额，计入丧失控制权当期的投资收益，同时冲减商誉。与原有子公司股权投资相关的其他综合收益等，应当在丧失控制权时</w:t>
      </w:r>
    </w:p>
    <w:p>
      <w:pPr>
        <w:spacing w:after="0" w:line="316" w:lineRule="auto"/>
        <w:jc w:val="both"/>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240" w:lineRule="auto" w:before="46"/>
        <w:ind w:right="0"/>
        <w:jc w:val="left"/>
      </w:pPr>
      <w:r>
        <w:rPr>
          <w:spacing w:val="-3"/>
        </w:rPr>
        <w:t>转为当期投资收益。</w:t>
      </w:r>
    </w:p>
    <w:p>
      <w:pPr>
        <w:pStyle w:val="BodyText"/>
        <w:spacing w:line="300" w:lineRule="auto" w:before="76"/>
        <w:ind w:left="575" w:right="0"/>
        <w:jc w:val="left"/>
      </w:pPr>
      <w:r>
        <w:rPr>
          <w:rFonts w:ascii="Times New Roman" w:hAnsi="Times New Roman" w:cs="Times New Roman" w:eastAsia="Times New Roman" w:hint="default"/>
        </w:rPr>
        <w:t>2) </w:t>
      </w:r>
      <w:r>
        <w:rPr>
          <w:spacing w:val="-3"/>
        </w:rPr>
        <w:t>通过多次交易分步处置对子公司投资至丧失控制权，且属于</w:t>
      </w:r>
      <w:r>
        <w:rPr>
          <w:rFonts w:ascii="Times New Roman" w:hAnsi="Times New Roman" w:cs="Times New Roman" w:eastAsia="Times New Roman" w:hint="default"/>
          <w:spacing w:val="-3"/>
        </w:rPr>
        <w:t>“</w:t>
      </w:r>
      <w:r>
        <w:rPr>
          <w:spacing w:val="-3"/>
        </w:rPr>
        <w:t>一揽子交易</w:t>
      </w:r>
      <w:r>
        <w:rPr>
          <w:rFonts w:ascii="Times New Roman" w:hAnsi="Times New Roman" w:cs="Times New Roman" w:eastAsia="Times New Roman" w:hint="default"/>
          <w:spacing w:val="-3"/>
        </w:rPr>
        <w:t>”</w:t>
      </w:r>
      <w:r>
        <w:rPr>
          <w:spacing w:val="-3"/>
        </w:rPr>
        <w:t>的</w:t>
      </w:r>
      <w:r>
        <w:rPr>
          <w:spacing w:val="-8"/>
        </w:rPr>
        <w:t> </w:t>
      </w:r>
      <w:r>
        <w:rPr>
          <w:spacing w:val="-2"/>
        </w:rPr>
        <w:t>将各项交易作为一项处置子公司并丧失控制权的交易进行会计处理。但是，在丧失控制权之前每一次处置价款与处置</w:t>
      </w:r>
    </w:p>
    <w:p>
      <w:pPr>
        <w:pStyle w:val="BodyText"/>
        <w:spacing w:line="316" w:lineRule="auto" w:before="32"/>
        <w:ind w:right="1037"/>
        <w:jc w:val="left"/>
      </w:pPr>
      <w:r>
        <w:rPr>
          <w:spacing w:val="-4"/>
        </w:rPr>
        <w:t>投资对应的享有该子公司净资产份额的差额，在合并财务报表中确认为其他综合收益，在丧失控制权时一并转入丧失控制权</w:t>
      </w:r>
      <w:r>
        <w:rPr>
          <w:spacing w:val="43"/>
        </w:rPr>
        <w:t> </w:t>
      </w:r>
      <w:r>
        <w:rPr>
          <w:spacing w:val="43"/>
        </w:rPr>
      </w:r>
      <w:r>
        <w:rPr/>
        <w:t>当期的损益。</w:t>
      </w:r>
    </w:p>
    <w:p>
      <w:pPr>
        <w:spacing w:line="240" w:lineRule="auto" w:before="8"/>
        <w:rPr>
          <w:rFonts w:ascii="宋体" w:hAnsi="宋体" w:cs="宋体" w:eastAsia="宋体" w:hint="default"/>
          <w:sz w:val="22"/>
          <w:szCs w:val="22"/>
        </w:rPr>
      </w:pPr>
    </w:p>
    <w:p>
      <w:pPr>
        <w:pStyle w:val="Heading4"/>
        <w:spacing w:line="240" w:lineRule="auto"/>
        <w:ind w:right="0"/>
        <w:jc w:val="left"/>
        <w:rPr>
          <w:b w:val="0"/>
          <w:bCs w:val="0"/>
        </w:rPr>
      </w:pPr>
      <w:bookmarkStart w:name="12、投资性房地产" w:id="183"/>
      <w:bookmarkEnd w:id="183"/>
      <w:r>
        <w:rPr>
          <w:b w:val="0"/>
          <w:bCs w:val="0"/>
        </w:rPr>
      </w:r>
      <w:r>
        <w:rPr>
          <w:rFonts w:ascii="Times New Roman" w:hAnsi="Times New Roman" w:cs="Times New Roman" w:eastAsia="Times New Roman" w:hint="default"/>
        </w:rPr>
        <w:t>12</w:t>
      </w:r>
      <w:r>
        <w:rPr/>
        <w:t>、投资性房地产</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left="575" w:right="8487"/>
        <w:jc w:val="left"/>
      </w:pPr>
      <w:r>
        <w:rPr>
          <w:spacing w:val="-2"/>
        </w:rPr>
        <w:t>投资性房地产计量模式</w:t>
      </w:r>
      <w:r>
        <w:rPr>
          <w:spacing w:val="-66"/>
        </w:rPr>
        <w:t> </w:t>
      </w:r>
      <w:r>
        <w:rPr>
          <w:spacing w:val="-66"/>
        </w:rPr>
      </w:r>
      <w:r>
        <w:rPr/>
        <w:t>成本法计量</w:t>
      </w:r>
      <w:r>
        <w:rPr>
          <w:w w:val="101"/>
        </w:rPr>
        <w:t> </w:t>
      </w:r>
      <w:r>
        <w:rPr>
          <w:spacing w:val="-3"/>
        </w:rPr>
        <w:t>折旧或摊销方法</w:t>
      </w:r>
    </w:p>
    <w:p>
      <w:pPr>
        <w:pStyle w:val="BodyText"/>
        <w:spacing w:line="240" w:lineRule="auto" w:before="17"/>
        <w:ind w:left="575" w:right="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17"/>
        </w:rPr>
        <w:t> </w:t>
      </w:r>
      <w:r>
        <w:rPr>
          <w:spacing w:val="-3"/>
        </w:rPr>
        <w:t>投资性房地产包括已出租的土地使用权、持有并准备增值后转让的土地使用权和已出租的建筑物。</w:t>
      </w:r>
    </w:p>
    <w:p>
      <w:pPr>
        <w:pStyle w:val="BodyText"/>
        <w:spacing w:line="300" w:lineRule="auto" w:before="63"/>
        <w:ind w:right="0" w:firstLine="42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spacing w:val="-3"/>
        </w:rPr>
        <w:t>投资性房地产按照成本进行初始计量，采用成本模式进行后续计量，并采用与固定资产和无形资产相同的方法计提</w:t>
      </w:r>
      <w:r>
        <w:rPr>
          <w:w w:val="101"/>
        </w:rPr>
        <w:t> </w:t>
      </w:r>
      <w:r>
        <w:rPr/>
        <w:t>折旧或进行摊销。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50"/>
        <w:ind w:right="0"/>
        <w:jc w:val="left"/>
        <w:rPr>
          <w:b w:val="0"/>
          <w:bCs w:val="0"/>
        </w:rPr>
      </w:pPr>
      <w:bookmarkStart w:name="13、固定资产" w:id="184"/>
      <w:bookmarkEnd w:id="184"/>
      <w:r>
        <w:rPr>
          <w:b w:val="0"/>
          <w:bCs w:val="0"/>
        </w:rPr>
      </w:r>
      <w:r>
        <w:rPr>
          <w:rFonts w:ascii="Times New Roman" w:hAnsi="Times New Roman" w:cs="Times New Roman" w:eastAsia="Times New Roman" w:hint="default"/>
        </w:rPr>
        <w:t>13</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确认条件" w:id="185"/>
      <w:bookmarkEnd w:id="185"/>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5"/>
        <w:rPr>
          <w:rFonts w:ascii="宋体" w:hAnsi="宋体" w:cs="宋体" w:eastAsia="宋体" w:hint="default"/>
          <w:b/>
          <w:bCs/>
          <w:sz w:val="26"/>
          <w:szCs w:val="26"/>
        </w:rPr>
      </w:pPr>
    </w:p>
    <w:p>
      <w:pPr>
        <w:pStyle w:val="BodyText"/>
        <w:spacing w:line="321" w:lineRule="auto"/>
        <w:ind w:right="0"/>
        <w:jc w:val="left"/>
      </w:pPr>
      <w:r>
        <w:rPr>
          <w:spacing w:val="-4"/>
        </w:rPr>
        <w:t>固定资产是指为生产商品、提供劳务、出租或经营管理而持有的，使用年限超过一个会计年度的有形资产。固定资产在同时</w:t>
      </w:r>
      <w:r>
        <w:rPr>
          <w:spacing w:val="40"/>
        </w:rPr>
        <w:t> </w:t>
      </w:r>
      <w:r>
        <w:rPr>
          <w:spacing w:val="40"/>
        </w:rPr>
      </w:r>
      <w:r>
        <w:rPr>
          <w:spacing w:val="-3"/>
        </w:rPr>
        <w:t>满足经济利益很可能流入、成本能够可靠计量时予以确认。</w:t>
      </w:r>
    </w:p>
    <w:p>
      <w:pPr>
        <w:spacing w:line="240" w:lineRule="auto" w:before="13"/>
        <w:rPr>
          <w:rFonts w:ascii="宋体" w:hAnsi="宋体" w:cs="宋体" w:eastAsia="宋体" w:hint="default"/>
          <w:sz w:val="21"/>
          <w:szCs w:val="21"/>
        </w:rPr>
      </w:pPr>
    </w:p>
    <w:p>
      <w:pPr>
        <w:pStyle w:val="Heading4"/>
        <w:spacing w:line="240" w:lineRule="auto"/>
        <w:ind w:right="0"/>
        <w:jc w:val="left"/>
        <w:rPr>
          <w:b w:val="0"/>
          <w:bCs w:val="0"/>
        </w:rPr>
      </w:pPr>
      <w:bookmarkStart w:name="（2）折旧方法" w:id="186"/>
      <w:bookmarkEnd w:id="186"/>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399"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4.75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31.67-19.00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19.00</w:t>
            </w:r>
          </w:p>
        </w:tc>
      </w:tr>
    </w:tbl>
    <w:p>
      <w:pPr>
        <w:pStyle w:val="BodyText"/>
        <w:spacing w:line="240" w:lineRule="auto" w:before="11"/>
        <w:ind w:right="0"/>
        <w:jc w:val="left"/>
      </w:pPr>
      <w:r>
        <w:rPr>
          <w:w w:val="101"/>
        </w:rPr>
        <w:t>无</w:t>
      </w:r>
      <w:r>
        <w:rPr/>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bookmarkStart w:name="（3）融资租入固定资产的认定依据、计价和折旧方法" w:id="187"/>
      <w:bookmarkEnd w:id="187"/>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14、在建工程" w:id="188"/>
      <w:bookmarkEnd w:id="188"/>
      <w:r>
        <w:rPr>
          <w:b w:val="0"/>
          <w:bCs w:val="0"/>
        </w:rPr>
      </w:r>
      <w:r>
        <w:rPr>
          <w:rFonts w:ascii="Times New Roman" w:hAnsi="Times New Roman" w:cs="Times New Roman" w:eastAsia="Times New Roman" w:hint="default"/>
        </w:rPr>
        <w:t>14</w:t>
      </w:r>
      <w:r>
        <w:rPr/>
        <w:t>、在建工程</w:t>
      </w:r>
      <w:r>
        <w:rPr>
          <w:b w:val="0"/>
          <w:bCs w:val="0"/>
        </w:rPr>
      </w:r>
    </w:p>
    <w:p>
      <w:pPr>
        <w:spacing w:line="240" w:lineRule="auto" w:before="9"/>
        <w:rPr>
          <w:rFonts w:ascii="宋体" w:hAnsi="宋体" w:cs="宋体" w:eastAsia="宋体" w:hint="default"/>
          <w:b/>
          <w:bCs/>
          <w:sz w:val="26"/>
          <w:szCs w:val="26"/>
        </w:rPr>
      </w:pPr>
    </w:p>
    <w:p>
      <w:pPr>
        <w:pStyle w:val="BodyText"/>
        <w:spacing w:line="300" w:lineRule="auto"/>
        <w:ind w:right="0" w:firstLine="42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spacing w:val="-3"/>
        </w:rPr>
        <w:t>在建工程同时满足经济利益很可能流入、成本能够可靠计量则予以确认。在建工程按建造该项资产达到预定可使用</w:t>
      </w:r>
      <w:r>
        <w:rPr>
          <w:w w:val="101"/>
        </w:rPr>
        <w:t> </w:t>
      </w:r>
      <w:r>
        <w:rPr>
          <w:spacing w:val="-3"/>
        </w:rPr>
        <w:t>状态前所发生的实际成本计量。</w:t>
      </w:r>
    </w:p>
    <w:p>
      <w:pPr>
        <w:pStyle w:val="BodyText"/>
        <w:spacing w:line="300" w:lineRule="auto" w:before="31"/>
        <w:ind w:right="0" w:firstLine="42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spacing w:val="-3"/>
        </w:rPr>
        <w:t>在建工程达到预定可使用状态时，按工程实际成本转入固定资产。已达到预定可使用状态但尚未办理竣工决算的，</w:t>
      </w:r>
      <w:r>
        <w:rPr>
          <w:w w:val="101"/>
        </w:rPr>
        <w:t> </w:t>
      </w:r>
      <w:r>
        <w:rPr>
          <w:spacing w:val="-3"/>
        </w:rPr>
        <w:t>先按估计价值转入固定资产，待办理竣工决算后再按实际成本调整原暂估价值，但不再调整原已计提的折旧。</w:t>
      </w:r>
    </w:p>
    <w:p>
      <w:pPr>
        <w:spacing w:after="0" w:line="300" w:lineRule="auto"/>
        <w:jc w:val="left"/>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4"/>
        <w:spacing w:line="240" w:lineRule="auto" w:before="36"/>
        <w:ind w:right="0"/>
        <w:jc w:val="both"/>
        <w:rPr>
          <w:b w:val="0"/>
          <w:bCs w:val="0"/>
        </w:rPr>
      </w:pPr>
      <w:bookmarkStart w:name="15、借款费用" w:id="189"/>
      <w:bookmarkEnd w:id="189"/>
      <w:r>
        <w:rPr>
          <w:b w:val="0"/>
          <w:bCs w:val="0"/>
        </w:rPr>
      </w:r>
      <w:r>
        <w:rPr>
          <w:rFonts w:ascii="Times New Roman" w:hAnsi="Times New Roman" w:cs="Times New Roman" w:eastAsia="Times New Roman" w:hint="default"/>
        </w:rPr>
        <w:t>15</w:t>
      </w:r>
      <w:r>
        <w:rPr/>
        <w:t>、借款费用</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75" w:right="0"/>
        <w:jc w:val="left"/>
      </w:pPr>
      <w:r>
        <w:rPr>
          <w:rFonts w:ascii="Times New Roman" w:hAnsi="Times New Roman" w:cs="Times New Roman" w:eastAsia="Times New Roman" w:hint="default"/>
        </w:rPr>
        <w:t>1. </w:t>
      </w:r>
      <w:r>
        <w:rPr>
          <w:spacing w:val="-3"/>
        </w:rPr>
        <w:t>借款费用资本化的确认原则</w:t>
      </w:r>
      <w:r>
        <w:rPr>
          <w:spacing w:val="-70"/>
        </w:rPr>
        <w:t> </w:t>
      </w:r>
      <w:r>
        <w:rPr>
          <w:spacing w:val="-70"/>
        </w:rPr>
      </w:r>
      <w:r>
        <w:rPr>
          <w:spacing w:val="-2"/>
        </w:rPr>
        <w:t>公司发生的借款费用，可直接归属于符合资本化条件的资产的购建或者生产的，予以资本化，计入相关资产成本；其</w:t>
      </w:r>
    </w:p>
    <w:p>
      <w:pPr>
        <w:pStyle w:val="BodyText"/>
        <w:spacing w:line="240" w:lineRule="auto" w:before="31"/>
        <w:ind w:right="0"/>
        <w:jc w:val="both"/>
      </w:pPr>
      <w:r>
        <w:rPr>
          <w:spacing w:val="-3"/>
        </w:rPr>
        <w:t>他借款费用，在发生时确认为费用，计入当期损益。</w:t>
      </w:r>
    </w:p>
    <w:p>
      <w:pPr>
        <w:pStyle w:val="BodyText"/>
        <w:spacing w:line="240" w:lineRule="auto" w:before="76"/>
        <w:ind w:left="575"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14"/>
        </w:rPr>
        <w:t> </w:t>
      </w:r>
      <w:r>
        <w:rPr>
          <w:spacing w:val="-3"/>
        </w:rPr>
        <w:t>借款费用资本化期间</w:t>
      </w:r>
    </w:p>
    <w:p>
      <w:pPr>
        <w:pStyle w:val="BodyText"/>
        <w:spacing w:line="300" w:lineRule="auto" w:before="63"/>
        <w:ind w:right="0" w:firstLine="422"/>
        <w:jc w:val="left"/>
      </w:pPr>
      <w:r>
        <w:rPr>
          <w:rFonts w:ascii="Times New Roman" w:hAnsi="Times New Roman" w:cs="Times New Roman" w:eastAsia="Times New Roman" w:hint="default"/>
        </w:rPr>
        <w:t>(1) </w:t>
      </w:r>
      <w:r>
        <w:rPr>
          <w:spacing w:val="-3"/>
        </w:rPr>
        <w:t>当借款费用同时满足下列条件时，开始资本化：</w:t>
      </w:r>
      <w:r>
        <w:rPr>
          <w:rFonts w:ascii="Times New Roman" w:hAnsi="Times New Roman" w:cs="Times New Roman" w:eastAsia="Times New Roman" w:hint="default"/>
          <w:spacing w:val="-3"/>
        </w:rPr>
        <w:t>1) </w:t>
      </w:r>
      <w:r>
        <w:rPr>
          <w:spacing w:val="-3"/>
        </w:rPr>
        <w:t>资产支出已经发生；</w:t>
      </w:r>
      <w:r>
        <w:rPr>
          <w:rFonts w:ascii="Times New Roman" w:hAnsi="Times New Roman" w:cs="Times New Roman" w:eastAsia="Times New Roman" w:hint="default"/>
          <w:spacing w:val="-3"/>
        </w:rPr>
        <w:t>2) </w:t>
      </w:r>
      <w:r>
        <w:rPr>
          <w:spacing w:val="-3"/>
        </w:rPr>
        <w:t>借款费用已经发生；</w:t>
      </w:r>
      <w:r>
        <w:rPr>
          <w:rFonts w:ascii="Times New Roman" w:hAnsi="Times New Roman" w:cs="Times New Roman" w:eastAsia="Times New Roman" w:hint="default"/>
          <w:spacing w:val="-3"/>
        </w:rPr>
        <w:t>3)</w:t>
      </w:r>
      <w:r>
        <w:rPr>
          <w:rFonts w:ascii="Times New Roman" w:hAnsi="Times New Roman" w:cs="Times New Roman" w:eastAsia="Times New Roman" w:hint="default"/>
          <w:spacing w:val="36"/>
        </w:rPr>
        <w:t> </w:t>
      </w:r>
      <w:r>
        <w:rPr>
          <w:spacing w:val="-3"/>
        </w:rPr>
        <w:t>为使资产达到预</w:t>
      </w:r>
      <w:r>
        <w:rPr>
          <w:w w:val="101"/>
        </w:rPr>
        <w:t> </w:t>
      </w:r>
      <w:r>
        <w:rPr>
          <w:spacing w:val="-3"/>
        </w:rPr>
        <w:t>定可使用或可销售状态所必要的购建或者生产活动已经开始。</w:t>
      </w:r>
    </w:p>
    <w:p>
      <w:pPr>
        <w:pStyle w:val="BodyText"/>
        <w:spacing w:line="300" w:lineRule="auto" w:before="31"/>
        <w:ind w:right="0" w:firstLine="42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0"/>
        </w:rPr>
        <w:t> </w:t>
      </w:r>
      <w:r>
        <w:rPr>
          <w:spacing w:val="-2"/>
        </w:rPr>
        <w:t>若符合资本化条件的资产在购建或者生产过程中发生非正常中断，并且中断时间连续超过</w:t>
      </w:r>
      <w:r>
        <w:rPr>
          <w:rFonts w:ascii="Times New Roman" w:hAnsi="Times New Roman" w:cs="Times New Roman" w:eastAsia="Times New Roman" w:hint="default"/>
          <w:spacing w:val="-2"/>
        </w:rPr>
        <w:t>3</w:t>
      </w:r>
      <w:r>
        <w:rPr>
          <w:spacing w:val="-2"/>
        </w:rPr>
        <w:t>个月，暂停借款费用的</w:t>
      </w:r>
      <w:r>
        <w:rPr>
          <w:w w:val="101"/>
        </w:rPr>
        <w:t> </w:t>
      </w:r>
      <w:r>
        <w:rPr>
          <w:spacing w:val="-3"/>
        </w:rPr>
        <w:t>资本化；中断期间发生的借款费用确认为当期费用，直至资产的购建或者生产活动重新开始。</w:t>
      </w:r>
    </w:p>
    <w:p>
      <w:pPr>
        <w:pStyle w:val="BodyText"/>
        <w:spacing w:line="240" w:lineRule="auto" w:before="31"/>
        <w:ind w:left="575" w:right="0"/>
        <w:jc w:val="left"/>
      </w:pPr>
      <w:r>
        <w:rPr>
          <w:rFonts w:ascii="Times New Roman" w:hAnsi="Times New Roman" w:cs="Times New Roman" w:eastAsia="Times New Roman" w:hint="default"/>
        </w:rPr>
        <w:t>(3)   </w:t>
      </w:r>
      <w:r>
        <w:rPr>
          <w:rFonts w:ascii="Times New Roman" w:hAnsi="Times New Roman" w:cs="Times New Roman" w:eastAsia="Times New Roman" w:hint="default"/>
          <w:spacing w:val="19"/>
        </w:rPr>
        <w:t> </w:t>
      </w:r>
      <w:r>
        <w:rPr>
          <w:spacing w:val="-3"/>
        </w:rPr>
        <w:t>当所购建或者生产符合资本化条件的资产达到预定可使用或可销售状态时，借款费用停止资本化。</w:t>
      </w:r>
    </w:p>
    <w:p>
      <w:pPr>
        <w:pStyle w:val="BodyText"/>
        <w:spacing w:line="300" w:lineRule="auto" w:before="63"/>
        <w:ind w:left="575" w:right="0"/>
        <w:jc w:val="left"/>
      </w:pPr>
      <w:r>
        <w:rPr>
          <w:rFonts w:ascii="Times New Roman" w:hAnsi="Times New Roman" w:cs="Times New Roman" w:eastAsia="Times New Roman" w:hint="default"/>
        </w:rPr>
        <w:t>3. </w:t>
      </w:r>
      <w:r>
        <w:rPr>
          <w:spacing w:val="-3"/>
        </w:rPr>
        <w:t>借款费用资本化率以及资本化金额</w:t>
      </w:r>
      <w:r>
        <w:rPr>
          <w:spacing w:val="-59"/>
        </w:rPr>
        <w:t> </w:t>
      </w:r>
      <w:r>
        <w:rPr>
          <w:spacing w:val="-59"/>
        </w:rPr>
      </w:r>
      <w:r>
        <w:rPr>
          <w:spacing w:val="-2"/>
        </w:rPr>
        <w:t>为购建或者生产符合资本化条件的资产而借入专门借款的，以专门借款当期实际发生的利息费用（包括按照实际利率</w:t>
      </w:r>
    </w:p>
    <w:p>
      <w:pPr>
        <w:pStyle w:val="BodyText"/>
        <w:spacing w:line="319" w:lineRule="auto" w:before="31"/>
        <w:ind w:right="1124"/>
        <w:jc w:val="both"/>
      </w:pPr>
      <w:r>
        <w:rPr>
          <w:spacing w:val="-4"/>
        </w:rPr>
        <w:t>法确定的折价或溢价的摊销），减去将尚未动用的借款资金存入银行取得的利息收入或进行暂时性投资取得的投资收益后的</w:t>
      </w:r>
      <w:r>
        <w:rPr>
          <w:spacing w:val="38"/>
        </w:rPr>
        <w:t> </w:t>
      </w:r>
      <w:r>
        <w:rPr>
          <w:spacing w:val="38"/>
        </w:rPr>
      </w:r>
      <w:r>
        <w:rPr>
          <w:spacing w:val="-4"/>
        </w:rPr>
        <w:t>金额，确定应予资本化的利息金额；为购建或者生产符合资本化条件的资产占用了一般借款的，根据累计资产支出超过专门</w:t>
      </w:r>
      <w:r>
        <w:rPr>
          <w:spacing w:val="43"/>
        </w:rPr>
        <w:t> </w:t>
      </w:r>
      <w:r>
        <w:rPr>
          <w:spacing w:val="43"/>
        </w:rPr>
      </w:r>
      <w:r>
        <w:rPr>
          <w:spacing w:val="-3"/>
        </w:rPr>
        <w:t>借款的资产支出加权平均数乘以占用一般借款的资本化率，计算确定一般借款应予资本化的利息金额。</w:t>
      </w:r>
    </w:p>
    <w:p>
      <w:pPr>
        <w:spacing w:line="240" w:lineRule="auto" w:before="6"/>
        <w:rPr>
          <w:rFonts w:ascii="宋体" w:hAnsi="宋体" w:cs="宋体" w:eastAsia="宋体" w:hint="default"/>
          <w:sz w:val="22"/>
          <w:szCs w:val="22"/>
        </w:rPr>
      </w:pPr>
    </w:p>
    <w:p>
      <w:pPr>
        <w:pStyle w:val="Heading4"/>
        <w:spacing w:line="240" w:lineRule="auto"/>
        <w:ind w:right="0"/>
        <w:jc w:val="both"/>
        <w:rPr>
          <w:b w:val="0"/>
          <w:bCs w:val="0"/>
        </w:rPr>
      </w:pPr>
      <w:bookmarkStart w:name="16、无形资产" w:id="190"/>
      <w:bookmarkEnd w:id="190"/>
      <w:r>
        <w:rPr>
          <w:b w:val="0"/>
          <w:bCs w:val="0"/>
        </w:rPr>
      </w:r>
      <w:r>
        <w:rPr>
          <w:rFonts w:ascii="Times New Roman" w:hAnsi="Times New Roman" w:cs="Times New Roman" w:eastAsia="Times New Roman" w:hint="default"/>
        </w:rPr>
        <w:t>16</w:t>
      </w:r>
      <w:r>
        <w:rPr/>
        <w:t>、无形资产</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both"/>
        <w:rPr>
          <w:b w:val="0"/>
          <w:bCs w:val="0"/>
        </w:rPr>
      </w:pPr>
      <w:bookmarkStart w:name="（1）计价方法、使用寿命、减值测试" w:id="191"/>
      <w:bookmarkEnd w:id="191"/>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75" w:right="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34"/>
        </w:rPr>
        <w:t> </w:t>
      </w:r>
      <w:r>
        <w:rPr>
          <w:spacing w:val="-3"/>
        </w:rPr>
        <w:t>无形资产包括土地使用权、专利权及非专利技术等，按成本进行初始计量。</w:t>
      </w:r>
    </w:p>
    <w:p>
      <w:pPr>
        <w:pStyle w:val="BodyText"/>
        <w:spacing w:line="300" w:lineRule="auto" w:before="63"/>
        <w:ind w:right="0" w:firstLine="42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spacing w:val="-3"/>
        </w:rPr>
        <w:t>使用寿命有限的无形资产，在使用寿命内按照与该项无形资产有关的经济利益的预期实现方式系统合理地摊销，无</w:t>
      </w:r>
      <w:r>
        <w:rPr>
          <w:w w:val="101"/>
        </w:rPr>
        <w:t> </w:t>
      </w:r>
      <w:r>
        <w:rPr>
          <w:spacing w:val="-3"/>
        </w:rPr>
        <w:t>法可靠确定预期实现方式的，采用直线法摊销。具体年限如下：</w:t>
      </w:r>
    </w:p>
    <w:tbl>
      <w:tblPr>
        <w:tblW w:w="0" w:type="auto"/>
        <w:jc w:val="left"/>
        <w:tblInd w:w="503" w:type="dxa"/>
        <w:tblLayout w:type="fixed"/>
        <w:tblCellMar>
          <w:top w:w="0" w:type="dxa"/>
          <w:left w:w="0" w:type="dxa"/>
          <w:bottom w:w="0" w:type="dxa"/>
          <w:right w:w="0" w:type="dxa"/>
        </w:tblCellMar>
        <w:tblLook w:val="01E0"/>
      </w:tblPr>
      <w:tblGrid>
        <w:gridCol w:w="2161"/>
        <w:gridCol w:w="2163"/>
      </w:tblGrid>
      <w:tr>
        <w:trPr>
          <w:trHeight w:val="346" w:hRule="exact"/>
        </w:trPr>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27"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8"/>
                <w:sz w:val="18"/>
                <w:szCs w:val="18"/>
              </w:rPr>
              <w:t> </w:t>
            </w:r>
            <w:r>
              <w:rPr>
                <w:rFonts w:ascii="宋体" w:hAnsi="宋体" w:cs="宋体" w:eastAsia="宋体" w:hint="default"/>
                <w:sz w:val="18"/>
                <w:szCs w:val="18"/>
              </w:rPr>
              <w:t>目</w:t>
            </w:r>
          </w:p>
        </w:tc>
        <w:tc>
          <w:tcPr>
            <w:tcW w:w="21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left="4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摊销年限</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r>
      <w:tr>
        <w:trPr>
          <w:trHeight w:val="346" w:hRule="exact"/>
        </w:trPr>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27"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21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left="427" w:right="0"/>
              <w:jc w:val="left"/>
              <w:rPr>
                <w:rFonts w:ascii="Times New Roman" w:hAnsi="Times New Roman" w:cs="Times New Roman" w:eastAsia="Times New Roman" w:hint="default"/>
                <w:sz w:val="18"/>
                <w:szCs w:val="18"/>
              </w:rPr>
            </w:pPr>
            <w:r>
              <w:rPr>
                <w:rFonts w:ascii="Times New Roman"/>
                <w:sz w:val="18"/>
              </w:rPr>
              <w:t>3-5</w:t>
            </w:r>
          </w:p>
        </w:tc>
      </w:tr>
      <w:tr>
        <w:trPr>
          <w:trHeight w:val="350" w:hRule="exact"/>
        </w:trPr>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2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1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7"/>
              <w:ind w:left="427" w:right="0"/>
              <w:jc w:val="left"/>
              <w:rPr>
                <w:rFonts w:ascii="Times New Roman" w:hAnsi="Times New Roman" w:cs="Times New Roman" w:eastAsia="Times New Roman" w:hint="default"/>
                <w:sz w:val="18"/>
                <w:szCs w:val="18"/>
              </w:rPr>
            </w:pPr>
            <w:r>
              <w:rPr>
                <w:rFonts w:ascii="Times New Roman"/>
                <w:sz w:val="18"/>
              </w:rPr>
              <w:t>50</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Heading4"/>
        <w:spacing w:line="240" w:lineRule="auto" w:before="36"/>
        <w:ind w:right="0"/>
        <w:jc w:val="left"/>
        <w:rPr>
          <w:b w:val="0"/>
          <w:bCs w:val="0"/>
        </w:rPr>
      </w:pPr>
      <w:bookmarkStart w:name="（2）内部研究开发支出会计政策" w:id="192"/>
      <w:bookmarkEnd w:id="192"/>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5"/>
        <w:rPr>
          <w:rFonts w:ascii="宋体" w:hAnsi="宋体" w:cs="宋体" w:eastAsia="宋体" w:hint="default"/>
          <w:b/>
          <w:bCs/>
          <w:sz w:val="26"/>
          <w:szCs w:val="26"/>
        </w:rPr>
      </w:pPr>
    </w:p>
    <w:p>
      <w:pPr>
        <w:pStyle w:val="BodyText"/>
        <w:spacing w:line="304" w:lineRule="auto"/>
        <w:ind w:right="1122" w:firstLine="422"/>
        <w:jc w:val="both"/>
      </w:pPr>
      <w:r>
        <w:rPr>
          <w:spacing w:val="-2"/>
        </w:rPr>
        <w:t>内部研究开发项目研究阶段的支出，于发生时计入当期损益。内部研究开发项目开发阶段的支出，同时满足下列条件</w:t>
      </w:r>
      <w:r>
        <w:rPr>
          <w:w w:val="101"/>
        </w:rPr>
        <w:t> </w:t>
      </w:r>
      <w:r>
        <w:rPr/>
        <w:t>的，确认为无形资产：</w:t>
      </w:r>
      <w:r>
        <w:rPr>
          <w:rFonts w:ascii="Times New Roman" w:hAnsi="Times New Roman" w:cs="Times New Roman" w:eastAsia="Times New Roman" w:hint="default"/>
        </w:rPr>
        <w:t>(1)</w:t>
      </w:r>
      <w:r>
        <w:rPr>
          <w:rFonts w:ascii="Times New Roman" w:hAnsi="Times New Roman" w:cs="Times New Roman" w:eastAsia="Times New Roman" w:hint="default"/>
          <w:spacing w:val="17"/>
        </w:rPr>
        <w:t> </w:t>
      </w:r>
      <w:r>
        <w:rPr/>
        <w:t>完成该无形资产以使其能够使用或出售在技术上具有可行性；</w:t>
      </w:r>
      <w:r>
        <w:rPr>
          <w:rFonts w:ascii="Times New Roman" w:hAnsi="Times New Roman" w:cs="Times New Roman" w:eastAsia="Times New Roman" w:hint="default"/>
        </w:rPr>
        <w:t>(2)</w:t>
      </w:r>
      <w:r>
        <w:rPr>
          <w:rFonts w:ascii="Times New Roman" w:hAnsi="Times New Roman" w:cs="Times New Roman" w:eastAsia="Times New Roman" w:hint="default"/>
          <w:spacing w:val="17"/>
        </w:rPr>
        <w:t> </w:t>
      </w:r>
      <w:r>
        <w:rPr/>
        <w:t>具有完成该无形资产并使用或</w:t>
      </w:r>
      <w:r>
        <w:rPr>
          <w:spacing w:val="-84"/>
        </w:rPr>
        <w:t> </w:t>
      </w:r>
      <w:r>
        <w:rPr>
          <w:spacing w:val="-84"/>
        </w:rPr>
      </w:r>
      <w:r>
        <w:rPr>
          <w:spacing w:val="-3"/>
        </w:rPr>
        <w:t>出售的意图；</w:t>
      </w:r>
      <w:r>
        <w:rPr>
          <w:rFonts w:ascii="Times New Roman" w:hAnsi="Times New Roman" w:cs="Times New Roman" w:eastAsia="Times New Roman" w:hint="default"/>
          <w:spacing w:val="-3"/>
        </w:rPr>
        <w:t>(3) </w:t>
      </w:r>
      <w:r>
        <w:rPr>
          <w:spacing w:val="-3"/>
        </w:rPr>
        <w:t>无形资产产生经济利益的方式，包括能够证明运用该无形资产生产的产品存在市场或无形资产自身存在市</w:t>
      </w:r>
      <w:r>
        <w:rPr>
          <w:spacing w:val="-74"/>
        </w:rPr>
        <w:t> </w:t>
      </w:r>
      <w:r>
        <w:rPr>
          <w:spacing w:val="-74"/>
        </w:rPr>
      </w:r>
      <w:r>
        <w:rPr>
          <w:spacing w:val="-7"/>
        </w:rPr>
        <w:t>场，无形资产将在内部使用的，能证明其有用性；</w:t>
      </w:r>
      <w:r>
        <w:rPr>
          <w:rFonts w:ascii="Times New Roman" w:hAnsi="Times New Roman" w:cs="Times New Roman" w:eastAsia="Times New Roman" w:hint="default"/>
          <w:spacing w:val="-7"/>
        </w:rPr>
        <w:t>(4) </w:t>
      </w:r>
      <w:r>
        <w:rPr>
          <w:spacing w:val="-5"/>
        </w:rPr>
        <w:t>有足够的技术、财务资源和其他资源支持，以完成该无形资产的开发，</w:t>
      </w:r>
      <w:r>
        <w:rPr>
          <w:spacing w:val="-64"/>
        </w:rPr>
        <w:t> </w:t>
      </w:r>
      <w:r>
        <w:rPr>
          <w:spacing w:val="-64"/>
        </w:rPr>
      </w:r>
      <w:r>
        <w:rPr>
          <w:spacing w:val="-3"/>
        </w:rPr>
        <w:t>并有能力使用或出售该无形资产；</w:t>
      </w:r>
      <w:r>
        <w:rPr>
          <w:rFonts w:ascii="Times New Roman" w:hAnsi="Times New Roman" w:cs="Times New Roman" w:eastAsia="Times New Roman" w:hint="default"/>
          <w:spacing w:val="-3"/>
        </w:rPr>
        <w:t>(5)   </w:t>
      </w:r>
      <w:r>
        <w:rPr>
          <w:rFonts w:ascii="Times New Roman" w:hAnsi="Times New Roman" w:cs="Times New Roman" w:eastAsia="Times New Roman" w:hint="default"/>
          <w:spacing w:val="19"/>
        </w:rPr>
        <w:t> </w:t>
      </w:r>
      <w:r>
        <w:rPr>
          <w:spacing w:val="-3"/>
        </w:rPr>
        <w:t>归属于该无形资产开发阶段的支出能够可靠地计量。</w:t>
      </w:r>
    </w:p>
    <w:p>
      <w:pPr>
        <w:pStyle w:val="BodyText"/>
        <w:spacing w:line="300" w:lineRule="auto" w:before="9"/>
        <w:ind w:right="1122" w:firstLine="422"/>
        <w:jc w:val="both"/>
      </w:pPr>
      <w:r>
        <w:rPr>
          <w:spacing w:val="-4"/>
        </w:rPr>
        <w:t>公司划分内部研究开发项目研究阶段支出和开发阶段支出的具体标准：公司在开展基于原</w:t>
      </w:r>
      <w:r>
        <w:rPr>
          <w:rFonts w:ascii="Times New Roman" w:hAnsi="Times New Roman" w:cs="Times New Roman" w:eastAsia="Times New Roman" w:hint="default"/>
          <w:spacing w:val="-4"/>
        </w:rPr>
        <w:t>HIS</w:t>
      </w:r>
      <w:r>
        <w:rPr>
          <w:spacing w:val="-4"/>
        </w:rPr>
        <w:t>系统、</w:t>
      </w:r>
      <w:r>
        <w:rPr>
          <w:rFonts w:ascii="Times New Roman" w:hAnsi="Times New Roman" w:cs="Times New Roman" w:eastAsia="Times New Roman" w:hint="default"/>
          <w:spacing w:val="-4"/>
        </w:rPr>
        <w:t>PRIDE</w:t>
      </w:r>
      <w:r>
        <w:rPr>
          <w:spacing w:val="-4"/>
        </w:rPr>
        <w:t>系统完成对</w:t>
      </w:r>
      <w:r>
        <w:rPr>
          <w:w w:val="101"/>
        </w:rPr>
        <w:t> </w:t>
      </w:r>
      <w:r>
        <w:rPr>
          <w:spacing w:val="-3"/>
        </w:rPr>
        <w:t>一体化</w:t>
      </w:r>
      <w:r>
        <w:rPr>
          <w:rFonts w:ascii="Times New Roman" w:hAnsi="Times New Roman" w:cs="Times New Roman" w:eastAsia="Times New Roman" w:hint="default"/>
          <w:spacing w:val="-3"/>
        </w:rPr>
        <w:t>HIS/EMR</w:t>
      </w:r>
      <w:r>
        <w:rPr>
          <w:spacing w:val="-3"/>
        </w:rPr>
        <w:t>系统重新构建的</w:t>
      </w:r>
      <w:r>
        <w:rPr>
          <w:rFonts w:ascii="Times New Roman" w:hAnsi="Times New Roman" w:cs="Times New Roman" w:eastAsia="Times New Roman" w:hint="default"/>
          <w:spacing w:val="-3"/>
        </w:rPr>
        <w:t>SMART HIS</w:t>
      </w:r>
      <w:r>
        <w:rPr>
          <w:spacing w:val="-3"/>
        </w:rPr>
        <w:t>项目开发时，开始资本化，在完成开发形成标准化产品达到交付条件时停止资</w:t>
      </w:r>
      <w:r>
        <w:rPr>
          <w:spacing w:val="-51"/>
        </w:rPr>
        <w:t> </w:t>
      </w:r>
      <w:r>
        <w:rPr>
          <w:spacing w:val="-51"/>
        </w:rPr>
      </w:r>
      <w:r>
        <w:rPr>
          <w:spacing w:val="-3"/>
        </w:rPr>
        <w:t>本化，并转入无形资产。</w:t>
      </w:r>
    </w:p>
    <w:p>
      <w:pPr>
        <w:spacing w:line="240" w:lineRule="auto" w:before="7"/>
        <w:rPr>
          <w:rFonts w:ascii="宋体" w:hAnsi="宋体" w:cs="宋体" w:eastAsia="宋体" w:hint="default"/>
          <w:sz w:val="23"/>
          <w:szCs w:val="23"/>
        </w:rPr>
      </w:pPr>
    </w:p>
    <w:p>
      <w:pPr>
        <w:pStyle w:val="Heading4"/>
        <w:spacing w:line="240" w:lineRule="auto"/>
        <w:ind w:right="0"/>
        <w:jc w:val="left"/>
        <w:rPr>
          <w:b w:val="0"/>
          <w:bCs w:val="0"/>
        </w:rPr>
      </w:pPr>
      <w:bookmarkStart w:name="17、长期资产减值" w:id="193"/>
      <w:bookmarkEnd w:id="193"/>
      <w:r>
        <w:rPr>
          <w:b w:val="0"/>
          <w:bCs w:val="0"/>
        </w:rPr>
      </w:r>
      <w:r>
        <w:rPr>
          <w:rFonts w:ascii="Times New Roman" w:hAnsi="Times New Roman" w:cs="Times New Roman" w:eastAsia="Times New Roman" w:hint="default"/>
        </w:rPr>
        <w:t>17</w:t>
      </w:r>
      <w:r>
        <w:rPr/>
        <w:t>、长期资产减值</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22" w:firstLine="422"/>
        <w:jc w:val="both"/>
      </w:pPr>
      <w:r>
        <w:rPr>
          <w:spacing w:val="-2"/>
        </w:rPr>
        <w:t>对长期股权投资、采用成本模式计量的投资性房地产、固定资产、在建工程、使用寿命有限的无形资产等长期资产，</w:t>
      </w:r>
      <w:r>
        <w:rPr>
          <w:w w:val="101"/>
        </w:rPr>
        <w:t> </w:t>
      </w:r>
      <w:r>
        <w:rPr>
          <w:spacing w:val="-4"/>
        </w:rPr>
        <w:t>在资产负债表日有迹象表明发生减值的，估计其可收回金额。对因企业合并所形成的商誉和使用寿命不确定的无形资产，无</w:t>
      </w:r>
    </w:p>
    <w:p>
      <w:pPr>
        <w:spacing w:after="0" w:line="316" w:lineRule="auto"/>
        <w:jc w:val="both"/>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16" w:lineRule="auto" w:before="46"/>
        <w:ind w:left="575" w:right="0" w:hanging="423"/>
        <w:jc w:val="left"/>
      </w:pPr>
      <w:r>
        <w:rPr>
          <w:spacing w:val="-3"/>
        </w:rPr>
        <w:t>论是否存在减值迹象，每年都进行减值测试。商誉结合与其相关的资产组或者资产组组合进行减值测试。</w:t>
      </w:r>
      <w:r>
        <w:rPr>
          <w:spacing w:val="43"/>
        </w:rPr>
        <w:t> </w:t>
      </w:r>
      <w:r>
        <w:rPr>
          <w:spacing w:val="43"/>
        </w:rPr>
      </w:r>
      <w:r>
        <w:rPr>
          <w:spacing w:val="-3"/>
        </w:rPr>
        <w:t>若上述长期资产的可收回金额低于其账面价值的，按其差额确认资产减值准备并计入当期损益。</w:t>
      </w:r>
    </w:p>
    <w:p>
      <w:pPr>
        <w:spacing w:line="240" w:lineRule="auto" w:before="9"/>
        <w:rPr>
          <w:rFonts w:ascii="宋体" w:hAnsi="宋体" w:cs="宋体" w:eastAsia="宋体" w:hint="default"/>
          <w:sz w:val="22"/>
          <w:szCs w:val="22"/>
        </w:rPr>
      </w:pPr>
    </w:p>
    <w:p>
      <w:pPr>
        <w:pStyle w:val="Heading4"/>
        <w:spacing w:line="240" w:lineRule="auto"/>
        <w:ind w:right="0"/>
        <w:jc w:val="left"/>
        <w:rPr>
          <w:b w:val="0"/>
          <w:bCs w:val="0"/>
        </w:rPr>
      </w:pPr>
      <w:bookmarkStart w:name="18、长期待摊费用" w:id="194"/>
      <w:bookmarkEnd w:id="194"/>
      <w:r>
        <w:rPr>
          <w:b w:val="0"/>
          <w:bCs w:val="0"/>
        </w:rPr>
      </w:r>
      <w:r>
        <w:rPr>
          <w:rFonts w:ascii="Times New Roman" w:hAnsi="Times New Roman" w:cs="Times New Roman" w:eastAsia="Times New Roman" w:hint="default"/>
        </w:rPr>
        <w:t>18</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1123" w:firstLine="422"/>
        <w:jc w:val="both"/>
      </w:pPr>
      <w:r>
        <w:rPr>
          <w:spacing w:val="-2"/>
        </w:rPr>
        <w:t>长期待摊费用核算已经支出，摊销期限在</w:t>
      </w:r>
      <w:r>
        <w:rPr>
          <w:rFonts w:ascii="Times New Roman" w:hAnsi="Times New Roman" w:cs="Times New Roman" w:eastAsia="Times New Roman" w:hint="default"/>
          <w:spacing w:val="-2"/>
        </w:rPr>
        <w:t>1</w:t>
      </w:r>
      <w:r>
        <w:rPr>
          <w:spacing w:val="-2"/>
        </w:rPr>
        <w:t>年以上（不含</w:t>
      </w:r>
      <w:r>
        <w:rPr>
          <w:rFonts w:ascii="Times New Roman" w:hAnsi="Times New Roman" w:cs="Times New Roman" w:eastAsia="Times New Roman" w:hint="default"/>
          <w:spacing w:val="-2"/>
        </w:rPr>
        <w:t>1</w:t>
      </w:r>
      <w:r>
        <w:rPr>
          <w:spacing w:val="-2"/>
        </w:rPr>
        <w:t>年）的各项费用。长期待摊费用按实际发生额入账，在受益</w:t>
      </w:r>
      <w:r>
        <w:rPr>
          <w:w w:val="101"/>
        </w:rPr>
        <w:t> </w:t>
      </w:r>
      <w:r>
        <w:rPr>
          <w:spacing w:val="-4"/>
          <w:w w:val="101"/>
        </w:rPr>
        <w:t>期或规定的期限内分期平均摊销。如果长期待摊的费用项目不能使以后会计期间受益则将尚未摊销的该项目的摊余价值全部</w:t>
      </w:r>
      <w:r>
        <w:rPr>
          <w:w w:val="101"/>
        </w:rPr>
        <w:t> </w:t>
      </w:r>
      <w:r>
        <w:rPr>
          <w:spacing w:val="-3"/>
        </w:rPr>
        <w:t>转入当期损益。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42"/>
        <w:ind w:right="0"/>
        <w:jc w:val="left"/>
        <w:rPr>
          <w:b w:val="0"/>
          <w:bCs w:val="0"/>
        </w:rPr>
      </w:pPr>
      <w:bookmarkStart w:name="19、职工薪酬" w:id="195"/>
      <w:bookmarkEnd w:id="195"/>
      <w:r>
        <w:rPr>
          <w:b w:val="0"/>
          <w:bCs w:val="0"/>
        </w:rPr>
      </w:r>
      <w:r>
        <w:rPr>
          <w:rFonts w:ascii="Times New Roman" w:hAnsi="Times New Roman" w:cs="Times New Roman" w:eastAsia="Times New Roman" w:hint="default"/>
        </w:rPr>
        <w:t>19</w:t>
      </w:r>
      <w:r>
        <w:rPr/>
        <w:t>、职工薪酬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短期薪酬的会计处理方法" w:id="196"/>
      <w:bookmarkEnd w:id="196"/>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75" w:right="0"/>
        <w:jc w:val="left"/>
      </w:pPr>
      <w:r>
        <w:rPr>
          <w:spacing w:val="-3"/>
        </w:rPr>
        <w:t>在职工为公司提供服务的会计期间，将实际发生的短期薪酬确认为负债，并计入当期损益或相关资产成本。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4"/>
        <w:spacing w:line="240" w:lineRule="auto"/>
        <w:ind w:right="0"/>
        <w:jc w:val="left"/>
        <w:rPr>
          <w:b w:val="0"/>
          <w:bCs w:val="0"/>
        </w:rPr>
      </w:pPr>
      <w:bookmarkStart w:name="（2）离职后福利的会计处理方法" w:id="197"/>
      <w:bookmarkEnd w:id="197"/>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75" w:right="0"/>
        <w:jc w:val="left"/>
      </w:pPr>
      <w:r>
        <w:rPr>
          <w:spacing w:val="-3"/>
        </w:rPr>
        <w:t>离职后福利分为设定提存计划和设定受益计划。</w:t>
      </w:r>
    </w:p>
    <w:p>
      <w:pPr>
        <w:pStyle w:val="BodyText"/>
        <w:spacing w:line="300" w:lineRule="auto" w:before="77"/>
        <w:ind w:right="1124" w:firstLine="422"/>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43"/>
        </w:rPr>
        <w:t> </w:t>
      </w:r>
      <w:r>
        <w:rPr>
          <w:spacing w:val="-4"/>
        </w:rPr>
        <w:t>在职工为公司提供服务的会计期间，根据设定提存计划计算的应缴存金额确认为负债，并计入当期损益或相关资产</w:t>
      </w:r>
      <w:r>
        <w:rPr>
          <w:w w:val="101"/>
        </w:rPr>
        <w:t> </w:t>
      </w:r>
      <w:r>
        <w:rPr/>
        <w:t>成本。</w:t>
      </w:r>
    </w:p>
    <w:p>
      <w:pPr>
        <w:pStyle w:val="BodyText"/>
        <w:spacing w:line="240" w:lineRule="auto" w:before="31"/>
        <w:ind w:left="575"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1"/>
        </w:rPr>
        <w:t> </w:t>
      </w:r>
      <w:r>
        <w:rPr>
          <w:spacing w:val="-3"/>
        </w:rPr>
        <w:t>对设定受益计划的会计处理通常包括下列步骤：</w:t>
      </w:r>
    </w:p>
    <w:p>
      <w:pPr>
        <w:pStyle w:val="BodyText"/>
        <w:spacing w:line="309" w:lineRule="auto" w:before="63"/>
        <w:ind w:right="1121" w:firstLine="422"/>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根据预期累计福利单位法，采用无偏且相互一致的精算假设对有关人口统计变量和财务变量等作出估计，计量设定</w:t>
      </w:r>
      <w:r>
        <w:rPr>
          <w:w w:val="101"/>
        </w:rPr>
        <w:t> </w:t>
      </w:r>
      <w:r>
        <w:rPr>
          <w:spacing w:val="-4"/>
        </w:rPr>
        <w:t>受益计划所产生的义务，并确定相关义务的所属期间。同时，对设定受益计划所产生的义务予以折现，以确定设定受益计划</w:t>
      </w:r>
      <w:r>
        <w:rPr>
          <w:spacing w:val="40"/>
        </w:rPr>
        <w:t> </w:t>
      </w:r>
      <w:r>
        <w:rPr>
          <w:spacing w:val="40"/>
        </w:rPr>
      </w:r>
      <w:r>
        <w:rPr>
          <w:spacing w:val="-3"/>
        </w:rPr>
        <w:t>义务的现值和当期服务成本；</w:t>
      </w:r>
    </w:p>
    <w:p>
      <w:pPr>
        <w:pStyle w:val="BodyText"/>
        <w:spacing w:line="309" w:lineRule="auto" w:before="24"/>
        <w:ind w:right="1124" w:firstLine="422"/>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spacing w:val="-3"/>
        </w:rPr>
        <w:t>设定受益计划存在资产的，将设定受益计划义务现值减去设定受益计划资产公允价值所形成的赤字或盈余确认为一</w:t>
      </w:r>
      <w:r>
        <w:rPr>
          <w:w w:val="101"/>
        </w:rPr>
        <w:t> </w:t>
      </w:r>
      <w:r>
        <w:rPr>
          <w:spacing w:val="-4"/>
        </w:rPr>
        <w:t>项设定受益计划净负债或净资产。设定受益计划存在盈余的，以设定受益计划的盈余和资产上限两项的孰低者计量设定受益</w:t>
      </w:r>
      <w:r>
        <w:rPr>
          <w:spacing w:val="39"/>
        </w:rPr>
        <w:t> </w:t>
      </w:r>
      <w:r>
        <w:rPr>
          <w:spacing w:val="39"/>
        </w:rPr>
      </w:r>
      <w:r>
        <w:rPr/>
        <w:t>计划净资产；</w:t>
      </w:r>
    </w:p>
    <w:p>
      <w:pPr>
        <w:pStyle w:val="BodyText"/>
        <w:spacing w:line="312" w:lineRule="auto" w:before="24"/>
        <w:ind w:right="1124" w:firstLine="422"/>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spacing w:val="-3"/>
        </w:rPr>
        <w:t>期末，将设定受益计划产生的职工薪酬成本确认为服务成本、设定受益计划净负债或净资产的利息净额以及重新计</w:t>
      </w:r>
      <w:r>
        <w:rPr>
          <w:w w:val="101"/>
        </w:rPr>
        <w:t> </w:t>
      </w:r>
      <w:r>
        <w:rPr>
          <w:spacing w:val="-4"/>
          <w:w w:val="101"/>
        </w:rPr>
        <w:t>量设定受益计划净负债或净资产所产生的变动等三部分，其中服务成本和设定受益计划净负债或净资产的利息净额计入当期</w:t>
      </w:r>
      <w:r>
        <w:rPr>
          <w:w w:val="101"/>
        </w:rPr>
        <w:t> </w:t>
      </w:r>
      <w:r>
        <w:rPr>
          <w:spacing w:val="-4"/>
        </w:rPr>
        <w:t>损益或相关资产成本，重新计量设定受益计划净负债或净资产所产生的变动计入其他综合收益，并且在后续会计期间不允许</w:t>
      </w:r>
      <w:r>
        <w:rPr>
          <w:spacing w:val="43"/>
        </w:rPr>
        <w:t> </w:t>
      </w:r>
      <w:r>
        <w:rPr>
          <w:spacing w:val="43"/>
        </w:rPr>
      </w:r>
      <w:r>
        <w:rPr>
          <w:spacing w:val="-3"/>
        </w:rPr>
        <w:t>转回至损益，但可以在权益范围内转移这些在其他综合收益确认的金额。</w:t>
      </w:r>
    </w:p>
    <w:p>
      <w:pPr>
        <w:spacing w:line="240" w:lineRule="auto" w:before="12"/>
        <w:rPr>
          <w:rFonts w:ascii="宋体" w:hAnsi="宋体" w:cs="宋体" w:eastAsia="宋体" w:hint="default"/>
          <w:sz w:val="22"/>
          <w:szCs w:val="22"/>
        </w:rPr>
      </w:pPr>
    </w:p>
    <w:p>
      <w:pPr>
        <w:pStyle w:val="Heading4"/>
        <w:spacing w:line="240" w:lineRule="auto"/>
        <w:ind w:right="0"/>
        <w:jc w:val="left"/>
        <w:rPr>
          <w:b w:val="0"/>
          <w:bCs w:val="0"/>
        </w:rPr>
      </w:pPr>
      <w:bookmarkStart w:name="（3）辞退福利的会计处理方法" w:id="198"/>
      <w:bookmarkEnd w:id="198"/>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right="1039" w:firstLine="422"/>
        <w:jc w:val="both"/>
      </w:pPr>
      <w:r>
        <w:rPr>
          <w:spacing w:val="-4"/>
        </w:rPr>
        <w:t>向职工提供的辞退福利，在下列两者孰早日确认辞退福利产生的职工薪酬负债，并计入当期损益：</w:t>
      </w:r>
      <w:r>
        <w:rPr>
          <w:rFonts w:ascii="Times New Roman" w:hAnsi="Times New Roman" w:cs="Times New Roman" w:eastAsia="Times New Roman" w:hint="default"/>
          <w:spacing w:val="-4"/>
        </w:rPr>
        <w:t>(1)</w:t>
      </w:r>
      <w:r>
        <w:rPr>
          <w:rFonts w:ascii="Times New Roman" w:hAnsi="Times New Roman" w:cs="Times New Roman" w:eastAsia="Times New Roman" w:hint="default"/>
          <w:spacing w:val="-1"/>
        </w:rPr>
        <w:t> </w:t>
      </w:r>
      <w:r>
        <w:rPr>
          <w:spacing w:val="-3"/>
        </w:rPr>
        <w:t>公司不能单方面</w:t>
      </w:r>
      <w:r>
        <w:rPr>
          <w:w w:val="101"/>
        </w:rPr>
        <w:t> </w:t>
      </w:r>
      <w:r>
        <w:rPr>
          <w:spacing w:val="-3"/>
        </w:rPr>
        <w:t>撤回因解除劳动关系计划或裁减建议所提供的辞退福利时；</w:t>
      </w:r>
      <w:r>
        <w:rPr>
          <w:rFonts w:ascii="Times New Roman" w:hAnsi="Times New Roman" w:cs="Times New Roman" w:eastAsia="Times New Roman" w:hint="default"/>
          <w:spacing w:val="-3"/>
        </w:rPr>
        <w:t>(2)    </w:t>
      </w:r>
      <w:r>
        <w:rPr>
          <w:rFonts w:ascii="Times New Roman" w:hAnsi="Times New Roman" w:cs="Times New Roman" w:eastAsia="Times New Roman" w:hint="default"/>
          <w:spacing w:val="22"/>
        </w:rPr>
        <w:t> </w:t>
      </w:r>
      <w:r>
        <w:rPr/>
        <w:t>公司确认与涉及支付辞退福利的重组相关的成本或费用时。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1"/>
        <w:ind w:right="0"/>
        <w:jc w:val="left"/>
        <w:rPr>
          <w:b w:val="0"/>
          <w:bCs w:val="0"/>
        </w:rPr>
      </w:pPr>
      <w:bookmarkStart w:name="（4）其他长期职工福利的会计处理方法" w:id="199"/>
      <w:bookmarkEnd w:id="199"/>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24" w:firstLine="422"/>
        <w:jc w:val="both"/>
      </w:pPr>
      <w:r>
        <w:rPr>
          <w:spacing w:val="-2"/>
        </w:rPr>
        <w:t>向职工提供的其他长期福利，符合设定提存计划条件的，按照设定提存计划的有关规定进行会计处理；除此之外的其</w:t>
      </w:r>
      <w:r>
        <w:rPr>
          <w:w w:val="101"/>
        </w:rPr>
        <w:t> </w:t>
      </w:r>
      <w:r>
        <w:rPr>
          <w:spacing w:val="-8"/>
          <w:w w:val="101"/>
        </w:rPr>
        <w:t>他长期福利，按照设定受益计划的有关规定进行会计处理，为简化相关会计处理，将其产生的职工薪酬成本确认为服务成本、</w:t>
      </w:r>
      <w:r>
        <w:rPr>
          <w:spacing w:val="-53"/>
          <w:w w:val="101"/>
        </w:rPr>
        <w:t> </w:t>
      </w:r>
      <w:r>
        <w:rPr>
          <w:spacing w:val="-53"/>
          <w:w w:val="101"/>
        </w:rPr>
      </w:r>
      <w:r>
        <w:rPr>
          <w:spacing w:val="-1"/>
        </w:rPr>
        <w:t>其他长期职工福利净负债或净资产的利息净额以及重新计量其他长期职工福利净负债或净资产所产生的变动等组成项目的</w:t>
      </w:r>
    </w:p>
    <w:p>
      <w:pPr>
        <w:spacing w:after="0" w:line="316" w:lineRule="auto"/>
        <w:jc w:val="both"/>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240" w:lineRule="auto" w:before="46"/>
        <w:ind w:right="0"/>
        <w:jc w:val="both"/>
      </w:pPr>
      <w:r>
        <w:rPr>
          <w:spacing w:val="-3"/>
        </w:rPr>
        <w:t>总净额计入当期损益或相关资产成本。</w:t>
      </w:r>
    </w:p>
    <w:p>
      <w:pPr>
        <w:spacing w:line="240" w:lineRule="auto" w:before="0"/>
        <w:rPr>
          <w:rFonts w:ascii="宋体" w:hAnsi="宋体" w:cs="宋体" w:eastAsia="宋体" w:hint="default"/>
          <w:sz w:val="18"/>
          <w:szCs w:val="18"/>
        </w:rPr>
      </w:pPr>
    </w:p>
    <w:p>
      <w:pPr>
        <w:pStyle w:val="Heading4"/>
        <w:spacing w:line="240" w:lineRule="auto" w:before="118"/>
        <w:ind w:right="0"/>
        <w:jc w:val="both"/>
        <w:rPr>
          <w:b w:val="0"/>
          <w:bCs w:val="0"/>
        </w:rPr>
      </w:pPr>
      <w:bookmarkStart w:name="20、预计负债" w:id="200"/>
      <w:bookmarkEnd w:id="200"/>
      <w:r>
        <w:rPr>
          <w:b w:val="0"/>
          <w:bCs w:val="0"/>
        </w:rPr>
      </w:r>
      <w:r>
        <w:rPr>
          <w:rFonts w:ascii="Times New Roman" w:hAnsi="Times New Roman" w:cs="Times New Roman" w:eastAsia="Times New Roman" w:hint="default"/>
        </w:rPr>
        <w:t>20</w:t>
      </w:r>
      <w:r>
        <w:rPr/>
        <w:t>、预计负债</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right="1124" w:firstLine="422"/>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spacing w:val="-3"/>
        </w:rPr>
        <w:t>因对外提供担保、诉讼事项、产品质量保证、亏损合同等或有事项形成的义务成为公司承担的现时义务，履行该义</w:t>
      </w:r>
      <w:r>
        <w:rPr>
          <w:w w:val="101"/>
        </w:rPr>
        <w:t> </w:t>
      </w:r>
      <w:r>
        <w:rPr>
          <w:spacing w:val="-3"/>
        </w:rPr>
        <w:t>务很可能导致经济利益流出公司，且该义务的金额能够可靠的计量时，公司将该项义务确认为预计负债。</w:t>
      </w:r>
    </w:p>
    <w:p>
      <w:pPr>
        <w:pStyle w:val="BodyText"/>
        <w:spacing w:line="300" w:lineRule="auto" w:before="31"/>
        <w:ind w:right="1124" w:firstLine="422"/>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spacing w:val="-3"/>
        </w:rPr>
        <w:t>公司按照履行相关现时义务所需支出的最佳估计数对预计负债进行初始计量，并在资产负债表日对预计负债的账面</w:t>
      </w:r>
      <w:r>
        <w:rPr>
          <w:w w:val="101"/>
        </w:rPr>
        <w:t> </w:t>
      </w:r>
      <w:r>
        <w:rPr>
          <w:spacing w:val="-3"/>
        </w:rPr>
        <w:t>价值进行复核。</w:t>
      </w:r>
    </w:p>
    <w:p>
      <w:pPr>
        <w:spacing w:line="240" w:lineRule="auto" w:before="8"/>
        <w:rPr>
          <w:rFonts w:ascii="宋体" w:hAnsi="宋体" w:cs="宋体" w:eastAsia="宋体" w:hint="default"/>
          <w:sz w:val="23"/>
          <w:szCs w:val="23"/>
        </w:rPr>
      </w:pPr>
    </w:p>
    <w:p>
      <w:pPr>
        <w:pStyle w:val="Heading4"/>
        <w:spacing w:line="240" w:lineRule="auto"/>
        <w:ind w:right="0"/>
        <w:jc w:val="both"/>
        <w:rPr>
          <w:b w:val="0"/>
          <w:bCs w:val="0"/>
        </w:rPr>
      </w:pPr>
      <w:bookmarkStart w:name="21、股份支付" w:id="201"/>
      <w:bookmarkEnd w:id="201"/>
      <w:r>
        <w:rPr>
          <w:b w:val="0"/>
          <w:bCs w:val="0"/>
        </w:rPr>
      </w:r>
      <w:r>
        <w:rPr>
          <w:rFonts w:ascii="Times New Roman" w:hAnsi="Times New Roman" w:cs="Times New Roman" w:eastAsia="Times New Roman" w:hint="default"/>
        </w:rPr>
        <w:t>21</w:t>
      </w:r>
      <w:r>
        <w:rPr/>
        <w:t>、股份支付</w:t>
      </w:r>
      <w:r>
        <w:rPr>
          <w:b w:val="0"/>
          <w:bCs w:val="0"/>
        </w:rPr>
      </w:r>
    </w:p>
    <w:p>
      <w:pPr>
        <w:spacing w:line="240" w:lineRule="auto" w:before="9"/>
        <w:rPr>
          <w:rFonts w:ascii="宋体" w:hAnsi="宋体" w:cs="宋体" w:eastAsia="宋体" w:hint="default"/>
          <w:b/>
          <w:bCs/>
          <w:sz w:val="26"/>
          <w:szCs w:val="26"/>
        </w:rPr>
      </w:pPr>
    </w:p>
    <w:p>
      <w:pPr>
        <w:pStyle w:val="BodyText"/>
        <w:spacing w:line="309" w:lineRule="auto"/>
        <w:ind w:left="575" w:right="6009"/>
        <w:jc w:val="left"/>
      </w:pPr>
      <w:r>
        <w:rPr>
          <w:rFonts w:ascii="Times New Roman" w:hAnsi="Times New Roman" w:cs="Times New Roman" w:eastAsia="Times New Roman" w:hint="default"/>
        </w:rPr>
        <w:t>1. </w:t>
      </w:r>
      <w:r>
        <w:rPr>
          <w:spacing w:val="-3"/>
        </w:rPr>
        <w:t>股份支付的种类</w:t>
      </w:r>
      <w:r>
        <w:rPr>
          <w:spacing w:val="-82"/>
        </w:rPr>
        <w:t> </w:t>
      </w:r>
      <w:r>
        <w:rPr>
          <w:spacing w:val="-82"/>
        </w:rPr>
      </w:r>
      <w:r>
        <w:rPr>
          <w:spacing w:val="-3"/>
        </w:rPr>
        <w:t>包括以权益结算的股份支付和以现金结算的股份支付。</w:t>
      </w:r>
      <w:r>
        <w:rPr>
          <w:spacing w:val="-16"/>
        </w:rPr>
        <w:t> </w:t>
      </w:r>
      <w:r>
        <w:rPr>
          <w:spacing w:val="-16"/>
        </w:rPr>
      </w:r>
      <w:r>
        <w:rPr>
          <w:rFonts w:ascii="Times New Roman" w:hAnsi="Times New Roman" w:cs="Times New Roman" w:eastAsia="Times New Roman" w:hint="default"/>
        </w:rPr>
        <w:t>2.  </w:t>
      </w:r>
      <w:r>
        <w:rPr>
          <w:rFonts w:ascii="Times New Roman" w:hAnsi="Times New Roman" w:cs="Times New Roman" w:eastAsia="Times New Roman" w:hint="default"/>
          <w:spacing w:val="4"/>
        </w:rPr>
        <w:t> </w:t>
      </w:r>
      <w:r>
        <w:rPr>
          <w:spacing w:val="-3"/>
        </w:rPr>
        <w:t>实施、修改、终止股份支付计划的相关会计处理</w:t>
      </w:r>
    </w:p>
    <w:p>
      <w:pPr>
        <w:pStyle w:val="BodyText"/>
        <w:spacing w:line="300" w:lineRule="auto" w:before="5"/>
        <w:ind w:left="575"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t>以权益结算的股份支付</w:t>
      </w:r>
      <w:r>
        <w:rPr>
          <w:spacing w:val="-83"/>
        </w:rPr>
        <w:t> </w:t>
      </w:r>
      <w:r>
        <w:rPr>
          <w:spacing w:val="-83"/>
        </w:rPr>
      </w:r>
      <w:r>
        <w:rPr>
          <w:spacing w:val="-4"/>
        </w:rPr>
        <w:t>授予后立即可行权的换取职工服务的以权益结算的股份支付，在授予日按照权益工具的公允价值计入相关成本或费用，</w:t>
      </w:r>
    </w:p>
    <w:p>
      <w:pPr>
        <w:pStyle w:val="BodyText"/>
        <w:spacing w:line="316" w:lineRule="auto" w:before="31"/>
        <w:ind w:right="1124"/>
        <w:jc w:val="both"/>
      </w:pPr>
      <w:r>
        <w:rPr>
          <w:spacing w:val="-4"/>
        </w:rPr>
        <w:t>相应调整资本公积。完成等待期内的服务或达到规定业绩条件才可行权的换取职工服务的以权益结算的股份支付，在等待期</w:t>
      </w:r>
      <w:r>
        <w:rPr>
          <w:spacing w:val="44"/>
        </w:rPr>
        <w:t> </w:t>
      </w:r>
      <w:r>
        <w:rPr>
          <w:spacing w:val="44"/>
        </w:rPr>
      </w:r>
      <w:r>
        <w:rPr>
          <w:spacing w:val="-4"/>
        </w:rPr>
        <w:t>内的每个资产负债表日，以对可行权权益工具数量的最佳估计为基础，按权益工具授予日的公允价值，将当期取得的服务计</w:t>
      </w:r>
      <w:r>
        <w:rPr>
          <w:spacing w:val="43"/>
        </w:rPr>
        <w:t> </w:t>
      </w:r>
      <w:r>
        <w:rPr>
          <w:spacing w:val="43"/>
        </w:rPr>
      </w:r>
      <w:r>
        <w:rPr>
          <w:spacing w:val="-3"/>
        </w:rPr>
        <w:t>入相关成本或费用，相应调整资本公积。</w:t>
      </w:r>
    </w:p>
    <w:p>
      <w:pPr>
        <w:pStyle w:val="BodyText"/>
        <w:spacing w:line="319" w:lineRule="auto" w:before="19"/>
        <w:ind w:right="1124" w:firstLine="422"/>
        <w:jc w:val="both"/>
      </w:pPr>
      <w:r>
        <w:rPr>
          <w:spacing w:val="-2"/>
        </w:rPr>
        <w:t>换取其他方服务的权益结算的股份支付，如果其他方服务的公允价值能够可靠计量的，按照其他方服务在取得日的公</w:t>
      </w:r>
      <w:r>
        <w:rPr>
          <w:w w:val="101"/>
        </w:rPr>
        <w:t> </w:t>
      </w:r>
      <w:r>
        <w:rPr>
          <w:spacing w:val="-4"/>
        </w:rPr>
        <w:t>允价值计量；如果其他方服务的公允价值不能可靠计量，但权益工具的公允价值能够可靠计量的，按照权益工具在服务取得</w:t>
      </w:r>
      <w:r>
        <w:rPr>
          <w:spacing w:val="43"/>
        </w:rPr>
        <w:t> </w:t>
      </w:r>
      <w:r>
        <w:rPr>
          <w:spacing w:val="43"/>
        </w:rPr>
      </w:r>
      <w:r>
        <w:rPr>
          <w:spacing w:val="-3"/>
        </w:rPr>
        <w:t>日的公允价值计量，计入相关成本或费用，相应增加所有者权益。</w:t>
      </w:r>
    </w:p>
    <w:p>
      <w:pPr>
        <w:pStyle w:val="BodyText"/>
        <w:spacing w:line="300" w:lineRule="auto" w:before="17"/>
        <w:ind w:left="575"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t>以现金结算的股份支付</w:t>
      </w:r>
      <w:r>
        <w:rPr>
          <w:spacing w:val="-83"/>
        </w:rPr>
        <w:t> </w:t>
      </w:r>
      <w:r>
        <w:rPr>
          <w:spacing w:val="-83"/>
        </w:rPr>
      </w:r>
      <w:r>
        <w:rPr>
          <w:spacing w:val="-2"/>
        </w:rPr>
        <w:t>授予后立即可行权的换取职工服务的以现金结算的股份支付，在授予日按公司承担负债的公允价值计入相关成本或费</w:t>
      </w:r>
    </w:p>
    <w:p>
      <w:pPr>
        <w:pStyle w:val="BodyText"/>
        <w:spacing w:line="319" w:lineRule="auto" w:before="31"/>
        <w:ind w:right="1124"/>
        <w:jc w:val="both"/>
      </w:pPr>
      <w:r>
        <w:rPr>
          <w:spacing w:val="-4"/>
        </w:rPr>
        <w:t>用，相应增加负债。完成等待期内的服务或达到规定业绩条件才可行权的换取职工服务的以现金结算的股份支付，在等待期</w:t>
      </w:r>
      <w:r>
        <w:rPr>
          <w:spacing w:val="43"/>
        </w:rPr>
        <w:t> </w:t>
      </w:r>
      <w:r>
        <w:rPr>
          <w:spacing w:val="43"/>
        </w:rPr>
      </w:r>
      <w:r>
        <w:rPr>
          <w:spacing w:val="-4"/>
        </w:rPr>
        <w:t>内的每个资产负债表日，以对可行权情况的最佳估计为基础，按公司承担负债的公允价值，将当期取得的服务计入相关成本</w:t>
      </w:r>
      <w:r>
        <w:rPr>
          <w:spacing w:val="43"/>
        </w:rPr>
        <w:t> </w:t>
      </w:r>
      <w:r>
        <w:rPr>
          <w:spacing w:val="43"/>
        </w:rPr>
      </w:r>
      <w:r>
        <w:rPr/>
        <w:t>或费用和相应的负债。</w:t>
      </w:r>
    </w:p>
    <w:p>
      <w:pPr>
        <w:pStyle w:val="BodyText"/>
        <w:spacing w:line="300" w:lineRule="auto" w:before="17"/>
        <w:ind w:left="575" w:right="0"/>
        <w:jc w:val="left"/>
      </w:pPr>
      <w:r>
        <w:rPr>
          <w:rFonts w:ascii="Times New Roman" w:hAnsi="Times New Roman" w:cs="Times New Roman" w:eastAsia="Times New Roman" w:hint="default"/>
        </w:rPr>
        <w:t>(3) </w:t>
      </w:r>
      <w:r>
        <w:rPr>
          <w:spacing w:val="-3"/>
        </w:rPr>
        <w:t>修改、终止股份支付计划</w:t>
      </w:r>
      <w:r>
        <w:rPr>
          <w:spacing w:val="-73"/>
        </w:rPr>
        <w:t> </w:t>
      </w:r>
      <w:r>
        <w:rPr>
          <w:spacing w:val="-73"/>
        </w:rPr>
      </w:r>
      <w:r>
        <w:rPr>
          <w:spacing w:val="-2"/>
        </w:rPr>
        <w:t>如果修改增加了所授予的权益工具的公允价值，公司按照权益工具公允价值的增加相应地确认取得服务的增加；如果</w:t>
      </w:r>
    </w:p>
    <w:p>
      <w:pPr>
        <w:pStyle w:val="BodyText"/>
        <w:spacing w:line="319" w:lineRule="auto" w:before="31"/>
        <w:ind w:right="1124"/>
        <w:jc w:val="both"/>
      </w:pPr>
      <w:r>
        <w:rPr>
          <w:spacing w:val="-4"/>
        </w:rPr>
        <w:t>修改增加了所授予的权益工具的数量，公司将增加的权益工具的公允价值相应地确认为取得服务的增加；如果公司按照有利</w:t>
      </w:r>
      <w:r>
        <w:rPr>
          <w:spacing w:val="44"/>
        </w:rPr>
        <w:t> </w:t>
      </w:r>
      <w:r>
        <w:rPr>
          <w:spacing w:val="44"/>
        </w:rPr>
      </w:r>
      <w:r>
        <w:rPr>
          <w:spacing w:val="-3"/>
        </w:rPr>
        <w:t>于职工的方式修改可行权条件，公司在处理可行权条件时，考虑修改后的可行权条件。</w:t>
      </w:r>
    </w:p>
    <w:p>
      <w:pPr>
        <w:pStyle w:val="BodyText"/>
        <w:spacing w:line="316" w:lineRule="auto" w:before="17"/>
        <w:ind w:right="1119" w:firstLine="422"/>
        <w:jc w:val="both"/>
      </w:pPr>
      <w:r>
        <w:rPr>
          <w:spacing w:val="-6"/>
          <w:w w:val="101"/>
        </w:rPr>
        <w:t>如果修改减少了授予的权益工具的公允价值，公司继续以权益工具在授予日的公允价值为基础，确认取得服务的金额，</w:t>
      </w:r>
      <w:r>
        <w:rPr>
          <w:w w:val="101"/>
        </w:rPr>
        <w:t> </w:t>
      </w:r>
      <w:r>
        <w:rPr>
          <w:spacing w:val="-4"/>
        </w:rPr>
        <w:t>而不考虑权益工具公允价值的减少；如果修改减少了授予的权益工具的数量，公司将减少部分作为已授予的权益工具的取消</w:t>
      </w:r>
      <w:r>
        <w:rPr>
          <w:spacing w:val="43"/>
        </w:rPr>
        <w:t> </w:t>
      </w:r>
      <w:r>
        <w:rPr>
          <w:spacing w:val="43"/>
        </w:rPr>
      </w:r>
      <w:r>
        <w:rPr>
          <w:spacing w:val="-3"/>
        </w:rPr>
        <w:t>来进行处理；如果以不利于职工的方式修改了可行权条件，在处理可行权条件时，不考虑修改后的可行权条件。</w:t>
      </w:r>
    </w:p>
    <w:p>
      <w:pPr>
        <w:pStyle w:val="BodyText"/>
        <w:spacing w:line="316" w:lineRule="auto" w:before="19"/>
        <w:ind w:right="1124" w:firstLine="422"/>
        <w:jc w:val="both"/>
      </w:pPr>
      <w:r>
        <w:rPr>
          <w:spacing w:val="-2"/>
        </w:rPr>
        <w:t>如果公司在等待期内取消了所授予的权益工具或结算了所授予的权益工具（因未满足可行权条件而被取消的除外），</w:t>
      </w:r>
      <w:r>
        <w:rPr>
          <w:w w:val="101"/>
        </w:rPr>
        <w:t> </w:t>
      </w:r>
      <w:r>
        <w:rPr>
          <w:spacing w:val="-3"/>
        </w:rPr>
        <w:t>则将取消或结算作为加速可行权处理，立即确认原本在剩余等待期内确认的金额。</w:t>
      </w:r>
    </w:p>
    <w:p>
      <w:pPr>
        <w:spacing w:line="240" w:lineRule="auto" w:before="8"/>
        <w:rPr>
          <w:rFonts w:ascii="宋体" w:hAnsi="宋体" w:cs="宋体" w:eastAsia="宋体" w:hint="default"/>
          <w:sz w:val="22"/>
          <w:szCs w:val="22"/>
        </w:rPr>
      </w:pPr>
    </w:p>
    <w:p>
      <w:pPr>
        <w:pStyle w:val="Heading4"/>
        <w:spacing w:line="240" w:lineRule="auto"/>
        <w:ind w:right="0"/>
        <w:jc w:val="both"/>
        <w:rPr>
          <w:b w:val="0"/>
          <w:bCs w:val="0"/>
        </w:rPr>
      </w:pPr>
      <w:bookmarkStart w:name="22、收入" w:id="202"/>
      <w:bookmarkEnd w:id="202"/>
      <w:r>
        <w:rPr>
          <w:b w:val="0"/>
          <w:bCs w:val="0"/>
        </w:rPr>
      </w:r>
      <w:r>
        <w:rPr>
          <w:rFonts w:ascii="Times New Roman" w:hAnsi="Times New Roman" w:cs="Times New Roman" w:eastAsia="Times New Roman" w:hint="default"/>
        </w:rPr>
        <w:t>22</w:t>
      </w:r>
      <w:r>
        <w:rPr/>
        <w:t>、收入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spacing w:val="-3"/>
        </w:rPr>
        <w:t>公司需遵守《深圳证券交易所行业信息披露指引第 </w:t>
      </w:r>
      <w:r>
        <w:rPr>
          <w:rFonts w:ascii="Times New Roman" w:hAnsi="Times New Roman" w:cs="Times New Roman" w:eastAsia="Times New Roman" w:hint="default"/>
        </w:rPr>
        <w:t>12  </w:t>
      </w:r>
      <w:r>
        <w:rPr>
          <w:rFonts w:ascii="Times New Roman" w:hAnsi="Times New Roman" w:cs="Times New Roman" w:eastAsia="Times New Roman" w:hint="default"/>
          <w:spacing w:val="11"/>
        </w:rPr>
        <w:t> </w:t>
      </w:r>
      <w:r>
        <w:rPr>
          <w:spacing w:val="-3"/>
        </w:rPr>
        <w:t>号</w:t>
      </w:r>
      <w:r>
        <w:rPr>
          <w:rFonts w:ascii="Times New Roman" w:hAnsi="Times New Roman" w:cs="Times New Roman" w:eastAsia="Times New Roman" w:hint="default"/>
          <w:spacing w:val="-3"/>
        </w:rPr>
        <w:t>——</w:t>
      </w:r>
      <w:r>
        <w:rPr>
          <w:spacing w:val="-3"/>
        </w:rPr>
        <w:t>上市公司从事软件与信息技术服务业务》的披露要求</w:t>
      </w:r>
    </w:p>
    <w:p>
      <w:pPr>
        <w:pStyle w:val="BodyText"/>
        <w:spacing w:line="240" w:lineRule="auto" w:before="96"/>
        <w:ind w:left="575" w:right="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3"/>
        </w:rPr>
        <w:t> </w:t>
      </w:r>
      <w:r>
        <w:rPr>
          <w:spacing w:val="-3"/>
        </w:rPr>
        <w:t>收入确认原则</w:t>
      </w:r>
    </w:p>
    <w:p>
      <w:pPr>
        <w:pStyle w:val="BodyText"/>
        <w:spacing w:line="240" w:lineRule="auto" w:before="63"/>
        <w:ind w:left="575"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销售商品</w:t>
      </w:r>
    </w:p>
    <w:p>
      <w:pPr>
        <w:pStyle w:val="BodyText"/>
        <w:spacing w:line="300" w:lineRule="auto" w:before="63"/>
        <w:ind w:right="1122" w:firstLine="422"/>
        <w:jc w:val="both"/>
      </w:pPr>
      <w:r>
        <w:rPr>
          <w:spacing w:val="-4"/>
        </w:rPr>
        <w:t>销售商品收入在同时满足下列条件时予以确认：</w:t>
      </w:r>
      <w:r>
        <w:rPr>
          <w:rFonts w:ascii="Times New Roman" w:hAnsi="Times New Roman" w:cs="Times New Roman" w:eastAsia="Times New Roman" w:hint="default"/>
          <w:spacing w:val="-4"/>
        </w:rPr>
        <w:t>1) </w:t>
      </w:r>
      <w:r>
        <w:rPr>
          <w:spacing w:val="-4"/>
        </w:rPr>
        <w:t>将商品所有权上的主要风险和报酬转移给购货方；</w:t>
      </w:r>
      <w:r>
        <w:rPr>
          <w:rFonts w:ascii="Times New Roman" w:hAnsi="Times New Roman" w:cs="Times New Roman" w:eastAsia="Times New Roman" w:hint="default"/>
          <w:spacing w:val="-4"/>
        </w:rPr>
        <w:t>2)</w:t>
      </w:r>
      <w:r>
        <w:rPr>
          <w:rFonts w:ascii="Times New Roman" w:hAnsi="Times New Roman" w:cs="Times New Roman" w:eastAsia="Times New Roman" w:hint="default"/>
          <w:spacing w:val="18"/>
        </w:rPr>
        <w:t> </w:t>
      </w:r>
      <w:r>
        <w:rPr/>
        <w:t>公司不再保留</w:t>
      </w:r>
      <w:r>
        <w:rPr>
          <w:w w:val="101"/>
        </w:rPr>
        <w:t> </w:t>
      </w:r>
      <w:r>
        <w:rPr>
          <w:spacing w:val="-2"/>
        </w:rPr>
        <w:t>通常与所有权相联系的继续管理权，也不再对已售出的商品实施有效控制；</w:t>
      </w:r>
      <w:r>
        <w:rPr>
          <w:rFonts w:ascii="Times New Roman" w:hAnsi="Times New Roman" w:cs="Times New Roman" w:eastAsia="Times New Roman" w:hint="default"/>
          <w:spacing w:val="-2"/>
        </w:rPr>
        <w:t>3)</w:t>
      </w:r>
      <w:r>
        <w:rPr>
          <w:rFonts w:ascii="Times New Roman" w:hAnsi="Times New Roman" w:cs="Times New Roman" w:eastAsia="Times New Roman" w:hint="default"/>
        </w:rPr>
        <w:t>   </w:t>
      </w:r>
      <w:r>
        <w:rPr>
          <w:spacing w:val="-2"/>
        </w:rPr>
        <w:t>收入的金额能够可靠地计量；</w:t>
      </w:r>
      <w:r>
        <w:rPr>
          <w:rFonts w:ascii="Times New Roman" w:hAnsi="Times New Roman" w:cs="Times New Roman" w:eastAsia="Times New Roman" w:hint="default"/>
          <w:spacing w:val="-2"/>
        </w:rPr>
        <w:t>4)</w:t>
      </w:r>
      <w:r>
        <w:rPr>
          <w:rFonts w:ascii="Times New Roman" w:hAnsi="Times New Roman" w:cs="Times New Roman" w:eastAsia="Times New Roman" w:hint="default"/>
        </w:rPr>
        <w:t> </w:t>
      </w:r>
      <w:r>
        <w:rPr>
          <w:rFonts w:ascii="Times New Roman" w:hAnsi="Times New Roman" w:cs="Times New Roman" w:eastAsia="Times New Roman" w:hint="default"/>
          <w:spacing w:val="43"/>
        </w:rPr>
        <w:t> </w:t>
      </w:r>
      <w:r>
        <w:rPr>
          <w:spacing w:val="-2"/>
        </w:rPr>
        <w:t>相关的经济</w:t>
      </w:r>
    </w:p>
    <w:p>
      <w:pPr>
        <w:spacing w:after="0" w:line="300" w:lineRule="auto"/>
        <w:jc w:val="both"/>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240" w:lineRule="auto" w:before="46"/>
        <w:ind w:right="0"/>
        <w:jc w:val="both"/>
      </w:pPr>
      <w:r>
        <w:rPr/>
        <w:t>利益很可能流入；</w:t>
      </w:r>
      <w:r>
        <w:rPr>
          <w:rFonts w:ascii="Times New Roman" w:hAnsi="Times New Roman" w:cs="Times New Roman" w:eastAsia="Times New Roman" w:hint="default"/>
        </w:rPr>
        <w:t>5) </w:t>
      </w:r>
      <w:r>
        <w:rPr>
          <w:rFonts w:ascii="Times New Roman" w:hAnsi="Times New Roman" w:cs="Times New Roman" w:eastAsia="Times New Roman" w:hint="default"/>
          <w:spacing w:val="42"/>
        </w:rPr>
        <w:t> </w:t>
      </w:r>
      <w:r>
        <w:rPr>
          <w:spacing w:val="-3"/>
        </w:rPr>
        <w:t>相关的已发生或将发生的成本能够可靠地计量。</w:t>
      </w:r>
    </w:p>
    <w:p>
      <w:pPr>
        <w:pStyle w:val="BodyText"/>
        <w:spacing w:line="300" w:lineRule="auto" w:before="63"/>
        <w:ind w:left="575" w:right="103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t>提供劳务</w:t>
      </w:r>
      <w:r>
        <w:rPr>
          <w:spacing w:val="-82"/>
        </w:rPr>
        <w:t> </w:t>
      </w:r>
      <w:r>
        <w:rPr>
          <w:spacing w:val="-82"/>
        </w:rPr>
      </w:r>
      <w:r>
        <w:rPr>
          <w:spacing w:val="-2"/>
        </w:rPr>
        <w:t>提供劳务交易的结果在资产负债表日能够可靠估计的（同时满足收入的金额能够可靠地计量、相关经济利益很可能流</w:t>
      </w:r>
    </w:p>
    <w:p>
      <w:pPr>
        <w:pStyle w:val="BodyText"/>
        <w:spacing w:line="316" w:lineRule="auto" w:before="32"/>
        <w:ind w:right="1122"/>
        <w:jc w:val="both"/>
      </w:pPr>
      <w:r>
        <w:rPr>
          <w:spacing w:val="-4"/>
        </w:rPr>
        <w:t>入、交易的完工进度能够可靠地确定、交易中已发生和将发生的成本能够可靠地计量），采用完工百分比法确认提供劳务的</w:t>
      </w:r>
      <w:r>
        <w:rPr>
          <w:spacing w:val="40"/>
        </w:rPr>
        <w:t> </w:t>
      </w:r>
      <w:r>
        <w:rPr>
          <w:spacing w:val="40"/>
        </w:rPr>
      </w:r>
      <w:r>
        <w:rPr>
          <w:spacing w:val="-4"/>
        </w:rPr>
        <w:t>收入，并按已经提供劳务占应提供劳务总量的比例确定提供劳务交易的完工进度。提供劳务交易的结果在资产负债表日不能</w:t>
      </w:r>
      <w:r>
        <w:rPr>
          <w:spacing w:val="45"/>
        </w:rPr>
        <w:t> </w:t>
      </w:r>
      <w:r>
        <w:rPr>
          <w:spacing w:val="45"/>
        </w:rPr>
      </w:r>
      <w:r>
        <w:rPr>
          <w:spacing w:val="-4"/>
        </w:rPr>
        <w:t>够可靠估计的，若已经发生的劳务成本预计能够得到补偿，按已经发生的劳务成本金额确认提供劳务收入，并按相同金额结</w:t>
      </w:r>
      <w:r>
        <w:rPr>
          <w:spacing w:val="43"/>
        </w:rPr>
        <w:t> </w:t>
      </w:r>
      <w:r>
        <w:rPr>
          <w:spacing w:val="43"/>
        </w:rPr>
      </w:r>
      <w:r>
        <w:rPr>
          <w:spacing w:val="-3"/>
        </w:rPr>
        <w:t>转劳务成本；若已经发生的劳务成本预计不能够得到补偿，将已经发生的劳务成本计入当期损益，不确认劳务收入。</w:t>
      </w:r>
    </w:p>
    <w:p>
      <w:pPr>
        <w:pStyle w:val="BodyText"/>
        <w:spacing w:line="300" w:lineRule="auto" w:before="19"/>
        <w:ind w:left="575" w:right="0"/>
        <w:jc w:val="left"/>
      </w:pPr>
      <w:r>
        <w:rPr>
          <w:rFonts w:ascii="Times New Roman" w:hAnsi="Times New Roman" w:cs="Times New Roman" w:eastAsia="Times New Roman" w:hint="default"/>
        </w:rPr>
        <w:t>(3) </w:t>
      </w:r>
      <w:r>
        <w:rPr>
          <w:spacing w:val="-3"/>
        </w:rPr>
        <w:t>让渡资产使用权</w:t>
      </w:r>
      <w:r>
        <w:rPr>
          <w:spacing w:val="-40"/>
        </w:rPr>
        <w:t> </w:t>
      </w:r>
      <w:r>
        <w:rPr>
          <w:spacing w:val="-40"/>
        </w:rPr>
      </w:r>
      <w:r>
        <w:rPr>
          <w:spacing w:val="-2"/>
        </w:rPr>
        <w:t>让渡资产使用权在同时满足相关的经济利益很可能流入、收入金额能够可靠计量时，确认让渡资产使用权的收入。利</w:t>
      </w:r>
    </w:p>
    <w:p>
      <w:pPr>
        <w:pStyle w:val="BodyText"/>
        <w:spacing w:line="316" w:lineRule="auto" w:before="32"/>
        <w:ind w:right="1117"/>
        <w:jc w:val="left"/>
      </w:pPr>
      <w:r>
        <w:rPr>
          <w:spacing w:val="-4"/>
          <w:w w:val="101"/>
        </w:rPr>
        <w:t>息收入按照他人使用本公司货币资金的时间和实际利率计算确定；使用费收入按有关合同或协议约定的收费时间和方法计算</w:t>
      </w:r>
      <w:r>
        <w:rPr>
          <w:w w:val="101"/>
        </w:rPr>
        <w:t> </w:t>
      </w:r>
      <w:r>
        <w:rPr/>
        <w:t>确定。</w:t>
      </w:r>
    </w:p>
    <w:p>
      <w:pPr>
        <w:pStyle w:val="BodyText"/>
        <w:spacing w:line="240" w:lineRule="auto" w:before="19"/>
        <w:ind w:left="575"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2"/>
        </w:rPr>
        <w:t> </w:t>
      </w:r>
      <w:r>
        <w:rPr/>
        <w:t>建造合同</w:t>
      </w:r>
    </w:p>
    <w:p>
      <w:pPr>
        <w:pStyle w:val="BodyText"/>
        <w:spacing w:line="309" w:lineRule="auto" w:before="63"/>
        <w:ind w:right="1123" w:firstLine="422"/>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spacing w:val="-3"/>
        </w:rPr>
        <w:t>建造合同的结果在资产负债表日能够可靠估计的，根据完工百分比法确认合同收入和合同费用。建造合同的结果在</w:t>
      </w:r>
      <w:r>
        <w:rPr>
          <w:w w:val="101"/>
        </w:rPr>
        <w:t> </w:t>
      </w:r>
      <w:r>
        <w:rPr>
          <w:spacing w:val="-4"/>
        </w:rPr>
        <w:t>资产负债表日不能够可靠估计的，若合同成本能够收回的，合同收入根据能够收回的实际合同成本予以确认，合同成本在其</w:t>
      </w:r>
      <w:r>
        <w:rPr>
          <w:spacing w:val="43"/>
        </w:rPr>
        <w:t> </w:t>
      </w:r>
      <w:r>
        <w:rPr>
          <w:spacing w:val="43"/>
        </w:rPr>
      </w:r>
      <w:r>
        <w:rPr>
          <w:spacing w:val="-3"/>
        </w:rPr>
        <w:t>发生的当期确认为合同费用；若合同成本不可能收回的，在发生时立即确认为合同费用，不确认合同收入。</w:t>
      </w:r>
    </w:p>
    <w:p>
      <w:pPr>
        <w:pStyle w:val="BodyText"/>
        <w:spacing w:line="312" w:lineRule="auto" w:before="24"/>
        <w:ind w:right="0" w:firstLine="42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1"/>
        </w:rPr>
        <w:t> </w:t>
      </w:r>
      <w:r>
        <w:rPr>
          <w:spacing w:val="-3"/>
        </w:rPr>
        <w:t>固定造价合同同时满足下列条件表明其结果能够可靠估计：合同总收入能够可靠计量、与合同相关的经济利益很可</w:t>
      </w:r>
      <w:r>
        <w:rPr>
          <w:w w:val="101"/>
        </w:rPr>
        <w:t> </w:t>
      </w:r>
      <w:r>
        <w:rPr>
          <w:spacing w:val="-3"/>
        </w:rPr>
        <w:t>能流入、实际发生的合同成本能够清楚地区分和可靠地计量、合同完工进度和为完成合同尚需发生的成本能够可靠地计量。</w:t>
      </w:r>
      <w:r>
        <w:rPr>
          <w:spacing w:val="76"/>
        </w:rPr>
        <w:t> </w:t>
      </w:r>
      <w:r>
        <w:rPr>
          <w:spacing w:val="76"/>
        </w:rPr>
      </w:r>
      <w:r>
        <w:rPr>
          <w:spacing w:val="-4"/>
        </w:rPr>
        <w:t>成本加成合同同时满足下列条件表明其结果能够可靠估计：与合同相关的经济利益很可能流入、实际发生的合同成本能够清</w:t>
      </w:r>
      <w:r>
        <w:rPr>
          <w:spacing w:val="43"/>
        </w:rPr>
        <w:t> </w:t>
      </w:r>
      <w:r>
        <w:rPr>
          <w:spacing w:val="43"/>
        </w:rPr>
      </w:r>
      <w:r>
        <w:rPr>
          <w:spacing w:val="-3"/>
        </w:rPr>
        <w:t>楚地区分和可靠地计量。</w:t>
      </w:r>
    </w:p>
    <w:p>
      <w:pPr>
        <w:pStyle w:val="BodyText"/>
        <w:spacing w:line="240" w:lineRule="auto" w:before="23"/>
        <w:ind w:left="575" w:right="0"/>
        <w:jc w:val="left"/>
      </w:pPr>
      <w:r>
        <w:rPr>
          <w:rFonts w:ascii="Times New Roman" w:hAnsi="Times New Roman" w:cs="Times New Roman" w:eastAsia="Times New Roman" w:hint="default"/>
        </w:rPr>
        <w:t>3)  </w:t>
      </w:r>
      <w:r>
        <w:rPr>
          <w:rFonts w:ascii="Times New Roman" w:hAnsi="Times New Roman" w:cs="Times New Roman" w:eastAsia="Times New Roman" w:hint="default"/>
          <w:spacing w:val="39"/>
        </w:rPr>
        <w:t> </w:t>
      </w:r>
      <w:r>
        <w:rPr>
          <w:spacing w:val="-3"/>
        </w:rPr>
        <w:t>确定合同完工进度的方法为累计实际发生的合同成本占合同预计总成本的比例。</w:t>
      </w:r>
    </w:p>
    <w:p>
      <w:pPr>
        <w:pStyle w:val="BodyText"/>
        <w:spacing w:line="300" w:lineRule="auto" w:before="63"/>
        <w:ind w:right="1124" w:firstLine="422"/>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spacing w:val="-3"/>
        </w:rPr>
        <w:t>资产负债表日，合同预计总成本超过合同总收入的，将预计损失确认为当期费用。执行中的建造合同，按其差额计</w:t>
      </w:r>
      <w:r>
        <w:rPr>
          <w:w w:val="101"/>
        </w:rPr>
        <w:t> </w:t>
      </w:r>
      <w:r>
        <w:rPr>
          <w:spacing w:val="-3"/>
        </w:rPr>
        <w:t>提存货跌价准备；待执行的亏损合同，按其差额确认预计负债。</w:t>
      </w:r>
    </w:p>
    <w:p>
      <w:pPr>
        <w:pStyle w:val="BodyText"/>
        <w:spacing w:line="300" w:lineRule="auto" w:before="31"/>
        <w:ind w:left="575" w:right="0"/>
        <w:jc w:val="left"/>
      </w:pPr>
      <w:r>
        <w:rPr>
          <w:rFonts w:ascii="Times New Roman" w:hAnsi="Times New Roman" w:cs="Times New Roman" w:eastAsia="Times New Roman" w:hint="default"/>
        </w:rPr>
        <w:t>2. </w:t>
      </w:r>
      <w:r>
        <w:rPr>
          <w:spacing w:val="-3"/>
        </w:rPr>
        <w:t>收入确认的具体方法</w:t>
      </w:r>
      <w:r>
        <w:rPr>
          <w:spacing w:val="-76"/>
        </w:rPr>
        <w:t> </w:t>
      </w:r>
      <w:r>
        <w:rPr>
          <w:spacing w:val="-76"/>
        </w:rPr>
      </w:r>
      <w:r>
        <w:rPr>
          <w:spacing w:val="-2"/>
        </w:rPr>
        <w:t>公司主要经营医疗信息系统的开发与服务、数字化场景应用系统的实施以及销售商品等其他业务。主要业务类型的收</w:t>
      </w:r>
    </w:p>
    <w:p>
      <w:pPr>
        <w:pStyle w:val="BodyText"/>
        <w:spacing w:line="240" w:lineRule="auto" w:before="31"/>
        <w:ind w:right="0"/>
        <w:jc w:val="both"/>
      </w:pPr>
      <w:r>
        <w:rPr>
          <w:spacing w:val="-3"/>
        </w:rPr>
        <w:t>入确认和计量具体方法如下：</w:t>
      </w:r>
    </w:p>
    <w:p>
      <w:pPr>
        <w:pStyle w:val="BodyText"/>
        <w:spacing w:line="300" w:lineRule="auto" w:before="77"/>
        <w:ind w:left="575" w:right="0"/>
        <w:jc w:val="left"/>
      </w:pPr>
      <w:r>
        <w:rPr>
          <w:rFonts w:ascii="Times New Roman" w:hAnsi="Times New Roman" w:cs="Times New Roman" w:eastAsia="Times New Roman" w:hint="default"/>
        </w:rPr>
        <w:t>(1) </w:t>
      </w:r>
      <w:r>
        <w:rPr>
          <w:spacing w:val="-3"/>
        </w:rPr>
        <w:t>医疗信息等各类软件产品的开发与服务业务</w:t>
      </w:r>
      <w:r>
        <w:rPr>
          <w:spacing w:val="-50"/>
        </w:rPr>
        <w:t> </w:t>
      </w:r>
      <w:r>
        <w:rPr>
          <w:spacing w:val="-50"/>
        </w:rPr>
      </w:r>
      <w:r>
        <w:rPr>
          <w:spacing w:val="-2"/>
        </w:rPr>
        <w:t>该类业务主要包括电子病历软件、医疗信息集成平台软件等的开发与服务，按照提供劳务的确认原则，采用完工百分</w:t>
      </w:r>
    </w:p>
    <w:p>
      <w:pPr>
        <w:pStyle w:val="BodyText"/>
        <w:spacing w:line="240" w:lineRule="auto" w:before="31"/>
        <w:ind w:right="0"/>
        <w:jc w:val="both"/>
      </w:pPr>
      <w:r>
        <w:rPr>
          <w:spacing w:val="-3"/>
        </w:rPr>
        <w:t>比法确认收入，并根据已经提供劳务占应提供劳务总量的比例确定提供劳务交易的完工进度。</w:t>
      </w:r>
    </w:p>
    <w:p>
      <w:pPr>
        <w:pStyle w:val="BodyText"/>
        <w:spacing w:line="300" w:lineRule="auto" w:before="76"/>
        <w:ind w:left="575" w:right="0"/>
        <w:jc w:val="left"/>
      </w:pPr>
      <w:r>
        <w:rPr>
          <w:rFonts w:ascii="Times New Roman" w:hAnsi="Times New Roman" w:cs="Times New Roman" w:eastAsia="Times New Roman" w:hint="default"/>
        </w:rPr>
        <w:t>(2) </w:t>
      </w:r>
      <w:r>
        <w:rPr>
          <w:spacing w:val="-3"/>
        </w:rPr>
        <w:t>数字化场景应用中的系统工程实施</w:t>
      </w:r>
      <w:r>
        <w:rPr>
          <w:spacing w:val="-62"/>
        </w:rPr>
        <w:t> </w:t>
      </w:r>
      <w:r>
        <w:rPr>
          <w:spacing w:val="-62"/>
        </w:rPr>
      </w:r>
      <w:r>
        <w:rPr>
          <w:spacing w:val="-2"/>
        </w:rPr>
        <w:t>该类业务参照建造合同的确认原则，采用完工百分比法确认收入，并按照累计实际发生的合同成本占合同预计总成本</w:t>
      </w:r>
    </w:p>
    <w:p>
      <w:pPr>
        <w:pStyle w:val="BodyText"/>
        <w:spacing w:line="240" w:lineRule="auto" w:before="32"/>
        <w:ind w:right="0"/>
        <w:jc w:val="both"/>
      </w:pPr>
      <w:r>
        <w:rPr>
          <w:spacing w:val="-3"/>
        </w:rPr>
        <w:t>的比例确认为合同完工进度。</w:t>
      </w:r>
    </w:p>
    <w:p>
      <w:pPr>
        <w:pStyle w:val="BodyText"/>
        <w:spacing w:line="300" w:lineRule="auto" w:before="76"/>
        <w:ind w:left="575" w:right="1037"/>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4"/>
        </w:rPr>
        <w:t> </w:t>
      </w:r>
      <w:r>
        <w:rPr/>
        <w:t>销售商品</w:t>
      </w:r>
      <w:r>
        <w:rPr>
          <w:spacing w:val="-82"/>
        </w:rPr>
        <w:t> </w:t>
      </w:r>
      <w:r>
        <w:rPr>
          <w:spacing w:val="-82"/>
        </w:rPr>
      </w:r>
      <w:r>
        <w:rPr>
          <w:spacing w:val="-2"/>
        </w:rPr>
        <w:t>销售商品收入确认需满足以下条件：公司已根据合同约定将商品交付给购货方，且商品销售收入金额已确定，已经取</w:t>
      </w:r>
    </w:p>
    <w:p>
      <w:pPr>
        <w:pStyle w:val="BodyText"/>
        <w:spacing w:line="240" w:lineRule="auto" w:before="31"/>
        <w:ind w:right="0"/>
        <w:jc w:val="both"/>
      </w:pPr>
      <w:r>
        <w:rPr>
          <w:spacing w:val="-3"/>
        </w:rPr>
        <w:t>得了客户签收单等收款凭证且相关的经济利益很可能流入，商品相关的成本能够可靠地计量。</w:t>
      </w:r>
    </w:p>
    <w:p>
      <w:pPr>
        <w:spacing w:line="240" w:lineRule="auto" w:before="0"/>
        <w:rPr>
          <w:rFonts w:ascii="宋体" w:hAnsi="宋体" w:cs="宋体" w:eastAsia="宋体" w:hint="default"/>
          <w:sz w:val="18"/>
          <w:szCs w:val="18"/>
        </w:rPr>
      </w:pPr>
    </w:p>
    <w:p>
      <w:pPr>
        <w:pStyle w:val="Heading4"/>
        <w:spacing w:line="240" w:lineRule="auto" w:before="118"/>
        <w:ind w:right="0"/>
        <w:jc w:val="both"/>
        <w:rPr>
          <w:b w:val="0"/>
          <w:bCs w:val="0"/>
        </w:rPr>
      </w:pPr>
      <w:bookmarkStart w:name="23、政府补助" w:id="203"/>
      <w:bookmarkEnd w:id="203"/>
      <w:r>
        <w:rPr>
          <w:b w:val="0"/>
          <w:bCs w:val="0"/>
        </w:rPr>
      </w:r>
      <w:r>
        <w:rPr>
          <w:rFonts w:ascii="Times New Roman" w:hAnsi="Times New Roman" w:cs="Times New Roman" w:eastAsia="Times New Roman" w:hint="default"/>
        </w:rPr>
        <w:t>23</w:t>
      </w:r>
      <w:r>
        <w:rPr/>
        <w:t>、政府补助</w:t>
      </w:r>
      <w:r>
        <w:rPr>
          <w:b w:val="0"/>
          <w:bCs w:val="0"/>
        </w:rPr>
      </w:r>
    </w:p>
    <w:p>
      <w:pPr>
        <w:spacing w:line="240" w:lineRule="auto" w:before="5"/>
        <w:rPr>
          <w:rFonts w:ascii="宋体" w:hAnsi="宋体" w:cs="宋体" w:eastAsia="宋体" w:hint="default"/>
          <w:b/>
          <w:bCs/>
          <w:sz w:val="26"/>
          <w:szCs w:val="26"/>
        </w:rPr>
      </w:pPr>
    </w:p>
    <w:p>
      <w:pPr>
        <w:pStyle w:val="BodyText"/>
        <w:spacing w:line="309" w:lineRule="auto"/>
        <w:ind w:right="1122" w:firstLine="422"/>
        <w:jc w:val="both"/>
      </w:pPr>
      <w:r>
        <w:rPr>
          <w:rFonts w:ascii="Times New Roman" w:hAnsi="Times New Roman" w:cs="Times New Roman" w:eastAsia="Times New Roman" w:hint="default"/>
        </w:rPr>
        <w:t>1. </w:t>
      </w:r>
      <w:r>
        <w:rPr>
          <w:spacing w:val="-3"/>
        </w:rPr>
        <w:t>政府补助在同时满足下列条件时予以确认：</w:t>
      </w:r>
      <w:r>
        <w:rPr>
          <w:rFonts w:ascii="Times New Roman" w:hAnsi="Times New Roman" w:cs="Times New Roman" w:eastAsia="Times New Roman" w:hint="default"/>
          <w:spacing w:val="-3"/>
        </w:rPr>
        <w:t>(1) </w:t>
      </w:r>
      <w:r>
        <w:rPr>
          <w:spacing w:val="-3"/>
        </w:rPr>
        <w:t>公司能够满足政府补助所附的条件；</w:t>
      </w:r>
      <w:r>
        <w:rPr>
          <w:rFonts w:ascii="Times New Roman" w:hAnsi="Times New Roman" w:cs="Times New Roman" w:eastAsia="Times New Roman" w:hint="default"/>
          <w:spacing w:val="-3"/>
        </w:rPr>
        <w:t>(2)</w:t>
      </w:r>
      <w:r>
        <w:rPr>
          <w:rFonts w:ascii="Times New Roman" w:hAnsi="Times New Roman" w:cs="Times New Roman" w:eastAsia="Times New Roman" w:hint="default"/>
          <w:spacing w:val="-1"/>
        </w:rPr>
        <w:t> </w:t>
      </w:r>
      <w:r>
        <w:rPr>
          <w:spacing w:val="-3"/>
        </w:rPr>
        <w:t>公司能够收到政府补助。政</w:t>
      </w:r>
      <w:r>
        <w:rPr>
          <w:w w:val="101"/>
        </w:rPr>
        <w:t> </w:t>
      </w:r>
      <w:r>
        <w:rPr>
          <w:spacing w:val="-4"/>
        </w:rPr>
        <w:t>府补助为货币性资产的，按照收到或应收的金额计量。政府补助为非货币性资产的，按照公允价值计量；公允价值不能可靠</w:t>
      </w:r>
      <w:r>
        <w:rPr>
          <w:spacing w:val="40"/>
        </w:rPr>
        <w:t> </w:t>
      </w:r>
      <w:r>
        <w:rPr>
          <w:spacing w:val="40"/>
        </w:rPr>
      </w:r>
      <w:r>
        <w:rPr>
          <w:spacing w:val="-3"/>
        </w:rPr>
        <w:t>取得的，按照名义金额计量。</w:t>
      </w:r>
    </w:p>
    <w:p>
      <w:pPr>
        <w:pStyle w:val="BodyText"/>
        <w:spacing w:line="300" w:lineRule="auto" w:before="24"/>
        <w:ind w:left="575" w:right="0"/>
        <w:jc w:val="left"/>
      </w:pPr>
      <w:r>
        <w:rPr>
          <w:rFonts w:ascii="Times New Roman" w:hAnsi="Times New Roman" w:cs="Times New Roman" w:eastAsia="Times New Roman" w:hint="default"/>
        </w:rPr>
        <w:t>2. </w:t>
      </w:r>
      <w:r>
        <w:rPr>
          <w:spacing w:val="-3"/>
        </w:rPr>
        <w:t>与资产相关的政府补助判断依据及会计处理方法</w:t>
      </w:r>
      <w:r>
        <w:rPr>
          <w:spacing w:val="-41"/>
        </w:rPr>
        <w:t> </w:t>
      </w:r>
      <w:r>
        <w:rPr>
          <w:spacing w:val="-41"/>
        </w:rPr>
      </w:r>
      <w:r>
        <w:rPr>
          <w:spacing w:val="-2"/>
        </w:rPr>
        <w:t>政府文件规定用于购建或以其他方式形成长期资产的政府补助划分为与资产相关的政府补助。政府文件不明确的，以</w:t>
      </w:r>
    </w:p>
    <w:p>
      <w:pPr>
        <w:pStyle w:val="BodyText"/>
        <w:spacing w:line="316" w:lineRule="auto" w:before="31"/>
        <w:ind w:right="939"/>
        <w:jc w:val="left"/>
      </w:pPr>
      <w:r>
        <w:rPr>
          <w:spacing w:val="-4"/>
          <w:w w:val="101"/>
        </w:rPr>
        <w:t>取得该补助必须具备的基本条件为基础进行判断，以购建或其他方式形成长期资产为基本条件的作为与资产相关的政府补助。</w:t>
      </w:r>
      <w:r>
        <w:rPr>
          <w:w w:val="101"/>
        </w:rPr>
        <w:t> </w:t>
      </w:r>
      <w:r>
        <w:rPr>
          <w:spacing w:val="-4"/>
        </w:rPr>
        <w:t>与资产相关的政府补助，冲减相关资产的账面价值或确认为递延收益。与资产相关的政府补助确认为递延收益的，在相关资</w:t>
      </w:r>
    </w:p>
    <w:p>
      <w:pPr>
        <w:spacing w:after="0" w:line="316"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16" w:lineRule="auto" w:before="46"/>
        <w:ind w:right="0"/>
        <w:jc w:val="left"/>
      </w:pPr>
      <w:r>
        <w:rPr>
          <w:spacing w:val="-4"/>
        </w:rPr>
        <w:t>产使用寿命内按照合理、系统的方法分期计入损益。按照名义金额计量的政府补助，直接计入当期损益。相关资产在使用寿</w:t>
      </w:r>
      <w:r>
        <w:rPr>
          <w:spacing w:val="40"/>
        </w:rPr>
        <w:t> </w:t>
      </w:r>
      <w:r>
        <w:rPr>
          <w:spacing w:val="40"/>
        </w:rPr>
      </w:r>
      <w:r>
        <w:rPr>
          <w:spacing w:val="-3"/>
        </w:rPr>
        <w:t>命结束前被出售、转让、报废或发生毁损的，将尚未分配的相关递延收益余额转入资产处置当期的损益。</w:t>
      </w:r>
    </w:p>
    <w:p>
      <w:pPr>
        <w:pStyle w:val="BodyText"/>
        <w:spacing w:line="300" w:lineRule="auto" w:before="19"/>
        <w:ind w:left="575" w:right="0"/>
        <w:jc w:val="left"/>
      </w:pPr>
      <w:r>
        <w:rPr>
          <w:rFonts w:ascii="Times New Roman" w:hAnsi="Times New Roman" w:cs="Times New Roman" w:eastAsia="Times New Roman" w:hint="default"/>
        </w:rPr>
        <w:t>3. </w:t>
      </w:r>
      <w:r>
        <w:rPr>
          <w:spacing w:val="-3"/>
        </w:rPr>
        <w:t>与收益相关的政府补助判断依据及会计处理方法</w:t>
      </w:r>
      <w:r>
        <w:rPr>
          <w:spacing w:val="-41"/>
        </w:rPr>
        <w:t> </w:t>
      </w:r>
      <w:r>
        <w:rPr>
          <w:spacing w:val="-41"/>
        </w:rPr>
      </w:r>
      <w:r>
        <w:rPr>
          <w:spacing w:val="-2"/>
        </w:rPr>
        <w:t>除与资产相关的政府补助之外的政府补助划分为与收益相关的政府补助。对于同时包含与资产相关部分和与收益相关</w:t>
      </w:r>
    </w:p>
    <w:p>
      <w:pPr>
        <w:pStyle w:val="BodyText"/>
        <w:spacing w:line="316" w:lineRule="auto" w:before="31"/>
        <w:ind w:right="1124"/>
        <w:jc w:val="both"/>
      </w:pPr>
      <w:r>
        <w:rPr>
          <w:spacing w:val="-4"/>
        </w:rPr>
        <w:t>部分的政府补助，难以区分与资产相关或与收益相关的，整体归类为与收益相关的政府补助。与收益相关的政府补助，用于</w:t>
      </w:r>
      <w:r>
        <w:rPr>
          <w:spacing w:val="40"/>
        </w:rPr>
        <w:t> </w:t>
      </w:r>
      <w:r>
        <w:rPr>
          <w:spacing w:val="40"/>
        </w:rPr>
      </w:r>
      <w:r>
        <w:rPr>
          <w:spacing w:val="-4"/>
        </w:rPr>
        <w:t>补偿以后期间的相关成本费用或损失的，确认为递延收益，在确认相关成本费用或损失的期间，计入当期损益或冲减相关成</w:t>
      </w:r>
      <w:r>
        <w:rPr>
          <w:spacing w:val="43"/>
        </w:rPr>
        <w:t> </w:t>
      </w:r>
      <w:r>
        <w:rPr>
          <w:spacing w:val="43"/>
        </w:rPr>
      </w:r>
      <w:r>
        <w:rPr>
          <w:spacing w:val="-3"/>
        </w:rPr>
        <w:t>本；用于补偿已发生的相关成本费用或损失的，直接计入当期损益或冲减相关成本。</w:t>
      </w:r>
    </w:p>
    <w:p>
      <w:pPr>
        <w:pStyle w:val="BodyText"/>
        <w:spacing w:line="300" w:lineRule="auto" w:before="19"/>
        <w:ind w:right="1123" w:firstLine="422"/>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22"/>
        </w:rPr>
        <w:t> </w:t>
      </w:r>
      <w:r>
        <w:rPr>
          <w:spacing w:val="-3"/>
        </w:rPr>
        <w:t>与公司日常经营活动相关的政府补助，按照经济业务实质，计入其他收益或冲减相关成本费用。与公司日常活动无</w:t>
      </w:r>
      <w:r>
        <w:rPr>
          <w:w w:val="101"/>
        </w:rPr>
        <w:t> </w:t>
      </w:r>
      <w:r>
        <w:rPr>
          <w:spacing w:val="-3"/>
        </w:rPr>
        <w:t>关的政府补助，计入营业外收支。</w:t>
      </w:r>
    </w:p>
    <w:p>
      <w:pPr>
        <w:pStyle w:val="BodyText"/>
        <w:spacing w:line="240" w:lineRule="auto" w:before="32"/>
        <w:ind w:left="575" w:right="0"/>
        <w:jc w:val="left"/>
      </w:pPr>
      <w:r>
        <w:rPr>
          <w:rFonts w:ascii="Times New Roman" w:hAnsi="Times New Roman" w:cs="Times New Roman" w:eastAsia="Times New Roman" w:hint="default"/>
        </w:rPr>
        <w:t>5. </w:t>
      </w:r>
      <w:r>
        <w:rPr>
          <w:rFonts w:ascii="Times New Roman" w:hAnsi="Times New Roman" w:cs="Times New Roman" w:eastAsia="Times New Roman" w:hint="default"/>
          <w:spacing w:val="32"/>
        </w:rPr>
        <w:t> </w:t>
      </w:r>
      <w:r>
        <w:rPr>
          <w:spacing w:val="-3"/>
        </w:rPr>
        <w:t>政策性优惠贷款贴息的会计处理方法</w:t>
      </w:r>
    </w:p>
    <w:p>
      <w:pPr>
        <w:pStyle w:val="BodyText"/>
        <w:spacing w:line="300" w:lineRule="auto" w:before="63"/>
        <w:ind w:right="1124" w:firstLine="422"/>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43"/>
        </w:rPr>
        <w:t> </w:t>
      </w:r>
      <w:r>
        <w:rPr>
          <w:spacing w:val="-4"/>
        </w:rPr>
        <w:t>财政将贴息资金拨付给贷款银行，由贷款银行以政策性优惠利率向公司提供贷款的，以实际收到的借款金额作为借</w:t>
      </w:r>
      <w:r>
        <w:rPr>
          <w:w w:val="101"/>
        </w:rPr>
        <w:t> </w:t>
      </w:r>
      <w:r>
        <w:rPr>
          <w:spacing w:val="-3"/>
        </w:rPr>
        <w:t>款的入账价值，按照借款本金和该政策性优惠利率计算相关借款费用。</w:t>
      </w:r>
    </w:p>
    <w:p>
      <w:pPr>
        <w:pStyle w:val="BodyText"/>
        <w:spacing w:line="240" w:lineRule="auto" w:before="31"/>
        <w:ind w:left="575"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30"/>
        </w:rPr>
        <w:t> </w:t>
      </w:r>
      <w:r>
        <w:rPr>
          <w:spacing w:val="-3"/>
        </w:rPr>
        <w:t>财政将贴息资金直接拨付给公司的，将对应的贴息冲减相关借款费用。</w:t>
      </w:r>
    </w:p>
    <w:p>
      <w:pPr>
        <w:spacing w:line="240" w:lineRule="auto" w:before="0"/>
        <w:rPr>
          <w:rFonts w:ascii="宋体" w:hAnsi="宋体" w:cs="宋体" w:eastAsia="宋体" w:hint="default"/>
          <w:sz w:val="26"/>
          <w:szCs w:val="26"/>
        </w:rPr>
      </w:pPr>
    </w:p>
    <w:p>
      <w:pPr>
        <w:pStyle w:val="Heading4"/>
        <w:spacing w:line="240" w:lineRule="auto"/>
        <w:ind w:right="0"/>
        <w:jc w:val="both"/>
        <w:rPr>
          <w:b w:val="0"/>
          <w:bCs w:val="0"/>
        </w:rPr>
      </w:pPr>
      <w:bookmarkStart w:name="24、递延所得税资产/递延所得税负债" w:id="204"/>
      <w:bookmarkEnd w:id="204"/>
      <w:r>
        <w:rPr>
          <w:b w:val="0"/>
          <w:bCs w:val="0"/>
        </w:rPr>
      </w: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1122" w:firstLine="422"/>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3"/>
        </w:rPr>
        <w:t> </w:t>
      </w:r>
      <w:r>
        <w:rPr>
          <w:spacing w:val="-3"/>
        </w:rPr>
        <w:t>根据资产、负债的账面价值与其计税基础之间的差额（未作为资产和负债确认的项目按照税法规定可以确定其计税</w:t>
      </w:r>
      <w:r>
        <w:rPr>
          <w:w w:val="101"/>
        </w:rPr>
        <w:t> </w:t>
      </w:r>
      <w:r>
        <w:rPr>
          <w:spacing w:val="-4"/>
        </w:rPr>
        <w:t>基础的，该计税基础与其账面数之间的差额），按照预期收回该资产或清偿该负债期间的适用税率计算确认递延所得税资产</w:t>
      </w:r>
      <w:r>
        <w:rPr>
          <w:spacing w:val="38"/>
        </w:rPr>
        <w:t> </w:t>
      </w:r>
      <w:r>
        <w:rPr>
          <w:spacing w:val="38"/>
        </w:rPr>
      </w:r>
      <w:r>
        <w:rPr>
          <w:spacing w:val="-3"/>
        </w:rPr>
        <w:t>或递延所得税负债。</w:t>
      </w:r>
    </w:p>
    <w:p>
      <w:pPr>
        <w:pStyle w:val="BodyText"/>
        <w:spacing w:line="300" w:lineRule="auto" w:before="24"/>
        <w:ind w:right="1124" w:firstLine="422"/>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spacing w:val="-3"/>
        </w:rPr>
        <w:t>确认递延所得税资产以很可能取得用来抵扣可抵扣暂时性差异的应纳税所得额为限。资产负债表日，有确凿证据表</w:t>
      </w:r>
      <w:r>
        <w:rPr>
          <w:w w:val="101"/>
        </w:rPr>
        <w:t> </w:t>
      </w:r>
      <w:r>
        <w:rPr>
          <w:spacing w:val="-3"/>
        </w:rPr>
        <w:t>明未来期间很可能获得足够的应纳税所得额用来抵扣可抵扣暂时性差异的，确认以前会计期间未确认的递延所得税资产。</w:t>
      </w:r>
    </w:p>
    <w:p>
      <w:pPr>
        <w:pStyle w:val="BodyText"/>
        <w:spacing w:line="300" w:lineRule="auto" w:before="31"/>
        <w:ind w:right="1124" w:firstLine="422"/>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24"/>
        </w:rPr>
        <w:t> </w:t>
      </w:r>
      <w:r>
        <w:rPr>
          <w:spacing w:val="-3"/>
        </w:rPr>
        <w:t>资产负债表日，对递延所得税资产的账面价值进行复核，如果未来期间很可能无法获得足够的应纳税所得额用以抵</w:t>
      </w:r>
      <w:r>
        <w:rPr>
          <w:w w:val="101"/>
        </w:rPr>
        <w:t> </w:t>
      </w:r>
      <w:r>
        <w:rPr>
          <w:spacing w:val="-3"/>
        </w:rPr>
        <w:t>扣递延所得税资产的利益，则减记递延所得税资产的账面价值。在很可能获得足够的应纳税所得额时，转回减记的金额。</w:t>
      </w:r>
    </w:p>
    <w:p>
      <w:pPr>
        <w:pStyle w:val="BodyText"/>
        <w:spacing w:line="300" w:lineRule="auto" w:before="31"/>
        <w:ind w:right="1122" w:firstLine="422"/>
        <w:jc w:val="both"/>
      </w:pPr>
      <w:r>
        <w:rPr>
          <w:rFonts w:ascii="Times New Roman" w:hAnsi="Times New Roman" w:cs="Times New Roman" w:eastAsia="Times New Roman" w:hint="default"/>
        </w:rPr>
        <w:t>4. </w:t>
      </w:r>
      <w:r>
        <w:rPr/>
        <w:t>公司当期所得税和递延所得税作为所得税费用或收益计入当期损益，但不包括下列情况产生的所得税：</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企业合</w:t>
      </w:r>
      <w:r>
        <w:rPr>
          <w:w w:val="101"/>
        </w:rPr>
        <w:t> </w:t>
      </w:r>
      <w:r>
        <w:rPr/>
        <w:t>并；</w:t>
      </w:r>
      <w:r>
        <w:rPr>
          <w:rFonts w:ascii="Times New Roman" w:hAnsi="Times New Roman" w:cs="Times New Roman" w:eastAsia="Times New Roman" w:hint="default"/>
        </w:rPr>
        <w:t>(2) </w:t>
      </w:r>
      <w:r>
        <w:rPr>
          <w:rFonts w:ascii="Times New Roman" w:hAnsi="Times New Roman" w:cs="Times New Roman" w:eastAsia="Times New Roman" w:hint="default"/>
          <w:spacing w:val="40"/>
        </w:rPr>
        <w:t> </w:t>
      </w:r>
      <w:r>
        <w:rPr>
          <w:spacing w:val="-3"/>
        </w:rPr>
        <w:t>直接在所有者权益中确认的交易或者事项。</w:t>
      </w:r>
    </w:p>
    <w:p>
      <w:pPr>
        <w:spacing w:line="240" w:lineRule="auto" w:before="2"/>
        <w:rPr>
          <w:rFonts w:ascii="宋体" w:hAnsi="宋体" w:cs="宋体" w:eastAsia="宋体" w:hint="default"/>
          <w:sz w:val="22"/>
          <w:szCs w:val="22"/>
        </w:rPr>
      </w:pPr>
    </w:p>
    <w:p>
      <w:pPr>
        <w:pStyle w:val="Heading4"/>
        <w:spacing w:line="240" w:lineRule="auto"/>
        <w:ind w:right="0"/>
        <w:jc w:val="both"/>
        <w:rPr>
          <w:b w:val="0"/>
          <w:bCs w:val="0"/>
        </w:rPr>
      </w:pPr>
      <w:bookmarkStart w:name="25、租赁" w:id="205"/>
      <w:bookmarkEnd w:id="205"/>
      <w:r>
        <w:rPr>
          <w:b w:val="0"/>
          <w:bCs w:val="0"/>
        </w:rPr>
      </w:r>
      <w:r>
        <w:rPr>
          <w:rFonts w:ascii="Times New Roman" w:hAnsi="Times New Roman" w:cs="Times New Roman" w:eastAsia="Times New Roman" w:hint="default"/>
        </w:rPr>
        <w:t>25</w:t>
      </w:r>
      <w:r>
        <w:rPr/>
        <w:t>、租赁</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bookmarkStart w:name="（1）经营租赁的会计处理方法" w:id="206"/>
      <w:bookmarkEnd w:id="206"/>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19" w:firstLine="422"/>
        <w:jc w:val="both"/>
      </w:pPr>
      <w:r>
        <w:rPr>
          <w:spacing w:val="-6"/>
          <w:w w:val="101"/>
        </w:rPr>
        <w:t>公司为承租人时，在租赁期内各个期间按照直线法将租金计入相关资产成本或确认为当期损益，发生的初始直接费用，</w:t>
      </w:r>
      <w:r>
        <w:rPr>
          <w:w w:val="101"/>
        </w:rPr>
        <w:t> </w:t>
      </w:r>
      <w:r>
        <w:rPr>
          <w:spacing w:val="-3"/>
        </w:rPr>
        <w:t>直接计入当期损益。或有租金在实际发生时计入当期损益。</w:t>
      </w:r>
    </w:p>
    <w:p>
      <w:pPr>
        <w:pStyle w:val="BodyText"/>
        <w:spacing w:line="316" w:lineRule="auto" w:before="19"/>
        <w:ind w:right="1124" w:firstLine="422"/>
        <w:jc w:val="both"/>
      </w:pPr>
      <w:r>
        <w:rPr>
          <w:spacing w:val="-2"/>
        </w:rPr>
        <w:t>公司为出租人时，在租赁期内各个期间按照直线法将租金确认为当期损益，发生的初始直接费用，除金额较大的予以</w:t>
      </w:r>
      <w:r>
        <w:rPr>
          <w:w w:val="101"/>
        </w:rPr>
        <w:t> </w:t>
      </w:r>
      <w:r>
        <w:rPr>
          <w:spacing w:val="-3"/>
        </w:rPr>
        <w:t>资本化并分期计入损益外，均直接计入当期损益。或有租金在实际发生时计入当期损益。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7"/>
        <w:ind w:right="0"/>
        <w:jc w:val="both"/>
        <w:rPr>
          <w:b w:val="0"/>
          <w:bCs w:val="0"/>
        </w:rPr>
      </w:pPr>
      <w:bookmarkStart w:name="（2）融资租赁的会计处理方法" w:id="207"/>
      <w:bookmarkEnd w:id="207"/>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不适用</w:t>
      </w:r>
    </w:p>
    <w:p>
      <w:pPr>
        <w:spacing w:line="240" w:lineRule="auto" w:before="0"/>
        <w:rPr>
          <w:rFonts w:ascii="宋体" w:hAnsi="宋体" w:cs="宋体" w:eastAsia="宋体" w:hint="default"/>
          <w:sz w:val="18"/>
          <w:szCs w:val="18"/>
        </w:rPr>
      </w:pPr>
    </w:p>
    <w:p>
      <w:pPr>
        <w:pStyle w:val="Heading4"/>
        <w:spacing w:line="240" w:lineRule="auto" w:before="118"/>
        <w:ind w:right="0"/>
        <w:jc w:val="both"/>
        <w:rPr>
          <w:b w:val="0"/>
          <w:bCs w:val="0"/>
        </w:rPr>
      </w:pPr>
      <w:bookmarkStart w:name="26、其他重要的会计政策和会计估计" w:id="208"/>
      <w:bookmarkEnd w:id="208"/>
      <w:r>
        <w:rPr>
          <w:b w:val="0"/>
          <w:bCs w:val="0"/>
        </w:rPr>
      </w:r>
      <w:r>
        <w:rPr>
          <w:rFonts w:ascii="Times New Roman" w:hAnsi="Times New Roman" w:cs="Times New Roman" w:eastAsia="Times New Roman" w:hint="default"/>
        </w:rPr>
        <w:t>26</w:t>
      </w:r>
      <w:r>
        <w:rPr/>
        <w:t>、其他重要的会计政策和会计估计</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both"/>
      </w:pPr>
      <w:r>
        <w:rPr>
          <w:w w:val="101"/>
        </w:rPr>
        <w:t>无</w:t>
      </w:r>
      <w:r>
        <w:rPr/>
      </w:r>
    </w:p>
    <w:p>
      <w:pPr>
        <w:spacing w:after="0" w:line="240" w:lineRule="auto"/>
        <w:jc w:val="both"/>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4"/>
        <w:spacing w:line="240" w:lineRule="auto" w:before="36"/>
        <w:ind w:right="0"/>
        <w:jc w:val="left"/>
        <w:rPr>
          <w:b w:val="0"/>
          <w:bCs w:val="0"/>
        </w:rPr>
      </w:pPr>
      <w:bookmarkStart w:name="27、重要会计政策和会计估计变更" w:id="209"/>
      <w:bookmarkEnd w:id="209"/>
      <w:r>
        <w:rPr>
          <w:b w:val="0"/>
          <w:bCs w:val="0"/>
        </w:rPr>
      </w:r>
      <w:r>
        <w:rPr>
          <w:rFonts w:ascii="Times New Roman" w:hAnsi="Times New Roman" w:cs="Times New Roman" w:eastAsia="Times New Roman" w:hint="default"/>
        </w:rPr>
        <w:t>27</w:t>
      </w:r>
      <w:r>
        <w:rPr/>
        <w:t>、重要会计政策和会计估计变更</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1）重要会计政策变更" w:id="210"/>
      <w:bookmarkEnd w:id="210"/>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93"/>
        <w:gridCol w:w="3189"/>
        <w:gridCol w:w="3193"/>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8" w:right="0"/>
              <w:jc w:val="left"/>
              <w:rPr>
                <w:rFonts w:ascii="宋体" w:hAnsi="宋体" w:cs="宋体" w:eastAsia="宋体" w:hint="default"/>
                <w:sz w:val="18"/>
                <w:szCs w:val="18"/>
              </w:rPr>
            </w:pPr>
            <w:r>
              <w:rPr>
                <w:rFonts w:ascii="宋体" w:hAnsi="宋体" w:cs="宋体" w:eastAsia="宋体" w:hint="default"/>
                <w:spacing w:val="-3"/>
                <w:sz w:val="18"/>
                <w:szCs w:val="18"/>
              </w:rPr>
              <w:t>会计政策变更的内容和原因</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10"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详见下述说明</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90"/>
              <w:jc w:val="left"/>
              <w:rPr>
                <w:rFonts w:ascii="宋体" w:hAnsi="宋体" w:cs="宋体" w:eastAsia="宋体" w:hint="default"/>
                <w:sz w:val="18"/>
                <w:szCs w:val="18"/>
              </w:rPr>
            </w:pPr>
            <w:r>
              <w:rPr>
                <w:rFonts w:ascii="宋体" w:hAnsi="宋体" w:cs="宋体" w:eastAsia="宋体" w:hint="default"/>
                <w:spacing w:val="-3"/>
                <w:sz w:val="18"/>
                <w:szCs w:val="18"/>
              </w:rPr>
              <w:t>经公司二届董事会第十八、二十次董事</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会批准</w:t>
            </w:r>
          </w:p>
        </w:tc>
        <w:tc>
          <w:tcPr>
            <w:tcW w:w="3193" w:type="dxa"/>
            <w:tcBorders>
              <w:top w:val="single" w:sz="4" w:space="0" w:color="000000"/>
              <w:left w:val="single" w:sz="4" w:space="0" w:color="000000"/>
              <w:bottom w:val="single" w:sz="4" w:space="0" w:color="000000"/>
              <w:right w:val="single" w:sz="4" w:space="0" w:color="000000"/>
            </w:tcBorders>
          </w:tcPr>
          <w:p>
            <w:pPr/>
          </w:p>
        </w:tc>
      </w:tr>
    </w:tbl>
    <w:p>
      <w:pPr>
        <w:pStyle w:val="Heading5"/>
        <w:spacing w:line="276" w:lineRule="exact"/>
        <w:ind w:right="0" w:firstLine="422"/>
        <w:jc w:val="left"/>
      </w:pP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rFonts w:ascii="Times New Roman" w:hAnsi="Times New Roman" w:cs="Times New Roman" w:eastAsia="Times New Roman" w:hint="default"/>
          <w:spacing w:val="-19"/>
        </w:rPr>
        <w:t> </w:t>
      </w:r>
      <w:r>
        <w:rPr>
          <w:w w:val="100"/>
        </w:rPr>
        <w:t>本公</w:t>
      </w:r>
      <w:r>
        <w:rPr>
          <w:spacing w:val="-5"/>
          <w:w w:val="100"/>
        </w:rPr>
        <w:t>司</w:t>
      </w:r>
      <w:r>
        <w:rPr>
          <w:w w:val="100"/>
        </w:rPr>
        <w:t>根据财</w:t>
      </w:r>
      <w:r>
        <w:rPr>
          <w:spacing w:val="-5"/>
          <w:w w:val="100"/>
        </w:rPr>
        <w:t>政</w:t>
      </w:r>
      <w:r>
        <w:rPr>
          <w:spacing w:val="-48"/>
          <w:w w:val="100"/>
        </w:rPr>
        <w:t>部</w:t>
      </w:r>
      <w:r>
        <w:rPr>
          <w:spacing w:val="-5"/>
          <w:w w:val="100"/>
        </w:rPr>
        <w:t>《</w:t>
      </w:r>
      <w:r>
        <w:rPr>
          <w:w w:val="100"/>
        </w:rPr>
        <w:t>关于修</w:t>
      </w:r>
      <w:r>
        <w:rPr>
          <w:spacing w:val="-5"/>
          <w:w w:val="100"/>
        </w:rPr>
        <w:t>订</w:t>
      </w:r>
      <w:r>
        <w:rPr>
          <w:w w:val="100"/>
        </w:rPr>
        <w:t>印</w:t>
      </w:r>
      <w:r>
        <w:rPr>
          <w:spacing w:val="1"/>
          <w:w w:val="100"/>
        </w:rPr>
        <w:t>发</w:t>
      </w:r>
      <w:r>
        <w:rPr>
          <w:rFonts w:ascii="Times New Roman" w:hAnsi="Times New Roman" w:cs="Times New Roman" w:eastAsia="Times New Roman" w:hint="default"/>
          <w:w w:val="100"/>
        </w:rPr>
        <w:t>201</w:t>
      </w:r>
      <w:r>
        <w:rPr>
          <w:rFonts w:ascii="Times New Roman" w:hAnsi="Times New Roman" w:cs="Times New Roman" w:eastAsia="Times New Roman" w:hint="default"/>
          <w:spacing w:val="-5"/>
          <w:w w:val="100"/>
        </w:rPr>
        <w:t>9</w:t>
      </w:r>
      <w:r>
        <w:rPr>
          <w:w w:val="100"/>
        </w:rPr>
        <w:t>年度一</w:t>
      </w:r>
      <w:r>
        <w:rPr>
          <w:spacing w:val="-5"/>
          <w:w w:val="100"/>
        </w:rPr>
        <w:t>般企</w:t>
      </w:r>
      <w:r>
        <w:rPr>
          <w:w w:val="100"/>
        </w:rPr>
        <w:t>业财务报</w:t>
      </w:r>
      <w:r>
        <w:rPr>
          <w:spacing w:val="-5"/>
          <w:w w:val="100"/>
        </w:rPr>
        <w:t>表</w:t>
      </w:r>
      <w:r>
        <w:rPr>
          <w:w w:val="100"/>
        </w:rPr>
        <w:t>格式的</w:t>
      </w:r>
      <w:r>
        <w:rPr>
          <w:spacing w:val="-5"/>
          <w:w w:val="100"/>
        </w:rPr>
        <w:t>通</w:t>
      </w:r>
      <w:r>
        <w:rPr>
          <w:w w:val="100"/>
        </w:rPr>
        <w:t>知</w:t>
      </w:r>
      <w:r>
        <w:rPr>
          <w:spacing w:val="-52"/>
          <w:w w:val="100"/>
        </w:rPr>
        <w:t>》</w:t>
      </w:r>
      <w:r>
        <w:rPr>
          <w:rFonts w:ascii="Times New Roman" w:hAnsi="Times New Roman" w:cs="Times New Roman" w:eastAsia="Times New Roman" w:hint="default"/>
          <w:spacing w:val="1"/>
          <w:w w:val="100"/>
        </w:rPr>
        <w:t>(</w:t>
      </w:r>
      <w:r>
        <w:rPr>
          <w:w w:val="100"/>
        </w:rPr>
        <w:t>财</w:t>
      </w:r>
      <w:r>
        <w:rPr>
          <w:spacing w:val="-53"/>
          <w:w w:val="100"/>
        </w:rPr>
        <w:t>会</w:t>
      </w:r>
      <w:r>
        <w:rPr>
          <w:w w:val="100"/>
        </w:rPr>
        <w:t>〔</w:t>
      </w:r>
      <w:r>
        <w:rPr>
          <w:rFonts w:ascii="Times New Roman" w:hAnsi="Times New Roman" w:cs="Times New Roman" w:eastAsia="Times New Roman" w:hint="default"/>
          <w:w w:val="100"/>
        </w:rPr>
        <w:t>201</w:t>
      </w:r>
      <w:r>
        <w:rPr>
          <w:rFonts w:ascii="Times New Roman" w:hAnsi="Times New Roman" w:cs="Times New Roman" w:eastAsia="Times New Roman" w:hint="default"/>
          <w:spacing w:val="-5"/>
          <w:w w:val="100"/>
        </w:rPr>
        <w:t>9</w:t>
      </w:r>
      <w:r>
        <w:rPr>
          <w:spacing w:val="-48"/>
          <w:w w:val="100"/>
        </w:rPr>
        <w:t>〕</w:t>
      </w:r>
      <w:r>
        <w:rPr>
          <w:rFonts w:ascii="Times New Roman" w:hAnsi="Times New Roman" w:cs="Times New Roman" w:eastAsia="Times New Roman" w:hint="default"/>
          <w:w w:val="100"/>
        </w:rPr>
        <w:t>6</w:t>
      </w:r>
      <w:r>
        <w:rPr>
          <w:spacing w:val="-5"/>
          <w:w w:val="100"/>
        </w:rPr>
        <w:t>号</w:t>
      </w:r>
      <w:r>
        <w:rPr>
          <w:rFonts w:ascii="Times New Roman" w:hAnsi="Times New Roman" w:cs="Times New Roman" w:eastAsia="Times New Roman" w:hint="default"/>
          <w:spacing w:val="1"/>
          <w:w w:val="100"/>
        </w:rPr>
        <w:t>)</w:t>
      </w:r>
      <w:r>
        <w:rPr>
          <w:rFonts w:ascii="宋体" w:hAnsi="宋体" w:cs="宋体" w:eastAsia="宋体" w:hint="default"/>
          <w:i/>
          <w:spacing w:val="-101"/>
          <w:w w:val="95"/>
          <w:sz w:val="22"/>
          <w:szCs w:val="22"/>
        </w:rPr>
        <w:t>、</w:t>
      </w:r>
      <w:r>
        <w:rPr>
          <w:w w:val="100"/>
        </w:rPr>
        <w:t>《关</w:t>
      </w:r>
    </w:p>
    <w:p>
      <w:pPr>
        <w:pStyle w:val="Heading5"/>
        <w:spacing w:line="256" w:lineRule="auto" w:before="21"/>
        <w:ind w:right="0"/>
        <w:jc w:val="left"/>
      </w:pPr>
      <w:r>
        <w:rPr/>
        <w:t>于修订印发合并财务报表格式（</w:t>
      </w:r>
      <w:r>
        <w:rPr>
          <w:rFonts w:ascii="Times New Roman" w:hAnsi="Times New Roman" w:cs="Times New Roman" w:eastAsia="Times New Roman" w:hint="default"/>
        </w:rPr>
        <w:t>2019</w:t>
      </w:r>
      <w:r>
        <w:rPr/>
        <w:t>版）的通知》</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和企业会计准则的要求编制</w:t>
      </w:r>
      <w:r>
        <w:rPr>
          <w:rFonts w:ascii="Times New Roman" w:hAnsi="Times New Roman" w:cs="Times New Roman" w:eastAsia="Times New Roman" w:hint="default"/>
        </w:rPr>
        <w:t>2019</w:t>
      </w:r>
      <w:r>
        <w:rPr/>
        <w:t>年</w:t>
      </w:r>
      <w:r>
        <w:rPr>
          <w:spacing w:val="-58"/>
        </w:rPr>
        <w:t> </w:t>
      </w:r>
      <w:r>
        <w:rPr/>
        <w:t>度财务报表，此项会计政策变更采用追溯调整法。</w:t>
      </w:r>
      <w:r>
        <w:rPr>
          <w:rFonts w:ascii="Times New Roman" w:hAnsi="Times New Roman" w:cs="Times New Roman" w:eastAsia="Times New Roman" w:hint="default"/>
        </w:rPr>
        <w:t>2018</w:t>
      </w:r>
      <w:r>
        <w:rPr/>
        <w:t>年度财务报表受重要影响的报表项目和金额如下：</w:t>
      </w:r>
    </w:p>
    <w:tbl>
      <w:tblPr>
        <w:tblW w:w="0" w:type="auto"/>
        <w:jc w:val="left"/>
        <w:tblInd w:w="143" w:type="dxa"/>
        <w:tblLayout w:type="fixed"/>
        <w:tblCellMar>
          <w:top w:w="0" w:type="dxa"/>
          <w:left w:w="0" w:type="dxa"/>
          <w:bottom w:w="0" w:type="dxa"/>
          <w:right w:w="0" w:type="dxa"/>
        </w:tblCellMar>
        <w:tblLook w:val="01E0"/>
      </w:tblPr>
      <w:tblGrid>
        <w:gridCol w:w="2271"/>
        <w:gridCol w:w="2425"/>
        <w:gridCol w:w="1824"/>
        <w:gridCol w:w="2005"/>
      </w:tblGrid>
      <w:tr>
        <w:trPr>
          <w:trHeight w:val="350" w:hRule="exact"/>
        </w:trPr>
        <w:tc>
          <w:tcPr>
            <w:tcW w:w="46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291" w:right="0"/>
              <w:jc w:val="left"/>
              <w:rPr>
                <w:rFonts w:ascii="宋体" w:hAnsi="宋体" w:cs="宋体" w:eastAsia="宋体" w:hint="default"/>
                <w:sz w:val="21"/>
                <w:szCs w:val="21"/>
              </w:rPr>
            </w:pPr>
            <w:r>
              <w:rPr>
                <w:rFonts w:ascii="宋体" w:hAnsi="宋体" w:cs="宋体" w:eastAsia="宋体" w:hint="default"/>
                <w:sz w:val="21"/>
                <w:szCs w:val="21"/>
              </w:rPr>
              <w:t>原列报报表项目及金额</w:t>
            </w:r>
          </w:p>
        </w:tc>
        <w:tc>
          <w:tcPr>
            <w:tcW w:w="3829" w:type="dxa"/>
            <w:gridSpan w:val="2"/>
            <w:tcBorders>
              <w:top w:val="single" w:sz="6" w:space="0" w:color="000000"/>
              <w:left w:val="single" w:sz="6" w:space="0" w:color="000000"/>
              <w:bottom w:val="single" w:sz="6" w:space="0" w:color="000000"/>
              <w:right w:val="nil" w:sz="6" w:space="0" w:color="auto"/>
            </w:tcBorders>
          </w:tcPr>
          <w:p>
            <w:pPr>
              <w:pStyle w:val="TableParagraph"/>
              <w:spacing w:line="274" w:lineRule="exact"/>
              <w:ind w:left="859" w:right="0"/>
              <w:jc w:val="left"/>
              <w:rPr>
                <w:rFonts w:ascii="宋体" w:hAnsi="宋体" w:cs="宋体" w:eastAsia="宋体" w:hint="default"/>
                <w:sz w:val="21"/>
                <w:szCs w:val="21"/>
              </w:rPr>
            </w:pPr>
            <w:r>
              <w:rPr>
                <w:rFonts w:ascii="宋体" w:hAnsi="宋体" w:cs="宋体" w:eastAsia="宋体" w:hint="default"/>
                <w:sz w:val="21"/>
                <w:szCs w:val="21"/>
              </w:rPr>
              <w:t>新列报报表项目及金额</w:t>
            </w:r>
          </w:p>
        </w:tc>
      </w:tr>
      <w:tr>
        <w:trPr>
          <w:trHeight w:val="346" w:hRule="exact"/>
        </w:trPr>
        <w:tc>
          <w:tcPr>
            <w:tcW w:w="2271" w:type="dxa"/>
            <w:vMerge w:val="restart"/>
            <w:tcBorders>
              <w:top w:val="single" w:sz="6" w:space="0" w:color="000000"/>
              <w:left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2425" w:type="dxa"/>
            <w:vMerge w:val="restart"/>
            <w:tcBorders>
              <w:top w:val="single" w:sz="6" w:space="0" w:color="000000"/>
              <w:left w:val="single" w:sz="6" w:space="0" w:color="000000"/>
              <w:right w:val="single" w:sz="6" w:space="0" w:color="000000"/>
            </w:tcBorders>
          </w:tcPr>
          <w:p>
            <w:pPr>
              <w:pStyle w:val="TableParagraph"/>
              <w:spacing w:line="240" w:lineRule="auto" w:before="44"/>
              <w:ind w:left="1099" w:right="-5"/>
              <w:jc w:val="left"/>
              <w:rPr>
                <w:rFonts w:ascii="Times New Roman" w:hAnsi="Times New Roman" w:cs="Times New Roman" w:eastAsia="Times New Roman" w:hint="default"/>
                <w:sz w:val="21"/>
                <w:szCs w:val="21"/>
              </w:rPr>
            </w:pPr>
            <w:r>
              <w:rPr>
                <w:rFonts w:ascii="Times New Roman"/>
                <w:sz w:val="21"/>
              </w:rPr>
              <w:t>319,642,666.03</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0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8,039,160.00</w:t>
            </w:r>
          </w:p>
        </w:tc>
      </w:tr>
      <w:tr>
        <w:trPr>
          <w:trHeight w:val="346" w:hRule="exact"/>
        </w:trPr>
        <w:tc>
          <w:tcPr>
            <w:tcW w:w="2271" w:type="dxa"/>
            <w:vMerge/>
            <w:tcBorders>
              <w:left w:val="single" w:sz="6" w:space="0" w:color="000000"/>
              <w:bottom w:val="single" w:sz="6" w:space="0" w:color="000000"/>
              <w:right w:val="single" w:sz="6" w:space="0" w:color="000000"/>
            </w:tcBorders>
          </w:tcPr>
          <w:p>
            <w:pPr/>
          </w:p>
        </w:tc>
        <w:tc>
          <w:tcPr>
            <w:tcW w:w="2425" w:type="dxa"/>
            <w:vMerge/>
            <w:tcBorders>
              <w:left w:val="single" w:sz="6" w:space="0" w:color="000000"/>
              <w:bottom w:val="single" w:sz="6" w:space="0" w:color="000000"/>
              <w:right w:val="single" w:sz="6" w:space="0" w:color="000000"/>
            </w:tcBorders>
          </w:tcPr>
          <w:p>
            <w:pP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311,603,506.03</w:t>
            </w:r>
          </w:p>
        </w:tc>
      </w:tr>
      <w:tr>
        <w:trPr>
          <w:trHeight w:val="350" w:hRule="exact"/>
        </w:trPr>
        <w:tc>
          <w:tcPr>
            <w:tcW w:w="2271" w:type="dxa"/>
            <w:vMerge w:val="restart"/>
            <w:tcBorders>
              <w:top w:val="single" w:sz="6" w:space="0" w:color="000000"/>
              <w:left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2425" w:type="dxa"/>
            <w:vMerge w:val="restart"/>
            <w:tcBorders>
              <w:top w:val="single" w:sz="6" w:space="0" w:color="000000"/>
              <w:left w:val="single" w:sz="6" w:space="0" w:color="000000"/>
              <w:right w:val="single" w:sz="6" w:space="0" w:color="000000"/>
            </w:tcBorders>
          </w:tcPr>
          <w:p>
            <w:pPr>
              <w:pStyle w:val="TableParagraph"/>
              <w:spacing w:line="240" w:lineRule="auto" w:before="48"/>
              <w:ind w:left="1099" w:right="-5"/>
              <w:jc w:val="left"/>
              <w:rPr>
                <w:rFonts w:ascii="Times New Roman" w:hAnsi="Times New Roman" w:cs="Times New Roman" w:eastAsia="Times New Roman" w:hint="default"/>
                <w:sz w:val="21"/>
                <w:szCs w:val="21"/>
              </w:rPr>
            </w:pPr>
            <w:r>
              <w:rPr>
                <w:rFonts w:ascii="Times New Roman"/>
                <w:sz w:val="21"/>
              </w:rPr>
              <w:t>147,916,001.39</w:t>
            </w: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0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3"/>
              <w:jc w:val="right"/>
              <w:rPr>
                <w:rFonts w:ascii="Times New Roman" w:hAnsi="Times New Roman" w:cs="Times New Roman" w:eastAsia="Times New Roman" w:hint="default"/>
                <w:sz w:val="21"/>
                <w:szCs w:val="21"/>
              </w:rPr>
            </w:pPr>
            <w:r>
              <w:rPr>
                <w:rFonts w:ascii="Times New Roman"/>
                <w:sz w:val="21"/>
              </w:rPr>
              <w:t>11,939,914.60</w:t>
            </w:r>
          </w:p>
        </w:tc>
      </w:tr>
      <w:tr>
        <w:trPr>
          <w:trHeight w:val="346" w:hRule="exact"/>
        </w:trPr>
        <w:tc>
          <w:tcPr>
            <w:tcW w:w="2271" w:type="dxa"/>
            <w:vMerge/>
            <w:tcBorders>
              <w:left w:val="single" w:sz="6" w:space="0" w:color="000000"/>
              <w:bottom w:val="single" w:sz="6" w:space="0" w:color="000000"/>
              <w:right w:val="single" w:sz="6" w:space="0" w:color="000000"/>
            </w:tcBorders>
          </w:tcPr>
          <w:p>
            <w:pPr/>
          </w:p>
        </w:tc>
        <w:tc>
          <w:tcPr>
            <w:tcW w:w="2425" w:type="dxa"/>
            <w:vMerge/>
            <w:tcBorders>
              <w:left w:val="single" w:sz="6" w:space="0" w:color="000000"/>
              <w:bottom w:val="single" w:sz="6" w:space="0" w:color="000000"/>
              <w:right w:val="single" w:sz="6" w:space="0" w:color="000000"/>
            </w:tcBorders>
          </w:tcPr>
          <w:p>
            <w:pPr/>
          </w:p>
        </w:tc>
        <w:tc>
          <w:tcPr>
            <w:tcW w:w="182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135,976,086.79</w:t>
            </w:r>
          </w:p>
        </w:tc>
      </w:tr>
    </w:tbl>
    <w:p>
      <w:pPr>
        <w:pStyle w:val="Heading5"/>
        <w:spacing w:line="256" w:lineRule="auto" w:before="5"/>
        <w:ind w:right="1114" w:firstLine="422"/>
        <w:jc w:val="left"/>
      </w:pPr>
      <w:r>
        <w:rPr>
          <w:rFonts w:ascii="Times New Roman" w:hAnsi="Times New Roman" w:cs="Times New Roman" w:eastAsia="Times New Roman" w:hint="default"/>
          <w:w w:val="100"/>
        </w:rPr>
        <w:t>2.</w:t>
      </w:r>
      <w:r>
        <w:rPr>
          <w:rFonts w:ascii="Times New Roman" w:hAnsi="Times New Roman" w:cs="Times New Roman" w:eastAsia="Times New Roman" w:hint="default"/>
          <w:spacing w:val="47"/>
          <w:w w:val="100"/>
        </w:rPr>
        <w:t> </w:t>
      </w:r>
      <w:r>
        <w:rPr>
          <w:spacing w:val="-7"/>
          <w:w w:val="100"/>
        </w:rPr>
        <w:t>本公司自</w:t>
      </w:r>
      <w:r>
        <w:rPr>
          <w:rFonts w:ascii="Times New Roman" w:hAnsi="Times New Roman" w:cs="Times New Roman" w:eastAsia="Times New Roman" w:hint="default"/>
          <w:spacing w:val="-7"/>
          <w:w w:val="100"/>
        </w:rPr>
        <w:t>2019</w:t>
      </w:r>
      <w:r>
        <w:rPr>
          <w:spacing w:val="-7"/>
          <w:w w:val="100"/>
        </w:rPr>
        <w:t>年</w:t>
      </w:r>
      <w:r>
        <w:rPr>
          <w:rFonts w:ascii="Times New Roman" w:hAnsi="Times New Roman" w:cs="Times New Roman" w:eastAsia="Times New Roman" w:hint="default"/>
          <w:spacing w:val="-7"/>
          <w:w w:val="100"/>
        </w:rPr>
        <w:t>1</w:t>
      </w:r>
      <w:r>
        <w:rPr>
          <w:spacing w:val="-7"/>
          <w:w w:val="100"/>
        </w:rPr>
        <w:t>月</w:t>
      </w:r>
      <w:r>
        <w:rPr>
          <w:rFonts w:ascii="Times New Roman" w:hAnsi="Times New Roman" w:cs="Times New Roman" w:eastAsia="Times New Roman" w:hint="default"/>
          <w:spacing w:val="-7"/>
          <w:w w:val="100"/>
        </w:rPr>
        <w:t>1</w:t>
      </w:r>
      <w:r>
        <w:rPr>
          <w:spacing w:val="-7"/>
          <w:w w:val="100"/>
        </w:rPr>
        <w:t>日起执行财政部修订后的《企业会计准则第</w:t>
      </w:r>
      <w:r>
        <w:rPr>
          <w:rFonts w:ascii="Times New Roman" w:hAnsi="Times New Roman" w:cs="Times New Roman" w:eastAsia="Times New Roman" w:hint="default"/>
          <w:spacing w:val="-7"/>
          <w:w w:val="100"/>
        </w:rPr>
        <w:t>22</w:t>
      </w:r>
      <w:r>
        <w:rPr>
          <w:spacing w:val="-7"/>
          <w:w w:val="100"/>
        </w:rPr>
        <w:t>号</w:t>
      </w:r>
      <w:r>
        <w:rPr>
          <w:rFonts w:ascii="Times New Roman" w:hAnsi="Times New Roman" w:cs="Times New Roman" w:eastAsia="Times New Roman" w:hint="default"/>
          <w:spacing w:val="-7"/>
          <w:w w:val="100"/>
        </w:rPr>
        <w:t>——</w:t>
      </w:r>
      <w:r>
        <w:rPr>
          <w:spacing w:val="-7"/>
          <w:w w:val="100"/>
        </w:rPr>
        <w:t>金融工具确认和计量》《企</w:t>
      </w:r>
      <w:r>
        <w:rPr>
          <w:w w:val="100"/>
        </w:rPr>
        <w:t> </w:t>
      </w:r>
      <w:r>
        <w:rPr>
          <w:spacing w:val="-2"/>
        </w:rPr>
        <w:t>业会计准则第</w:t>
      </w:r>
      <w:r>
        <w:rPr>
          <w:rFonts w:ascii="Times New Roman" w:hAnsi="Times New Roman" w:cs="Times New Roman" w:eastAsia="Times New Roman" w:hint="default"/>
          <w:spacing w:val="-2"/>
        </w:rPr>
        <w:t>23</w:t>
      </w:r>
      <w:r>
        <w:rPr>
          <w:spacing w:val="-2"/>
        </w:rPr>
        <w:t>号</w:t>
      </w:r>
      <w:r>
        <w:rPr>
          <w:rFonts w:ascii="Times New Roman" w:hAnsi="Times New Roman" w:cs="Times New Roman" w:eastAsia="Times New Roman" w:hint="default"/>
          <w:spacing w:val="-2"/>
        </w:rPr>
        <w:t>——</w:t>
      </w:r>
      <w:r>
        <w:rPr>
          <w:spacing w:val="-2"/>
        </w:rPr>
        <w:t>金融资产转移》《企业会计准则第</w:t>
      </w:r>
      <w:r>
        <w:rPr>
          <w:rFonts w:ascii="Times New Roman" w:hAnsi="Times New Roman" w:cs="Times New Roman" w:eastAsia="Times New Roman" w:hint="default"/>
          <w:spacing w:val="-2"/>
        </w:rPr>
        <w:t>24</w:t>
      </w:r>
      <w:r>
        <w:rPr>
          <w:spacing w:val="-2"/>
        </w:rPr>
        <w:t>号</w:t>
      </w:r>
      <w:r>
        <w:rPr>
          <w:rFonts w:ascii="Times New Roman" w:hAnsi="Times New Roman" w:cs="Times New Roman" w:eastAsia="Times New Roman" w:hint="default"/>
          <w:spacing w:val="-2"/>
        </w:rPr>
        <w:t>——</w:t>
      </w:r>
      <w:r>
        <w:rPr>
          <w:spacing w:val="-2"/>
        </w:rPr>
        <w:t>套期保值》以及《企业会计准则第</w:t>
      </w:r>
      <w:r>
        <w:rPr>
          <w:rFonts w:ascii="Times New Roman" w:hAnsi="Times New Roman" w:cs="Times New Roman" w:eastAsia="Times New Roman" w:hint="default"/>
          <w:spacing w:val="-2"/>
        </w:rPr>
        <w:t>37</w:t>
      </w:r>
      <w:r>
        <w:rPr>
          <w:spacing w:val="-2"/>
        </w:rPr>
        <w:t>号</w:t>
      </w:r>
    </w:p>
    <w:p>
      <w:pPr>
        <w:pStyle w:val="Heading5"/>
        <w:spacing w:line="256" w:lineRule="auto" w:before="5"/>
        <w:ind w:right="0"/>
        <w:jc w:val="left"/>
      </w:pPr>
      <w:r>
        <w:rPr>
          <w:rFonts w:ascii="Times New Roman" w:hAnsi="Times New Roman" w:cs="Times New Roman" w:eastAsia="Times New Roman" w:hint="default"/>
          <w:spacing w:val="-2"/>
        </w:rPr>
        <w:t>——</w:t>
      </w:r>
      <w:r>
        <w:rPr>
          <w:spacing w:val="-2"/>
        </w:rPr>
        <w:t>金融工具列报》（以下简称新金融工具准则）。根据相关新旧准则衔接规定，对可比期间信息不予调</w:t>
      </w:r>
      <w:r>
        <w:rPr>
          <w:spacing w:val="-38"/>
        </w:rPr>
        <w:t> </w:t>
      </w:r>
      <w:r>
        <w:rPr>
          <w:spacing w:val="-38"/>
        </w:rPr>
      </w:r>
      <w:r>
        <w:rPr/>
        <w:t>整，首次执行日执行新准则与原准则的差异追溯调整本报告期期初留存收益或其他综合收益。</w:t>
      </w:r>
    </w:p>
    <w:p>
      <w:pPr>
        <w:pStyle w:val="Heading5"/>
        <w:spacing w:line="268" w:lineRule="auto" w:before="22"/>
        <w:ind w:right="0" w:firstLine="422"/>
        <w:jc w:val="left"/>
      </w:pPr>
      <w:r>
        <w:rPr>
          <w:spacing w:val="-2"/>
        </w:rPr>
        <w:t>新金融工具准则改变了金融资产的分类和计量方式，确定了三个计量类别：摊余成本；以公允价值计</w:t>
      </w:r>
      <w:r>
        <w:rPr>
          <w:w w:val="100"/>
        </w:rPr>
        <w:t> </w:t>
      </w:r>
      <w:r>
        <w:rPr>
          <w:spacing w:val="-2"/>
        </w:rPr>
        <w:t>量且其变动计入其他综合收益；以公允价值计量且其变动计入当期损益。公司考虑自身业务模式，以及金</w:t>
      </w:r>
      <w:r>
        <w:rPr>
          <w:spacing w:val="-33"/>
        </w:rPr>
        <w:t> </w:t>
      </w:r>
      <w:r>
        <w:rPr>
          <w:spacing w:val="-33"/>
        </w:rPr>
      </w:r>
      <w:r>
        <w:rPr>
          <w:spacing w:val="-2"/>
        </w:rPr>
        <w:t>融资产的合同现金流特征进行上述分类。权益类投资需按公允价值计量且其变动计入当期损益，但非交易</w:t>
      </w:r>
      <w:r>
        <w:rPr>
          <w:spacing w:val="-33"/>
        </w:rPr>
        <w:t> </w:t>
      </w:r>
      <w:r>
        <w:rPr>
          <w:spacing w:val="-33"/>
        </w:rPr>
      </w:r>
      <w:r>
        <w:rPr/>
        <w:t>性权益类投资在初始确认时可选择按公允价值计量且其变动计入其他综合收益</w:t>
      </w:r>
      <w:r>
        <w:rPr>
          <w:rFonts w:ascii="Times New Roman" w:hAnsi="Times New Roman" w:cs="Times New Roman" w:eastAsia="Times New Roman" w:hint="default"/>
        </w:rPr>
        <w:t>(</w:t>
      </w:r>
      <w:r>
        <w:rPr/>
        <w:t>处置时的利得或损失不能</w:t>
      </w:r>
      <w:r>
        <w:rPr>
          <w:spacing w:val="-102"/>
        </w:rPr>
        <w:t> </w:t>
      </w:r>
      <w:r>
        <w:rPr>
          <w:spacing w:val="-102"/>
        </w:rPr>
      </w:r>
      <w:r>
        <w:rPr/>
        <w:t>回转到损益，但股利收入计入当期损益</w:t>
      </w:r>
      <w:r>
        <w:rPr>
          <w:rFonts w:ascii="Times New Roman" w:hAnsi="Times New Roman" w:cs="Times New Roman" w:eastAsia="Times New Roman" w:hint="default"/>
        </w:rPr>
        <w:t>)</w:t>
      </w:r>
      <w:r>
        <w:rPr/>
        <w:t>，且该选择不可撤销。</w:t>
      </w:r>
    </w:p>
    <w:p>
      <w:pPr>
        <w:pStyle w:val="Heading5"/>
        <w:spacing w:line="256" w:lineRule="auto"/>
        <w:ind w:right="0" w:firstLine="422"/>
        <w:jc w:val="left"/>
      </w:pPr>
      <w:r>
        <w:rPr>
          <w:spacing w:val="-2"/>
        </w:rPr>
        <w:t>新金融工具准则要求金融资产减值计量由</w:t>
      </w:r>
      <w:r>
        <w:rPr>
          <w:rFonts w:ascii="Times New Roman" w:hAnsi="Times New Roman" w:cs="Times New Roman" w:eastAsia="Times New Roman" w:hint="default"/>
          <w:spacing w:val="-2"/>
        </w:rPr>
        <w:t>“</w:t>
      </w:r>
      <w:r>
        <w:rPr>
          <w:spacing w:val="-2"/>
        </w:rPr>
        <w:t>已发生损失模型</w:t>
      </w:r>
      <w:r>
        <w:rPr>
          <w:rFonts w:ascii="Times New Roman" w:hAnsi="Times New Roman" w:cs="Times New Roman" w:eastAsia="Times New Roman" w:hint="default"/>
          <w:spacing w:val="-2"/>
        </w:rPr>
        <w:t>”</w:t>
      </w:r>
      <w:r>
        <w:rPr>
          <w:spacing w:val="-2"/>
        </w:rPr>
        <w:t>改为</w:t>
      </w:r>
      <w:r>
        <w:rPr>
          <w:rFonts w:ascii="Times New Roman" w:hAnsi="Times New Roman" w:cs="Times New Roman" w:eastAsia="Times New Roman" w:hint="default"/>
          <w:spacing w:val="-2"/>
        </w:rPr>
        <w:t>“</w:t>
      </w:r>
      <w:r>
        <w:rPr>
          <w:spacing w:val="-2"/>
        </w:rPr>
        <w:t>预期信用损失模型</w:t>
      </w:r>
      <w:r>
        <w:rPr>
          <w:rFonts w:ascii="Times New Roman" w:hAnsi="Times New Roman" w:cs="Times New Roman" w:eastAsia="Times New Roman" w:hint="default"/>
          <w:spacing w:val="-2"/>
        </w:rPr>
        <w:t>”</w:t>
      </w:r>
      <w:r>
        <w:rPr>
          <w:spacing w:val="-2"/>
        </w:rPr>
        <w:t>，适用于以摊余</w:t>
      </w:r>
      <w:r>
        <w:rPr>
          <w:w w:val="100"/>
        </w:rPr>
        <w:t> </w:t>
      </w:r>
      <w:r>
        <w:rPr/>
        <w:t>成本计量的金融资产、以公允价值计量且其变动计入其他综合收益的金融资产、租赁应收款。</w:t>
      </w:r>
    </w:p>
    <w:p>
      <w:pPr>
        <w:pStyle w:val="Heading5"/>
        <w:spacing w:line="240" w:lineRule="auto" w:before="22"/>
        <w:ind w:left="575"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4"/>
        </w:rPr>
        <w:t> </w:t>
      </w:r>
      <w:r>
        <w:rPr/>
        <w:t>执行新金融工具准则对公司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日财务报表的主要影响如下：</w:t>
      </w:r>
    </w:p>
    <w:p>
      <w:pPr>
        <w:spacing w:line="240" w:lineRule="auto" w:before="10"/>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2132"/>
        <w:gridCol w:w="2132"/>
        <w:gridCol w:w="2127"/>
        <w:gridCol w:w="2135"/>
      </w:tblGrid>
      <w:tr>
        <w:trPr>
          <w:trHeight w:val="346" w:hRule="exact"/>
        </w:trPr>
        <w:tc>
          <w:tcPr>
            <w:tcW w:w="2132" w:type="dxa"/>
            <w:vMerge w:val="restart"/>
            <w:tcBorders>
              <w:top w:val="single" w:sz="6" w:space="0" w:color="000000"/>
              <w:left w:val="single" w:sz="6" w:space="0" w:color="000000"/>
              <w:right w:val="single" w:sz="6" w:space="0" w:color="000000"/>
            </w:tcBorders>
          </w:tcPr>
          <w:p>
            <w:pPr>
              <w:pStyle w:val="TableParagraph"/>
              <w:spacing w:line="270" w:lineRule="exact"/>
              <w:ind w:left="215"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9"/>
                <w:sz w:val="21"/>
                <w:szCs w:val="21"/>
              </w:rPr>
              <w:t> </w:t>
            </w:r>
            <w:r>
              <w:rPr>
                <w:rFonts w:ascii="宋体" w:hAnsi="宋体" w:cs="宋体" w:eastAsia="宋体" w:hint="default"/>
                <w:sz w:val="21"/>
                <w:szCs w:val="21"/>
              </w:rPr>
              <w:t>目</w:t>
            </w:r>
          </w:p>
        </w:tc>
        <w:tc>
          <w:tcPr>
            <w:tcW w:w="6394" w:type="dxa"/>
            <w:gridSpan w:val="3"/>
            <w:tcBorders>
              <w:top w:val="single" w:sz="6" w:space="0" w:color="000000"/>
              <w:left w:val="single" w:sz="6" w:space="0" w:color="000000"/>
              <w:bottom w:val="single" w:sz="6" w:space="0" w:color="000000"/>
              <w:right w:val="nil" w:sz="6" w:space="0" w:color="auto"/>
            </w:tcBorders>
          </w:tcPr>
          <w:p>
            <w:pPr>
              <w:pStyle w:val="TableParagraph"/>
              <w:spacing w:line="270" w:lineRule="exact"/>
              <w:ind w:left="201" w:right="0"/>
              <w:jc w:val="center"/>
              <w:rPr>
                <w:rFonts w:ascii="宋体" w:hAnsi="宋体" w:cs="宋体" w:eastAsia="宋体" w:hint="default"/>
                <w:sz w:val="21"/>
                <w:szCs w:val="21"/>
              </w:rPr>
            </w:pPr>
            <w:r>
              <w:rPr>
                <w:rFonts w:ascii="宋体" w:hAnsi="宋体" w:cs="宋体" w:eastAsia="宋体" w:hint="default"/>
                <w:sz w:val="21"/>
                <w:szCs w:val="21"/>
              </w:rPr>
              <w:t>资产负债表</w:t>
            </w:r>
          </w:p>
        </w:tc>
      </w:tr>
      <w:tr>
        <w:trPr>
          <w:trHeight w:val="663" w:hRule="exact"/>
        </w:trPr>
        <w:tc>
          <w:tcPr>
            <w:tcW w:w="2132" w:type="dxa"/>
            <w:vMerge/>
            <w:tcBorders>
              <w:left w:val="single" w:sz="6" w:space="0" w:color="000000"/>
              <w:bottom w:val="single" w:sz="6" w:space="0" w:color="000000"/>
              <w:right w:val="single" w:sz="6" w:space="0" w:color="000000"/>
            </w:tcBorders>
          </w:tcPr>
          <w:p>
            <w:pP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3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638" w:right="310" w:hanging="312"/>
              <w:jc w:val="left"/>
              <w:rPr>
                <w:rFonts w:ascii="宋体" w:hAnsi="宋体" w:cs="宋体" w:eastAsia="宋体" w:hint="default"/>
                <w:sz w:val="21"/>
                <w:szCs w:val="21"/>
              </w:rPr>
            </w:pPr>
            <w:r>
              <w:rPr>
                <w:rFonts w:ascii="宋体" w:hAnsi="宋体" w:cs="宋体" w:eastAsia="宋体" w:hint="default"/>
                <w:sz w:val="21"/>
                <w:szCs w:val="21"/>
              </w:rPr>
              <w:t>新金融工具准则</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调整影响</w:t>
            </w:r>
          </w:p>
        </w:tc>
        <w:tc>
          <w:tcPr>
            <w:tcW w:w="2135"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left="43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w:t>
            </w:r>
          </w:p>
        </w:tc>
      </w:tr>
      <w:tr>
        <w:trPr>
          <w:trHeight w:val="346"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132"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0"/>
              <w:jc w:val="right"/>
              <w:rPr>
                <w:rFonts w:ascii="Times New Roman" w:hAnsi="Times New Roman" w:cs="Times New Roman" w:eastAsia="Times New Roman" w:hint="default"/>
                <w:sz w:val="21"/>
                <w:szCs w:val="21"/>
              </w:rPr>
            </w:pPr>
            <w:r>
              <w:rPr>
                <w:rFonts w:ascii="Times New Roman"/>
                <w:sz w:val="21"/>
              </w:rPr>
              <w:t>19,000,000.00</w:t>
            </w:r>
          </w:p>
        </w:tc>
        <w:tc>
          <w:tcPr>
            <w:tcW w:w="21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19,000,000.00</w:t>
            </w:r>
          </w:p>
        </w:tc>
      </w:tr>
      <w:tr>
        <w:trPr>
          <w:trHeight w:val="346"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z w:val="21"/>
              </w:rPr>
              <w:t>20,001,300.30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0"/>
              <w:jc w:val="right"/>
              <w:rPr>
                <w:rFonts w:ascii="Times New Roman" w:hAnsi="Times New Roman" w:cs="Times New Roman" w:eastAsia="Times New Roman" w:hint="default"/>
                <w:sz w:val="21"/>
                <w:szCs w:val="21"/>
              </w:rPr>
            </w:pPr>
            <w:r>
              <w:rPr>
                <w:rFonts w:ascii="Times New Roman"/>
                <w:spacing w:val="-1"/>
                <w:sz w:val="21"/>
              </w:rPr>
              <w:t>-19,000,000.00</w:t>
            </w:r>
          </w:p>
        </w:tc>
        <w:tc>
          <w:tcPr>
            <w:tcW w:w="21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1,001,300.30</w:t>
            </w:r>
          </w:p>
        </w:tc>
      </w:tr>
      <w:tr>
        <w:trPr>
          <w:trHeight w:val="346"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5"/>
              <w:jc w:val="right"/>
              <w:rPr>
                <w:rFonts w:ascii="Times New Roman" w:hAnsi="Times New Roman" w:cs="Times New Roman" w:eastAsia="Times New Roman" w:hint="default"/>
                <w:sz w:val="21"/>
                <w:szCs w:val="21"/>
              </w:rPr>
            </w:pPr>
            <w:r>
              <w:rPr>
                <w:rFonts w:ascii="Times New Roman"/>
                <w:spacing w:val="-1"/>
                <w:sz w:val="21"/>
              </w:rPr>
              <w:t>105,000,000.00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0"/>
              <w:jc w:val="right"/>
              <w:rPr>
                <w:rFonts w:ascii="Times New Roman" w:hAnsi="Times New Roman" w:cs="Times New Roman" w:eastAsia="Times New Roman" w:hint="default"/>
                <w:sz w:val="21"/>
                <w:szCs w:val="21"/>
              </w:rPr>
            </w:pPr>
            <w:r>
              <w:rPr>
                <w:rFonts w:ascii="Times New Roman"/>
                <w:sz w:val="21"/>
              </w:rPr>
              <w:t>145,119.44</w:t>
            </w:r>
          </w:p>
        </w:tc>
        <w:tc>
          <w:tcPr>
            <w:tcW w:w="21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105,145,119.44</w:t>
            </w:r>
          </w:p>
        </w:tc>
      </w:tr>
      <w:tr>
        <w:trPr>
          <w:trHeight w:val="351"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5"/>
              <w:jc w:val="right"/>
              <w:rPr>
                <w:rFonts w:ascii="Times New Roman" w:hAnsi="Times New Roman" w:cs="Times New Roman" w:eastAsia="Times New Roman" w:hint="default"/>
                <w:sz w:val="21"/>
                <w:szCs w:val="21"/>
              </w:rPr>
            </w:pPr>
            <w:r>
              <w:rPr>
                <w:rFonts w:ascii="Times New Roman"/>
                <w:sz w:val="21"/>
              </w:rPr>
              <w:t>55,827,782.61</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0"/>
              <w:jc w:val="right"/>
              <w:rPr>
                <w:rFonts w:ascii="Times New Roman" w:hAnsi="Times New Roman" w:cs="Times New Roman" w:eastAsia="Times New Roman" w:hint="default"/>
                <w:sz w:val="21"/>
                <w:szCs w:val="21"/>
              </w:rPr>
            </w:pPr>
            <w:r>
              <w:rPr>
                <w:rFonts w:ascii="Times New Roman"/>
                <w:spacing w:val="-1"/>
                <w:sz w:val="21"/>
              </w:rPr>
              <w:t>-145,119.44</w:t>
            </w:r>
          </w:p>
        </w:tc>
        <w:tc>
          <w:tcPr>
            <w:tcW w:w="21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8"/>
              <w:ind w:right="0"/>
              <w:jc w:val="right"/>
              <w:rPr>
                <w:rFonts w:ascii="Times New Roman" w:hAnsi="Times New Roman" w:cs="Times New Roman" w:eastAsia="Times New Roman" w:hint="default"/>
                <w:sz w:val="21"/>
                <w:szCs w:val="21"/>
              </w:rPr>
            </w:pPr>
            <w:r>
              <w:rPr>
                <w:rFonts w:ascii="Times New Roman"/>
                <w:sz w:val="21"/>
              </w:rPr>
              <w:t>55,682,663.17</w:t>
            </w:r>
          </w:p>
        </w:tc>
      </w:tr>
    </w:tbl>
    <w:p>
      <w:pPr>
        <w:pStyle w:val="Heading5"/>
        <w:spacing w:line="276" w:lineRule="exact"/>
        <w:ind w:left="575"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5"/>
        </w:rPr>
        <w:t> </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日，公司金融资产和金融负债按照新金融工具准则（以下简称新</w:t>
      </w:r>
      <w:r>
        <w:rPr>
          <w:rFonts w:ascii="Times New Roman" w:hAnsi="Times New Roman" w:cs="Times New Roman" w:eastAsia="Times New Roman" w:hint="default"/>
          <w:spacing w:val="-3"/>
        </w:rPr>
        <w:t>CAS22</w:t>
      </w:r>
      <w:r>
        <w:rPr>
          <w:spacing w:val="-3"/>
        </w:rPr>
        <w:t>）和按原金融工</w:t>
      </w:r>
    </w:p>
    <w:p>
      <w:pPr>
        <w:pStyle w:val="Heading5"/>
        <w:spacing w:line="240" w:lineRule="auto" w:before="21"/>
        <w:ind w:right="0"/>
        <w:jc w:val="left"/>
      </w:pPr>
      <w:r>
        <w:rPr/>
        <w:t>具准则（以下简称原</w:t>
      </w:r>
      <w:r>
        <w:rPr>
          <w:rFonts w:ascii="Times New Roman" w:hAnsi="Times New Roman" w:cs="Times New Roman" w:eastAsia="Times New Roman" w:hint="default"/>
        </w:rPr>
        <w:t>CAS22</w:t>
      </w:r>
      <w:r>
        <w:rPr/>
        <w:t>）的规定进行分类和计量结果对比如下表：</w:t>
      </w:r>
    </w:p>
    <w:p>
      <w:pPr>
        <w:spacing w:line="240" w:lineRule="auto" w:before="10"/>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1820"/>
        <w:gridCol w:w="1691"/>
        <w:gridCol w:w="1858"/>
        <w:gridCol w:w="1993"/>
        <w:gridCol w:w="1860"/>
      </w:tblGrid>
      <w:tr>
        <w:trPr>
          <w:trHeight w:val="346" w:hRule="exact"/>
        </w:trPr>
        <w:tc>
          <w:tcPr>
            <w:tcW w:w="1820" w:type="dxa"/>
            <w:vMerge w:val="restart"/>
            <w:tcBorders>
              <w:top w:val="single" w:sz="6" w:space="0" w:color="000000"/>
              <w:left w:val="single" w:sz="6" w:space="0" w:color="000000"/>
              <w:right w:val="single" w:sz="6" w:space="0" w:color="000000"/>
            </w:tcBorders>
          </w:tcPr>
          <w:p>
            <w:pPr>
              <w:pStyle w:val="TableParagraph"/>
              <w:spacing w:line="240" w:lineRule="auto" w:before="20"/>
              <w:ind w:left="187"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8"/>
                <w:sz w:val="18"/>
                <w:szCs w:val="18"/>
              </w:rPr>
              <w:t> </w:t>
            </w:r>
            <w:r>
              <w:rPr>
                <w:rFonts w:ascii="宋体" w:hAnsi="宋体" w:cs="宋体" w:eastAsia="宋体" w:hint="default"/>
                <w:sz w:val="18"/>
                <w:szCs w:val="18"/>
              </w:rPr>
              <w:t>目</w:t>
            </w:r>
          </w:p>
        </w:tc>
        <w:tc>
          <w:tcPr>
            <w:tcW w:w="354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238" w:right="0"/>
              <w:jc w:val="left"/>
              <w:rPr>
                <w:rFonts w:ascii="宋体" w:hAnsi="宋体" w:cs="宋体" w:eastAsia="宋体" w:hint="default"/>
                <w:sz w:val="18"/>
                <w:szCs w:val="18"/>
              </w:rPr>
            </w:pPr>
            <w:r>
              <w:rPr>
                <w:rFonts w:ascii="宋体" w:hAnsi="宋体" w:cs="宋体" w:eastAsia="宋体" w:hint="default"/>
                <w:spacing w:val="-3"/>
                <w:sz w:val="18"/>
                <w:szCs w:val="18"/>
              </w:rPr>
              <w:t>原金融工具准则</w:t>
            </w:r>
          </w:p>
        </w:tc>
        <w:tc>
          <w:tcPr>
            <w:tcW w:w="3853"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left="1392" w:right="0"/>
              <w:jc w:val="left"/>
              <w:rPr>
                <w:rFonts w:ascii="宋体" w:hAnsi="宋体" w:cs="宋体" w:eastAsia="宋体" w:hint="default"/>
                <w:sz w:val="18"/>
                <w:szCs w:val="18"/>
              </w:rPr>
            </w:pPr>
            <w:r>
              <w:rPr>
                <w:rFonts w:ascii="宋体" w:hAnsi="宋体" w:cs="宋体" w:eastAsia="宋体" w:hint="default"/>
                <w:spacing w:val="-3"/>
                <w:sz w:val="18"/>
                <w:szCs w:val="18"/>
              </w:rPr>
              <w:t>新金融工具准则</w:t>
            </w:r>
          </w:p>
        </w:tc>
      </w:tr>
      <w:tr>
        <w:trPr>
          <w:trHeight w:val="346" w:hRule="exact"/>
        </w:trPr>
        <w:tc>
          <w:tcPr>
            <w:tcW w:w="1820" w:type="dxa"/>
            <w:vMerge/>
            <w:tcBorders>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68"/>
              <w:jc w:val="right"/>
              <w:rPr>
                <w:rFonts w:ascii="宋体" w:hAnsi="宋体" w:cs="宋体" w:eastAsia="宋体" w:hint="default"/>
                <w:sz w:val="18"/>
                <w:szCs w:val="18"/>
              </w:rPr>
            </w:pPr>
            <w:r>
              <w:rPr>
                <w:rFonts w:ascii="宋体" w:hAnsi="宋体" w:cs="宋体" w:eastAsia="宋体" w:hint="default"/>
                <w:spacing w:val="-2"/>
                <w:sz w:val="18"/>
                <w:szCs w:val="18"/>
              </w:rPr>
              <w:t>计量类别</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6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29"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8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left="66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663" w:hRule="exact"/>
        </w:trPr>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406"/>
              <w:jc w:val="right"/>
              <w:rPr>
                <w:rFonts w:ascii="宋体" w:hAnsi="宋体" w:cs="宋体" w:eastAsia="宋体" w:hint="default"/>
                <w:sz w:val="18"/>
                <w:szCs w:val="18"/>
              </w:rPr>
            </w:pPr>
            <w:r>
              <w:rPr>
                <w:rFonts w:ascii="宋体" w:hAnsi="宋体" w:cs="宋体" w:eastAsia="宋体" w:hint="default"/>
                <w:spacing w:val="-3"/>
                <w:sz w:val="18"/>
                <w:szCs w:val="18"/>
              </w:rPr>
              <w:t>贷款和应收款项</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pacing w:val="-1"/>
                <w:sz w:val="18"/>
              </w:rPr>
              <w:t>365,191,329.76</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5"/>
              <w:ind w:left="23" w:right="147"/>
              <w:jc w:val="left"/>
              <w:rPr>
                <w:rFonts w:ascii="宋体" w:hAnsi="宋体" w:cs="宋体" w:eastAsia="宋体" w:hint="default"/>
                <w:sz w:val="18"/>
                <w:szCs w:val="18"/>
              </w:rPr>
            </w:pPr>
            <w:r>
              <w:rPr>
                <w:rFonts w:ascii="宋体" w:hAnsi="宋体" w:cs="宋体" w:eastAsia="宋体" w:hint="default"/>
                <w:spacing w:val="-2"/>
                <w:sz w:val="18"/>
                <w:szCs w:val="18"/>
              </w:rPr>
              <w:t>以摊余成本计量的金融</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资产</w:t>
            </w:r>
          </w:p>
        </w:tc>
        <w:tc>
          <w:tcPr>
            <w:tcW w:w="18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7"/>
              <w:ind w:right="3"/>
              <w:jc w:val="right"/>
              <w:rPr>
                <w:rFonts w:ascii="Times New Roman" w:hAnsi="Times New Roman" w:cs="Times New Roman" w:eastAsia="Times New Roman" w:hint="default"/>
                <w:sz w:val="18"/>
                <w:szCs w:val="18"/>
              </w:rPr>
            </w:pPr>
            <w:r>
              <w:rPr>
                <w:rFonts w:ascii="Times New Roman"/>
                <w:spacing w:val="-1"/>
                <w:sz w:val="18"/>
              </w:rPr>
              <w:t>365,191,329.76</w:t>
            </w:r>
          </w:p>
        </w:tc>
      </w:tr>
      <w:tr>
        <w:trPr>
          <w:trHeight w:val="346" w:hRule="exact"/>
        </w:trPr>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406"/>
              <w:jc w:val="right"/>
              <w:rPr>
                <w:rFonts w:ascii="宋体" w:hAnsi="宋体" w:cs="宋体" w:eastAsia="宋体" w:hint="default"/>
                <w:sz w:val="18"/>
                <w:szCs w:val="18"/>
              </w:rPr>
            </w:pPr>
            <w:r>
              <w:rPr>
                <w:rFonts w:ascii="宋体" w:hAnsi="宋体" w:cs="宋体" w:eastAsia="宋体" w:hint="default"/>
                <w:spacing w:val="-3"/>
                <w:sz w:val="18"/>
                <w:szCs w:val="18"/>
              </w:rPr>
              <w:t>贷款和应收款项</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8,039,160.00</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以摊余成本计量的金融</w:t>
            </w:r>
          </w:p>
        </w:tc>
        <w:tc>
          <w:tcPr>
            <w:tcW w:w="18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8,039,160.00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1820"/>
        <w:gridCol w:w="1691"/>
        <w:gridCol w:w="1858"/>
        <w:gridCol w:w="1993"/>
        <w:gridCol w:w="1860"/>
      </w:tblGrid>
      <w:tr>
        <w:trPr>
          <w:trHeight w:val="346" w:hRule="exact"/>
        </w:trPr>
        <w:tc>
          <w:tcPr>
            <w:tcW w:w="1820"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860" w:type="dxa"/>
            <w:tcBorders>
              <w:top w:val="single" w:sz="6" w:space="0" w:color="000000"/>
              <w:left w:val="single" w:sz="6" w:space="0" w:color="000000"/>
              <w:bottom w:val="single" w:sz="6" w:space="0" w:color="000000"/>
              <w:right w:val="nil" w:sz="6" w:space="0" w:color="auto"/>
            </w:tcBorders>
          </w:tcPr>
          <w:p>
            <w:pPr/>
          </w:p>
        </w:tc>
      </w:tr>
      <w:tr>
        <w:trPr>
          <w:trHeight w:val="662" w:hRule="exact"/>
        </w:trPr>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贷款和应收款项</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pacing w:val="-1"/>
                <w:sz w:val="18"/>
              </w:rPr>
              <w:t>311,603,506.03</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5"/>
              <w:ind w:left="23" w:right="147"/>
              <w:jc w:val="left"/>
              <w:rPr>
                <w:rFonts w:ascii="宋体" w:hAnsi="宋体" w:cs="宋体" w:eastAsia="宋体" w:hint="default"/>
                <w:sz w:val="18"/>
                <w:szCs w:val="18"/>
              </w:rPr>
            </w:pPr>
            <w:r>
              <w:rPr>
                <w:rFonts w:ascii="宋体" w:hAnsi="宋体" w:cs="宋体" w:eastAsia="宋体" w:hint="default"/>
                <w:spacing w:val="-2"/>
                <w:sz w:val="18"/>
                <w:szCs w:val="18"/>
              </w:rPr>
              <w:t>以摊余成本计量的金融</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资产</w:t>
            </w:r>
          </w:p>
        </w:tc>
        <w:tc>
          <w:tcPr>
            <w:tcW w:w="18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7"/>
              <w:ind w:right="3"/>
              <w:jc w:val="right"/>
              <w:rPr>
                <w:rFonts w:ascii="Times New Roman" w:hAnsi="Times New Roman" w:cs="Times New Roman" w:eastAsia="Times New Roman" w:hint="default"/>
                <w:sz w:val="18"/>
                <w:szCs w:val="18"/>
              </w:rPr>
            </w:pPr>
            <w:r>
              <w:rPr>
                <w:rFonts w:ascii="Times New Roman"/>
                <w:spacing w:val="-1"/>
                <w:sz w:val="18"/>
              </w:rPr>
              <w:t>311,603,506.03</w:t>
            </w:r>
          </w:p>
        </w:tc>
      </w:tr>
      <w:tr>
        <w:trPr>
          <w:trHeight w:val="658" w:hRule="exact"/>
        </w:trPr>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贷款和应收款项</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
              <w:jc w:val="right"/>
              <w:rPr>
                <w:rFonts w:ascii="Times New Roman" w:hAnsi="Times New Roman" w:cs="Times New Roman" w:eastAsia="Times New Roman" w:hint="default"/>
                <w:sz w:val="18"/>
                <w:szCs w:val="18"/>
              </w:rPr>
            </w:pPr>
            <w:r>
              <w:rPr>
                <w:rFonts w:ascii="Times New Roman"/>
                <w:spacing w:val="-1"/>
                <w:sz w:val="18"/>
              </w:rPr>
              <w:t>22,521,450.76</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3" w:right="147"/>
              <w:jc w:val="left"/>
              <w:rPr>
                <w:rFonts w:ascii="宋体" w:hAnsi="宋体" w:cs="宋体" w:eastAsia="宋体" w:hint="default"/>
                <w:sz w:val="18"/>
                <w:szCs w:val="18"/>
              </w:rPr>
            </w:pPr>
            <w:r>
              <w:rPr>
                <w:rFonts w:ascii="宋体" w:hAnsi="宋体" w:cs="宋体" w:eastAsia="宋体" w:hint="default"/>
                <w:spacing w:val="-2"/>
                <w:sz w:val="18"/>
                <w:szCs w:val="18"/>
              </w:rPr>
              <w:t>以摊余成本计量的金融</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资产</w:t>
            </w:r>
          </w:p>
        </w:tc>
        <w:tc>
          <w:tcPr>
            <w:tcW w:w="18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3"/>
              <w:ind w:right="3"/>
              <w:jc w:val="right"/>
              <w:rPr>
                <w:rFonts w:ascii="Times New Roman" w:hAnsi="Times New Roman" w:cs="Times New Roman" w:eastAsia="Times New Roman" w:hint="default"/>
                <w:sz w:val="18"/>
                <w:szCs w:val="18"/>
              </w:rPr>
            </w:pPr>
            <w:r>
              <w:rPr>
                <w:rFonts w:ascii="Times New Roman"/>
                <w:spacing w:val="-1"/>
                <w:sz w:val="18"/>
              </w:rPr>
              <w:t>22,521,450.76</w:t>
            </w:r>
          </w:p>
        </w:tc>
      </w:tr>
      <w:tr>
        <w:trPr>
          <w:trHeight w:val="970" w:hRule="exact"/>
        </w:trPr>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113"/>
              <w:jc w:val="left"/>
              <w:rPr>
                <w:rFonts w:ascii="宋体" w:hAnsi="宋体" w:cs="宋体" w:eastAsia="宋体" w:hint="default"/>
                <w:sz w:val="18"/>
                <w:szCs w:val="18"/>
              </w:rPr>
            </w:pPr>
            <w:r>
              <w:rPr>
                <w:rFonts w:ascii="宋体" w:hAnsi="宋体" w:cs="宋体" w:eastAsia="宋体" w:hint="default"/>
                <w:spacing w:val="-2"/>
                <w:sz w:val="18"/>
                <w:szCs w:val="18"/>
              </w:rPr>
              <w:t>其他流动资产</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银行理</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财产品</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19,000,000.00</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3" w:right="147"/>
              <w:jc w:val="both"/>
              <w:rPr>
                <w:rFonts w:ascii="宋体" w:hAnsi="宋体" w:cs="宋体" w:eastAsia="宋体" w:hint="default"/>
                <w:sz w:val="18"/>
                <w:szCs w:val="18"/>
              </w:rPr>
            </w:pPr>
            <w:r>
              <w:rPr>
                <w:rFonts w:ascii="宋体" w:hAnsi="宋体" w:cs="宋体" w:eastAsia="宋体" w:hint="default"/>
                <w:spacing w:val="-2"/>
                <w:sz w:val="18"/>
                <w:szCs w:val="18"/>
              </w:rPr>
              <w:t>以公允价值计量且其变</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动计入当期损益的金融</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资产</w:t>
            </w:r>
          </w:p>
        </w:tc>
        <w:tc>
          <w:tcPr>
            <w:tcW w:w="18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19,000,000.00</w:t>
            </w:r>
          </w:p>
        </w:tc>
      </w:tr>
      <w:tr>
        <w:trPr>
          <w:trHeight w:val="658" w:hRule="exact"/>
        </w:trPr>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贷款和应收款项</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18,486,372.98</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3" w:right="147"/>
              <w:jc w:val="left"/>
              <w:rPr>
                <w:rFonts w:ascii="宋体" w:hAnsi="宋体" w:cs="宋体" w:eastAsia="宋体" w:hint="default"/>
                <w:sz w:val="18"/>
                <w:szCs w:val="18"/>
              </w:rPr>
            </w:pPr>
            <w:r>
              <w:rPr>
                <w:rFonts w:ascii="宋体" w:hAnsi="宋体" w:cs="宋体" w:eastAsia="宋体" w:hint="default"/>
                <w:spacing w:val="-2"/>
                <w:sz w:val="18"/>
                <w:szCs w:val="18"/>
              </w:rPr>
              <w:t>以摊余成本计量的金融</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资产</w:t>
            </w:r>
          </w:p>
        </w:tc>
        <w:tc>
          <w:tcPr>
            <w:tcW w:w="18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18,486,372.98</w:t>
            </w:r>
          </w:p>
        </w:tc>
      </w:tr>
      <w:tr>
        <w:trPr>
          <w:trHeight w:val="662" w:hRule="exact"/>
        </w:trPr>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其他金融负债</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pacing w:val="-1"/>
                <w:sz w:val="18"/>
              </w:rPr>
              <w:t>105,000,000.00</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5"/>
              <w:ind w:left="23" w:right="147"/>
              <w:jc w:val="left"/>
              <w:rPr>
                <w:rFonts w:ascii="宋体" w:hAnsi="宋体" w:cs="宋体" w:eastAsia="宋体" w:hint="default"/>
                <w:sz w:val="18"/>
                <w:szCs w:val="18"/>
              </w:rPr>
            </w:pPr>
            <w:r>
              <w:rPr>
                <w:rFonts w:ascii="宋体" w:hAnsi="宋体" w:cs="宋体" w:eastAsia="宋体" w:hint="default"/>
                <w:spacing w:val="-2"/>
                <w:sz w:val="18"/>
                <w:szCs w:val="18"/>
              </w:rPr>
              <w:t>以摊余成本计量的金融</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负债</w:t>
            </w:r>
          </w:p>
        </w:tc>
        <w:tc>
          <w:tcPr>
            <w:tcW w:w="18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7"/>
              <w:ind w:right="3"/>
              <w:jc w:val="right"/>
              <w:rPr>
                <w:rFonts w:ascii="Times New Roman" w:hAnsi="Times New Roman" w:cs="Times New Roman" w:eastAsia="Times New Roman" w:hint="default"/>
                <w:sz w:val="18"/>
                <w:szCs w:val="18"/>
              </w:rPr>
            </w:pPr>
            <w:r>
              <w:rPr>
                <w:rFonts w:ascii="Times New Roman"/>
                <w:spacing w:val="-1"/>
                <w:sz w:val="18"/>
              </w:rPr>
              <w:t>105,145,119.44</w:t>
            </w:r>
          </w:p>
        </w:tc>
      </w:tr>
      <w:tr>
        <w:trPr>
          <w:trHeight w:val="658" w:hRule="exact"/>
        </w:trPr>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其他金融负债</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11,939,914.60</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23" w:right="147"/>
              <w:jc w:val="left"/>
              <w:rPr>
                <w:rFonts w:ascii="宋体" w:hAnsi="宋体" w:cs="宋体" w:eastAsia="宋体" w:hint="default"/>
                <w:sz w:val="18"/>
                <w:szCs w:val="18"/>
              </w:rPr>
            </w:pPr>
            <w:r>
              <w:rPr>
                <w:rFonts w:ascii="宋体" w:hAnsi="宋体" w:cs="宋体" w:eastAsia="宋体" w:hint="default"/>
                <w:spacing w:val="-2"/>
                <w:sz w:val="18"/>
                <w:szCs w:val="18"/>
              </w:rPr>
              <w:t>以摊余成本计量的金融</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负债</w:t>
            </w:r>
          </w:p>
        </w:tc>
        <w:tc>
          <w:tcPr>
            <w:tcW w:w="18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11,939,914.60</w:t>
            </w:r>
          </w:p>
        </w:tc>
      </w:tr>
      <w:tr>
        <w:trPr>
          <w:trHeight w:val="658" w:hRule="exact"/>
        </w:trPr>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其他金融负债</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135,976,086.79</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3" w:right="147"/>
              <w:jc w:val="left"/>
              <w:rPr>
                <w:rFonts w:ascii="宋体" w:hAnsi="宋体" w:cs="宋体" w:eastAsia="宋体" w:hint="default"/>
                <w:sz w:val="18"/>
                <w:szCs w:val="18"/>
              </w:rPr>
            </w:pPr>
            <w:r>
              <w:rPr>
                <w:rFonts w:ascii="宋体" w:hAnsi="宋体" w:cs="宋体" w:eastAsia="宋体" w:hint="default"/>
                <w:spacing w:val="-2"/>
                <w:sz w:val="18"/>
                <w:szCs w:val="18"/>
              </w:rPr>
              <w:t>以摊余成本计量的金融</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负债</w:t>
            </w:r>
          </w:p>
        </w:tc>
        <w:tc>
          <w:tcPr>
            <w:tcW w:w="18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135,976,086.79</w:t>
            </w:r>
          </w:p>
        </w:tc>
      </w:tr>
      <w:tr>
        <w:trPr>
          <w:trHeight w:val="662" w:hRule="exact"/>
        </w:trPr>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其他金融负债</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pacing w:val="-1"/>
                <w:sz w:val="18"/>
              </w:rPr>
              <w:t>55,827,782.61</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5"/>
              <w:ind w:left="23" w:right="147"/>
              <w:jc w:val="left"/>
              <w:rPr>
                <w:rFonts w:ascii="宋体" w:hAnsi="宋体" w:cs="宋体" w:eastAsia="宋体" w:hint="default"/>
                <w:sz w:val="18"/>
                <w:szCs w:val="18"/>
              </w:rPr>
            </w:pPr>
            <w:r>
              <w:rPr>
                <w:rFonts w:ascii="宋体" w:hAnsi="宋体" w:cs="宋体" w:eastAsia="宋体" w:hint="default"/>
                <w:spacing w:val="-2"/>
                <w:sz w:val="18"/>
                <w:szCs w:val="18"/>
              </w:rPr>
              <w:t>以摊余成本计量的金融</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负债</w:t>
            </w:r>
          </w:p>
        </w:tc>
        <w:tc>
          <w:tcPr>
            <w:tcW w:w="18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7"/>
              <w:ind w:right="3"/>
              <w:jc w:val="right"/>
              <w:rPr>
                <w:rFonts w:ascii="Times New Roman" w:hAnsi="Times New Roman" w:cs="Times New Roman" w:eastAsia="Times New Roman" w:hint="default"/>
                <w:sz w:val="18"/>
                <w:szCs w:val="18"/>
              </w:rPr>
            </w:pPr>
            <w:r>
              <w:rPr>
                <w:rFonts w:ascii="Times New Roman"/>
                <w:spacing w:val="-1"/>
                <w:sz w:val="18"/>
              </w:rPr>
              <w:t>55,682,663.17</w:t>
            </w:r>
          </w:p>
        </w:tc>
      </w:tr>
    </w:tbl>
    <w:p>
      <w:pPr>
        <w:pStyle w:val="Heading5"/>
        <w:spacing w:line="276" w:lineRule="exact"/>
        <w:ind w:left="575" w:right="0"/>
        <w:jc w:val="left"/>
      </w:pPr>
      <w:r>
        <w:rPr>
          <w:rFonts w:ascii="Times New Roman" w:hAnsi="Times New Roman" w:cs="Times New Roman" w:eastAsia="Times New Roman" w:hint="default"/>
        </w:rPr>
        <w:t>(3) </w:t>
      </w:r>
      <w:r>
        <w:rPr>
          <w:rFonts w:ascii="Times New Roman" w:hAnsi="Times New Roman" w:cs="Times New Roman" w:eastAsia="Times New Roman" w:hint="default"/>
          <w:spacing w:val="42"/>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日，公司原金融资产和金融负债账面价值调整为按照新金融工具准则的规定进行分类</w:t>
      </w:r>
    </w:p>
    <w:p>
      <w:pPr>
        <w:pStyle w:val="Heading5"/>
        <w:spacing w:line="240" w:lineRule="auto" w:before="21"/>
        <w:ind w:right="0"/>
        <w:jc w:val="left"/>
      </w:pPr>
      <w:r>
        <w:rPr/>
        <w:t>和计量的新金融资产和金融负债账面价值的调节表如下：</w:t>
      </w:r>
    </w:p>
    <w:p>
      <w:pPr>
        <w:spacing w:line="240" w:lineRule="auto" w:before="13"/>
        <w:rPr>
          <w:rFonts w:ascii="宋体" w:hAnsi="宋体" w:cs="宋体" w:eastAsia="宋体" w:hint="default"/>
          <w:sz w:val="3"/>
          <w:szCs w:val="3"/>
        </w:rPr>
      </w:pPr>
    </w:p>
    <w:tbl>
      <w:tblPr>
        <w:tblW w:w="0" w:type="auto"/>
        <w:jc w:val="left"/>
        <w:tblInd w:w="143" w:type="dxa"/>
        <w:tblLayout w:type="fixed"/>
        <w:tblCellMar>
          <w:top w:w="0" w:type="dxa"/>
          <w:left w:w="0" w:type="dxa"/>
          <w:bottom w:w="0" w:type="dxa"/>
          <w:right w:w="0" w:type="dxa"/>
        </w:tblCellMar>
        <w:tblLook w:val="01E0"/>
      </w:tblPr>
      <w:tblGrid>
        <w:gridCol w:w="2838"/>
        <w:gridCol w:w="1983"/>
        <w:gridCol w:w="1704"/>
        <w:gridCol w:w="989"/>
        <w:gridCol w:w="1990"/>
      </w:tblGrid>
      <w:tr>
        <w:trPr>
          <w:trHeight w:val="970" w:hRule="exact"/>
        </w:trPr>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87"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8"/>
                <w:sz w:val="18"/>
                <w:szCs w:val="18"/>
              </w:rPr>
              <w:t> </w:t>
            </w:r>
            <w:r>
              <w:rPr>
                <w:rFonts w:ascii="宋体" w:hAnsi="宋体" w:cs="宋体" w:eastAsia="宋体" w:hint="default"/>
                <w:sz w:val="18"/>
                <w:szCs w:val="18"/>
              </w:rPr>
              <w:t>目</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55" w:right="258" w:hanging="92"/>
              <w:jc w:val="left"/>
              <w:rPr>
                <w:rFonts w:ascii="宋体" w:hAnsi="宋体" w:cs="宋体" w:eastAsia="宋体" w:hint="default"/>
                <w:sz w:val="18"/>
                <w:szCs w:val="18"/>
              </w:rPr>
            </w:pPr>
            <w:r>
              <w:rPr>
                <w:rFonts w:ascii="宋体" w:hAnsi="宋体" w:cs="宋体" w:eastAsia="宋体" w:hint="default"/>
                <w:spacing w:val="-2"/>
                <w:sz w:val="18"/>
                <w:szCs w:val="18"/>
              </w:rPr>
              <w:t>按原金融工具准则</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列示的账面价值</w:t>
            </w:r>
          </w:p>
          <w:p>
            <w:pPr>
              <w:pStyle w:val="TableParagraph"/>
              <w:spacing w:line="240" w:lineRule="auto" w:before="19"/>
              <w:ind w:left="17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重分类</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29"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1990" w:type="dxa"/>
            <w:tcBorders>
              <w:top w:val="single" w:sz="6" w:space="0" w:color="000000"/>
              <w:left w:val="single" w:sz="6" w:space="0" w:color="000000"/>
              <w:bottom w:val="single" w:sz="6" w:space="0" w:color="000000"/>
              <w:right w:val="nil" w:sz="6" w:space="0" w:color="auto"/>
            </w:tcBorders>
          </w:tcPr>
          <w:p>
            <w:pPr>
              <w:pStyle w:val="TableParagraph"/>
              <w:spacing w:line="316" w:lineRule="auto" w:before="20"/>
              <w:ind w:left="91" w:right="84"/>
              <w:jc w:val="center"/>
              <w:rPr>
                <w:rFonts w:ascii="宋体" w:hAnsi="宋体" w:cs="宋体" w:eastAsia="宋体" w:hint="default"/>
                <w:sz w:val="18"/>
                <w:szCs w:val="18"/>
              </w:rPr>
            </w:pPr>
            <w:r>
              <w:rPr>
                <w:rFonts w:ascii="宋体" w:hAnsi="宋体" w:cs="宋体" w:eastAsia="宋体" w:hint="default"/>
                <w:spacing w:val="-2"/>
                <w:sz w:val="18"/>
                <w:szCs w:val="18"/>
              </w:rPr>
              <w:t>按新金融工具准则列示</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的账面价值</w:t>
            </w:r>
          </w:p>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346" w:hRule="exact"/>
        </w:trPr>
        <w:tc>
          <w:tcPr>
            <w:tcW w:w="9505" w:type="dxa"/>
            <w:gridSpan w:val="5"/>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1"/>
                <w:sz w:val="18"/>
                <w:szCs w:val="18"/>
              </w:rPr>
              <w:t> </w:t>
            </w:r>
            <w:r>
              <w:rPr>
                <w:rFonts w:ascii="宋体" w:hAnsi="宋体" w:cs="宋体" w:eastAsia="宋体" w:hint="default"/>
                <w:spacing w:val="-3"/>
                <w:sz w:val="18"/>
                <w:szCs w:val="18"/>
              </w:rPr>
              <w:t>金融资产</w:t>
            </w:r>
          </w:p>
        </w:tc>
      </w:tr>
      <w:tr>
        <w:trPr>
          <w:trHeight w:val="350" w:hRule="exact"/>
        </w:trPr>
        <w:tc>
          <w:tcPr>
            <w:tcW w:w="9505" w:type="dxa"/>
            <w:gridSpan w:val="5"/>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①</w:t>
            </w:r>
            <w:r>
              <w:rPr>
                <w:rFonts w:ascii="宋体" w:hAnsi="宋体" w:cs="宋体" w:eastAsia="宋体" w:hint="default"/>
                <w:spacing w:val="-11"/>
                <w:sz w:val="18"/>
                <w:szCs w:val="18"/>
              </w:rPr>
              <w:t> </w:t>
            </w:r>
            <w:r>
              <w:rPr>
                <w:rFonts w:ascii="宋体" w:hAnsi="宋体" w:cs="宋体" w:eastAsia="宋体" w:hint="default"/>
                <w:sz w:val="18"/>
                <w:szCs w:val="18"/>
              </w:rPr>
              <w:t>摊余成本</w:t>
            </w:r>
          </w:p>
        </w:tc>
      </w:tr>
      <w:tr>
        <w:trPr>
          <w:trHeight w:val="346" w:hRule="exact"/>
        </w:trPr>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83"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r>
        <w:trPr>
          <w:trHeight w:val="739" w:hRule="exact"/>
        </w:trPr>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23"/>
                <w:sz w:val="18"/>
                <w:szCs w:val="18"/>
              </w:rPr>
              <w:t>按原</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CAS22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列</w:t>
            </w:r>
            <w:r>
              <w:rPr>
                <w:rFonts w:ascii="宋体" w:hAnsi="宋体" w:cs="宋体" w:eastAsia="宋体" w:hint="default"/>
                <w:spacing w:val="-41"/>
                <w:sz w:val="18"/>
                <w:szCs w:val="18"/>
              </w:rPr>
              <w:t> </w:t>
            </w:r>
            <w:r>
              <w:rPr>
                <w:rFonts w:ascii="宋体" w:hAnsi="宋体" w:cs="宋体" w:eastAsia="宋体" w:hint="default"/>
                <w:sz w:val="18"/>
                <w:szCs w:val="18"/>
              </w:rPr>
              <w:t>示</w:t>
            </w:r>
            <w:r>
              <w:rPr>
                <w:rFonts w:ascii="宋体" w:hAnsi="宋体" w:cs="宋体" w:eastAsia="宋体" w:hint="default"/>
                <w:spacing w:val="-41"/>
                <w:sz w:val="18"/>
                <w:szCs w:val="18"/>
              </w:rPr>
              <w:t> </w:t>
            </w:r>
            <w:r>
              <w:rPr>
                <w:rFonts w:ascii="宋体" w:hAnsi="宋体" w:cs="宋体" w:eastAsia="宋体" w:hint="default"/>
                <w:sz w:val="18"/>
                <w:szCs w:val="18"/>
              </w:rPr>
              <w:t>的</w:t>
            </w:r>
            <w:r>
              <w:rPr>
                <w:rFonts w:ascii="宋体" w:hAnsi="宋体" w:cs="宋体" w:eastAsia="宋体" w:hint="default"/>
                <w:spacing w:val="-45"/>
                <w:sz w:val="18"/>
                <w:szCs w:val="18"/>
              </w:rPr>
              <w:t> </w:t>
            </w:r>
            <w:r>
              <w:rPr>
                <w:rFonts w:ascii="宋体" w:hAnsi="宋体" w:cs="宋体" w:eastAsia="宋体" w:hint="default"/>
                <w:sz w:val="18"/>
                <w:szCs w:val="18"/>
              </w:rPr>
              <w:t>余</w:t>
            </w:r>
            <w:r>
              <w:rPr>
                <w:rFonts w:ascii="宋体" w:hAnsi="宋体" w:cs="宋体" w:eastAsia="宋体" w:hint="default"/>
                <w:spacing w:val="-41"/>
                <w:sz w:val="18"/>
                <w:szCs w:val="18"/>
              </w:rPr>
              <w:t> </w:t>
            </w:r>
            <w:r>
              <w:rPr>
                <w:rFonts w:ascii="宋体" w:hAnsi="宋体" w:cs="宋体" w:eastAsia="宋体" w:hint="default"/>
                <w:sz w:val="18"/>
                <w:szCs w:val="18"/>
              </w:rPr>
              <w:t>额</w:t>
            </w:r>
            <w:r>
              <w:rPr>
                <w:rFonts w:ascii="宋体" w:hAnsi="宋体" w:cs="宋体" w:eastAsia="宋体" w:hint="default"/>
                <w:spacing w:val="-45"/>
                <w:sz w:val="18"/>
                <w:szCs w:val="18"/>
              </w:rPr>
              <w:t> </w:t>
            </w:r>
            <w:r>
              <w:rPr>
                <w:rFonts w:ascii="宋体" w:hAnsi="宋体" w:cs="宋体" w:eastAsia="宋体" w:hint="default"/>
                <w:sz w:val="18"/>
                <w:szCs w:val="18"/>
              </w:rPr>
              <w:t>和</w:t>
            </w:r>
            <w:r>
              <w:rPr>
                <w:rFonts w:ascii="宋体" w:hAnsi="宋体" w:cs="宋体" w:eastAsia="宋体" w:hint="default"/>
                <w:spacing w:val="-41"/>
                <w:sz w:val="18"/>
                <w:szCs w:val="18"/>
              </w:rPr>
              <w:t> </w:t>
            </w:r>
            <w:r>
              <w:rPr>
                <w:rFonts w:ascii="宋体" w:hAnsi="宋体" w:cs="宋体" w:eastAsia="宋体" w:hint="default"/>
                <w:sz w:val="18"/>
                <w:szCs w:val="18"/>
              </w:rPr>
              <w:t>按</w:t>
            </w:r>
            <w:r>
              <w:rPr>
                <w:rFonts w:ascii="宋体" w:hAnsi="宋体" w:cs="宋体" w:eastAsia="宋体" w:hint="default"/>
                <w:spacing w:val="-45"/>
                <w:sz w:val="18"/>
                <w:szCs w:val="18"/>
              </w:rPr>
              <w:t> </w:t>
            </w:r>
            <w:r>
              <w:rPr>
                <w:rFonts w:ascii="宋体" w:hAnsi="宋体" w:cs="宋体" w:eastAsia="宋体" w:hint="default"/>
                <w:sz w:val="18"/>
                <w:szCs w:val="18"/>
              </w:rPr>
              <w:t>新</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CAS22</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列示的余额</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365,191,329.76</w:t>
            </w:r>
          </w:p>
        </w:tc>
        <w:tc>
          <w:tcPr>
            <w:tcW w:w="1704"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365,191,329.76</w:t>
            </w:r>
          </w:p>
        </w:tc>
      </w:tr>
      <w:tr>
        <w:trPr>
          <w:trHeight w:val="346" w:hRule="exact"/>
        </w:trPr>
        <w:tc>
          <w:tcPr>
            <w:tcW w:w="2838"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r>
        <w:trPr>
          <w:trHeight w:val="346" w:hRule="exact"/>
        </w:trPr>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983"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r>
        <w:trPr>
          <w:trHeight w:val="662" w:hRule="exact"/>
        </w:trPr>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23"/>
                <w:sz w:val="18"/>
                <w:szCs w:val="18"/>
              </w:rPr>
              <w:t>按原</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CAS22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列</w:t>
            </w:r>
            <w:r>
              <w:rPr>
                <w:rFonts w:ascii="宋体" w:hAnsi="宋体" w:cs="宋体" w:eastAsia="宋体" w:hint="default"/>
                <w:spacing w:val="-41"/>
                <w:sz w:val="18"/>
                <w:szCs w:val="18"/>
              </w:rPr>
              <w:t> </w:t>
            </w:r>
            <w:r>
              <w:rPr>
                <w:rFonts w:ascii="宋体" w:hAnsi="宋体" w:cs="宋体" w:eastAsia="宋体" w:hint="default"/>
                <w:sz w:val="18"/>
                <w:szCs w:val="18"/>
              </w:rPr>
              <w:t>示</w:t>
            </w:r>
            <w:r>
              <w:rPr>
                <w:rFonts w:ascii="宋体" w:hAnsi="宋体" w:cs="宋体" w:eastAsia="宋体" w:hint="default"/>
                <w:spacing w:val="-41"/>
                <w:sz w:val="18"/>
                <w:szCs w:val="18"/>
              </w:rPr>
              <w:t> </w:t>
            </w:r>
            <w:r>
              <w:rPr>
                <w:rFonts w:ascii="宋体" w:hAnsi="宋体" w:cs="宋体" w:eastAsia="宋体" w:hint="default"/>
                <w:sz w:val="18"/>
                <w:szCs w:val="18"/>
              </w:rPr>
              <w:t>的</w:t>
            </w:r>
            <w:r>
              <w:rPr>
                <w:rFonts w:ascii="宋体" w:hAnsi="宋体" w:cs="宋体" w:eastAsia="宋体" w:hint="default"/>
                <w:spacing w:val="-45"/>
                <w:sz w:val="18"/>
                <w:szCs w:val="18"/>
              </w:rPr>
              <w:t> </w:t>
            </w:r>
            <w:r>
              <w:rPr>
                <w:rFonts w:ascii="宋体" w:hAnsi="宋体" w:cs="宋体" w:eastAsia="宋体" w:hint="default"/>
                <w:sz w:val="18"/>
                <w:szCs w:val="18"/>
              </w:rPr>
              <w:t>余</w:t>
            </w:r>
            <w:r>
              <w:rPr>
                <w:rFonts w:ascii="宋体" w:hAnsi="宋体" w:cs="宋体" w:eastAsia="宋体" w:hint="default"/>
                <w:spacing w:val="-41"/>
                <w:sz w:val="18"/>
                <w:szCs w:val="18"/>
              </w:rPr>
              <w:t> </w:t>
            </w:r>
            <w:r>
              <w:rPr>
                <w:rFonts w:ascii="宋体" w:hAnsi="宋体" w:cs="宋体" w:eastAsia="宋体" w:hint="default"/>
                <w:sz w:val="18"/>
                <w:szCs w:val="18"/>
              </w:rPr>
              <w:t>额</w:t>
            </w:r>
            <w:r>
              <w:rPr>
                <w:rFonts w:ascii="宋体" w:hAnsi="宋体" w:cs="宋体" w:eastAsia="宋体" w:hint="default"/>
                <w:spacing w:val="-45"/>
                <w:sz w:val="18"/>
                <w:szCs w:val="18"/>
              </w:rPr>
              <w:t> </w:t>
            </w:r>
            <w:r>
              <w:rPr>
                <w:rFonts w:ascii="宋体" w:hAnsi="宋体" w:cs="宋体" w:eastAsia="宋体" w:hint="default"/>
                <w:sz w:val="18"/>
                <w:szCs w:val="18"/>
              </w:rPr>
              <w:t>和</w:t>
            </w:r>
            <w:r>
              <w:rPr>
                <w:rFonts w:ascii="宋体" w:hAnsi="宋体" w:cs="宋体" w:eastAsia="宋体" w:hint="default"/>
                <w:spacing w:val="-41"/>
                <w:sz w:val="18"/>
                <w:szCs w:val="18"/>
              </w:rPr>
              <w:t> </w:t>
            </w:r>
            <w:r>
              <w:rPr>
                <w:rFonts w:ascii="宋体" w:hAnsi="宋体" w:cs="宋体" w:eastAsia="宋体" w:hint="default"/>
                <w:sz w:val="18"/>
                <w:szCs w:val="18"/>
              </w:rPr>
              <w:t>按</w:t>
            </w:r>
            <w:r>
              <w:rPr>
                <w:rFonts w:ascii="宋体" w:hAnsi="宋体" w:cs="宋体" w:eastAsia="宋体" w:hint="default"/>
                <w:spacing w:val="-45"/>
                <w:sz w:val="18"/>
                <w:szCs w:val="18"/>
              </w:rPr>
              <w:t> </w:t>
            </w:r>
            <w:r>
              <w:rPr>
                <w:rFonts w:ascii="宋体" w:hAnsi="宋体" w:cs="宋体" w:eastAsia="宋体" w:hint="default"/>
                <w:sz w:val="18"/>
                <w:szCs w:val="18"/>
              </w:rPr>
              <w:t>新</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CAS22</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列示的余额</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pacing w:val="-1"/>
                <w:sz w:val="18"/>
              </w:rPr>
              <w:t>8,039,160.00</w:t>
            </w:r>
          </w:p>
        </w:tc>
        <w:tc>
          <w:tcPr>
            <w:tcW w:w="1704"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7"/>
              <w:ind w:right="3"/>
              <w:jc w:val="right"/>
              <w:rPr>
                <w:rFonts w:ascii="Times New Roman" w:hAnsi="Times New Roman" w:cs="Times New Roman" w:eastAsia="Times New Roman" w:hint="default"/>
                <w:sz w:val="18"/>
                <w:szCs w:val="18"/>
              </w:rPr>
            </w:pPr>
            <w:r>
              <w:rPr>
                <w:rFonts w:ascii="Times New Roman"/>
                <w:spacing w:val="-1"/>
                <w:sz w:val="18"/>
              </w:rPr>
              <w:t>8,039,160.00</w:t>
            </w:r>
          </w:p>
        </w:tc>
      </w:tr>
      <w:tr>
        <w:trPr>
          <w:trHeight w:val="346" w:hRule="exact"/>
        </w:trPr>
        <w:tc>
          <w:tcPr>
            <w:tcW w:w="2838"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r>
        <w:trPr>
          <w:trHeight w:val="346" w:hRule="exact"/>
        </w:trPr>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83"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r>
        <w:trPr>
          <w:trHeight w:val="662" w:hRule="exact"/>
        </w:trPr>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18"/>
                <w:sz w:val="18"/>
                <w:szCs w:val="18"/>
              </w:rPr>
              <w:t>按原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CAS22 </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列</w:t>
            </w:r>
            <w:r>
              <w:rPr>
                <w:rFonts w:ascii="宋体" w:hAnsi="宋体" w:cs="宋体" w:eastAsia="宋体" w:hint="default"/>
                <w:spacing w:val="-50"/>
                <w:sz w:val="18"/>
                <w:szCs w:val="18"/>
              </w:rPr>
              <w:t> </w:t>
            </w:r>
            <w:r>
              <w:rPr>
                <w:rFonts w:ascii="宋体" w:hAnsi="宋体" w:cs="宋体" w:eastAsia="宋体" w:hint="default"/>
                <w:sz w:val="18"/>
                <w:szCs w:val="18"/>
              </w:rPr>
              <w:t>示</w:t>
            </w:r>
            <w:r>
              <w:rPr>
                <w:rFonts w:ascii="宋体" w:hAnsi="宋体" w:cs="宋体" w:eastAsia="宋体" w:hint="default"/>
                <w:spacing w:val="-45"/>
                <w:sz w:val="18"/>
                <w:szCs w:val="18"/>
              </w:rPr>
              <w:t> </w:t>
            </w:r>
            <w:r>
              <w:rPr>
                <w:rFonts w:ascii="宋体" w:hAnsi="宋体" w:cs="宋体" w:eastAsia="宋体" w:hint="default"/>
                <w:sz w:val="18"/>
                <w:szCs w:val="18"/>
              </w:rPr>
              <w:t>的</w:t>
            </w:r>
            <w:r>
              <w:rPr>
                <w:rFonts w:ascii="宋体" w:hAnsi="宋体" w:cs="宋体" w:eastAsia="宋体" w:hint="default"/>
                <w:spacing w:val="-50"/>
                <w:sz w:val="18"/>
                <w:szCs w:val="18"/>
              </w:rPr>
              <w:t> </w:t>
            </w:r>
            <w:r>
              <w:rPr>
                <w:rFonts w:ascii="宋体" w:hAnsi="宋体" w:cs="宋体" w:eastAsia="宋体" w:hint="default"/>
                <w:sz w:val="18"/>
                <w:szCs w:val="18"/>
              </w:rPr>
              <w:t>余</w:t>
            </w:r>
            <w:r>
              <w:rPr>
                <w:rFonts w:ascii="宋体" w:hAnsi="宋体" w:cs="宋体" w:eastAsia="宋体" w:hint="default"/>
                <w:spacing w:val="-50"/>
                <w:sz w:val="18"/>
                <w:szCs w:val="18"/>
              </w:rPr>
              <w:t> </w:t>
            </w:r>
            <w:r>
              <w:rPr>
                <w:rFonts w:ascii="宋体" w:hAnsi="宋体" w:cs="宋体" w:eastAsia="宋体" w:hint="default"/>
                <w:sz w:val="18"/>
                <w:szCs w:val="18"/>
              </w:rPr>
              <w:t>额</w:t>
            </w:r>
            <w:r>
              <w:rPr>
                <w:rFonts w:ascii="宋体" w:hAnsi="宋体" w:cs="宋体" w:eastAsia="宋体" w:hint="default"/>
                <w:spacing w:val="-50"/>
                <w:sz w:val="18"/>
                <w:szCs w:val="18"/>
              </w:rPr>
              <w:t> </w:t>
            </w:r>
            <w:r>
              <w:rPr>
                <w:rFonts w:ascii="宋体" w:hAnsi="宋体" w:cs="宋体" w:eastAsia="宋体" w:hint="default"/>
                <w:sz w:val="18"/>
                <w:szCs w:val="18"/>
              </w:rPr>
              <w:t>和</w:t>
            </w:r>
            <w:r>
              <w:rPr>
                <w:rFonts w:ascii="宋体" w:hAnsi="宋体" w:cs="宋体" w:eastAsia="宋体" w:hint="default"/>
                <w:spacing w:val="-50"/>
                <w:sz w:val="18"/>
                <w:szCs w:val="18"/>
              </w:rPr>
              <w:t> </w:t>
            </w:r>
            <w:r>
              <w:rPr>
                <w:rFonts w:ascii="宋体" w:hAnsi="宋体" w:cs="宋体" w:eastAsia="宋体" w:hint="default"/>
                <w:sz w:val="18"/>
                <w:szCs w:val="18"/>
              </w:rPr>
              <w:t>按</w:t>
            </w:r>
            <w:r>
              <w:rPr>
                <w:rFonts w:ascii="宋体" w:hAnsi="宋体" w:cs="宋体" w:eastAsia="宋体" w:hint="default"/>
                <w:spacing w:val="-50"/>
                <w:sz w:val="18"/>
                <w:szCs w:val="18"/>
              </w:rPr>
              <w:t> </w:t>
            </w:r>
            <w:r>
              <w:rPr>
                <w:rFonts w:ascii="宋体" w:hAnsi="宋体" w:cs="宋体" w:eastAsia="宋体" w:hint="default"/>
                <w:sz w:val="18"/>
                <w:szCs w:val="18"/>
              </w:rPr>
              <w:t>新</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CAS22</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列示的余额</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pacing w:val="-1"/>
                <w:sz w:val="18"/>
              </w:rPr>
              <w:t>311,603,506.03</w:t>
            </w:r>
          </w:p>
        </w:tc>
        <w:tc>
          <w:tcPr>
            <w:tcW w:w="1704"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7"/>
              <w:ind w:right="3"/>
              <w:jc w:val="right"/>
              <w:rPr>
                <w:rFonts w:ascii="Times New Roman" w:hAnsi="Times New Roman" w:cs="Times New Roman" w:eastAsia="Times New Roman" w:hint="default"/>
                <w:sz w:val="18"/>
                <w:szCs w:val="18"/>
              </w:rPr>
            </w:pPr>
            <w:r>
              <w:rPr>
                <w:rFonts w:ascii="Times New Roman"/>
                <w:spacing w:val="-1"/>
                <w:sz w:val="18"/>
              </w:rPr>
              <w:t>311,603,506.03</w:t>
            </w:r>
          </w:p>
        </w:tc>
      </w:tr>
      <w:tr>
        <w:trPr>
          <w:trHeight w:val="346" w:hRule="exact"/>
        </w:trPr>
        <w:tc>
          <w:tcPr>
            <w:tcW w:w="2838"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r>
        <w:trPr>
          <w:trHeight w:val="346" w:hRule="exact"/>
        </w:trPr>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83"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r>
        <w:trPr>
          <w:trHeight w:val="658" w:hRule="exact"/>
        </w:trPr>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18"/>
                <w:sz w:val="18"/>
                <w:szCs w:val="18"/>
              </w:rPr>
              <w:t>按原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CAS22 </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列</w:t>
            </w:r>
            <w:r>
              <w:rPr>
                <w:rFonts w:ascii="宋体" w:hAnsi="宋体" w:cs="宋体" w:eastAsia="宋体" w:hint="default"/>
                <w:spacing w:val="-50"/>
                <w:sz w:val="18"/>
                <w:szCs w:val="18"/>
              </w:rPr>
              <w:t> </w:t>
            </w:r>
            <w:r>
              <w:rPr>
                <w:rFonts w:ascii="宋体" w:hAnsi="宋体" w:cs="宋体" w:eastAsia="宋体" w:hint="default"/>
                <w:sz w:val="18"/>
                <w:szCs w:val="18"/>
              </w:rPr>
              <w:t>示</w:t>
            </w:r>
            <w:r>
              <w:rPr>
                <w:rFonts w:ascii="宋体" w:hAnsi="宋体" w:cs="宋体" w:eastAsia="宋体" w:hint="default"/>
                <w:spacing w:val="-45"/>
                <w:sz w:val="18"/>
                <w:szCs w:val="18"/>
              </w:rPr>
              <w:t> </w:t>
            </w:r>
            <w:r>
              <w:rPr>
                <w:rFonts w:ascii="宋体" w:hAnsi="宋体" w:cs="宋体" w:eastAsia="宋体" w:hint="default"/>
                <w:sz w:val="18"/>
                <w:szCs w:val="18"/>
              </w:rPr>
              <w:t>的</w:t>
            </w:r>
            <w:r>
              <w:rPr>
                <w:rFonts w:ascii="宋体" w:hAnsi="宋体" w:cs="宋体" w:eastAsia="宋体" w:hint="default"/>
                <w:spacing w:val="-50"/>
                <w:sz w:val="18"/>
                <w:szCs w:val="18"/>
              </w:rPr>
              <w:t> </w:t>
            </w:r>
            <w:r>
              <w:rPr>
                <w:rFonts w:ascii="宋体" w:hAnsi="宋体" w:cs="宋体" w:eastAsia="宋体" w:hint="default"/>
                <w:sz w:val="18"/>
                <w:szCs w:val="18"/>
              </w:rPr>
              <w:t>余</w:t>
            </w:r>
            <w:r>
              <w:rPr>
                <w:rFonts w:ascii="宋体" w:hAnsi="宋体" w:cs="宋体" w:eastAsia="宋体" w:hint="default"/>
                <w:spacing w:val="-50"/>
                <w:sz w:val="18"/>
                <w:szCs w:val="18"/>
              </w:rPr>
              <w:t> </w:t>
            </w:r>
            <w:r>
              <w:rPr>
                <w:rFonts w:ascii="宋体" w:hAnsi="宋体" w:cs="宋体" w:eastAsia="宋体" w:hint="default"/>
                <w:sz w:val="18"/>
                <w:szCs w:val="18"/>
              </w:rPr>
              <w:t>额</w:t>
            </w:r>
            <w:r>
              <w:rPr>
                <w:rFonts w:ascii="宋体" w:hAnsi="宋体" w:cs="宋体" w:eastAsia="宋体" w:hint="default"/>
                <w:spacing w:val="-50"/>
                <w:sz w:val="18"/>
                <w:szCs w:val="18"/>
              </w:rPr>
              <w:t> </w:t>
            </w:r>
            <w:r>
              <w:rPr>
                <w:rFonts w:ascii="宋体" w:hAnsi="宋体" w:cs="宋体" w:eastAsia="宋体" w:hint="default"/>
                <w:sz w:val="18"/>
                <w:szCs w:val="18"/>
              </w:rPr>
              <w:t>和</w:t>
            </w:r>
            <w:r>
              <w:rPr>
                <w:rFonts w:ascii="宋体" w:hAnsi="宋体" w:cs="宋体" w:eastAsia="宋体" w:hint="default"/>
                <w:spacing w:val="-50"/>
                <w:sz w:val="18"/>
                <w:szCs w:val="18"/>
              </w:rPr>
              <w:t> </w:t>
            </w:r>
            <w:r>
              <w:rPr>
                <w:rFonts w:ascii="宋体" w:hAnsi="宋体" w:cs="宋体" w:eastAsia="宋体" w:hint="default"/>
                <w:sz w:val="18"/>
                <w:szCs w:val="18"/>
              </w:rPr>
              <w:t>按</w:t>
            </w:r>
            <w:r>
              <w:rPr>
                <w:rFonts w:ascii="宋体" w:hAnsi="宋体" w:cs="宋体" w:eastAsia="宋体" w:hint="default"/>
                <w:spacing w:val="-50"/>
                <w:sz w:val="18"/>
                <w:szCs w:val="18"/>
              </w:rPr>
              <w:t> </w:t>
            </w:r>
            <w:r>
              <w:rPr>
                <w:rFonts w:ascii="宋体" w:hAnsi="宋体" w:cs="宋体" w:eastAsia="宋体" w:hint="default"/>
                <w:sz w:val="18"/>
                <w:szCs w:val="18"/>
              </w:rPr>
              <w:t>新</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CAS22</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列示的余额</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4"/>
              <w:jc w:val="right"/>
              <w:rPr>
                <w:rFonts w:ascii="Times New Roman" w:hAnsi="Times New Roman" w:cs="Times New Roman" w:eastAsia="Times New Roman" w:hint="default"/>
                <w:sz w:val="18"/>
                <w:szCs w:val="18"/>
              </w:rPr>
            </w:pPr>
            <w:r>
              <w:rPr>
                <w:rFonts w:ascii="Times New Roman"/>
                <w:spacing w:val="-1"/>
                <w:sz w:val="18"/>
              </w:rPr>
              <w:t>22,521,450.76</w:t>
            </w:r>
          </w:p>
        </w:tc>
        <w:tc>
          <w:tcPr>
            <w:tcW w:w="1704"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3"/>
              <w:ind w:right="3"/>
              <w:jc w:val="right"/>
              <w:rPr>
                <w:rFonts w:ascii="Times New Roman" w:hAnsi="Times New Roman" w:cs="Times New Roman" w:eastAsia="Times New Roman" w:hint="default"/>
                <w:sz w:val="18"/>
                <w:szCs w:val="18"/>
              </w:rPr>
            </w:pPr>
            <w:r>
              <w:rPr>
                <w:rFonts w:ascii="Times New Roman"/>
                <w:spacing w:val="-1"/>
                <w:sz w:val="18"/>
              </w:rPr>
              <w:t>22,521,450.76</w:t>
            </w:r>
          </w:p>
        </w:tc>
      </w:tr>
      <w:tr>
        <w:trPr>
          <w:trHeight w:val="350" w:hRule="exact"/>
        </w:trPr>
        <w:tc>
          <w:tcPr>
            <w:tcW w:w="2838"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2838"/>
        <w:gridCol w:w="1983"/>
        <w:gridCol w:w="1704"/>
        <w:gridCol w:w="989"/>
        <w:gridCol w:w="1990"/>
      </w:tblGrid>
      <w:tr>
        <w:trPr>
          <w:trHeight w:val="346" w:hRule="exact"/>
        </w:trPr>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其他流动资产</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银行理财产品</w:t>
            </w:r>
          </w:p>
        </w:tc>
        <w:tc>
          <w:tcPr>
            <w:tcW w:w="1983"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r>
        <w:trPr>
          <w:trHeight w:val="350" w:hRule="exact"/>
        </w:trPr>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按原</w:t>
            </w:r>
            <w:r>
              <w:rPr>
                <w:rFonts w:ascii="Times New Roman" w:hAnsi="Times New Roman" w:cs="Times New Roman" w:eastAsia="Times New Roman" w:hint="default"/>
                <w:sz w:val="18"/>
                <w:szCs w:val="18"/>
              </w:rPr>
              <w:t>CAS22</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列示的余额</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19,000,000.00</w:t>
            </w:r>
          </w:p>
        </w:tc>
        <w:tc>
          <w:tcPr>
            <w:tcW w:w="1704"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r>
        <w:trPr>
          <w:trHeight w:val="658" w:hRule="exact"/>
        </w:trPr>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1"/>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pacing w:val="-60"/>
                <w:sz w:val="18"/>
                <w:szCs w:val="18"/>
              </w:rPr>
              <w:t> </w:t>
            </w:r>
            <w:r>
              <w:rPr>
                <w:rFonts w:ascii="宋体" w:hAnsi="宋体" w:cs="宋体" w:eastAsia="宋体" w:hint="default"/>
                <w:sz w:val="18"/>
                <w:szCs w:val="18"/>
              </w:rPr>
              <w:t>：</w:t>
            </w:r>
            <w:r>
              <w:rPr>
                <w:rFonts w:ascii="宋体" w:hAnsi="宋体" w:cs="宋体" w:eastAsia="宋体" w:hint="default"/>
                <w:spacing w:val="-60"/>
                <w:sz w:val="18"/>
                <w:szCs w:val="18"/>
              </w:rPr>
              <w:t> </w:t>
            </w:r>
            <w:r>
              <w:rPr>
                <w:rFonts w:ascii="宋体" w:hAnsi="宋体" w:cs="宋体" w:eastAsia="宋体" w:hint="default"/>
                <w:sz w:val="18"/>
                <w:szCs w:val="18"/>
              </w:rPr>
              <w:t>转</w:t>
            </w:r>
            <w:r>
              <w:rPr>
                <w:rFonts w:ascii="宋体" w:hAnsi="宋体" w:cs="宋体" w:eastAsia="宋体" w:hint="default"/>
                <w:spacing w:val="-55"/>
                <w:sz w:val="18"/>
                <w:szCs w:val="18"/>
              </w:rPr>
              <w:t> </w:t>
            </w:r>
            <w:r>
              <w:rPr>
                <w:rFonts w:ascii="宋体" w:hAnsi="宋体" w:cs="宋体" w:eastAsia="宋体" w:hint="default"/>
                <w:sz w:val="18"/>
                <w:szCs w:val="18"/>
              </w:rPr>
              <w:t>出</w:t>
            </w:r>
            <w:r>
              <w:rPr>
                <w:rFonts w:ascii="宋体" w:hAnsi="宋体" w:cs="宋体" w:eastAsia="宋体" w:hint="default"/>
                <w:spacing w:val="-60"/>
                <w:sz w:val="18"/>
                <w:szCs w:val="18"/>
              </w:rPr>
              <w:t> </w:t>
            </w:r>
            <w:r>
              <w:rPr>
                <w:rFonts w:ascii="宋体" w:hAnsi="宋体" w:cs="宋体" w:eastAsia="宋体" w:hint="default"/>
                <w:sz w:val="18"/>
                <w:szCs w:val="18"/>
              </w:rPr>
              <w:t>至</w:t>
            </w:r>
            <w:r>
              <w:rPr>
                <w:rFonts w:ascii="宋体" w:hAnsi="宋体" w:cs="宋体" w:eastAsia="宋体" w:hint="default"/>
                <w:spacing w:val="-60"/>
                <w:sz w:val="18"/>
                <w:szCs w:val="18"/>
              </w:rPr>
              <w:t> </w:t>
            </w:r>
            <w:r>
              <w:rPr>
                <w:rFonts w:ascii="宋体" w:hAnsi="宋体" w:cs="宋体" w:eastAsia="宋体" w:hint="default"/>
                <w:sz w:val="18"/>
                <w:szCs w:val="18"/>
              </w:rPr>
              <w:t>交</w:t>
            </w:r>
            <w:r>
              <w:rPr>
                <w:rFonts w:ascii="宋体" w:hAnsi="宋体" w:cs="宋体" w:eastAsia="宋体" w:hint="default"/>
                <w:spacing w:val="-60"/>
                <w:sz w:val="18"/>
                <w:szCs w:val="18"/>
              </w:rPr>
              <w:t> </w:t>
            </w:r>
            <w:r>
              <w:rPr>
                <w:rFonts w:ascii="宋体" w:hAnsi="宋体" w:cs="宋体" w:eastAsia="宋体" w:hint="default"/>
                <w:sz w:val="18"/>
                <w:szCs w:val="18"/>
              </w:rPr>
              <w:t>易</w:t>
            </w:r>
            <w:r>
              <w:rPr>
                <w:rFonts w:ascii="宋体" w:hAnsi="宋体" w:cs="宋体" w:eastAsia="宋体" w:hint="default"/>
                <w:spacing w:val="-60"/>
                <w:sz w:val="18"/>
                <w:szCs w:val="18"/>
              </w:rPr>
              <w:t> </w:t>
            </w:r>
            <w:r>
              <w:rPr>
                <w:rFonts w:ascii="宋体" w:hAnsi="宋体" w:cs="宋体" w:eastAsia="宋体" w:hint="default"/>
                <w:sz w:val="18"/>
                <w:szCs w:val="18"/>
              </w:rPr>
              <w:t>性</w:t>
            </w:r>
            <w:r>
              <w:rPr>
                <w:rFonts w:ascii="宋体" w:hAnsi="宋体" w:cs="宋体" w:eastAsia="宋体" w:hint="default"/>
                <w:spacing w:val="-60"/>
                <w:sz w:val="18"/>
                <w:szCs w:val="18"/>
              </w:rPr>
              <w:t> </w:t>
            </w:r>
            <w:r>
              <w:rPr>
                <w:rFonts w:ascii="宋体" w:hAnsi="宋体" w:cs="宋体" w:eastAsia="宋体" w:hint="default"/>
                <w:sz w:val="18"/>
                <w:szCs w:val="18"/>
              </w:rPr>
              <w:t>金</w:t>
            </w:r>
            <w:r>
              <w:rPr>
                <w:rFonts w:ascii="宋体" w:hAnsi="宋体" w:cs="宋体" w:eastAsia="宋体" w:hint="default"/>
                <w:spacing w:val="-60"/>
                <w:sz w:val="18"/>
                <w:szCs w:val="18"/>
              </w:rPr>
              <w:t> </w:t>
            </w:r>
            <w:r>
              <w:rPr>
                <w:rFonts w:ascii="宋体" w:hAnsi="宋体" w:cs="宋体" w:eastAsia="宋体" w:hint="default"/>
                <w:sz w:val="18"/>
                <w:szCs w:val="18"/>
              </w:rPr>
              <w:t>融</w:t>
            </w:r>
            <w:r>
              <w:rPr>
                <w:rFonts w:ascii="宋体" w:hAnsi="宋体" w:cs="宋体" w:eastAsia="宋体" w:hint="default"/>
                <w:spacing w:val="-55"/>
                <w:sz w:val="18"/>
                <w:szCs w:val="18"/>
              </w:rPr>
              <w:t> </w:t>
            </w:r>
            <w:r>
              <w:rPr>
                <w:rFonts w:ascii="宋体" w:hAnsi="宋体" w:cs="宋体" w:eastAsia="宋体" w:hint="default"/>
                <w:sz w:val="18"/>
                <w:szCs w:val="18"/>
              </w:rPr>
              <w:t>资</w:t>
            </w:r>
            <w:r>
              <w:rPr>
                <w:rFonts w:ascii="宋体" w:hAnsi="宋体" w:cs="宋体" w:eastAsia="宋体" w:hint="default"/>
                <w:spacing w:val="-60"/>
                <w:sz w:val="18"/>
                <w:szCs w:val="18"/>
              </w:rPr>
              <w:t> </w:t>
            </w:r>
            <w:r>
              <w:rPr>
                <w:rFonts w:ascii="宋体" w:hAnsi="宋体" w:cs="宋体" w:eastAsia="宋体" w:hint="default"/>
                <w:sz w:val="18"/>
                <w:szCs w:val="18"/>
              </w:rPr>
              <w:t>产</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新</w:t>
            </w:r>
          </w:p>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CAS22)</w:t>
            </w:r>
          </w:p>
        </w:tc>
        <w:tc>
          <w:tcPr>
            <w:tcW w:w="1983"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-19,000,000.00</w:t>
            </w:r>
          </w:p>
        </w:tc>
        <w:tc>
          <w:tcPr>
            <w:tcW w:w="989"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r>
        <w:trPr>
          <w:trHeight w:val="346" w:hRule="exact"/>
        </w:trPr>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按新</w:t>
            </w:r>
            <w:r>
              <w:rPr>
                <w:rFonts w:ascii="Times New Roman" w:hAnsi="Times New Roman" w:cs="Times New Roman" w:eastAsia="Times New Roman" w:hint="default"/>
                <w:sz w:val="18"/>
                <w:szCs w:val="18"/>
              </w:rPr>
              <w:t>CAS22</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列示的余额</w:t>
            </w:r>
          </w:p>
        </w:tc>
        <w:tc>
          <w:tcPr>
            <w:tcW w:w="1983"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r>
        <w:trPr>
          <w:trHeight w:val="346" w:hRule="exact"/>
        </w:trPr>
        <w:tc>
          <w:tcPr>
            <w:tcW w:w="2838"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r>
        <w:trPr>
          <w:trHeight w:val="350" w:hRule="exact"/>
        </w:trPr>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983"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r>
        <w:trPr>
          <w:trHeight w:val="658" w:hRule="exact"/>
        </w:trPr>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18"/>
                <w:sz w:val="18"/>
                <w:szCs w:val="18"/>
              </w:rPr>
              <w:t>按原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CAS22 </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列</w:t>
            </w:r>
            <w:r>
              <w:rPr>
                <w:rFonts w:ascii="宋体" w:hAnsi="宋体" w:cs="宋体" w:eastAsia="宋体" w:hint="default"/>
                <w:spacing w:val="-50"/>
                <w:sz w:val="18"/>
                <w:szCs w:val="18"/>
              </w:rPr>
              <w:t> </w:t>
            </w:r>
            <w:r>
              <w:rPr>
                <w:rFonts w:ascii="宋体" w:hAnsi="宋体" w:cs="宋体" w:eastAsia="宋体" w:hint="default"/>
                <w:sz w:val="18"/>
                <w:szCs w:val="18"/>
              </w:rPr>
              <w:t>示</w:t>
            </w:r>
            <w:r>
              <w:rPr>
                <w:rFonts w:ascii="宋体" w:hAnsi="宋体" w:cs="宋体" w:eastAsia="宋体" w:hint="default"/>
                <w:spacing w:val="-45"/>
                <w:sz w:val="18"/>
                <w:szCs w:val="18"/>
              </w:rPr>
              <w:t> </w:t>
            </w:r>
            <w:r>
              <w:rPr>
                <w:rFonts w:ascii="宋体" w:hAnsi="宋体" w:cs="宋体" w:eastAsia="宋体" w:hint="default"/>
                <w:sz w:val="18"/>
                <w:szCs w:val="18"/>
              </w:rPr>
              <w:t>的</w:t>
            </w:r>
            <w:r>
              <w:rPr>
                <w:rFonts w:ascii="宋体" w:hAnsi="宋体" w:cs="宋体" w:eastAsia="宋体" w:hint="default"/>
                <w:spacing w:val="-50"/>
                <w:sz w:val="18"/>
                <w:szCs w:val="18"/>
              </w:rPr>
              <w:t> </w:t>
            </w:r>
            <w:r>
              <w:rPr>
                <w:rFonts w:ascii="宋体" w:hAnsi="宋体" w:cs="宋体" w:eastAsia="宋体" w:hint="default"/>
                <w:sz w:val="18"/>
                <w:szCs w:val="18"/>
              </w:rPr>
              <w:t>余</w:t>
            </w:r>
            <w:r>
              <w:rPr>
                <w:rFonts w:ascii="宋体" w:hAnsi="宋体" w:cs="宋体" w:eastAsia="宋体" w:hint="default"/>
                <w:spacing w:val="-50"/>
                <w:sz w:val="18"/>
                <w:szCs w:val="18"/>
              </w:rPr>
              <w:t> </w:t>
            </w:r>
            <w:r>
              <w:rPr>
                <w:rFonts w:ascii="宋体" w:hAnsi="宋体" w:cs="宋体" w:eastAsia="宋体" w:hint="default"/>
                <w:sz w:val="18"/>
                <w:szCs w:val="18"/>
              </w:rPr>
              <w:t>额</w:t>
            </w:r>
            <w:r>
              <w:rPr>
                <w:rFonts w:ascii="宋体" w:hAnsi="宋体" w:cs="宋体" w:eastAsia="宋体" w:hint="default"/>
                <w:spacing w:val="-50"/>
                <w:sz w:val="18"/>
                <w:szCs w:val="18"/>
              </w:rPr>
              <w:t> </w:t>
            </w:r>
            <w:r>
              <w:rPr>
                <w:rFonts w:ascii="宋体" w:hAnsi="宋体" w:cs="宋体" w:eastAsia="宋体" w:hint="default"/>
                <w:sz w:val="18"/>
                <w:szCs w:val="18"/>
              </w:rPr>
              <w:t>和</w:t>
            </w:r>
            <w:r>
              <w:rPr>
                <w:rFonts w:ascii="宋体" w:hAnsi="宋体" w:cs="宋体" w:eastAsia="宋体" w:hint="default"/>
                <w:spacing w:val="-50"/>
                <w:sz w:val="18"/>
                <w:szCs w:val="18"/>
              </w:rPr>
              <w:t> </w:t>
            </w:r>
            <w:r>
              <w:rPr>
                <w:rFonts w:ascii="宋体" w:hAnsi="宋体" w:cs="宋体" w:eastAsia="宋体" w:hint="default"/>
                <w:sz w:val="18"/>
                <w:szCs w:val="18"/>
              </w:rPr>
              <w:t>按</w:t>
            </w:r>
            <w:r>
              <w:rPr>
                <w:rFonts w:ascii="宋体" w:hAnsi="宋体" w:cs="宋体" w:eastAsia="宋体" w:hint="default"/>
                <w:spacing w:val="-50"/>
                <w:sz w:val="18"/>
                <w:szCs w:val="18"/>
              </w:rPr>
              <w:t> </w:t>
            </w:r>
            <w:r>
              <w:rPr>
                <w:rFonts w:ascii="宋体" w:hAnsi="宋体" w:cs="宋体" w:eastAsia="宋体" w:hint="default"/>
                <w:sz w:val="18"/>
                <w:szCs w:val="18"/>
              </w:rPr>
              <w:t>新</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CAS22</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列示的余额</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18,486,372.98</w:t>
            </w:r>
          </w:p>
        </w:tc>
        <w:tc>
          <w:tcPr>
            <w:tcW w:w="1704"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18,486,372.98</w:t>
            </w:r>
          </w:p>
        </w:tc>
      </w:tr>
      <w:tr>
        <w:trPr>
          <w:trHeight w:val="346" w:hRule="exact"/>
        </w:trPr>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以摊余成本计量的总金融资产</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744,841,819.53</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-19,000,000.00</w:t>
            </w:r>
          </w:p>
        </w:tc>
        <w:tc>
          <w:tcPr>
            <w:tcW w:w="989"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725,841,819.53</w:t>
            </w:r>
          </w:p>
        </w:tc>
      </w:tr>
      <w:tr>
        <w:trPr>
          <w:trHeight w:val="350" w:hRule="exact"/>
        </w:trPr>
        <w:tc>
          <w:tcPr>
            <w:tcW w:w="9505" w:type="dxa"/>
            <w:gridSpan w:val="5"/>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②</w:t>
            </w:r>
            <w:r>
              <w:rPr>
                <w:rFonts w:ascii="宋体" w:hAnsi="宋体" w:cs="宋体" w:eastAsia="宋体" w:hint="default"/>
                <w:spacing w:val="36"/>
                <w:sz w:val="18"/>
                <w:szCs w:val="18"/>
              </w:rPr>
              <w:t> </w:t>
            </w:r>
            <w:r>
              <w:rPr>
                <w:rFonts w:ascii="宋体" w:hAnsi="宋体" w:cs="宋体" w:eastAsia="宋体" w:hint="default"/>
                <w:spacing w:val="-3"/>
                <w:sz w:val="18"/>
                <w:szCs w:val="18"/>
              </w:rPr>
              <w:t>以公允价值计量且其变动计入当期损益</w:t>
            </w:r>
          </w:p>
        </w:tc>
      </w:tr>
      <w:tr>
        <w:trPr>
          <w:trHeight w:val="346" w:hRule="exact"/>
        </w:trPr>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交易金融资产</w:t>
            </w:r>
          </w:p>
        </w:tc>
        <w:tc>
          <w:tcPr>
            <w:tcW w:w="1983"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r>
        <w:trPr>
          <w:trHeight w:val="346" w:hRule="exact"/>
        </w:trPr>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按原</w:t>
            </w:r>
            <w:r>
              <w:rPr>
                <w:rFonts w:ascii="Times New Roman" w:hAnsi="Times New Roman" w:cs="Times New Roman" w:eastAsia="Times New Roman" w:hint="default"/>
                <w:sz w:val="18"/>
                <w:szCs w:val="18"/>
              </w:rPr>
              <w:t>CAS22</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列示的余额</w:t>
            </w:r>
          </w:p>
        </w:tc>
        <w:tc>
          <w:tcPr>
            <w:tcW w:w="1983"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r>
        <w:trPr>
          <w:trHeight w:val="658" w:hRule="exact"/>
        </w:trPr>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1"/>
              <w:jc w:val="left"/>
              <w:rPr>
                <w:rFonts w:ascii="宋体" w:hAnsi="宋体" w:cs="宋体" w:eastAsia="宋体" w:hint="default"/>
                <w:sz w:val="18"/>
                <w:szCs w:val="18"/>
              </w:rPr>
            </w:pPr>
            <w:r>
              <w:rPr>
                <w:rFonts w:ascii="宋体" w:hAnsi="宋体" w:cs="宋体" w:eastAsia="宋体" w:hint="default"/>
                <w:spacing w:val="-3"/>
                <w:sz w:val="18"/>
                <w:szCs w:val="18"/>
              </w:rPr>
              <w:t>加：其他流动资产</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银行理财产品</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原</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CAS22)</w:t>
            </w:r>
            <w:r>
              <w:rPr>
                <w:rFonts w:ascii="宋体" w:hAnsi="宋体" w:cs="宋体" w:eastAsia="宋体" w:hint="default"/>
                <w:sz w:val="18"/>
                <w:szCs w:val="18"/>
              </w:rPr>
              <w:t>转入</w:t>
            </w:r>
          </w:p>
        </w:tc>
        <w:tc>
          <w:tcPr>
            <w:tcW w:w="1983"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19,000,000.00</w:t>
            </w:r>
          </w:p>
        </w:tc>
        <w:tc>
          <w:tcPr>
            <w:tcW w:w="989"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r>
        <w:trPr>
          <w:trHeight w:val="350" w:hRule="exact"/>
        </w:trPr>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按新</w:t>
            </w:r>
            <w:r>
              <w:rPr>
                <w:rFonts w:ascii="Times New Roman" w:hAnsi="Times New Roman" w:cs="Times New Roman" w:eastAsia="Times New Roman" w:hint="default"/>
                <w:sz w:val="18"/>
                <w:szCs w:val="18"/>
              </w:rPr>
              <w:t>CAS22</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列示的余额</w:t>
            </w:r>
          </w:p>
        </w:tc>
        <w:tc>
          <w:tcPr>
            <w:tcW w:w="1983"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7"/>
              <w:ind w:right="3"/>
              <w:jc w:val="right"/>
              <w:rPr>
                <w:rFonts w:ascii="Times New Roman" w:hAnsi="Times New Roman" w:cs="Times New Roman" w:eastAsia="Times New Roman" w:hint="default"/>
                <w:sz w:val="18"/>
                <w:szCs w:val="18"/>
              </w:rPr>
            </w:pPr>
            <w:r>
              <w:rPr>
                <w:rFonts w:ascii="Times New Roman"/>
                <w:spacing w:val="-1"/>
                <w:sz w:val="18"/>
              </w:rPr>
              <w:t>19,000,000.00</w:t>
            </w:r>
          </w:p>
        </w:tc>
      </w:tr>
      <w:tr>
        <w:trPr>
          <w:trHeight w:val="658" w:hRule="exact"/>
        </w:trPr>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以公允价值计量且其变动计入当期</w:t>
            </w:r>
            <w:r>
              <w:rPr>
                <w:rFonts w:ascii="宋体" w:hAnsi="宋体" w:cs="宋体" w:eastAsia="宋体" w:hint="default"/>
                <w:spacing w:val="-29"/>
                <w:sz w:val="18"/>
                <w:szCs w:val="18"/>
              </w:rPr>
              <w:t> </w:t>
            </w:r>
            <w:r>
              <w:rPr>
                <w:rFonts w:ascii="宋体" w:hAnsi="宋体" w:cs="宋体" w:eastAsia="宋体" w:hint="default"/>
                <w:spacing w:val="-29"/>
                <w:sz w:val="18"/>
                <w:szCs w:val="18"/>
              </w:rPr>
            </w:r>
            <w:r>
              <w:rPr>
                <w:rFonts w:ascii="宋体" w:hAnsi="宋体" w:cs="宋体" w:eastAsia="宋体" w:hint="default"/>
                <w:sz w:val="18"/>
                <w:szCs w:val="18"/>
              </w:rPr>
              <w:t>损益的总金融资产</w:t>
            </w:r>
          </w:p>
        </w:tc>
        <w:tc>
          <w:tcPr>
            <w:tcW w:w="1983"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19,000,000.00</w:t>
            </w:r>
          </w:p>
        </w:tc>
        <w:tc>
          <w:tcPr>
            <w:tcW w:w="989"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19,000,000.00</w:t>
            </w:r>
          </w:p>
        </w:tc>
      </w:tr>
      <w:tr>
        <w:trPr>
          <w:trHeight w:val="346" w:hRule="exact"/>
        </w:trPr>
        <w:tc>
          <w:tcPr>
            <w:tcW w:w="9505" w:type="dxa"/>
            <w:gridSpan w:val="5"/>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1"/>
                <w:sz w:val="18"/>
                <w:szCs w:val="18"/>
              </w:rPr>
              <w:t> </w:t>
            </w:r>
            <w:r>
              <w:rPr>
                <w:rFonts w:ascii="宋体" w:hAnsi="宋体" w:cs="宋体" w:eastAsia="宋体" w:hint="default"/>
                <w:spacing w:val="-3"/>
                <w:sz w:val="18"/>
                <w:szCs w:val="18"/>
              </w:rPr>
              <w:t>金融负债</w:t>
            </w:r>
          </w:p>
        </w:tc>
      </w:tr>
      <w:tr>
        <w:trPr>
          <w:trHeight w:val="350" w:hRule="exact"/>
        </w:trPr>
        <w:tc>
          <w:tcPr>
            <w:tcW w:w="9505" w:type="dxa"/>
            <w:gridSpan w:val="5"/>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r>
      <w:tr>
        <w:trPr>
          <w:trHeight w:val="346" w:hRule="exact"/>
        </w:trPr>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983"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r>
        <w:trPr>
          <w:trHeight w:val="346" w:hRule="exact"/>
        </w:trPr>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按原</w:t>
            </w:r>
            <w:r>
              <w:rPr>
                <w:rFonts w:ascii="Times New Roman" w:hAnsi="Times New Roman" w:cs="Times New Roman" w:eastAsia="Times New Roman" w:hint="default"/>
                <w:sz w:val="18"/>
                <w:szCs w:val="18"/>
              </w:rPr>
              <w:t>CAS22</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列示的余额</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105,000,000.00</w:t>
            </w:r>
          </w:p>
        </w:tc>
        <w:tc>
          <w:tcPr>
            <w:tcW w:w="1704"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r>
        <w:trPr>
          <w:trHeight w:val="351" w:hRule="exact"/>
        </w:trPr>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加：自其他应付款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原</w:t>
            </w:r>
            <w:r>
              <w:rPr>
                <w:rFonts w:ascii="Times New Roman" w:hAnsi="Times New Roman" w:cs="Times New Roman" w:eastAsia="Times New Roman" w:hint="default"/>
                <w:sz w:val="18"/>
                <w:szCs w:val="18"/>
              </w:rPr>
              <w:t>CAS22)</w:t>
            </w:r>
            <w:r>
              <w:rPr>
                <w:rFonts w:ascii="宋体" w:hAnsi="宋体" w:cs="宋体" w:eastAsia="宋体" w:hint="default"/>
                <w:sz w:val="18"/>
                <w:szCs w:val="18"/>
              </w:rPr>
              <w:t>转入</w:t>
            </w:r>
          </w:p>
        </w:tc>
        <w:tc>
          <w:tcPr>
            <w:tcW w:w="1983"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145,119.44</w:t>
            </w:r>
          </w:p>
        </w:tc>
        <w:tc>
          <w:tcPr>
            <w:tcW w:w="989"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r>
        <w:trPr>
          <w:trHeight w:val="346" w:hRule="exact"/>
        </w:trPr>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按新</w:t>
            </w:r>
            <w:r>
              <w:rPr>
                <w:rFonts w:ascii="Times New Roman" w:hAnsi="Times New Roman" w:cs="Times New Roman" w:eastAsia="Times New Roman" w:hint="default"/>
                <w:sz w:val="18"/>
                <w:szCs w:val="18"/>
              </w:rPr>
              <w:t>CAS22</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列示的余额</w:t>
            </w:r>
          </w:p>
        </w:tc>
        <w:tc>
          <w:tcPr>
            <w:tcW w:w="1983"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105,145,119.44</w:t>
            </w:r>
          </w:p>
        </w:tc>
      </w:tr>
      <w:tr>
        <w:trPr>
          <w:trHeight w:val="346" w:hRule="exact"/>
        </w:trPr>
        <w:tc>
          <w:tcPr>
            <w:tcW w:w="2838"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r>
        <w:trPr>
          <w:trHeight w:val="346" w:hRule="exact"/>
        </w:trPr>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983"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r>
        <w:trPr>
          <w:trHeight w:val="663" w:hRule="exact"/>
        </w:trPr>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18"/>
                <w:sz w:val="18"/>
                <w:szCs w:val="18"/>
              </w:rPr>
              <w:t>按原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CAS22 </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列</w:t>
            </w:r>
            <w:r>
              <w:rPr>
                <w:rFonts w:ascii="宋体" w:hAnsi="宋体" w:cs="宋体" w:eastAsia="宋体" w:hint="default"/>
                <w:spacing w:val="-50"/>
                <w:sz w:val="18"/>
                <w:szCs w:val="18"/>
              </w:rPr>
              <w:t> </w:t>
            </w:r>
            <w:r>
              <w:rPr>
                <w:rFonts w:ascii="宋体" w:hAnsi="宋体" w:cs="宋体" w:eastAsia="宋体" w:hint="default"/>
                <w:sz w:val="18"/>
                <w:szCs w:val="18"/>
              </w:rPr>
              <w:t>示</w:t>
            </w:r>
            <w:r>
              <w:rPr>
                <w:rFonts w:ascii="宋体" w:hAnsi="宋体" w:cs="宋体" w:eastAsia="宋体" w:hint="default"/>
                <w:spacing w:val="-45"/>
                <w:sz w:val="18"/>
                <w:szCs w:val="18"/>
              </w:rPr>
              <w:t> </w:t>
            </w:r>
            <w:r>
              <w:rPr>
                <w:rFonts w:ascii="宋体" w:hAnsi="宋体" w:cs="宋体" w:eastAsia="宋体" w:hint="default"/>
                <w:sz w:val="18"/>
                <w:szCs w:val="18"/>
              </w:rPr>
              <w:t>的</w:t>
            </w:r>
            <w:r>
              <w:rPr>
                <w:rFonts w:ascii="宋体" w:hAnsi="宋体" w:cs="宋体" w:eastAsia="宋体" w:hint="default"/>
                <w:spacing w:val="-50"/>
                <w:sz w:val="18"/>
                <w:szCs w:val="18"/>
              </w:rPr>
              <w:t> </w:t>
            </w:r>
            <w:r>
              <w:rPr>
                <w:rFonts w:ascii="宋体" w:hAnsi="宋体" w:cs="宋体" w:eastAsia="宋体" w:hint="default"/>
                <w:sz w:val="18"/>
                <w:szCs w:val="18"/>
              </w:rPr>
              <w:t>余</w:t>
            </w:r>
            <w:r>
              <w:rPr>
                <w:rFonts w:ascii="宋体" w:hAnsi="宋体" w:cs="宋体" w:eastAsia="宋体" w:hint="default"/>
                <w:spacing w:val="-50"/>
                <w:sz w:val="18"/>
                <w:szCs w:val="18"/>
              </w:rPr>
              <w:t> </w:t>
            </w:r>
            <w:r>
              <w:rPr>
                <w:rFonts w:ascii="宋体" w:hAnsi="宋体" w:cs="宋体" w:eastAsia="宋体" w:hint="default"/>
                <w:sz w:val="18"/>
                <w:szCs w:val="18"/>
              </w:rPr>
              <w:t>额</w:t>
            </w:r>
            <w:r>
              <w:rPr>
                <w:rFonts w:ascii="宋体" w:hAnsi="宋体" w:cs="宋体" w:eastAsia="宋体" w:hint="default"/>
                <w:spacing w:val="-50"/>
                <w:sz w:val="18"/>
                <w:szCs w:val="18"/>
              </w:rPr>
              <w:t> </w:t>
            </w:r>
            <w:r>
              <w:rPr>
                <w:rFonts w:ascii="宋体" w:hAnsi="宋体" w:cs="宋体" w:eastAsia="宋体" w:hint="default"/>
                <w:sz w:val="18"/>
                <w:szCs w:val="18"/>
              </w:rPr>
              <w:t>和</w:t>
            </w:r>
            <w:r>
              <w:rPr>
                <w:rFonts w:ascii="宋体" w:hAnsi="宋体" w:cs="宋体" w:eastAsia="宋体" w:hint="default"/>
                <w:spacing w:val="-50"/>
                <w:sz w:val="18"/>
                <w:szCs w:val="18"/>
              </w:rPr>
              <w:t> </w:t>
            </w:r>
            <w:r>
              <w:rPr>
                <w:rFonts w:ascii="宋体" w:hAnsi="宋体" w:cs="宋体" w:eastAsia="宋体" w:hint="default"/>
                <w:sz w:val="18"/>
                <w:szCs w:val="18"/>
              </w:rPr>
              <w:t>按</w:t>
            </w:r>
            <w:r>
              <w:rPr>
                <w:rFonts w:ascii="宋体" w:hAnsi="宋体" w:cs="宋体" w:eastAsia="宋体" w:hint="default"/>
                <w:spacing w:val="-50"/>
                <w:sz w:val="18"/>
                <w:szCs w:val="18"/>
              </w:rPr>
              <w:t> </w:t>
            </w:r>
            <w:r>
              <w:rPr>
                <w:rFonts w:ascii="宋体" w:hAnsi="宋体" w:cs="宋体" w:eastAsia="宋体" w:hint="default"/>
                <w:sz w:val="18"/>
                <w:szCs w:val="18"/>
              </w:rPr>
              <w:t>新</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CAS22</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列示的余额</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pacing w:val="-1"/>
                <w:sz w:val="18"/>
              </w:rPr>
              <w:t>11,939,914.60</w:t>
            </w:r>
          </w:p>
        </w:tc>
        <w:tc>
          <w:tcPr>
            <w:tcW w:w="1704"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7"/>
              <w:ind w:right="3"/>
              <w:jc w:val="right"/>
              <w:rPr>
                <w:rFonts w:ascii="Times New Roman" w:hAnsi="Times New Roman" w:cs="Times New Roman" w:eastAsia="Times New Roman" w:hint="default"/>
                <w:sz w:val="18"/>
                <w:szCs w:val="18"/>
              </w:rPr>
            </w:pPr>
            <w:r>
              <w:rPr>
                <w:rFonts w:ascii="Times New Roman"/>
                <w:spacing w:val="-1"/>
                <w:sz w:val="18"/>
              </w:rPr>
              <w:t>11,939,914.60</w:t>
            </w:r>
          </w:p>
        </w:tc>
      </w:tr>
      <w:tr>
        <w:trPr>
          <w:trHeight w:val="346" w:hRule="exact"/>
        </w:trPr>
        <w:tc>
          <w:tcPr>
            <w:tcW w:w="2838"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r>
        <w:trPr>
          <w:trHeight w:val="346" w:hRule="exact"/>
        </w:trPr>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983"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r>
        <w:trPr>
          <w:trHeight w:val="662" w:hRule="exact"/>
        </w:trPr>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18"/>
                <w:sz w:val="18"/>
                <w:szCs w:val="18"/>
              </w:rPr>
              <w:t>按原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CAS22 </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列</w:t>
            </w:r>
            <w:r>
              <w:rPr>
                <w:rFonts w:ascii="宋体" w:hAnsi="宋体" w:cs="宋体" w:eastAsia="宋体" w:hint="default"/>
                <w:spacing w:val="-50"/>
                <w:sz w:val="18"/>
                <w:szCs w:val="18"/>
              </w:rPr>
              <w:t> </w:t>
            </w:r>
            <w:r>
              <w:rPr>
                <w:rFonts w:ascii="宋体" w:hAnsi="宋体" w:cs="宋体" w:eastAsia="宋体" w:hint="default"/>
                <w:sz w:val="18"/>
                <w:szCs w:val="18"/>
              </w:rPr>
              <w:t>示</w:t>
            </w:r>
            <w:r>
              <w:rPr>
                <w:rFonts w:ascii="宋体" w:hAnsi="宋体" w:cs="宋体" w:eastAsia="宋体" w:hint="default"/>
                <w:spacing w:val="-45"/>
                <w:sz w:val="18"/>
                <w:szCs w:val="18"/>
              </w:rPr>
              <w:t> </w:t>
            </w:r>
            <w:r>
              <w:rPr>
                <w:rFonts w:ascii="宋体" w:hAnsi="宋体" w:cs="宋体" w:eastAsia="宋体" w:hint="default"/>
                <w:sz w:val="18"/>
                <w:szCs w:val="18"/>
              </w:rPr>
              <w:t>的</w:t>
            </w:r>
            <w:r>
              <w:rPr>
                <w:rFonts w:ascii="宋体" w:hAnsi="宋体" w:cs="宋体" w:eastAsia="宋体" w:hint="default"/>
                <w:spacing w:val="-50"/>
                <w:sz w:val="18"/>
                <w:szCs w:val="18"/>
              </w:rPr>
              <w:t> </w:t>
            </w:r>
            <w:r>
              <w:rPr>
                <w:rFonts w:ascii="宋体" w:hAnsi="宋体" w:cs="宋体" w:eastAsia="宋体" w:hint="default"/>
                <w:sz w:val="18"/>
                <w:szCs w:val="18"/>
              </w:rPr>
              <w:t>余</w:t>
            </w:r>
            <w:r>
              <w:rPr>
                <w:rFonts w:ascii="宋体" w:hAnsi="宋体" w:cs="宋体" w:eastAsia="宋体" w:hint="default"/>
                <w:spacing w:val="-50"/>
                <w:sz w:val="18"/>
                <w:szCs w:val="18"/>
              </w:rPr>
              <w:t> </w:t>
            </w:r>
            <w:r>
              <w:rPr>
                <w:rFonts w:ascii="宋体" w:hAnsi="宋体" w:cs="宋体" w:eastAsia="宋体" w:hint="default"/>
                <w:sz w:val="18"/>
                <w:szCs w:val="18"/>
              </w:rPr>
              <w:t>额</w:t>
            </w:r>
            <w:r>
              <w:rPr>
                <w:rFonts w:ascii="宋体" w:hAnsi="宋体" w:cs="宋体" w:eastAsia="宋体" w:hint="default"/>
                <w:spacing w:val="-50"/>
                <w:sz w:val="18"/>
                <w:szCs w:val="18"/>
              </w:rPr>
              <w:t> </w:t>
            </w:r>
            <w:r>
              <w:rPr>
                <w:rFonts w:ascii="宋体" w:hAnsi="宋体" w:cs="宋体" w:eastAsia="宋体" w:hint="default"/>
                <w:sz w:val="18"/>
                <w:szCs w:val="18"/>
              </w:rPr>
              <w:t>和</w:t>
            </w:r>
            <w:r>
              <w:rPr>
                <w:rFonts w:ascii="宋体" w:hAnsi="宋体" w:cs="宋体" w:eastAsia="宋体" w:hint="default"/>
                <w:spacing w:val="-50"/>
                <w:sz w:val="18"/>
                <w:szCs w:val="18"/>
              </w:rPr>
              <w:t> </w:t>
            </w:r>
            <w:r>
              <w:rPr>
                <w:rFonts w:ascii="宋体" w:hAnsi="宋体" w:cs="宋体" w:eastAsia="宋体" w:hint="default"/>
                <w:sz w:val="18"/>
                <w:szCs w:val="18"/>
              </w:rPr>
              <w:t>按</w:t>
            </w:r>
            <w:r>
              <w:rPr>
                <w:rFonts w:ascii="宋体" w:hAnsi="宋体" w:cs="宋体" w:eastAsia="宋体" w:hint="default"/>
                <w:spacing w:val="-50"/>
                <w:sz w:val="18"/>
                <w:szCs w:val="18"/>
              </w:rPr>
              <w:t> </w:t>
            </w:r>
            <w:r>
              <w:rPr>
                <w:rFonts w:ascii="宋体" w:hAnsi="宋体" w:cs="宋体" w:eastAsia="宋体" w:hint="default"/>
                <w:sz w:val="18"/>
                <w:szCs w:val="18"/>
              </w:rPr>
              <w:t>新</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CAS22</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列示的余额</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135,976,086.79</w:t>
            </w:r>
          </w:p>
        </w:tc>
        <w:tc>
          <w:tcPr>
            <w:tcW w:w="1704"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135,976,086.79</w:t>
            </w:r>
          </w:p>
        </w:tc>
      </w:tr>
      <w:tr>
        <w:trPr>
          <w:trHeight w:val="346" w:hRule="exact"/>
        </w:trPr>
        <w:tc>
          <w:tcPr>
            <w:tcW w:w="2838"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r>
        <w:trPr>
          <w:trHeight w:val="346" w:hRule="exact"/>
        </w:trPr>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83"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r>
        <w:trPr>
          <w:trHeight w:val="346" w:hRule="exact"/>
        </w:trPr>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按原</w:t>
            </w:r>
            <w:r>
              <w:rPr>
                <w:rFonts w:ascii="Times New Roman" w:hAnsi="Times New Roman" w:cs="Times New Roman" w:eastAsia="Times New Roman" w:hint="default"/>
                <w:sz w:val="18"/>
                <w:szCs w:val="18"/>
              </w:rPr>
              <w:t>CAS22</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列示的余额</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55,827,782.61</w:t>
            </w:r>
          </w:p>
        </w:tc>
        <w:tc>
          <w:tcPr>
            <w:tcW w:w="1704"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r>
        <w:trPr>
          <w:trHeight w:val="350" w:hRule="exact"/>
        </w:trPr>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减：转出至短期借款</w:t>
            </w:r>
            <w:r>
              <w:rPr>
                <w:rFonts w:ascii="Times New Roman" w:hAnsi="Times New Roman" w:cs="Times New Roman" w:eastAsia="Times New Roman" w:hint="default"/>
                <w:sz w:val="18"/>
                <w:szCs w:val="18"/>
              </w:rPr>
              <w:t>(</w:t>
            </w:r>
            <w:r>
              <w:rPr>
                <w:rFonts w:ascii="宋体" w:hAnsi="宋体" w:cs="宋体" w:eastAsia="宋体" w:hint="default"/>
                <w:sz w:val="18"/>
                <w:szCs w:val="18"/>
              </w:rPr>
              <w:t>新</w:t>
            </w:r>
            <w:r>
              <w:rPr>
                <w:rFonts w:ascii="Times New Roman" w:hAnsi="Times New Roman" w:cs="Times New Roman" w:eastAsia="Times New Roman" w:hint="default"/>
                <w:sz w:val="18"/>
                <w:szCs w:val="18"/>
              </w:rPr>
              <w:t>CAS22)</w:t>
            </w:r>
          </w:p>
        </w:tc>
        <w:tc>
          <w:tcPr>
            <w:tcW w:w="1983"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-145,119.44</w:t>
            </w:r>
          </w:p>
        </w:tc>
        <w:tc>
          <w:tcPr>
            <w:tcW w:w="989"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r>
        <w:trPr>
          <w:trHeight w:val="346" w:hRule="exact"/>
        </w:trPr>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按新</w:t>
            </w:r>
            <w:r>
              <w:rPr>
                <w:rFonts w:ascii="Times New Roman" w:hAnsi="Times New Roman" w:cs="Times New Roman" w:eastAsia="Times New Roman" w:hint="default"/>
                <w:sz w:val="18"/>
                <w:szCs w:val="18"/>
              </w:rPr>
              <w:t>CAS22</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列示的余额</w:t>
            </w:r>
          </w:p>
        </w:tc>
        <w:tc>
          <w:tcPr>
            <w:tcW w:w="1983"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55,682,663.17</w:t>
            </w:r>
          </w:p>
        </w:tc>
      </w:tr>
      <w:tr>
        <w:trPr>
          <w:trHeight w:val="346" w:hRule="exact"/>
        </w:trPr>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以摊余成本计量的总金融负债</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5"/>
              <w:jc w:val="right"/>
              <w:rPr>
                <w:rFonts w:ascii="Times New Roman" w:hAnsi="Times New Roman" w:cs="Times New Roman" w:eastAsia="Times New Roman" w:hint="default"/>
                <w:sz w:val="18"/>
                <w:szCs w:val="18"/>
              </w:rPr>
            </w:pPr>
            <w:r>
              <w:rPr>
                <w:rFonts w:ascii="Times New Roman"/>
                <w:spacing w:val="-1"/>
                <w:sz w:val="18"/>
              </w:rPr>
              <w:t>308,743,784.00</w:t>
            </w:r>
          </w:p>
        </w:tc>
        <w:tc>
          <w:tcPr>
            <w:tcW w:w="1704" w:type="dxa"/>
            <w:tcBorders>
              <w:top w:val="single" w:sz="6" w:space="0" w:color="000000"/>
              <w:left w:val="single" w:sz="6" w:space="0" w:color="000000"/>
              <w:bottom w:val="single" w:sz="6" w:space="0" w:color="000000"/>
              <w:right w:val="single" w:sz="6" w:space="0" w:color="000000"/>
            </w:tcBorders>
          </w:tcPr>
          <w:p>
            <w:pPr/>
          </w:p>
        </w:tc>
        <w:tc>
          <w:tcPr>
            <w:tcW w:w="989"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3"/>
              <w:ind w:right="3"/>
              <w:jc w:val="right"/>
              <w:rPr>
                <w:rFonts w:ascii="Times New Roman" w:hAnsi="Times New Roman" w:cs="Times New Roman" w:eastAsia="Times New Roman" w:hint="default"/>
                <w:sz w:val="18"/>
                <w:szCs w:val="18"/>
              </w:rPr>
            </w:pPr>
            <w:r>
              <w:rPr>
                <w:rFonts w:ascii="Times New Roman"/>
                <w:spacing w:val="-1"/>
                <w:sz w:val="18"/>
              </w:rPr>
              <w:t>308,743,784.00</w:t>
            </w:r>
          </w:p>
        </w:tc>
      </w:tr>
    </w:tbl>
    <w:p>
      <w:pPr>
        <w:pStyle w:val="Heading5"/>
        <w:spacing w:line="276" w:lineRule="exact"/>
        <w:ind w:left="575" w:right="0"/>
        <w:jc w:val="left"/>
      </w:pPr>
      <w:r>
        <w:rPr>
          <w:rFonts w:ascii="Times New Roman" w:hAnsi="Times New Roman" w:cs="Times New Roman" w:eastAsia="Times New Roman" w:hint="default"/>
        </w:rPr>
        <w:t>(4) </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日，公司原金融资产减值准备期末金额调整为按照新金融工具准则的规定进行分类和</w:t>
      </w:r>
    </w:p>
    <w:p>
      <w:pPr>
        <w:pStyle w:val="Heading5"/>
        <w:spacing w:line="240" w:lineRule="auto" w:before="21"/>
        <w:ind w:right="0"/>
        <w:jc w:val="left"/>
      </w:pPr>
      <w:r>
        <w:rPr/>
        <w:t>计量的新损失准备的调节表如下：</w:t>
      </w:r>
    </w:p>
    <w:p>
      <w:pPr>
        <w:spacing w:after="0" w:line="240" w:lineRule="auto"/>
        <w:jc w:val="left"/>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1484"/>
        <w:gridCol w:w="2627"/>
        <w:gridCol w:w="1277"/>
        <w:gridCol w:w="1023"/>
        <w:gridCol w:w="2207"/>
      </w:tblGrid>
      <w:tr>
        <w:trPr>
          <w:trHeight w:val="970"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87"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8"/>
                <w:sz w:val="18"/>
                <w:szCs w:val="18"/>
              </w:rPr>
              <w:t> </w:t>
            </w:r>
            <w:r>
              <w:rPr>
                <w:rFonts w:ascii="宋体" w:hAnsi="宋体" w:cs="宋体" w:eastAsia="宋体" w:hint="default"/>
                <w:sz w:val="18"/>
                <w:szCs w:val="18"/>
              </w:rPr>
              <w:t>目</w:t>
            </w:r>
          </w:p>
        </w:tc>
        <w:tc>
          <w:tcPr>
            <w:tcW w:w="262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3" w:right="14"/>
              <w:jc w:val="center"/>
              <w:rPr>
                <w:rFonts w:ascii="宋体" w:hAnsi="宋体" w:cs="宋体" w:eastAsia="宋体" w:hint="default"/>
                <w:sz w:val="18"/>
                <w:szCs w:val="18"/>
              </w:rPr>
            </w:pPr>
            <w:r>
              <w:rPr>
                <w:rFonts w:ascii="宋体" w:hAnsi="宋体" w:cs="宋体" w:eastAsia="宋体" w:hint="default"/>
                <w:spacing w:val="-3"/>
                <w:sz w:val="18"/>
                <w:szCs w:val="18"/>
              </w:rPr>
              <w:t>按原金融工具准则计提损失准备</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按或有事项准则确认的预计负债</w:t>
            </w:r>
          </w:p>
          <w:p>
            <w:pPr>
              <w:pStyle w:val="TableParagraph"/>
              <w:spacing w:line="240" w:lineRule="auto" w:before="31"/>
              <w:ind w:left="4"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9"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48"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2207" w:type="dxa"/>
            <w:tcBorders>
              <w:top w:val="single" w:sz="6" w:space="0" w:color="000000"/>
              <w:left w:val="single" w:sz="6" w:space="0" w:color="000000"/>
              <w:bottom w:val="single" w:sz="6" w:space="0" w:color="000000"/>
              <w:right w:val="nil" w:sz="6" w:space="0" w:color="auto"/>
            </w:tcBorders>
          </w:tcPr>
          <w:p>
            <w:pPr>
              <w:pStyle w:val="TableParagraph"/>
              <w:spacing w:line="316" w:lineRule="auto" w:before="20"/>
              <w:ind w:left="196" w:right="17" w:hanging="183"/>
              <w:jc w:val="left"/>
              <w:rPr>
                <w:rFonts w:ascii="宋体" w:hAnsi="宋体" w:cs="宋体" w:eastAsia="宋体" w:hint="default"/>
                <w:sz w:val="18"/>
                <w:szCs w:val="18"/>
              </w:rPr>
            </w:pPr>
            <w:r>
              <w:rPr>
                <w:rFonts w:ascii="宋体" w:hAnsi="宋体" w:cs="宋体" w:eastAsia="宋体" w:hint="default"/>
                <w:spacing w:val="-3"/>
                <w:sz w:val="18"/>
                <w:szCs w:val="18"/>
              </w:rPr>
              <w:t>按新金融工具准则计提损失</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准备（</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351" w:hRule="exact"/>
        </w:trPr>
        <w:tc>
          <w:tcPr>
            <w:tcW w:w="8617" w:type="dxa"/>
            <w:gridSpan w:val="5"/>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贷款和应收款项</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原 </w:t>
            </w:r>
            <w:r>
              <w:rPr>
                <w:rFonts w:ascii="Times New Roman" w:hAnsi="Times New Roman" w:cs="Times New Roman" w:eastAsia="Times New Roman" w:hint="default"/>
                <w:sz w:val="18"/>
                <w:szCs w:val="18"/>
              </w:rPr>
              <w:t>CAS22)/  </w:t>
            </w:r>
            <w:r>
              <w:rPr>
                <w:rFonts w:ascii="宋体" w:hAnsi="宋体" w:cs="宋体" w:eastAsia="宋体" w:hint="default"/>
                <w:spacing w:val="-3"/>
                <w:sz w:val="18"/>
                <w:szCs w:val="18"/>
              </w:rPr>
              <w:t>以摊余成本计量的金融资产</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新</w:t>
            </w:r>
            <w:r>
              <w:rPr>
                <w:rFonts w:ascii="宋体" w:hAnsi="宋体" w:cs="宋体" w:eastAsia="宋体" w:hint="default"/>
                <w:spacing w:val="29"/>
                <w:sz w:val="18"/>
                <w:szCs w:val="18"/>
              </w:rPr>
              <w:t> </w:t>
            </w:r>
            <w:r>
              <w:rPr>
                <w:rFonts w:ascii="Times New Roman" w:hAnsi="Times New Roman" w:cs="Times New Roman" w:eastAsia="Times New Roman" w:hint="default"/>
                <w:spacing w:val="-3"/>
                <w:sz w:val="18"/>
                <w:szCs w:val="18"/>
              </w:rPr>
              <w:t>CAS22)</w:t>
            </w:r>
          </w:p>
        </w:tc>
      </w:tr>
      <w:tr>
        <w:trPr>
          <w:trHeight w:val="346"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54,343,262.86</w:t>
            </w:r>
          </w:p>
        </w:tc>
        <w:tc>
          <w:tcPr>
            <w:tcW w:w="1277"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2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54,343,262.86</w:t>
            </w:r>
          </w:p>
        </w:tc>
      </w:tr>
      <w:tr>
        <w:trPr>
          <w:trHeight w:val="346"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2,634,804.49</w:t>
            </w:r>
          </w:p>
        </w:tc>
        <w:tc>
          <w:tcPr>
            <w:tcW w:w="1277"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2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2,634,804.49</w:t>
            </w:r>
          </w:p>
        </w:tc>
      </w:tr>
      <w:tr>
        <w:trPr>
          <w:trHeight w:val="350" w:hRule="exact"/>
        </w:trPr>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768,427.02</w:t>
            </w:r>
          </w:p>
        </w:tc>
        <w:tc>
          <w:tcPr>
            <w:tcW w:w="1277"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
        </w:tc>
        <w:tc>
          <w:tcPr>
            <w:tcW w:w="220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768,427.02</w:t>
            </w:r>
          </w:p>
        </w:tc>
      </w:tr>
    </w:tbl>
    <w:p>
      <w:pPr>
        <w:pStyle w:val="Heading5"/>
        <w:spacing w:line="276" w:lineRule="exact"/>
        <w:ind w:right="0" w:firstLine="422"/>
        <w:jc w:val="left"/>
        <w:rPr>
          <w:rFonts w:ascii="Times New Roman" w:hAnsi="Times New Roman" w:cs="Times New Roman" w:eastAsia="Times New Roman" w:hint="default"/>
        </w:rPr>
      </w:pPr>
      <w:r>
        <w:rPr>
          <w:rFonts w:ascii="Times New Roman" w:hAnsi="Times New Roman" w:cs="Times New Roman" w:eastAsia="Times New Roman" w:hint="default"/>
        </w:rPr>
        <w:t>3.   </w:t>
      </w:r>
      <w:r>
        <w:rPr>
          <w:rFonts w:ascii="Times New Roman" w:hAnsi="Times New Roman" w:cs="Times New Roman" w:eastAsia="Times New Roman" w:hint="default"/>
          <w:spacing w:val="21"/>
        </w:rPr>
        <w:t> </w:t>
      </w:r>
      <w:r>
        <w:rPr/>
        <w:t>本公司自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10</w:t>
      </w:r>
      <w:r>
        <w:rPr/>
        <w:t>日起执行经修订的《企业会计准则第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非货币性资产交换》，自</w:t>
      </w:r>
      <w:r>
        <w:rPr>
          <w:rFonts w:ascii="Times New Roman" w:hAnsi="Times New Roman" w:cs="Times New Roman" w:eastAsia="Times New Roman" w:hint="default"/>
        </w:rPr>
        <w:t>2019</w:t>
      </w:r>
    </w:p>
    <w:p>
      <w:pPr>
        <w:pStyle w:val="Heading5"/>
        <w:spacing w:line="256" w:lineRule="auto" w:before="21"/>
        <w:ind w:right="1037"/>
        <w:jc w:val="left"/>
      </w:pP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日起执行经修订的《企业会计准则第</w:t>
      </w:r>
      <w:r>
        <w:rPr>
          <w:rFonts w:ascii="Times New Roman" w:hAnsi="Times New Roman" w:cs="Times New Roman" w:eastAsia="Times New Roman" w:hint="default"/>
        </w:rPr>
        <w:t>12</w:t>
      </w:r>
      <w:r>
        <w:rPr/>
        <w:t>号</w:t>
      </w:r>
      <w:r>
        <w:rPr>
          <w:rFonts w:ascii="Times New Roman" w:hAnsi="Times New Roman" w:cs="Times New Roman" w:eastAsia="Times New Roman" w:hint="default"/>
        </w:rPr>
        <w:t>——</w:t>
      </w:r>
      <w:r>
        <w:rPr/>
        <w:t>债务重组》。该项会计政策变更采用未来适用法处</w:t>
      </w:r>
      <w:r>
        <w:rPr>
          <w:spacing w:val="-30"/>
        </w:rPr>
        <w:t> </w:t>
      </w:r>
      <w:r>
        <w:rPr>
          <w:spacing w:val="-30"/>
        </w:rPr>
      </w:r>
      <w:r>
        <w:rPr/>
        <w:t>理。</w:t>
      </w:r>
    </w:p>
    <w:p>
      <w:pPr>
        <w:spacing w:line="240" w:lineRule="auto" w:before="11"/>
        <w:rPr>
          <w:rFonts w:ascii="宋体" w:hAnsi="宋体" w:cs="宋体" w:eastAsia="宋体" w:hint="default"/>
          <w:sz w:val="24"/>
          <w:szCs w:val="24"/>
        </w:rPr>
      </w:pPr>
    </w:p>
    <w:p>
      <w:pPr>
        <w:pStyle w:val="Heading4"/>
        <w:spacing w:line="240" w:lineRule="auto"/>
        <w:ind w:right="0"/>
        <w:jc w:val="left"/>
        <w:rPr>
          <w:b w:val="0"/>
          <w:bCs w:val="0"/>
        </w:rPr>
      </w:pPr>
      <w:bookmarkStart w:name="（2）重要会计估计变更" w:id="211"/>
      <w:bookmarkEnd w:id="211"/>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5"/>
          <w:szCs w:val="25"/>
        </w:rPr>
      </w:pPr>
    </w:p>
    <w:p>
      <w:pPr>
        <w:pStyle w:val="Heading4"/>
        <w:spacing w:line="240" w:lineRule="auto"/>
        <w:ind w:right="0"/>
        <w:jc w:val="left"/>
        <w:rPr>
          <w:b w:val="0"/>
          <w:bCs w:val="0"/>
        </w:rPr>
      </w:pPr>
      <w:bookmarkStart w:name="（3）2019年起执行新金融工具准则、新收入准则或新租赁准则调整执行当年年初财务" w:id="212"/>
      <w:bookmarkEnd w:id="212"/>
      <w:r>
        <w:rPr>
          <w:b w:val="0"/>
          <w:bCs w:val="0"/>
        </w:rPr>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年起执行新金融工具准则、新收入准则或新租赁准则调整执行当年年初财务报表相关项目情况</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pStyle w:val="BodyText"/>
        <w:spacing w:line="338"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w:t>
      </w:r>
      <w:r>
        <w:rPr>
          <w:w w:val="101"/>
        </w:rPr>
        <w:t> </w:t>
      </w:r>
      <w:r>
        <w:rPr>
          <w:spacing w:val="-3"/>
        </w:rPr>
        <w:t>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1537" w:space="7385"/>
            <w:col w:w="2008"/>
          </w:cols>
        </w:sectPr>
      </w:pP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365,191,329.76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365,191,329.76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87" w:right="0"/>
              <w:jc w:val="left"/>
              <w:rPr>
                <w:rFonts w:ascii="Times New Roman" w:hAnsi="Times New Roman" w:cs="Times New Roman" w:eastAsia="Times New Roman" w:hint="default"/>
                <w:sz w:val="18"/>
                <w:szCs w:val="18"/>
              </w:rPr>
            </w:pPr>
            <w:r>
              <w:rPr>
                <w:rFonts w:ascii="Times New Roman"/>
                <w:sz w:val="18"/>
              </w:rPr>
              <w:t>19,000,000.00</w:t>
            </w:r>
          </w:p>
        </w:tc>
      </w:tr>
      <w:tr>
        <w:trPr>
          <w:trHeight w:val="102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178" w:firstLine="360"/>
              <w:jc w:val="both"/>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8,039,160.00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8,039,160.00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311,603,506.03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311,603,506.03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3,504,113.02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3,504,113.02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应收分保合同准备金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22,521,450.76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22,521,450.76</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2,025,660.66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2,025,660.66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1" w:right="178" w:firstLine="36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20,001,300.30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1,001,300.30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30" w:right="0"/>
              <w:jc w:val="left"/>
              <w:rPr>
                <w:rFonts w:ascii="Times New Roman" w:hAnsi="Times New Roman" w:cs="Times New Roman" w:eastAsia="Times New Roman" w:hint="default"/>
                <w:sz w:val="18"/>
                <w:szCs w:val="18"/>
              </w:rPr>
            </w:pPr>
            <w:r>
              <w:rPr>
                <w:rFonts w:ascii="Times New Roman"/>
                <w:sz w:val="18"/>
              </w:rPr>
              <w:t>-19,000,000.00</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732,886,520.53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732,886,520.53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pacing w:val="-3"/>
                <w:sz w:val="18"/>
                <w:szCs w:val="18"/>
              </w:rPr>
              <w:t>发放贷款和垫款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18,486,372.98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18,486,372.98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67,273,434.52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67,273,434.52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97,826,733.17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97,826,733.17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10,097,750.37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10,097,750.37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1,635,147.41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1,635,147.41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926,638.80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926,638.80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3,007,674.38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3,007,674.38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11,680,138.65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11,680,138.65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210,933,890.28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210,933,890.28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943,820,410.81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943,820,410.81</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105,000,000.00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105,145,119.44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145,119.44</w:t>
            </w: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178" w:firstLine="360"/>
              <w:jc w:val="both"/>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11,939,914.60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11,939,914.60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135,976,086.79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135,976,086.79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22,292,504.67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22,292,504.67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78"/>
              <w:jc w:val="right"/>
              <w:rPr>
                <w:rFonts w:ascii="宋体" w:hAnsi="宋体" w:cs="宋体" w:eastAsia="宋体" w:hint="default"/>
                <w:sz w:val="18"/>
                <w:szCs w:val="18"/>
              </w:rPr>
            </w:pPr>
            <w:r>
              <w:rPr>
                <w:rFonts w:ascii="宋体" w:hAnsi="宋体" w:cs="宋体" w:eastAsia="宋体" w:hint="default"/>
                <w:spacing w:val="-3"/>
                <w:sz w:val="18"/>
                <w:szCs w:val="18"/>
              </w:rPr>
              <w:t>卖出回购金融资产款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78"/>
              <w:jc w:val="right"/>
              <w:rPr>
                <w:rFonts w:ascii="宋体" w:hAnsi="宋体" w:cs="宋体" w:eastAsia="宋体" w:hint="default"/>
                <w:sz w:val="18"/>
                <w:szCs w:val="18"/>
              </w:rPr>
            </w:pPr>
            <w:r>
              <w:rPr>
                <w:rFonts w:ascii="宋体" w:hAnsi="宋体" w:cs="宋体" w:eastAsia="宋体" w:hint="default"/>
                <w:spacing w:val="-3"/>
                <w:sz w:val="18"/>
                <w:szCs w:val="18"/>
              </w:rPr>
              <w:t>吸收存款及同业存放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代理承销证券款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24,592,722.30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24,592,722.30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28,069,935.68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28,069,935.68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55,827,782.61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55,682,663.17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-145,119.44</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145,119.44</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-145,119.44</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185,400.00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185,400.00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178" w:firstLine="36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383,698,946.65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383,698,946.65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保险合同准备金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2,291,640.99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2,291,640.99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2,291,640.99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2,291,640.99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385,990,587.64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385,990,587.64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83,090,000.00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83,090,000.00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281,477,831.80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281,477,831.80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50,892,300.00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50,892,300.00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25,064,167.89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25,064,167.89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208,451,416.62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208,451,416.62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78"/>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547,191,116.31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547,191,116.31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10,638,706.86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10,638,706.86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557,829,823.17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557,829,823.17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943,820,410.81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943,820,410.81</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pStyle w:val="BodyText"/>
        <w:spacing w:line="348" w:lineRule="auto" w:before="53"/>
        <w:ind w:right="0"/>
        <w:jc w:val="left"/>
      </w:pPr>
      <w:r>
        <w:rPr/>
        <w:t>调整情况说明</w:t>
      </w:r>
      <w:r>
        <w:rPr>
          <w:spacing w:val="-86"/>
        </w:rPr>
        <w:t> </w:t>
      </w:r>
      <w:r>
        <w:rPr>
          <w:spacing w:val="-86"/>
        </w:rPr>
      </w:r>
      <w:r>
        <w:rPr>
          <w:spacing w:val="-3"/>
        </w:rPr>
        <w:t>详见</w:t>
      </w:r>
      <w:r>
        <w:rPr>
          <w:rFonts w:ascii="Times New Roman" w:hAnsi="Times New Roman" w:cs="Times New Roman" w:eastAsia="Times New Roman" w:hint="default"/>
          <w:spacing w:val="-3"/>
        </w:rPr>
        <w:t>27</w:t>
      </w:r>
      <w:r>
        <w:rPr>
          <w:spacing w:val="-3"/>
        </w:rPr>
        <w:t>、（</w:t>
      </w:r>
      <w:r>
        <w:rPr>
          <w:rFonts w:ascii="Times New Roman" w:hAnsi="Times New Roman" w:cs="Times New Roman" w:eastAsia="Times New Roman" w:hint="default"/>
          <w:spacing w:val="-3"/>
        </w:rPr>
        <w:t>1</w:t>
      </w:r>
      <w:r>
        <w:rPr>
          <w:spacing w:val="-3"/>
        </w:rPr>
        <w:t>）重要会计政策变更之说明</w:t>
      </w:r>
      <w:r>
        <w:rPr>
          <w:spacing w:val="-31"/>
        </w:rPr>
        <w:t> </w:t>
      </w:r>
      <w:r>
        <w:rPr>
          <w:spacing w:val="-31"/>
        </w:rPr>
      </w:r>
      <w:r>
        <w:rPr/>
        <w:t>母公司资产负债表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3308" w:space="5613"/>
            <w:col w:w="2009"/>
          </w:cols>
        </w:sectPr>
      </w:pP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1296" w:right="0"/>
              <w:jc w:val="left"/>
              <w:rPr>
                <w:rFonts w:ascii="Times New Roman" w:hAnsi="Times New Roman" w:cs="Times New Roman" w:eastAsia="Times New Roman" w:hint="default"/>
                <w:sz w:val="18"/>
                <w:szCs w:val="18"/>
              </w:rPr>
            </w:pPr>
            <w:r>
              <w:rPr>
                <w:rFonts w:ascii="Times New Roman"/>
                <w:sz w:val="18"/>
              </w:rPr>
              <w:t>345,492,370.31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345,492,370.31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87" w:right="0"/>
              <w:jc w:val="left"/>
              <w:rPr>
                <w:rFonts w:ascii="Times New Roman" w:hAnsi="Times New Roman" w:cs="Times New Roman" w:eastAsia="Times New Roman" w:hint="default"/>
                <w:sz w:val="18"/>
                <w:szCs w:val="18"/>
              </w:rPr>
            </w:pPr>
            <w:r>
              <w:rPr>
                <w:rFonts w:ascii="Times New Roman"/>
                <w:sz w:val="18"/>
              </w:rPr>
              <w:t>19,000,000.00</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371" w:right="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672"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10"/>
              <w:ind w:left="11" w:right="178"/>
              <w:jc w:val="left"/>
              <w:rPr>
                <w:rFonts w:ascii="宋体" w:hAnsi="宋体" w:cs="宋体" w:eastAsia="宋体" w:hint="default"/>
                <w:sz w:val="18"/>
                <w:szCs w:val="18"/>
              </w:rPr>
            </w:pP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8,039,160.00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8,039,160.00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295,150,534.09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295,150,534.09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3,818,816.94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3,818,816.94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24,663,853.81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24,663,853.81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1,406,646.47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1,406,646.47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78" w:firstLine="36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19,414,446.27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414,446.27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30" w:right="0"/>
              <w:jc w:val="left"/>
              <w:rPr>
                <w:rFonts w:ascii="Times New Roman" w:hAnsi="Times New Roman" w:cs="Times New Roman" w:eastAsia="Times New Roman" w:hint="default"/>
                <w:sz w:val="18"/>
                <w:szCs w:val="18"/>
              </w:rPr>
            </w:pPr>
            <w:r>
              <w:rPr>
                <w:rFonts w:ascii="Times New Roman"/>
                <w:sz w:val="18"/>
              </w:rPr>
              <w:t>-19,000,000.00</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697,985,827.89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697,985,827.89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18,486,372.98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18,486,372.98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34,906,793.24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34,906,793.24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67,273,434.52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67,273,434.52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94,988,571.88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94,988,571.88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4,340,605.57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4,340,605.57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1,635,147.41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1,635,147.41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2,170,799.34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2,170,799.34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11,108,893.14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11,108,893.14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234,910,618.08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234,910,618.08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932,896,445.97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932,896,445.97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105,000,000.00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105,145,119.44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145,119.44</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78" w:firstLine="360"/>
              <w:jc w:val="both"/>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11,939,914.60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11,939,914.60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129,671,283.33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129,671,283.33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22,876,293.18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22,876,293.18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21,189,663.38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21,189,663.38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27,039,064.16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27,039,064.16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55,403,257.60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55,258,138.16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-145,119.44</w:t>
            </w: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56"/>
              <w:jc w:val="righ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145,119.44</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-145,119.44</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55"/>
              <w:jc w:val="right"/>
              <w:rPr>
                <w:rFonts w:ascii="宋体" w:hAnsi="宋体" w:cs="宋体" w:eastAsia="宋体" w:hint="default"/>
                <w:sz w:val="18"/>
                <w:szCs w:val="18"/>
              </w:rPr>
            </w:pPr>
            <w:r>
              <w:rPr>
                <w:rFonts w:ascii="宋体" w:hAnsi="宋体" w:cs="宋体" w:eastAsia="宋体" w:hint="default"/>
                <w:spacing w:val="-2"/>
                <w:sz w:val="18"/>
                <w:szCs w:val="18"/>
              </w:rPr>
              <w:t>应付股利</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185,400.00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185,400.00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78" w:firstLine="36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373,119,476.25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373,119,476.25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56"/>
              <w:jc w:val="right"/>
              <w:rPr>
                <w:rFonts w:ascii="宋体" w:hAnsi="宋体" w:cs="宋体" w:eastAsia="宋体" w:hint="default"/>
                <w:sz w:val="18"/>
                <w:szCs w:val="18"/>
              </w:rPr>
            </w:pPr>
            <w:r>
              <w:rPr>
                <w:rFonts w:ascii="宋体" w:hAnsi="宋体" w:cs="宋体" w:eastAsia="宋体" w:hint="default"/>
                <w:spacing w:val="-2"/>
                <w:sz w:val="18"/>
                <w:szCs w:val="18"/>
              </w:rPr>
              <w:t>长期应付职工薪酬</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1,757,729.93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1,757,729.93</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1,757,729.93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1,757,729.93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374,877,206.18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374,877,206.18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83,090,000.00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83,090,000.00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288,165,260.91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288,165,260.91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50,892,300.00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50,892,300.00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25,064,167.89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25,064,167.89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212,592,110.99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212,592,110.99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558,019,239.79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558,019,239.79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932,896,445.97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932,896,445.97</w:t>
            </w:r>
          </w:p>
        </w:tc>
        <w:tc>
          <w:tcPr>
            <w:tcW w:w="245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2" w:lineRule="auto" w:before="53"/>
        <w:ind w:right="7272"/>
        <w:jc w:val="left"/>
      </w:pPr>
      <w:r>
        <w:rPr/>
        <w:t>调整情况说明</w:t>
      </w:r>
      <w:r>
        <w:rPr>
          <w:spacing w:val="-86"/>
        </w:rPr>
        <w:t> </w:t>
      </w:r>
      <w:r>
        <w:rPr>
          <w:spacing w:val="-86"/>
        </w:rPr>
      </w:r>
      <w:r>
        <w:rPr>
          <w:spacing w:val="-3"/>
        </w:rPr>
        <w:t>详见</w:t>
      </w:r>
      <w:r>
        <w:rPr>
          <w:rFonts w:ascii="Times New Roman" w:hAnsi="Times New Roman" w:cs="Times New Roman" w:eastAsia="Times New Roman" w:hint="default"/>
          <w:spacing w:val="-3"/>
        </w:rPr>
        <w:t>27</w:t>
      </w:r>
      <w:r>
        <w:rPr>
          <w:spacing w:val="-3"/>
        </w:rPr>
        <w:t>、（</w:t>
      </w:r>
      <w:r>
        <w:rPr>
          <w:rFonts w:ascii="Times New Roman" w:hAnsi="Times New Roman" w:cs="Times New Roman" w:eastAsia="Times New Roman" w:hint="default"/>
          <w:spacing w:val="-3"/>
        </w:rPr>
        <w:t>1</w:t>
      </w:r>
      <w:r>
        <w:rPr>
          <w:spacing w:val="-3"/>
        </w:rPr>
        <w:t>）重要会计政策变更之说明</w:t>
      </w:r>
    </w:p>
    <w:p>
      <w:pPr>
        <w:spacing w:line="240" w:lineRule="auto" w:before="11"/>
        <w:rPr>
          <w:rFonts w:ascii="宋体" w:hAnsi="宋体" w:cs="宋体" w:eastAsia="宋体" w:hint="default"/>
          <w:sz w:val="18"/>
          <w:szCs w:val="18"/>
        </w:rPr>
      </w:pPr>
    </w:p>
    <w:p>
      <w:pPr>
        <w:pStyle w:val="Heading4"/>
        <w:spacing w:line="240" w:lineRule="auto"/>
        <w:ind w:right="0"/>
        <w:jc w:val="left"/>
        <w:rPr>
          <w:b w:val="0"/>
          <w:bCs w:val="0"/>
        </w:rPr>
      </w:pPr>
      <w:bookmarkStart w:name="（4）2019年起执行新金融工具准则或新租赁准则追溯调整前期比较数据说明" w:id="213"/>
      <w:bookmarkEnd w:id="213"/>
      <w:r>
        <w:rPr>
          <w:b w:val="0"/>
          <w:bCs w:val="0"/>
        </w:rPr>
      </w: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年起执行新金融工具准则或新租赁准则追溯调整前期比较数据说明</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5"/>
          <w:szCs w:val="25"/>
        </w:rPr>
      </w:pPr>
    </w:p>
    <w:p>
      <w:pPr>
        <w:pStyle w:val="Heading4"/>
        <w:spacing w:line="240" w:lineRule="auto"/>
        <w:ind w:right="0"/>
        <w:jc w:val="left"/>
        <w:rPr>
          <w:b w:val="0"/>
          <w:bCs w:val="0"/>
        </w:rPr>
      </w:pPr>
      <w:bookmarkStart w:name="28、其他" w:id="214"/>
      <w:bookmarkEnd w:id="214"/>
      <w:r>
        <w:rPr>
          <w:b w:val="0"/>
          <w:bCs w:val="0"/>
        </w:rPr>
      </w:r>
      <w:r>
        <w:rPr>
          <w:rFonts w:ascii="Times New Roman" w:hAnsi="Times New Roman" w:cs="Times New Roman" w:eastAsia="Times New Roman" w:hint="default"/>
        </w:rPr>
        <w:t>28</w:t>
      </w:r>
      <w:r>
        <w:rPr/>
        <w:t>、其他</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9"/>
        <w:rPr>
          <w:rFonts w:ascii="宋体" w:hAnsi="宋体" w:cs="宋体" w:eastAsia="宋体" w:hint="default"/>
          <w:sz w:val="24"/>
          <w:szCs w:val="24"/>
        </w:rPr>
      </w:pPr>
    </w:p>
    <w:p>
      <w:pPr>
        <w:pStyle w:val="Heading2"/>
        <w:spacing w:line="240" w:lineRule="auto"/>
        <w:ind w:right="0"/>
        <w:jc w:val="left"/>
        <w:rPr>
          <w:b w:val="0"/>
          <w:bCs w:val="0"/>
        </w:rPr>
      </w:pPr>
      <w:bookmarkStart w:name="六、税项" w:id="215"/>
      <w:bookmarkEnd w:id="215"/>
      <w:r>
        <w:rPr>
          <w:b w:val="0"/>
          <w:bCs w:val="0"/>
        </w:rPr>
      </w:r>
      <w:r>
        <w:rPr/>
        <w:t>六、税项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主要税种及税率" w:id="216"/>
      <w:bookmarkEnd w:id="216"/>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pacing w:val="-3"/>
                <w:sz w:val="18"/>
                <w:szCs w:val="18"/>
              </w:rPr>
              <w:t>销售货物或提供应税劳务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4"/>
              <w:ind w:left="26" w:right="0"/>
              <w:jc w:val="left"/>
              <w:rPr>
                <w:rFonts w:ascii="宋体" w:hAnsi="宋体" w:cs="宋体" w:eastAsia="宋体" w:hint="default"/>
                <w:sz w:val="18"/>
                <w:szCs w:val="18"/>
              </w:rPr>
            </w:pPr>
            <w:r>
              <w:rPr>
                <w:rFonts w:ascii="宋体" w:hAnsi="宋体" w:cs="宋体" w:eastAsia="宋体" w:hint="default"/>
                <w:spacing w:val="-3"/>
                <w:sz w:val="18"/>
                <w:szCs w:val="18"/>
              </w:rPr>
              <w:t>应缴流转税税额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12.5%</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33"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从价计征的，按房产原值一次减除</w:t>
            </w:r>
            <w:r>
              <w:rPr>
                <w:rFonts w:ascii="宋体" w:hAnsi="宋体" w:cs="宋体" w:eastAsia="宋体" w:hint="default"/>
                <w:spacing w:val="-5"/>
                <w:sz w:val="18"/>
                <w:szCs w:val="18"/>
              </w:rPr>
              <w:t> </w:t>
            </w:r>
            <w:r>
              <w:rPr>
                <w:rFonts w:ascii="Times New Roman" w:hAnsi="Times New Roman" w:cs="Times New Roman" w:eastAsia="Times New Roman" w:hint="default"/>
                <w:spacing w:val="-2"/>
                <w:sz w:val="18"/>
                <w:szCs w:val="18"/>
              </w:rPr>
              <w:t>30%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672" w:hRule="exact"/>
        </w:trPr>
        <w:tc>
          <w:tcPr>
            <w:tcW w:w="3188"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10"/>
              <w:ind w:left="23" w:right="32"/>
              <w:jc w:val="left"/>
              <w:rPr>
                <w:rFonts w:ascii="宋体" w:hAnsi="宋体" w:cs="宋体" w:eastAsia="宋体" w:hint="default"/>
                <w:sz w:val="18"/>
                <w:szCs w:val="18"/>
              </w:rPr>
            </w:pPr>
            <w:r>
              <w:rPr>
                <w:rFonts w:ascii="宋体" w:hAnsi="宋体" w:cs="宋体" w:eastAsia="宋体" w:hint="default"/>
                <w:sz w:val="18"/>
                <w:szCs w:val="18"/>
              </w:rPr>
              <w:t>后余值的</w:t>
            </w:r>
            <w:r>
              <w:rPr>
                <w:rFonts w:ascii="宋体" w:hAnsi="宋体" w:cs="宋体" w:eastAsia="宋体" w:hint="default"/>
                <w:spacing w:val="-12"/>
                <w:sz w:val="18"/>
                <w:szCs w:val="18"/>
              </w:rPr>
              <w:t> </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计缴；从租计征的，按租</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金收入的</w:t>
            </w:r>
            <w:r>
              <w:rPr>
                <w:rFonts w:ascii="宋体" w:hAnsi="宋体" w:cs="宋体" w:eastAsia="宋体" w:hint="default"/>
                <w:spacing w:val="-33"/>
                <w:sz w:val="18"/>
                <w:szCs w:val="18"/>
              </w:rPr>
              <w:t> </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计缴</w:t>
            </w:r>
            <w:r>
              <w:rPr>
                <w:rFonts w:ascii="宋体" w:hAnsi="宋体" w:cs="宋体" w:eastAsia="宋体" w:hint="default"/>
                <w:sz w:val="18"/>
                <w:szCs w:val="18"/>
              </w:rPr>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应缴流转税税额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应缴流转税税额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3"/>
        <w:ind w:right="0"/>
        <w:jc w:val="left"/>
      </w:pPr>
      <w:r>
        <w:rPr>
          <w:spacing w:val="-3"/>
        </w:rPr>
        <w:t>存在不同企业所得税税率纳税主体的，披露情况说明</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天津和仁公司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除上述以外的其他纳税主体</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税收优惠" w:id="217"/>
      <w:bookmarkEnd w:id="217"/>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5"/>
        <w:rPr>
          <w:rFonts w:ascii="宋体" w:hAnsi="宋体" w:cs="宋体" w:eastAsia="宋体" w:hint="default"/>
          <w:b/>
          <w:bCs/>
          <w:sz w:val="24"/>
          <w:szCs w:val="24"/>
        </w:rPr>
      </w:pPr>
    </w:p>
    <w:p>
      <w:pPr>
        <w:pStyle w:val="Heading5"/>
        <w:spacing w:line="256" w:lineRule="auto"/>
        <w:ind w:right="1122" w:firstLine="422"/>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根据财政部、国家税务总局《关于软件产品增值税政策的通知》（财税〔</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100</w:t>
      </w:r>
      <w:r>
        <w:rPr/>
        <w:t>号），本公司</w:t>
      </w:r>
      <w:r>
        <w:rPr>
          <w:w w:val="100"/>
        </w:rPr>
        <w:t> </w:t>
      </w:r>
      <w:r>
        <w:rPr/>
        <w:t>及控股子公司天津和仁公司自行开发研制的软件产品销售先按</w:t>
      </w:r>
      <w:r>
        <w:rPr>
          <w:rFonts w:ascii="Times New Roman" w:hAnsi="Times New Roman" w:cs="Times New Roman" w:eastAsia="Times New Roman" w:hint="default"/>
        </w:rPr>
        <w:t>16%</w:t>
      </w:r>
      <w:r>
        <w:rPr/>
        <w:t>（自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日起调整为</w:t>
      </w:r>
      <w:r>
        <w:rPr>
          <w:rFonts w:ascii="Times New Roman" w:hAnsi="Times New Roman" w:cs="Times New Roman" w:eastAsia="Times New Roman" w:hint="default"/>
        </w:rPr>
        <w:t>13%</w:t>
      </w:r>
      <w:r>
        <w:rPr/>
        <w:t>）的税</w:t>
      </w:r>
      <w:r>
        <w:rPr>
          <w:spacing w:val="-57"/>
        </w:rPr>
        <w:t> </w:t>
      </w:r>
      <w:r>
        <w:rPr/>
        <w:t>率计缴增值税，其实际税负超过</w:t>
      </w:r>
      <w:r>
        <w:rPr>
          <w:rFonts w:ascii="Times New Roman" w:hAnsi="Times New Roman" w:cs="Times New Roman" w:eastAsia="Times New Roman" w:hint="default"/>
        </w:rPr>
        <w:t>3%</w:t>
      </w:r>
      <w:r>
        <w:rPr/>
        <w:t>部分经主管国家税务局审核后予以退税。</w:t>
      </w:r>
    </w:p>
    <w:p>
      <w:pPr>
        <w:pStyle w:val="Heading5"/>
        <w:spacing w:line="266" w:lineRule="auto" w:before="5"/>
        <w:ind w:right="1122" w:firstLine="422"/>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5"/>
        </w:rPr>
        <w:t> </w:t>
      </w:r>
      <w:r>
        <w:rPr>
          <w:spacing w:val="-7"/>
        </w:rPr>
        <w:t>根据财政部、国家税务总局《关于全面推开营业税改征增值税试点的通知》（财税〔</w:t>
      </w:r>
      <w:r>
        <w:rPr>
          <w:rFonts w:ascii="Times New Roman" w:hAnsi="Times New Roman" w:cs="Times New Roman" w:eastAsia="Times New Roman" w:hint="default"/>
          <w:spacing w:val="-7"/>
        </w:rPr>
        <w:t>2016</w:t>
      </w:r>
      <w:r>
        <w:rPr>
          <w:spacing w:val="-7"/>
        </w:rPr>
        <w:t>〕</w:t>
      </w:r>
      <w:r>
        <w:rPr>
          <w:rFonts w:ascii="Times New Roman" w:hAnsi="Times New Roman" w:cs="Times New Roman" w:eastAsia="Times New Roman" w:hint="default"/>
          <w:spacing w:val="-7"/>
        </w:rPr>
        <w:t>36</w:t>
      </w:r>
      <w:r>
        <w:rPr>
          <w:spacing w:val="-7"/>
        </w:rPr>
        <w:t>号），</w:t>
      </w:r>
      <w:r>
        <w:rPr>
          <w:w w:val="100"/>
        </w:rPr>
        <w:t> </w:t>
      </w:r>
      <w:r>
        <w:rPr>
          <w:spacing w:val="-2"/>
        </w:rPr>
        <w:t>提供技术转让、技术开发和与之相关的技术咨询、技术服务业务取得的收入，免缴增值税。本公司及控股</w:t>
      </w:r>
      <w:r>
        <w:rPr>
          <w:spacing w:val="-33"/>
        </w:rPr>
        <w:t> </w:t>
      </w:r>
      <w:r>
        <w:rPr>
          <w:spacing w:val="-33"/>
        </w:rPr>
      </w:r>
      <w:r>
        <w:rPr/>
        <w:t>子公司天津和仁公司对符合条件的技术开发收入免缴增值税。</w:t>
      </w:r>
    </w:p>
    <w:p>
      <w:pPr>
        <w:pStyle w:val="Heading5"/>
        <w:spacing w:line="240" w:lineRule="auto" w:before="14"/>
        <w:ind w:left="575" w:right="0"/>
        <w:jc w:val="left"/>
      </w:pPr>
      <w:r>
        <w:rPr>
          <w:rFonts w:ascii="Times New Roman" w:hAnsi="Times New Roman" w:cs="Times New Roman" w:eastAsia="Times New Roman" w:hint="default"/>
        </w:rPr>
        <w:t>3.  </w:t>
      </w:r>
      <w:r>
        <w:rPr>
          <w:rFonts w:ascii="Times New Roman" w:hAnsi="Times New Roman" w:cs="Times New Roman" w:eastAsia="Times New Roman" w:hint="default"/>
          <w:spacing w:val="14"/>
        </w:rPr>
        <w:t> </w:t>
      </w:r>
      <w:r>
        <w:rPr>
          <w:spacing w:val="-3"/>
        </w:rPr>
        <w:t>根据全国高新技术企业认定管理工作领导小组办公室《关于浙江省</w:t>
      </w:r>
      <w:r>
        <w:rPr>
          <w:rFonts w:ascii="Times New Roman" w:hAnsi="Times New Roman" w:cs="Times New Roman" w:eastAsia="Times New Roman" w:hint="default"/>
          <w:spacing w:val="-3"/>
        </w:rPr>
        <w:t>2018</w:t>
      </w:r>
      <w:r>
        <w:rPr>
          <w:spacing w:val="-3"/>
        </w:rPr>
        <w:t>年高新技术企业备案的复函》</w:t>
      </w:r>
    </w:p>
    <w:p>
      <w:pPr>
        <w:pStyle w:val="Heading5"/>
        <w:spacing w:line="256" w:lineRule="auto" w:before="21"/>
        <w:ind w:right="0"/>
        <w:jc w:val="left"/>
      </w:pPr>
      <w:r>
        <w:rPr/>
        <w:t>（国科火字〔</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70</w:t>
      </w:r>
      <w:r>
        <w:rPr/>
        <w:t>号），本公司被认定为高新技术企业，认定有效期为</w:t>
      </w:r>
      <w:r>
        <w:rPr>
          <w:rFonts w:ascii="Times New Roman" w:hAnsi="Times New Roman" w:cs="Times New Roman" w:eastAsia="Times New Roman" w:hint="default"/>
        </w:rPr>
        <w:t>3</w:t>
      </w:r>
      <w:r>
        <w:rPr/>
        <w:t>年（</w:t>
      </w:r>
      <w:r>
        <w:rPr>
          <w:rFonts w:ascii="Times New Roman" w:hAnsi="Times New Roman" w:cs="Times New Roman" w:eastAsia="Times New Roman" w:hint="default"/>
        </w:rPr>
        <w:t>2018</w:t>
      </w:r>
      <w:r>
        <w:rPr/>
        <w:t>年至</w:t>
      </w:r>
      <w:r>
        <w:rPr>
          <w:rFonts w:ascii="Times New Roman" w:hAnsi="Times New Roman" w:cs="Times New Roman" w:eastAsia="Times New Roman" w:hint="default"/>
        </w:rPr>
        <w:t>2020</w:t>
      </w:r>
      <w:r>
        <w:rPr/>
        <w:t>年）。本</w:t>
      </w:r>
      <w:r>
        <w:rPr>
          <w:spacing w:val="-29"/>
        </w:rPr>
        <w:t> </w:t>
      </w:r>
      <w:r>
        <w:rPr>
          <w:spacing w:val="-29"/>
        </w:rPr>
      </w:r>
      <w:r>
        <w:rPr/>
        <w:t>期按</w:t>
      </w:r>
      <w:r>
        <w:rPr>
          <w:rFonts w:ascii="Times New Roman" w:hAnsi="Times New Roman" w:cs="Times New Roman" w:eastAsia="Times New Roman" w:hint="default"/>
        </w:rPr>
        <w:t>15%</w:t>
      </w:r>
      <w:r>
        <w:rPr/>
        <w:t>的税率计缴企业所得税。</w:t>
      </w:r>
    </w:p>
    <w:p>
      <w:pPr>
        <w:pStyle w:val="Heading5"/>
        <w:spacing w:line="261" w:lineRule="auto" w:before="5"/>
        <w:ind w:right="1119" w:firstLine="422"/>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49"/>
        </w:rPr>
        <w:t> </w:t>
      </w:r>
      <w:r>
        <w:rPr>
          <w:spacing w:val="-3"/>
        </w:rPr>
        <w:t>根据财政部、国家税务总局、海关总署《关于鼓励软件产业和集成电路产业发展有关税收政策问题</w:t>
      </w:r>
      <w:r>
        <w:rPr>
          <w:w w:val="100"/>
        </w:rPr>
        <w:t> </w:t>
      </w:r>
      <w:r>
        <w:rPr>
          <w:spacing w:val="-2"/>
        </w:rPr>
        <w:t>的通知》（财税〔</w:t>
      </w:r>
      <w:r>
        <w:rPr>
          <w:rFonts w:ascii="Times New Roman" w:hAnsi="Times New Roman" w:cs="Times New Roman" w:eastAsia="Times New Roman" w:hint="default"/>
          <w:spacing w:val="-2"/>
        </w:rPr>
        <w:t>2000</w:t>
      </w:r>
      <w:r>
        <w:rPr>
          <w:spacing w:val="-2"/>
        </w:rPr>
        <w:t>〕</w:t>
      </w:r>
      <w:r>
        <w:rPr>
          <w:rFonts w:ascii="Times New Roman" w:hAnsi="Times New Roman" w:cs="Times New Roman" w:eastAsia="Times New Roman" w:hint="default"/>
          <w:spacing w:val="-2"/>
        </w:rPr>
        <w:t>25</w:t>
      </w:r>
      <w:r>
        <w:rPr>
          <w:spacing w:val="-2"/>
        </w:rPr>
        <w:t>号），对我国境内新办软件生产企业经认定后，自开始获利年度起，企业所得</w:t>
      </w:r>
      <w:r>
        <w:rPr>
          <w:spacing w:val="-27"/>
        </w:rPr>
        <w:t> </w:t>
      </w:r>
      <w:r>
        <w:rPr>
          <w:spacing w:val="-27"/>
        </w:rPr>
      </w:r>
      <w:r>
        <w:rPr>
          <w:spacing w:val="-2"/>
        </w:rPr>
        <w:t>税可享受两免三减半税收优惠。控股子公司天津和仁公司由天津市软件行业协会认证为软件企业，并取得</w:t>
      </w:r>
      <w:r>
        <w:rPr>
          <w:spacing w:val="-33"/>
        </w:rPr>
        <w:t> </w:t>
      </w:r>
      <w:r>
        <w:rPr>
          <w:spacing w:val="-33"/>
        </w:rPr>
      </w:r>
      <w:r>
        <w:rPr>
          <w:spacing w:val="-3"/>
        </w:rPr>
        <w:t>编号为津</w:t>
      </w:r>
      <w:r>
        <w:rPr>
          <w:rFonts w:ascii="Times New Roman" w:hAnsi="Times New Roman" w:cs="Times New Roman" w:eastAsia="Times New Roman" w:hint="default"/>
          <w:spacing w:val="-3"/>
        </w:rPr>
        <w:t>RQ-2016-0115</w:t>
      </w:r>
      <w:r>
        <w:rPr>
          <w:spacing w:val="-3"/>
        </w:rPr>
        <w:t>的《软件企业认定证书》，经天津市经济技术开发区国税局第一税务所同意</w:t>
      </w:r>
      <w:r>
        <w:rPr>
          <w:rFonts w:ascii="Times New Roman" w:hAnsi="Times New Roman" w:cs="Times New Roman" w:eastAsia="Times New Roman" w:hint="default"/>
          <w:spacing w:val="-3"/>
        </w:rPr>
        <w:t>,</w:t>
      </w:r>
      <w:r>
        <w:rPr>
          <w:spacing w:val="-3"/>
        </w:rPr>
        <w:t>天津和</w:t>
      </w:r>
      <w:r>
        <w:rPr>
          <w:spacing w:val="-30"/>
        </w:rPr>
        <w:t> </w:t>
      </w:r>
      <w:r>
        <w:rPr>
          <w:spacing w:val="-30"/>
        </w:rPr>
      </w:r>
      <w:r>
        <w:rPr/>
        <w:t>仁公司从</w:t>
      </w:r>
      <w:r>
        <w:rPr>
          <w:rFonts w:ascii="Times New Roman" w:hAnsi="Times New Roman" w:cs="Times New Roman" w:eastAsia="Times New Roman" w:hint="default"/>
        </w:rPr>
        <w:t>2016</w:t>
      </w:r>
      <w:r>
        <w:rPr/>
        <w:t>年度起享受两免三减半的税收优惠，本期享受减半征收企业所得税的税收优惠。</w:t>
      </w:r>
    </w:p>
    <w:p>
      <w:pPr>
        <w:pStyle w:val="BodyText"/>
        <w:spacing w:line="240" w:lineRule="auto" w:before="69"/>
        <w:ind w:right="0"/>
        <w:jc w:val="left"/>
      </w:pPr>
      <w:r>
        <w:rPr>
          <w:spacing w:val="-3"/>
        </w:rPr>
        <w:t>公司需遵守《深圳证券交易所行业信息披露指引第 </w:t>
      </w:r>
      <w:r>
        <w:rPr>
          <w:rFonts w:ascii="Times New Roman" w:hAnsi="Times New Roman" w:cs="Times New Roman" w:eastAsia="Times New Roman" w:hint="default"/>
        </w:rPr>
        <w:t>12  </w:t>
      </w:r>
      <w:r>
        <w:rPr>
          <w:rFonts w:ascii="Times New Roman" w:hAnsi="Times New Roman" w:cs="Times New Roman" w:eastAsia="Times New Roman" w:hint="default"/>
          <w:spacing w:val="11"/>
        </w:rPr>
        <w:t> </w:t>
      </w:r>
      <w:r>
        <w:rPr>
          <w:spacing w:val="-3"/>
        </w:rPr>
        <w:t>号</w:t>
      </w:r>
      <w:r>
        <w:rPr>
          <w:rFonts w:ascii="Times New Roman" w:hAnsi="Times New Roman" w:cs="Times New Roman" w:eastAsia="Times New Roman" w:hint="default"/>
          <w:spacing w:val="-3"/>
        </w:rPr>
        <w:t>——</w:t>
      </w:r>
      <w:r>
        <w:rPr>
          <w:spacing w:val="-3"/>
        </w:rPr>
        <w:t>上市公司从事软件与信息技术服务业务》的披露要求</w:t>
      </w:r>
    </w:p>
    <w:p>
      <w:pPr>
        <w:pStyle w:val="Heading5"/>
        <w:spacing w:line="259" w:lineRule="auto" w:before="75"/>
        <w:ind w:right="0" w:firstLine="86"/>
        <w:jc w:val="left"/>
      </w:pPr>
      <w:r>
        <w:rPr>
          <w:spacing w:val="-1"/>
        </w:rPr>
        <w:t>本公司、天津和仁公司自行开发研制的软件产品销售，其实际税负超过</w:t>
      </w:r>
      <w:r>
        <w:rPr>
          <w:rFonts w:ascii="Times New Roman" w:hAnsi="Times New Roman" w:cs="Times New Roman" w:eastAsia="Times New Roman" w:hint="default"/>
          <w:spacing w:val="-1"/>
        </w:rPr>
        <w:t>3%</w:t>
      </w:r>
      <w:r>
        <w:rPr>
          <w:spacing w:val="-1"/>
        </w:rPr>
        <w:t>部分经主管国家税务局审核后</w:t>
      </w:r>
      <w:r>
        <w:rPr>
          <w:w w:val="100"/>
        </w:rPr>
        <w:t> </w:t>
      </w:r>
      <w:r>
        <w:rPr/>
        <w:t>予以退税</w:t>
      </w:r>
      <w:r>
        <w:rPr>
          <w:rFonts w:ascii="Times New Roman" w:hAnsi="Times New Roman" w:cs="Times New Roman" w:eastAsia="Times New Roman" w:hint="default"/>
        </w:rPr>
        <w:t>,</w:t>
      </w:r>
      <w:r>
        <w:rPr/>
        <w:t>本期增值税退税金额为</w:t>
      </w:r>
      <w:r>
        <w:rPr>
          <w:rFonts w:ascii="Times New Roman" w:hAnsi="Times New Roman" w:cs="Times New Roman" w:eastAsia="Times New Roman" w:hint="default"/>
        </w:rPr>
        <w:t>14,516,093.74</w:t>
      </w:r>
      <w:r>
        <w:rPr/>
        <w:t>元</w:t>
      </w:r>
      <w:r>
        <w:rPr>
          <w:rFonts w:ascii="Times New Roman" w:hAnsi="Times New Roman" w:cs="Times New Roman" w:eastAsia="Times New Roman" w:hint="default"/>
        </w:rPr>
        <w:t>,</w:t>
      </w:r>
      <w:r>
        <w:rPr/>
        <w:t>对公司当期损益的影响金额为</w:t>
      </w:r>
      <w:r>
        <w:rPr>
          <w:rFonts w:ascii="Times New Roman" w:hAnsi="Times New Roman" w:cs="Times New Roman" w:eastAsia="Times New Roman" w:hint="default"/>
        </w:rPr>
        <w:t>12,352,433.14</w:t>
      </w:r>
      <w:r>
        <w:rPr/>
        <w:t>元。</w:t>
      </w:r>
    </w:p>
    <w:p>
      <w:pPr>
        <w:pStyle w:val="Heading5"/>
        <w:spacing w:line="256" w:lineRule="auto" w:before="2"/>
        <w:ind w:right="1127" w:firstLine="340"/>
        <w:jc w:val="both"/>
      </w:pPr>
      <w:r>
        <w:rPr>
          <w:spacing w:val="-7"/>
        </w:rPr>
        <w:t>本公司为高新技术企业，企业所得税率为</w:t>
      </w:r>
      <w:r>
        <w:rPr>
          <w:rFonts w:ascii="Times New Roman" w:hAnsi="Times New Roman" w:cs="Times New Roman" w:eastAsia="Times New Roman" w:hint="default"/>
          <w:spacing w:val="-7"/>
        </w:rPr>
        <w:t>15%</w:t>
      </w:r>
      <w:r>
        <w:rPr>
          <w:spacing w:val="-7"/>
        </w:rPr>
        <w:t>；天津和仁公司为软件企业，本期企业所得税率为</w:t>
      </w:r>
      <w:r>
        <w:rPr>
          <w:rFonts w:ascii="Times New Roman" w:hAnsi="Times New Roman" w:cs="Times New Roman" w:eastAsia="Times New Roman" w:hint="default"/>
          <w:spacing w:val="-7"/>
        </w:rPr>
        <w:t>12.5%</w:t>
      </w:r>
      <w:r>
        <w:rPr>
          <w:spacing w:val="-7"/>
        </w:rPr>
        <w:t>；</w:t>
      </w:r>
      <w:r>
        <w:rPr>
          <w:w w:val="100"/>
        </w:rPr>
        <w:t> </w:t>
      </w:r>
      <w:r>
        <w:rPr/>
        <w:t>本期所得税优惠对损益的影响金额为</w:t>
      </w:r>
      <w:r>
        <w:rPr>
          <w:rFonts w:ascii="Times New Roman" w:hAnsi="Times New Roman" w:cs="Times New Roman" w:eastAsia="Times New Roman" w:hint="default"/>
        </w:rPr>
        <w:t>2,710,391.46</w:t>
      </w:r>
      <w:r>
        <w:rPr/>
        <w:t>元。</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5"/>
          <w:szCs w:val="25"/>
        </w:rPr>
      </w:pPr>
    </w:p>
    <w:p>
      <w:pPr>
        <w:pStyle w:val="Heading4"/>
        <w:spacing w:line="240" w:lineRule="auto"/>
        <w:ind w:right="0"/>
        <w:jc w:val="left"/>
        <w:rPr>
          <w:b w:val="0"/>
          <w:bCs w:val="0"/>
        </w:rPr>
      </w:pPr>
      <w:bookmarkStart w:name="3、其他" w:id="218"/>
      <w:bookmarkEnd w:id="218"/>
      <w:r>
        <w:rPr>
          <w:b w:val="0"/>
          <w:bCs w:val="0"/>
        </w:rPr>
      </w:r>
      <w:r>
        <w:rPr>
          <w:rFonts w:ascii="Times New Roman" w:hAnsi="Times New Roman" w:cs="Times New Roman" w:eastAsia="Times New Roman" w:hint="default"/>
        </w:rPr>
        <w:t>3</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9"/>
        <w:rPr>
          <w:rFonts w:ascii="宋体" w:hAnsi="宋体" w:cs="宋体" w:eastAsia="宋体" w:hint="default"/>
          <w:sz w:val="24"/>
          <w:szCs w:val="24"/>
        </w:rPr>
      </w:pPr>
    </w:p>
    <w:p>
      <w:pPr>
        <w:pStyle w:val="Heading2"/>
        <w:spacing w:line="240" w:lineRule="auto"/>
        <w:ind w:right="0"/>
        <w:jc w:val="left"/>
        <w:rPr>
          <w:b w:val="0"/>
          <w:bCs w:val="0"/>
        </w:rPr>
      </w:pPr>
      <w:bookmarkStart w:name="七、合并财务报表项目注释" w:id="219"/>
      <w:bookmarkEnd w:id="219"/>
      <w:r>
        <w:rPr>
          <w:b w:val="0"/>
          <w:bCs w:val="0"/>
        </w:rPr>
      </w: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货币资金" w:id="220"/>
      <w:bookmarkEnd w:id="220"/>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t>单位：</w:t>
      </w:r>
      <w:r>
        <w:rPr>
          <w:spacing w:val="5"/>
        </w:rPr>
        <w:t> </w:t>
      </w:r>
      <w:r>
        <w:rPr/>
        <w:t>元</w:t>
      </w:r>
    </w:p>
    <w:p>
      <w:pPr>
        <w:spacing w:after="0" w:line="240" w:lineRule="auto"/>
        <w:jc w:val="right"/>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4,337.78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11,863.35</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285,762,330.70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355,940,924.03</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13,862,919.18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9,238,542.38</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299,629,587.66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365,191,329.76</w:t>
            </w:r>
          </w:p>
        </w:tc>
      </w:tr>
    </w:tbl>
    <w:p>
      <w:pPr>
        <w:pStyle w:val="BodyText"/>
        <w:spacing w:line="240" w:lineRule="auto" w:before="53"/>
        <w:ind w:right="0"/>
        <w:jc w:val="left"/>
      </w:pPr>
      <w:r>
        <w:rPr/>
        <w:t>其他说明</w:t>
      </w:r>
    </w:p>
    <w:p>
      <w:pPr>
        <w:pStyle w:val="Heading5"/>
        <w:spacing w:line="256" w:lineRule="auto" w:before="84"/>
        <w:ind w:right="0" w:firstLine="422"/>
        <w:jc w:val="left"/>
      </w:pPr>
      <w:r>
        <w:rPr/>
        <w:t>其他货币资金中有票据保证金存款</w:t>
      </w:r>
      <w:r>
        <w:rPr>
          <w:rFonts w:ascii="Times New Roman" w:hAnsi="Times New Roman" w:cs="Times New Roman" w:eastAsia="Times New Roman" w:hint="default"/>
        </w:rPr>
        <w:t>3,136,785.72</w:t>
      </w:r>
      <w:r>
        <w:rPr/>
        <w:t>元、保函保证金存款</w:t>
      </w:r>
      <w:r>
        <w:rPr>
          <w:rFonts w:ascii="Times New Roman" w:hAnsi="Times New Roman" w:cs="Times New Roman" w:eastAsia="Times New Roman" w:hint="default"/>
        </w:rPr>
        <w:t>4,596,927.89</w:t>
      </w:r>
      <w:r>
        <w:rPr/>
        <w:t>元、农民工工资保证</w:t>
      </w:r>
      <w:r>
        <w:rPr>
          <w:w w:val="100"/>
        </w:rPr>
        <w:t> </w:t>
      </w:r>
      <w:r>
        <w:rPr/>
        <w:t>金专户存款</w:t>
      </w:r>
      <w:r>
        <w:rPr>
          <w:rFonts w:ascii="Times New Roman" w:hAnsi="Times New Roman" w:cs="Times New Roman" w:eastAsia="Times New Roman" w:hint="default"/>
        </w:rPr>
        <w:t>5,177,620.49</w:t>
      </w:r>
      <w:r>
        <w:rPr/>
        <w:t>元，均使用受限。</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5"/>
          <w:szCs w:val="25"/>
        </w:rPr>
      </w:pPr>
    </w:p>
    <w:p>
      <w:pPr>
        <w:pStyle w:val="Heading4"/>
        <w:spacing w:line="240" w:lineRule="auto"/>
        <w:ind w:right="0"/>
        <w:jc w:val="left"/>
        <w:rPr>
          <w:b w:val="0"/>
          <w:bCs w:val="0"/>
        </w:rPr>
      </w:pPr>
      <w:bookmarkStart w:name="2、交易性金融资产" w:id="221"/>
      <w:bookmarkEnd w:id="221"/>
      <w:r>
        <w:rPr>
          <w:b w:val="0"/>
          <w:bCs w:val="0"/>
        </w:rPr>
      </w:r>
      <w:r>
        <w:rPr>
          <w:rFonts w:ascii="Times New Roman" w:hAnsi="Times New Roman" w:cs="Times New Roman" w:eastAsia="Times New Roman" w:hint="default"/>
        </w:rPr>
        <w:t>2</w:t>
      </w:r>
      <w:r>
        <w:rPr/>
        <w:t>、交易性金融资产</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79"/>
        <w:gridCol w:w="3203"/>
        <w:gridCol w:w="3193"/>
      </w:tblGrid>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8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以公允价值计量且其变动计入当期损益</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的金融资产</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19,000,000.00</w:t>
            </w:r>
          </w:p>
        </w:tc>
      </w:tr>
      <w:tr>
        <w:trPr>
          <w:trHeight w:val="399"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19,000,000.00</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19,000,000.00</w:t>
            </w:r>
          </w:p>
        </w:tc>
      </w:tr>
    </w:tbl>
    <w:p>
      <w:pPr>
        <w:pStyle w:val="BodyText"/>
        <w:spacing w:line="240" w:lineRule="auto" w:before="53"/>
        <w:ind w:right="0"/>
        <w:jc w:val="left"/>
      </w:pPr>
      <w:r>
        <w:rPr/>
        <w:t>其他说明：</w:t>
      </w:r>
    </w:p>
    <w:p>
      <w:pPr>
        <w:pStyle w:val="Heading5"/>
        <w:spacing w:line="240" w:lineRule="auto" w:before="85"/>
        <w:ind w:left="575" w:right="0"/>
        <w:jc w:val="left"/>
      </w:pPr>
      <w:r>
        <w:rPr/>
        <w:t>期初数与上年年末数（</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日）差异详见第十二节财务报告、五、</w:t>
      </w:r>
      <w:r>
        <w:rPr>
          <w:rFonts w:ascii="Times New Roman" w:hAnsi="Times New Roman" w:cs="Times New Roman" w:eastAsia="Times New Roman" w:hint="default"/>
        </w:rPr>
        <w:t>27</w:t>
      </w:r>
      <w:r>
        <w:rPr/>
        <w:t>之说明。</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bookmarkStart w:name="3、应收票据" w:id="222"/>
      <w:bookmarkEnd w:id="222"/>
      <w:r>
        <w:rPr>
          <w:b w:val="0"/>
          <w:bCs w:val="0"/>
        </w:rPr>
      </w:r>
      <w:r>
        <w:rPr>
          <w:rFonts w:ascii="Times New Roman" w:hAnsi="Times New Roman" w:cs="Times New Roman" w:eastAsia="Times New Roman" w:hint="default"/>
        </w:rPr>
        <w:t>3</w:t>
      </w:r>
      <w:r>
        <w:rPr/>
        <w:t>、应收票据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应收票据分类列示" w:id="223"/>
      <w:bookmarkEnd w:id="223"/>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6,356,225.00</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471,420.00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1,682,935.00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671,420.00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8,039,160.00</w:t>
            </w:r>
          </w:p>
        </w:tc>
      </w:tr>
    </w:tbl>
    <w:p>
      <w:pPr>
        <w:pStyle w:val="BodyText"/>
        <w:spacing w:line="240" w:lineRule="auto" w:before="53"/>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37"/>
        <w:gridCol w:w="764"/>
        <w:gridCol w:w="758"/>
        <w:gridCol w:w="764"/>
        <w:gridCol w:w="764"/>
        <w:gridCol w:w="787"/>
        <w:gridCol w:w="778"/>
        <w:gridCol w:w="797"/>
        <w:gridCol w:w="932"/>
        <w:gridCol w:w="797"/>
        <w:gridCol w:w="792"/>
      </w:tblGrid>
      <w:tr>
        <w:trPr>
          <w:trHeight w:val="401" w:hRule="exact"/>
        </w:trPr>
        <w:tc>
          <w:tcPr>
            <w:tcW w:w="16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1637" w:type="dxa"/>
            <w:vMerge/>
            <w:tcBorders>
              <w:left w:val="single" w:sz="4" w:space="0" w:color="000000"/>
              <w:right w:val="single" w:sz="4" w:space="0" w:color="000000"/>
            </w:tcBorders>
            <w:shd w:val="clear" w:color="auto" w:fill="D2D2D2"/>
          </w:tcPr>
          <w:p>
            <w:pPr/>
          </w:p>
        </w:tc>
        <w:tc>
          <w:tcPr>
            <w:tcW w:w="15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7"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87" w:right="103" w:hanging="183"/>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7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792"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37"/>
        <w:gridCol w:w="764"/>
        <w:gridCol w:w="758"/>
        <w:gridCol w:w="764"/>
        <w:gridCol w:w="764"/>
        <w:gridCol w:w="787"/>
        <w:gridCol w:w="778"/>
        <w:gridCol w:w="797"/>
        <w:gridCol w:w="932"/>
        <w:gridCol w:w="797"/>
        <w:gridCol w:w="792"/>
      </w:tblGrid>
      <w:tr>
        <w:trPr>
          <w:trHeight w:val="403"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1"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56"/>
              <w:jc w:val="left"/>
              <w:rPr>
                <w:rFonts w:ascii="宋体" w:hAnsi="宋体" w:cs="宋体" w:eastAsia="宋体" w:hint="default"/>
                <w:sz w:val="18"/>
                <w:szCs w:val="18"/>
              </w:rPr>
            </w:pPr>
            <w:r>
              <w:rPr>
                <w:rFonts w:ascii="宋体" w:hAnsi="宋体" w:cs="宋体" w:eastAsia="宋体" w:hint="default"/>
                <w:spacing w:val="-2"/>
                <w:sz w:val="18"/>
                <w:szCs w:val="18"/>
              </w:rPr>
              <w:t>按组合计提坏账准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备的应收票据</w:t>
            </w:r>
          </w:p>
        </w:tc>
        <w:tc>
          <w:tcPr>
            <w:tcW w:w="7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686,000.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100.00%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14,580.0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671,420.0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8,441,725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402,565.00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4.77%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8,039,160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r>
      <w:tr>
        <w:trPr>
          <w:trHeight w:val="403"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06"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200,000.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56" w:right="0"/>
              <w:jc w:val="center"/>
              <w:rPr>
                <w:rFonts w:ascii="Times New Roman" w:hAnsi="Times New Roman" w:cs="Times New Roman" w:eastAsia="Times New Roman" w:hint="default"/>
                <w:sz w:val="18"/>
                <w:szCs w:val="18"/>
              </w:rPr>
            </w:pPr>
            <w:r>
              <w:rPr>
                <w:rFonts w:ascii="Times New Roman"/>
                <w:sz w:val="18"/>
              </w:rPr>
              <w:t>29.15%</w:t>
            </w:r>
          </w:p>
        </w:tc>
        <w:tc>
          <w:tcPr>
            <w:tcW w:w="764"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6,356,225</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75.30%</w:t>
            </w:r>
          </w:p>
        </w:tc>
        <w:tc>
          <w:tcPr>
            <w:tcW w:w="93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6,356,225</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.00</w:t>
            </w:r>
          </w:p>
        </w:tc>
      </w:tr>
      <w:tr>
        <w:trPr>
          <w:trHeight w:val="716"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486,000.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56" w:right="0"/>
              <w:jc w:val="center"/>
              <w:rPr>
                <w:rFonts w:ascii="Times New Roman" w:hAnsi="Times New Roman" w:cs="Times New Roman" w:eastAsia="Times New Roman" w:hint="default"/>
                <w:sz w:val="18"/>
                <w:szCs w:val="18"/>
              </w:rPr>
            </w:pPr>
            <w:r>
              <w:rPr>
                <w:rFonts w:ascii="Times New Roman"/>
                <w:sz w:val="18"/>
              </w:rPr>
              <w:t>70.85%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14,580.0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471,420.0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2,085,500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24.70%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402,565.00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19.30%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1,682,935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r>
      <w:tr>
        <w:trPr>
          <w:trHeight w:val="715"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686,000.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100.00%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14,580.0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671,420.0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8,441,725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402,565.00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4.77%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8,039,160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r>
    </w:tbl>
    <w:p>
      <w:pPr>
        <w:pStyle w:val="BodyText"/>
        <w:spacing w:line="240" w:lineRule="auto" w:before="53"/>
        <w:ind w:right="0"/>
        <w:jc w:val="left"/>
      </w:pPr>
      <w:r>
        <w:rPr/>
        <w:t>按单项计提坏账准备：</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399"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53"/>
        <w:ind w:right="0"/>
        <w:jc w:val="left"/>
      </w:pPr>
      <w:r>
        <w:rPr/>
        <w:t>按组合计提坏账准备：</w:t>
      </w:r>
    </w:p>
    <w:p>
      <w:pPr>
        <w:pStyle w:val="BodyText"/>
        <w:spacing w:line="240" w:lineRule="auto" w:before="119"/>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4"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银行承兑汇票组合</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200,000.00</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商业承兑汇票组合</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486,000.00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14,580.00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3.00%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686,000.00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14,580.00</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741" w:footer="979" w:top="1060" w:bottom="1160" w:left="980" w:right="0"/>
        </w:sectPr>
      </w:pPr>
    </w:p>
    <w:p>
      <w:pPr>
        <w:pStyle w:val="BodyText"/>
        <w:spacing w:line="350" w:lineRule="auto" w:before="53"/>
        <w:ind w:right="0"/>
        <w:jc w:val="left"/>
      </w:pPr>
      <w:r>
        <w:rPr>
          <w:spacing w:val="-3"/>
        </w:rPr>
        <w:t>确定该组合依据的说明：</w:t>
      </w:r>
      <w:r>
        <w:rPr>
          <w:spacing w:val="-56"/>
        </w:rPr>
        <w:t> </w:t>
      </w:r>
      <w:r>
        <w:rPr>
          <w:spacing w:val="-56"/>
        </w:rPr>
      </w:r>
      <w:r>
        <w:rPr>
          <w:spacing w:val="-3"/>
        </w:rPr>
        <w:t>详见第十二节财务报告、五、</w:t>
      </w:r>
      <w:r>
        <w:rPr>
          <w:rFonts w:ascii="Times New Roman" w:hAnsi="Times New Roman" w:cs="Times New Roman" w:eastAsia="Times New Roman" w:hint="default"/>
          <w:spacing w:val="-3"/>
        </w:rPr>
        <w:t>9</w:t>
      </w:r>
      <w:r>
        <w:rPr>
          <w:spacing w:val="-3"/>
        </w:rPr>
        <w:t>之说明</w:t>
      </w:r>
      <w:r>
        <w:rPr>
          <w:spacing w:val="-35"/>
        </w:rPr>
        <w:t> </w:t>
      </w:r>
      <w:r>
        <w:rPr>
          <w:spacing w:val="-35"/>
        </w:rPr>
      </w:r>
      <w:r>
        <w:rPr/>
        <w:t>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3131" w:space="5700"/>
            <w:col w:w="2099"/>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3"/>
      </w:tblGrid>
      <w:tr>
        <w:trPr>
          <w:trHeight w:val="399"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62" w:lineRule="auto" w:before="53"/>
        <w:ind w:right="0"/>
        <w:jc w:val="left"/>
      </w:pPr>
      <w:r>
        <w:rPr>
          <w:spacing w:val="-3"/>
        </w:rPr>
        <w:t>确定该组合依据的说明：</w:t>
      </w:r>
      <w:r>
        <w:rPr>
          <w:spacing w:val="-56"/>
        </w:rPr>
        <w:t> </w:t>
      </w:r>
      <w:r>
        <w:rPr>
          <w:spacing w:val="-56"/>
        </w:rPr>
      </w:r>
      <w:r>
        <w:rPr>
          <w:spacing w:val="-3"/>
        </w:rPr>
        <w:t>如是按照预期信用损失一般模型计提应收票据坏账准备，请参照其他应收款的披露方式披露坏账准备的相关信息：</w:t>
      </w:r>
    </w:p>
    <w:p>
      <w:pPr>
        <w:pStyle w:val="Heading5"/>
        <w:spacing w:line="292" w:lineRule="auto" w:before="23"/>
        <w:ind w:right="0"/>
        <w:jc w:val="left"/>
      </w:pPr>
      <w:r>
        <w:rPr>
          <w:rFonts w:ascii="Times New Roman" w:hAnsi="Times New Roman" w:cs="Times New Roman" w:eastAsia="Times New Roman" w:hint="default"/>
          <w:sz w:val="18"/>
          <w:szCs w:val="18"/>
        </w:rPr>
        <w:t>√ </w:t>
      </w:r>
      <w:r>
        <w:rPr>
          <w:spacing w:val="-3"/>
          <w:sz w:val="18"/>
          <w:szCs w:val="18"/>
        </w:rPr>
        <w:t>适用 </w:t>
      </w:r>
      <w:r>
        <w:rPr>
          <w:rFonts w:ascii="Times New Roman" w:hAnsi="Times New Roman" w:cs="Times New Roman" w:eastAsia="Times New Roman" w:hint="default"/>
          <w:sz w:val="18"/>
          <w:szCs w:val="18"/>
        </w:rPr>
        <w:t>□ </w:t>
      </w:r>
      <w:r>
        <w:rPr>
          <w:sz w:val="18"/>
          <w:szCs w:val="18"/>
        </w:rPr>
        <w:t>不适用</w:t>
      </w:r>
      <w:r>
        <w:rPr>
          <w:spacing w:val="-78"/>
          <w:sz w:val="18"/>
          <w:szCs w:val="18"/>
        </w:rPr>
        <w:t> </w:t>
      </w:r>
      <w:r>
        <w:rPr>
          <w:spacing w:val="-78"/>
          <w:sz w:val="18"/>
          <w:szCs w:val="18"/>
        </w:rPr>
      </w:r>
      <w:r>
        <w:rPr>
          <w:spacing w:val="-2"/>
        </w:rPr>
        <w:t>参考历史信用损失经验，结合当前状况以及对未来经济状况的预测，通过违约风险敞口和整个存续期预期</w:t>
      </w:r>
      <w:r>
        <w:rPr>
          <w:spacing w:val="-33"/>
        </w:rPr>
        <w:t> </w:t>
      </w:r>
      <w:r>
        <w:rPr>
          <w:spacing w:val="-33"/>
        </w:rPr>
      </w:r>
      <w:r>
        <w:rPr>
          <w:spacing w:val="-2"/>
        </w:rPr>
        <w:t>信用损失率，计算预期信用损失。本公司认为对于商业承兑汇票，相同账龄的应收商业承兑票据具有类似</w:t>
      </w:r>
    </w:p>
    <w:p>
      <w:pPr>
        <w:pStyle w:val="Heading5"/>
        <w:spacing w:line="266" w:lineRule="exact"/>
        <w:ind w:right="0"/>
        <w:jc w:val="left"/>
      </w:pPr>
      <w:r>
        <w:rPr/>
        <w:t>的预期损失率。</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Heading4"/>
        <w:spacing w:line="240" w:lineRule="auto"/>
        <w:ind w:right="0"/>
        <w:jc w:val="left"/>
        <w:rPr>
          <w:b w:val="0"/>
          <w:bCs w:val="0"/>
        </w:rPr>
      </w:pPr>
      <w:bookmarkStart w:name="（2）本期计提、收回或转回的坏账准备情况" w:id="224"/>
      <w:bookmarkEnd w:id="22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spacing w:val="-3"/>
        </w:rPr>
        <w:t>本期计提坏账准备情况：</w:t>
      </w:r>
    </w:p>
    <w:p>
      <w:pPr>
        <w:spacing w:after="0" w:line="240" w:lineRule="auto"/>
        <w:jc w:val="left"/>
        <w:sectPr>
          <w:type w:val="continuous"/>
          <w:pgSz w:w="11910" w:h="16840"/>
          <w:pgMar w:top="1060" w:bottom="1160" w:left="980" w:right="0"/>
        </w:sectPr>
      </w:pPr>
    </w:p>
    <w:p>
      <w:pPr>
        <w:spacing w:line="240" w:lineRule="auto" w:before="6"/>
        <w:rPr>
          <w:rFonts w:ascii="宋体" w:hAnsi="宋体" w:cs="宋体" w:eastAsia="宋体" w:hint="default"/>
          <w:sz w:val="26"/>
          <w:szCs w:val="26"/>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402,565.00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65" w:right="0"/>
              <w:jc w:val="left"/>
              <w:rPr>
                <w:rFonts w:ascii="Times New Roman" w:hAnsi="Times New Roman" w:cs="Times New Roman" w:eastAsia="Times New Roman" w:hint="default"/>
                <w:sz w:val="18"/>
                <w:szCs w:val="18"/>
              </w:rPr>
            </w:pPr>
            <w:r>
              <w:rPr>
                <w:rFonts w:ascii="Times New Roman"/>
                <w:sz w:val="18"/>
              </w:rPr>
              <w:t>-387,985.00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14,580.00</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402,565.00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65" w:right="0"/>
              <w:jc w:val="left"/>
              <w:rPr>
                <w:rFonts w:ascii="Times New Roman" w:hAnsi="Times New Roman" w:cs="Times New Roman" w:eastAsia="Times New Roman" w:hint="default"/>
                <w:sz w:val="18"/>
                <w:szCs w:val="18"/>
              </w:rPr>
            </w:pPr>
            <w:r>
              <w:rPr>
                <w:rFonts w:ascii="Times New Roman"/>
                <w:sz w:val="18"/>
              </w:rPr>
              <w:t>-387,985.00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14,580.00</w:t>
            </w:r>
          </w:p>
        </w:tc>
      </w:tr>
    </w:tbl>
    <w:p>
      <w:pPr>
        <w:pStyle w:val="BodyText"/>
        <w:spacing w:line="240" w:lineRule="auto" w:before="53"/>
        <w:ind w:right="0"/>
        <w:jc w:val="left"/>
      </w:pPr>
      <w:r>
        <w:rPr>
          <w:spacing w:val="-3"/>
        </w:rPr>
        <w:t>其中本期坏账准备收回或转回金额重要的：</w:t>
      </w:r>
    </w:p>
    <w:p>
      <w:pPr>
        <w:pStyle w:val="BodyText"/>
        <w:spacing w:line="240" w:lineRule="auto" w:before="119"/>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bookmarkStart w:name="（3）期末公司已质押的应收票据" w:id="225"/>
      <w:bookmarkEnd w:id="225"/>
      <w:r>
        <w:rPr>
          <w:b w:val="0"/>
          <w:bCs w:val="0"/>
        </w:rPr>
      </w:r>
      <w:r>
        <w:rPr/>
        <w:t>（</w:t>
      </w:r>
      <w:r>
        <w:rPr>
          <w:rFonts w:ascii="Times New Roman" w:hAnsi="Times New Roman" w:cs="Times New Roman" w:eastAsia="Times New Roman" w:hint="default"/>
        </w:rPr>
        <w:t>3</w:t>
      </w:r>
      <w:r>
        <w:rPr/>
        <w:t>）期末公司已质押的应收票据</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pacing w:val="-3"/>
                <w:sz w:val="18"/>
                <w:szCs w:val="18"/>
              </w:rPr>
              <w:t>期末已质押金额</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9"/>
              <w:ind w:right="12"/>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4）期末公司已背书或贴现且在资产负债表日尚未到期的应收票据" w:id="226"/>
      <w:bookmarkEnd w:id="226"/>
      <w:r>
        <w:rPr>
          <w:b w:val="0"/>
          <w:bCs w:val="0"/>
        </w:rPr>
      </w:r>
      <w:r>
        <w:rPr/>
        <w:t>（</w:t>
      </w:r>
      <w:r>
        <w:rPr>
          <w:rFonts w:ascii="Times New Roman" w:hAnsi="Times New Roman" w:cs="Times New Roman" w:eastAsia="Times New Roman" w:hint="default"/>
        </w:rPr>
        <w:t>4</w:t>
      </w:r>
      <w:r>
        <w:rPr/>
        <w:t>）期末公司已背书或贴现且在资产负债表日尚未到期的应收票据</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78"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期末未终止确认金额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100,000.00</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5）期末公司因出票人未履约而将其转应收账款的票据" w:id="227"/>
      <w:bookmarkEnd w:id="227"/>
      <w:r>
        <w:rPr>
          <w:b w:val="0"/>
          <w:bCs w:val="0"/>
        </w:rPr>
      </w:r>
      <w:r>
        <w:rPr/>
        <w:t>（</w:t>
      </w:r>
      <w:r>
        <w:rPr>
          <w:rFonts w:ascii="Times New Roman" w:hAnsi="Times New Roman" w:cs="Times New Roman" w:eastAsia="Times New Roman" w:hint="default"/>
        </w:rPr>
        <w:t>5</w:t>
      </w:r>
      <w:r>
        <w:rPr/>
        <w:t>）期末公司因出票人未履约而将其转应收账款的票据</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404"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591" w:right="0"/>
              <w:jc w:val="left"/>
              <w:rPr>
                <w:rFonts w:ascii="宋体" w:hAnsi="宋体" w:cs="宋体" w:eastAsia="宋体" w:hint="default"/>
                <w:sz w:val="18"/>
                <w:szCs w:val="18"/>
              </w:rPr>
            </w:pPr>
            <w:r>
              <w:rPr>
                <w:rFonts w:ascii="宋体" w:hAnsi="宋体" w:cs="宋体" w:eastAsia="宋体" w:hint="default"/>
                <w:spacing w:val="-3"/>
                <w:sz w:val="18"/>
                <w:szCs w:val="18"/>
              </w:rPr>
              <w:t>期末转应收账款金额</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52" w:lineRule="auto" w:before="53"/>
        <w:ind w:right="10031"/>
        <w:jc w:val="left"/>
      </w:pPr>
      <w:r>
        <w:rPr/>
        <w:t>其他说明</w:t>
      </w:r>
      <w:r>
        <w:rPr>
          <w:spacing w:val="-86"/>
        </w:rPr>
        <w:t> </w:t>
      </w:r>
      <w:r>
        <w:rPr>
          <w:spacing w:val="-86"/>
        </w:rPr>
      </w:r>
      <w:r>
        <w:rPr/>
        <w:t>无</w:t>
      </w:r>
    </w:p>
    <w:p>
      <w:pPr>
        <w:spacing w:line="240" w:lineRule="auto" w:before="7"/>
        <w:rPr>
          <w:rFonts w:ascii="宋体" w:hAnsi="宋体" w:cs="宋体" w:eastAsia="宋体" w:hint="default"/>
          <w:sz w:val="20"/>
          <w:szCs w:val="20"/>
        </w:rPr>
      </w:pPr>
    </w:p>
    <w:p>
      <w:pPr>
        <w:pStyle w:val="Heading4"/>
        <w:spacing w:line="240" w:lineRule="auto"/>
        <w:ind w:right="0"/>
        <w:jc w:val="left"/>
        <w:rPr>
          <w:b w:val="0"/>
          <w:bCs w:val="0"/>
        </w:rPr>
      </w:pPr>
      <w:bookmarkStart w:name="（6）本期实际核销的应收票据情况" w:id="228"/>
      <w:bookmarkEnd w:id="228"/>
      <w:r>
        <w:rPr>
          <w:b w:val="0"/>
          <w:bCs w:val="0"/>
        </w:rPr>
      </w:r>
      <w:r>
        <w:rPr/>
        <w:t>（</w:t>
      </w:r>
      <w:r>
        <w:rPr>
          <w:rFonts w:ascii="Times New Roman" w:hAnsi="Times New Roman" w:cs="Times New Roman" w:eastAsia="Times New Roman" w:hint="default"/>
        </w:rPr>
        <w:t>6</w:t>
      </w:r>
      <w:r>
        <w:rPr/>
        <w:t>）本期实际核销的应收票据情况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8"/>
        <w:gridCol w:w="4782"/>
      </w:tblGrid>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3"/>
        <w:ind w:right="0"/>
        <w:jc w:val="left"/>
      </w:pPr>
      <w:r>
        <w:rPr>
          <w:spacing w:val="-3"/>
        </w:rPr>
        <w:t>其中重要的应收票据核销情况：</w:t>
      </w:r>
    </w:p>
    <w:p>
      <w:pPr>
        <w:pStyle w:val="BodyText"/>
        <w:spacing w:line="240" w:lineRule="auto" w:before="114"/>
        <w:ind w:left="0" w:right="1122"/>
        <w:jc w:val="right"/>
      </w:pPr>
      <w:r>
        <w:rPr/>
        <w:t>单位：</w:t>
      </w:r>
      <w:r>
        <w:rPr>
          <w:spacing w:val="5"/>
        </w:rPr>
        <w:t> </w:t>
      </w:r>
      <w:r>
        <w:rPr/>
        <w:t>元</w:t>
      </w:r>
    </w:p>
    <w:p>
      <w:pPr>
        <w:spacing w:after="0" w:line="240" w:lineRule="auto"/>
        <w:jc w:val="right"/>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715"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应收票据性质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pacing w:val="-3"/>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23" w:right="65" w:hanging="452"/>
              <w:jc w:val="left"/>
              <w:rPr>
                <w:rFonts w:ascii="宋体" w:hAnsi="宋体" w:cs="宋体" w:eastAsia="宋体" w:hint="default"/>
                <w:sz w:val="18"/>
                <w:szCs w:val="18"/>
              </w:rPr>
            </w:pPr>
            <w:r>
              <w:rPr>
                <w:rFonts w:ascii="宋体" w:hAnsi="宋体" w:cs="宋体" w:eastAsia="宋体" w:hint="default"/>
                <w:spacing w:val="-2"/>
                <w:sz w:val="18"/>
                <w:szCs w:val="18"/>
              </w:rPr>
              <w:t>款项是否由关联交</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易产生</w:t>
            </w:r>
          </w:p>
        </w:tc>
      </w:tr>
    </w:tbl>
    <w:p>
      <w:pPr>
        <w:pStyle w:val="BodyText"/>
        <w:spacing w:line="352" w:lineRule="auto" w:before="53"/>
        <w:ind w:right="9018"/>
        <w:jc w:val="left"/>
      </w:pPr>
      <w:r>
        <w:rPr>
          <w:spacing w:val="-3"/>
        </w:rPr>
        <w:t>应收票据核销说明：</w:t>
      </w:r>
      <w:r>
        <w:rPr>
          <w:spacing w:val="-62"/>
        </w:rPr>
        <w:t> </w:t>
      </w:r>
      <w:r>
        <w:rPr>
          <w:spacing w:val="-62"/>
        </w:rPr>
      </w:r>
      <w:r>
        <w:rPr/>
        <w:t>无</w:t>
      </w:r>
    </w:p>
    <w:p>
      <w:pPr>
        <w:spacing w:line="240" w:lineRule="auto" w:before="7"/>
        <w:rPr>
          <w:rFonts w:ascii="宋体" w:hAnsi="宋体" w:cs="宋体" w:eastAsia="宋体" w:hint="default"/>
          <w:sz w:val="20"/>
          <w:szCs w:val="20"/>
        </w:rPr>
      </w:pPr>
    </w:p>
    <w:p>
      <w:pPr>
        <w:pStyle w:val="Heading4"/>
        <w:spacing w:line="240" w:lineRule="auto"/>
        <w:ind w:right="0"/>
        <w:jc w:val="left"/>
        <w:rPr>
          <w:b w:val="0"/>
          <w:bCs w:val="0"/>
        </w:rPr>
      </w:pPr>
      <w:bookmarkStart w:name="4、应收账款" w:id="229"/>
      <w:bookmarkEnd w:id="229"/>
      <w:r>
        <w:rPr>
          <w:b w:val="0"/>
          <w:bCs w:val="0"/>
        </w:rPr>
      </w:r>
      <w:r>
        <w:rPr>
          <w:rFonts w:ascii="Times New Roman" w:hAnsi="Times New Roman" w:cs="Times New Roman" w:eastAsia="Times New Roman" w:hint="default"/>
        </w:rPr>
        <w:t>4</w:t>
      </w:r>
      <w:r>
        <w:rPr/>
        <w:t>、应收账款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应收账款分类披露" w:id="230"/>
      <w:bookmarkEnd w:id="230"/>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25"/>
        <w:gridCol w:w="776"/>
        <w:gridCol w:w="758"/>
        <w:gridCol w:w="764"/>
        <w:gridCol w:w="764"/>
        <w:gridCol w:w="787"/>
        <w:gridCol w:w="778"/>
        <w:gridCol w:w="797"/>
        <w:gridCol w:w="797"/>
        <w:gridCol w:w="792"/>
        <w:gridCol w:w="931"/>
      </w:tblGrid>
      <w:tr>
        <w:trPr>
          <w:trHeight w:val="398" w:hRule="exact"/>
        </w:trPr>
        <w:tc>
          <w:tcPr>
            <w:tcW w:w="1625"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3" w:hRule="exact"/>
        </w:trPr>
        <w:tc>
          <w:tcPr>
            <w:tcW w:w="1625" w:type="dxa"/>
            <w:vMerge/>
            <w:tcBorders>
              <w:left w:val="single" w:sz="4" w:space="0" w:color="000000"/>
              <w:bottom w:val="nil" w:sz="6" w:space="0" w:color="auto"/>
              <w:right w:val="single" w:sz="4" w:space="0" w:color="000000"/>
            </w:tcBorders>
            <w:shd w:val="clear" w:color="auto" w:fill="D2D2D2"/>
          </w:tcPr>
          <w:p>
            <w:pPr/>
          </w:p>
        </w:tc>
        <w:tc>
          <w:tcPr>
            <w:tcW w:w="15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1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
        </w:tc>
        <w:tc>
          <w:tcPr>
            <w:tcW w:w="157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2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4" w:type="dxa"/>
            <w:gridSpan w:val="2"/>
            <w:vMerge/>
            <w:tcBorders>
              <w:left w:val="single" w:sz="4" w:space="0" w:color="000000"/>
              <w:bottom w:val="single" w:sz="4" w:space="0" w:color="000000"/>
              <w:right w:val="single" w:sz="4" w:space="0" w:color="000000"/>
            </w:tcBorders>
            <w:shd w:val="clear" w:color="auto" w:fill="D2D2D2"/>
          </w:tcPr>
          <w:p>
            <w:pP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1575" w:type="dxa"/>
            <w:gridSpan w:val="2"/>
            <w:vMerge/>
            <w:tcBorders>
              <w:left w:val="single" w:sz="4" w:space="0" w:color="000000"/>
              <w:bottom w:val="single" w:sz="4" w:space="0" w:color="000000"/>
              <w:right w:val="single" w:sz="4" w:space="0" w:color="000000"/>
            </w:tcBorders>
            <w:shd w:val="clear" w:color="auto" w:fill="D2D2D2"/>
          </w:tcPr>
          <w:p>
            <w:pPr/>
          </w:p>
        </w:tc>
        <w:tc>
          <w:tcPr>
            <w:tcW w:w="1590"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625" w:type="dxa"/>
            <w:vMerge/>
            <w:tcBorders>
              <w:left w:val="single" w:sz="4" w:space="0" w:color="000000"/>
              <w:bottom w:val="single" w:sz="4" w:space="0" w:color="FFFFFF"/>
              <w:right w:val="single" w:sz="4" w:space="0" w:color="000000"/>
            </w:tcBorders>
            <w:shd w:val="clear" w:color="auto" w:fill="D2D2D2"/>
          </w:tcPr>
          <w:p>
            <w:pPr/>
          </w:p>
        </w:tc>
        <w:tc>
          <w:tcPr>
            <w:tcW w:w="776"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58"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324" w:lineRule="auto" w:before="53"/>
              <w:ind w:left="287" w:right="103" w:hanging="183"/>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5" w:hRule="exact"/>
        </w:trPr>
        <w:tc>
          <w:tcPr>
            <w:tcW w:w="1625" w:type="dxa"/>
            <w:vMerge w:val="restart"/>
            <w:tcBorders>
              <w:top w:val="single" w:sz="4" w:space="0" w:color="FFFFFF"/>
              <w:left w:val="single" w:sz="4" w:space="0" w:color="000000"/>
              <w:right w:val="single" w:sz="4" w:space="0" w:color="000000"/>
            </w:tcBorders>
            <w:shd w:val="clear" w:color="auto" w:fill="D2D2D2"/>
          </w:tcPr>
          <w:p>
            <w:pPr/>
          </w:p>
        </w:tc>
        <w:tc>
          <w:tcPr>
            <w:tcW w:w="776"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2"/>
              <w:ind w:left="20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8"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2"/>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7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1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5" w:type="dxa"/>
            <w:vMerge/>
            <w:tcBorders>
              <w:left w:val="single" w:sz="4" w:space="0" w:color="000000"/>
              <w:right w:val="single" w:sz="4" w:space="0" w:color="000000"/>
            </w:tcBorders>
            <w:shd w:val="clear" w:color="auto" w:fill="D2D2D2"/>
          </w:tcPr>
          <w:p>
            <w:pPr/>
          </w:p>
        </w:tc>
        <w:tc>
          <w:tcPr>
            <w:tcW w:w="776" w:type="dxa"/>
            <w:vMerge/>
            <w:tcBorders>
              <w:left w:val="single" w:sz="4" w:space="0" w:color="000000"/>
              <w:bottom w:val="nil" w:sz="6" w:space="0" w:color="auto"/>
              <w:right w:val="single" w:sz="4" w:space="0" w:color="000000"/>
            </w:tcBorders>
            <w:shd w:val="clear" w:color="auto" w:fill="D2D2D2"/>
          </w:tcPr>
          <w:p>
            <w:pPr/>
          </w:p>
        </w:tc>
        <w:tc>
          <w:tcPr>
            <w:tcW w:w="758"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
        </w:tc>
        <w:tc>
          <w:tcPr>
            <w:tcW w:w="77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58" w:hRule="exact"/>
        </w:trPr>
        <w:tc>
          <w:tcPr>
            <w:tcW w:w="1625" w:type="dxa"/>
            <w:vMerge/>
            <w:tcBorders>
              <w:left w:val="single" w:sz="4" w:space="0" w:color="000000"/>
              <w:bottom w:val="single" w:sz="4" w:space="0" w:color="000000"/>
              <w:right w:val="single" w:sz="4" w:space="0" w:color="000000"/>
            </w:tcBorders>
            <w:shd w:val="clear" w:color="auto" w:fill="D2D2D2"/>
          </w:tcPr>
          <w:p>
            <w:pPr/>
          </w:p>
        </w:tc>
        <w:tc>
          <w:tcPr>
            <w:tcW w:w="776" w:type="dxa"/>
            <w:tcBorders>
              <w:top w:val="nil" w:sz="6" w:space="0" w:color="auto"/>
              <w:left w:val="single" w:sz="4" w:space="0" w:color="000000"/>
              <w:bottom w:val="single" w:sz="4" w:space="0" w:color="000000"/>
              <w:right w:val="single" w:sz="4" w:space="0" w:color="000000"/>
            </w:tcBorders>
            <w:shd w:val="clear" w:color="auto" w:fill="D2D2D2"/>
          </w:tcPr>
          <w:p>
            <w:pPr/>
          </w:p>
        </w:tc>
        <w:tc>
          <w:tcPr>
            <w:tcW w:w="758"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44"/>
              <w:jc w:val="left"/>
              <w:rPr>
                <w:rFonts w:ascii="宋体" w:hAnsi="宋体" w:cs="宋体" w:eastAsia="宋体" w:hint="default"/>
                <w:sz w:val="18"/>
                <w:szCs w:val="18"/>
              </w:rPr>
            </w:pPr>
            <w:r>
              <w:rPr>
                <w:rFonts w:ascii="宋体" w:hAnsi="宋体" w:cs="宋体" w:eastAsia="宋体" w:hint="default"/>
                <w:spacing w:val="-2"/>
                <w:sz w:val="18"/>
                <w:szCs w:val="18"/>
              </w:rPr>
              <w:t>按组合计提坏账准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备的应收账款</w:t>
            </w:r>
          </w:p>
        </w:tc>
        <w:tc>
          <w:tcPr>
            <w:tcW w:w="7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78" w:right="0"/>
              <w:jc w:val="center"/>
              <w:rPr>
                <w:rFonts w:ascii="Times New Roman" w:hAnsi="Times New Roman" w:cs="Times New Roman" w:eastAsia="Times New Roman" w:hint="default"/>
                <w:sz w:val="18"/>
                <w:szCs w:val="18"/>
              </w:rPr>
            </w:pPr>
            <w:r>
              <w:rPr>
                <w:rFonts w:ascii="Times New Roman"/>
                <w:sz w:val="18"/>
              </w:rPr>
              <w:t>386,676,</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821.87</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79,043,2</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58.81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20.44%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307,633,5</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63.06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365,946,7</w:t>
            </w:r>
          </w:p>
          <w:p>
            <w:pPr>
              <w:pStyle w:val="TableParagraph"/>
              <w:spacing w:line="240" w:lineRule="auto" w:before="105"/>
              <w:ind w:left="341" w:right="0"/>
              <w:jc w:val="left"/>
              <w:rPr>
                <w:rFonts w:ascii="Times New Roman" w:hAnsi="Times New Roman" w:cs="Times New Roman" w:eastAsia="Times New Roman" w:hint="default"/>
                <w:sz w:val="18"/>
                <w:szCs w:val="18"/>
              </w:rPr>
            </w:pPr>
            <w:r>
              <w:rPr>
                <w:rFonts w:ascii="Times New Roman"/>
                <w:sz w:val="18"/>
              </w:rPr>
              <w:t>68.89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100.00%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54,343,26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2.86</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14.85%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311,603,50</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6.03</w:t>
            </w:r>
          </w:p>
        </w:tc>
      </w:tr>
      <w:tr>
        <w:trPr>
          <w:trHeight w:val="399"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63" w:hRule="exact"/>
        </w:trPr>
        <w:tc>
          <w:tcPr>
            <w:tcW w:w="1625" w:type="dxa"/>
            <w:tcBorders>
              <w:top w:val="single" w:sz="4" w:space="0" w:color="000000"/>
              <w:left w:val="single" w:sz="4" w:space="0" w:color="000000"/>
              <w:bottom w:val="nil" w:sz="6" w:space="0" w:color="auto"/>
              <w:right w:val="single" w:sz="4" w:space="0" w:color="000000"/>
            </w:tcBorders>
            <w:shd w:val="clear" w:color="auto" w:fill="D2D2D2"/>
          </w:tcPr>
          <w:p>
            <w:pPr/>
          </w:p>
        </w:tc>
        <w:tc>
          <w:tcPr>
            <w:tcW w:w="776" w:type="dxa"/>
            <w:vMerge w:val="restart"/>
            <w:tcBorders>
              <w:top w:val="single" w:sz="4" w:space="0" w:color="000000"/>
              <w:left w:val="single" w:sz="10" w:space="0" w:color="D2D2D2"/>
              <w:right w:val="single" w:sz="4" w:space="0" w:color="000000"/>
            </w:tcBorders>
          </w:tcPr>
          <w:p>
            <w:pPr>
              <w:pStyle w:val="TableParagraph"/>
              <w:spacing w:line="240" w:lineRule="auto" w:before="96"/>
              <w:ind w:left="83" w:right="0"/>
              <w:jc w:val="center"/>
              <w:rPr>
                <w:rFonts w:ascii="Times New Roman" w:hAnsi="Times New Roman" w:cs="Times New Roman" w:eastAsia="Times New Roman" w:hint="default"/>
                <w:sz w:val="18"/>
                <w:szCs w:val="18"/>
              </w:rPr>
            </w:pPr>
            <w:r>
              <w:rPr>
                <w:rFonts w:ascii="Times New Roman"/>
                <w:sz w:val="18"/>
              </w:rPr>
              <w:t>386,676,</w:t>
            </w:r>
          </w:p>
          <w:p>
            <w:pPr>
              <w:pStyle w:val="TableParagraph"/>
              <w:spacing w:line="240" w:lineRule="auto" w:before="110"/>
              <w:ind w:left="220" w:right="0"/>
              <w:jc w:val="center"/>
              <w:rPr>
                <w:rFonts w:ascii="Times New Roman" w:hAnsi="Times New Roman" w:cs="Times New Roman" w:eastAsia="Times New Roman" w:hint="default"/>
                <w:sz w:val="18"/>
                <w:szCs w:val="18"/>
              </w:rPr>
            </w:pPr>
            <w:r>
              <w:rPr>
                <w:rFonts w:ascii="Times New Roman"/>
                <w:sz w:val="18"/>
              </w:rPr>
              <w:t>821.87</w:t>
            </w:r>
          </w:p>
        </w:tc>
        <w:tc>
          <w:tcPr>
            <w:tcW w:w="75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100.00%</w:t>
            </w:r>
          </w:p>
        </w:tc>
        <w:tc>
          <w:tcPr>
            <w:tcW w:w="764" w:type="dxa"/>
            <w:vMerge w:val="restart"/>
            <w:tcBorders>
              <w:top w:val="single" w:sz="4" w:space="0" w:color="000000"/>
              <w:left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79,043,2</w:t>
            </w:r>
          </w:p>
          <w:p>
            <w:pPr>
              <w:pStyle w:val="TableParagraph"/>
              <w:spacing w:line="240" w:lineRule="auto" w:before="110"/>
              <w:ind w:left="326" w:right="0"/>
              <w:jc w:val="left"/>
              <w:rPr>
                <w:rFonts w:ascii="Times New Roman" w:hAnsi="Times New Roman" w:cs="Times New Roman" w:eastAsia="Times New Roman" w:hint="default"/>
                <w:sz w:val="18"/>
                <w:szCs w:val="18"/>
              </w:rPr>
            </w:pPr>
            <w:r>
              <w:rPr>
                <w:rFonts w:ascii="Times New Roman"/>
                <w:sz w:val="18"/>
              </w:rPr>
              <w:t>58.81</w:t>
            </w:r>
          </w:p>
        </w:tc>
        <w:tc>
          <w:tcPr>
            <w:tcW w:w="7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20.44%</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307,633,5</w:t>
            </w:r>
          </w:p>
          <w:p>
            <w:pPr>
              <w:pStyle w:val="TableParagraph"/>
              <w:spacing w:line="240" w:lineRule="auto" w:before="110"/>
              <w:ind w:left="355" w:right="0"/>
              <w:jc w:val="left"/>
              <w:rPr>
                <w:rFonts w:ascii="Times New Roman" w:hAnsi="Times New Roman" w:cs="Times New Roman" w:eastAsia="Times New Roman" w:hint="default"/>
                <w:sz w:val="18"/>
                <w:szCs w:val="18"/>
              </w:rPr>
            </w:pPr>
            <w:r>
              <w:rPr>
                <w:rFonts w:ascii="Times New Roman"/>
                <w:sz w:val="18"/>
              </w:rPr>
              <w:t>63.06</w:t>
            </w:r>
          </w:p>
        </w:tc>
        <w:tc>
          <w:tcPr>
            <w:tcW w:w="778" w:type="dxa"/>
            <w:vMerge w:val="restart"/>
            <w:tcBorders>
              <w:top w:val="single" w:sz="4" w:space="0" w:color="000000"/>
              <w:left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365,946,7</w:t>
            </w:r>
          </w:p>
          <w:p>
            <w:pPr>
              <w:pStyle w:val="TableParagraph"/>
              <w:spacing w:line="240" w:lineRule="auto" w:before="110"/>
              <w:ind w:left="341" w:right="0"/>
              <w:jc w:val="left"/>
              <w:rPr>
                <w:rFonts w:ascii="Times New Roman" w:hAnsi="Times New Roman" w:cs="Times New Roman" w:eastAsia="Times New Roman" w:hint="default"/>
                <w:sz w:val="18"/>
                <w:szCs w:val="18"/>
              </w:rPr>
            </w:pPr>
            <w:r>
              <w:rPr>
                <w:rFonts w:ascii="Times New Roman"/>
                <w:sz w:val="18"/>
              </w:rPr>
              <w:t>68.89</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100.00%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54,343,26</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2.86</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14.85%</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311,603,50</w:t>
            </w:r>
          </w:p>
          <w:p>
            <w:pPr>
              <w:pStyle w:val="TableParagraph"/>
              <w:spacing w:line="240" w:lineRule="auto" w:before="110"/>
              <w:ind w:left="585" w:right="0"/>
              <w:jc w:val="left"/>
              <w:rPr>
                <w:rFonts w:ascii="Times New Roman" w:hAnsi="Times New Roman" w:cs="Times New Roman" w:eastAsia="Times New Roman" w:hint="default"/>
                <w:sz w:val="18"/>
                <w:szCs w:val="18"/>
              </w:rPr>
            </w:pPr>
            <w:r>
              <w:rPr>
                <w:rFonts w:ascii="Times New Roman"/>
                <w:sz w:val="18"/>
              </w:rPr>
              <w:t>6.03</w:t>
            </w:r>
          </w:p>
        </w:tc>
      </w:tr>
      <w:tr>
        <w:trPr>
          <w:trHeight w:val="394" w:hRule="exact"/>
        </w:trPr>
        <w:tc>
          <w:tcPr>
            <w:tcW w:w="16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6" w:type="dxa"/>
            <w:vMerge/>
            <w:tcBorders>
              <w:left w:val="single" w:sz="10" w:space="0" w:color="D2D2D2"/>
              <w:right w:val="single" w:sz="4" w:space="0" w:color="000000"/>
            </w:tcBorders>
          </w:tcPr>
          <w:p>
            <w:pPr/>
          </w:p>
        </w:tc>
        <w:tc>
          <w:tcPr>
            <w:tcW w:w="758" w:type="dxa"/>
            <w:vMerge/>
            <w:tcBorders>
              <w:left w:val="single" w:sz="4" w:space="0" w:color="000000"/>
              <w:right w:val="single" w:sz="4" w:space="0" w:color="000000"/>
            </w:tcBorders>
          </w:tcPr>
          <w:p>
            <w:pPr/>
          </w:p>
        </w:tc>
        <w:tc>
          <w:tcPr>
            <w:tcW w:w="764" w:type="dxa"/>
            <w:vMerge/>
            <w:tcBorders>
              <w:left w:val="single" w:sz="4" w:space="0" w:color="000000"/>
              <w:right w:val="single" w:sz="4" w:space="0" w:color="000000"/>
            </w:tcBorders>
          </w:tcPr>
          <w:p>
            <w:pPr/>
          </w:p>
        </w:tc>
        <w:tc>
          <w:tcPr>
            <w:tcW w:w="764"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58" w:hRule="exact"/>
        </w:trPr>
        <w:tc>
          <w:tcPr>
            <w:tcW w:w="1625" w:type="dxa"/>
            <w:tcBorders>
              <w:top w:val="nil" w:sz="6" w:space="0" w:color="auto"/>
              <w:left w:val="single" w:sz="4" w:space="0" w:color="000000"/>
              <w:bottom w:val="single" w:sz="4" w:space="0" w:color="000000"/>
              <w:right w:val="single" w:sz="4" w:space="0" w:color="000000"/>
            </w:tcBorders>
            <w:shd w:val="clear" w:color="auto" w:fill="D2D2D2"/>
          </w:tcPr>
          <w:p>
            <w:pPr/>
          </w:p>
        </w:tc>
        <w:tc>
          <w:tcPr>
            <w:tcW w:w="776" w:type="dxa"/>
            <w:vMerge/>
            <w:tcBorders>
              <w:left w:val="single" w:sz="10" w:space="0" w:color="D2D2D2"/>
              <w:bottom w:val="single" w:sz="4" w:space="0" w:color="000000"/>
              <w:right w:val="single" w:sz="4" w:space="0" w:color="000000"/>
            </w:tcBorders>
          </w:tcPr>
          <w:p>
            <w:pPr/>
          </w:p>
        </w:tc>
        <w:tc>
          <w:tcPr>
            <w:tcW w:w="758" w:type="dxa"/>
            <w:vMerge/>
            <w:tcBorders>
              <w:left w:val="single" w:sz="4" w:space="0" w:color="000000"/>
              <w:bottom w:val="single" w:sz="4" w:space="0" w:color="000000"/>
              <w:right w:val="single" w:sz="4" w:space="0" w:color="000000"/>
            </w:tcBorders>
          </w:tcPr>
          <w:p>
            <w:pPr/>
          </w:p>
        </w:tc>
        <w:tc>
          <w:tcPr>
            <w:tcW w:w="764" w:type="dxa"/>
            <w:vMerge/>
            <w:tcBorders>
              <w:left w:val="single" w:sz="4" w:space="0" w:color="000000"/>
              <w:bottom w:val="single" w:sz="4" w:space="0" w:color="000000"/>
              <w:right w:val="single" w:sz="4" w:space="0" w:color="000000"/>
            </w:tcBorders>
          </w:tcPr>
          <w:p>
            <w:pPr/>
          </w:p>
        </w:tc>
        <w:tc>
          <w:tcPr>
            <w:tcW w:w="764"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pStyle w:val="BodyText"/>
        <w:spacing w:line="240" w:lineRule="auto" w:before="53"/>
        <w:ind w:right="0"/>
        <w:jc w:val="left"/>
      </w:pPr>
      <w:r>
        <w:rPr/>
        <w:t>按单项计提坏账准备：</w:t>
      </w:r>
    </w:p>
    <w:p>
      <w:pPr>
        <w:pStyle w:val="BodyText"/>
        <w:spacing w:line="240" w:lineRule="auto" w:before="119"/>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3"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53"/>
        <w:ind w:right="0"/>
        <w:jc w:val="left"/>
      </w:pPr>
      <w:r>
        <w:rPr/>
        <w:t>按组合计提坏账准备：</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3"/>
      </w:tblGrid>
      <w:tr>
        <w:trPr>
          <w:trHeight w:val="404"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62" w:lineRule="auto" w:before="53"/>
        <w:ind w:right="0"/>
        <w:jc w:val="left"/>
      </w:pPr>
      <w:r>
        <w:rPr>
          <w:spacing w:val="-3"/>
        </w:rPr>
        <w:t>确定该组合依据的说明：</w:t>
      </w:r>
      <w:r>
        <w:rPr>
          <w:spacing w:val="-56"/>
        </w:rPr>
        <w:t> </w:t>
      </w:r>
      <w:r>
        <w:rPr>
          <w:spacing w:val="-56"/>
        </w:rPr>
      </w:r>
      <w:r>
        <w:rPr>
          <w:spacing w:val="-3"/>
        </w:rPr>
        <w:t>如是按照预期信用损失一般模型计提应收账款坏账准备，请参照其他应收款的披露方式披露坏账准备的相关信息：</w:t>
      </w:r>
    </w:p>
    <w:p>
      <w:pPr>
        <w:pStyle w:val="Heading5"/>
        <w:spacing w:line="292" w:lineRule="auto" w:before="23"/>
        <w:ind w:right="0"/>
        <w:jc w:val="left"/>
      </w:pPr>
      <w:r>
        <w:rPr>
          <w:rFonts w:ascii="Times New Roman" w:hAnsi="Times New Roman" w:cs="Times New Roman" w:eastAsia="Times New Roman" w:hint="default"/>
          <w:sz w:val="18"/>
          <w:szCs w:val="18"/>
        </w:rPr>
        <w:t>√ </w:t>
      </w:r>
      <w:r>
        <w:rPr>
          <w:spacing w:val="-3"/>
          <w:sz w:val="18"/>
          <w:szCs w:val="18"/>
        </w:rPr>
        <w:t>适用 </w:t>
      </w:r>
      <w:r>
        <w:rPr>
          <w:rFonts w:ascii="Times New Roman" w:hAnsi="Times New Roman" w:cs="Times New Roman" w:eastAsia="Times New Roman" w:hint="default"/>
          <w:sz w:val="18"/>
          <w:szCs w:val="18"/>
        </w:rPr>
        <w:t>□ </w:t>
      </w:r>
      <w:r>
        <w:rPr>
          <w:sz w:val="18"/>
          <w:szCs w:val="18"/>
        </w:rPr>
        <w:t>不适用</w:t>
      </w:r>
      <w:r>
        <w:rPr>
          <w:spacing w:val="-78"/>
          <w:sz w:val="18"/>
          <w:szCs w:val="18"/>
        </w:rPr>
        <w:t> </w:t>
      </w:r>
      <w:r>
        <w:rPr>
          <w:spacing w:val="-78"/>
          <w:sz w:val="18"/>
          <w:szCs w:val="18"/>
        </w:rPr>
      </w:r>
      <w:r>
        <w:rPr>
          <w:spacing w:val="-2"/>
        </w:rPr>
        <w:t>参考历史信用损失经验，结合当前状况以及对未来经济状况的预测，通过违约风险敞口和整个存续期预期</w:t>
      </w:r>
      <w:r>
        <w:rPr>
          <w:spacing w:val="-33"/>
        </w:rPr>
        <w:t> </w:t>
      </w:r>
      <w:r>
        <w:rPr>
          <w:spacing w:val="-33"/>
        </w:rPr>
      </w:r>
      <w:r>
        <w:rPr>
          <w:spacing w:val="-2"/>
        </w:rPr>
        <w:t>信用损失率，计算预期信用损失。对于应收外部客户账款组合，本公司认为相同账龄的客户具有类似预期</w:t>
      </w:r>
    </w:p>
    <w:p>
      <w:pPr>
        <w:pStyle w:val="Heading5"/>
        <w:spacing w:line="266" w:lineRule="exact"/>
        <w:ind w:right="0"/>
        <w:jc w:val="left"/>
      </w:pPr>
      <w:r>
        <w:rPr/>
        <w:t>损失率。</w:t>
      </w:r>
    </w:p>
    <w:p>
      <w:pPr>
        <w:spacing w:line="240" w:lineRule="auto" w:before="5"/>
        <w:rPr>
          <w:rFonts w:ascii="宋体" w:hAnsi="宋体" w:cs="宋体" w:eastAsia="宋体" w:hint="default"/>
          <w:sz w:val="28"/>
          <w:szCs w:val="28"/>
        </w:rPr>
      </w:pPr>
    </w:p>
    <w:p>
      <w:pPr>
        <w:pStyle w:val="BodyText"/>
        <w:spacing w:line="240" w:lineRule="auto" w:before="46"/>
        <w:ind w:right="0"/>
        <w:jc w:val="left"/>
      </w:pPr>
      <w:r>
        <w:rPr/>
        <w:t>按账龄披露</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8"/>
        <w:gridCol w:w="4782"/>
      </w:tblGrid>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8"/>
        <w:gridCol w:w="4782"/>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201,756,678.11</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84,679,392.88</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24,945,343.68</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75,295,407.20</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8,990,916.64</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56,331,992.18</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9,972,498.38</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386,676,821.87</w:t>
            </w:r>
          </w:p>
        </w:tc>
      </w:tr>
    </w:tbl>
    <w:p>
      <w:pPr>
        <w:pStyle w:val="BodyText"/>
        <w:spacing w:line="240" w:lineRule="auto" w:before="53"/>
        <w:ind w:right="0"/>
        <w:jc w:val="left"/>
      </w:pPr>
      <w:r>
        <w:rPr>
          <w:spacing w:val="-3"/>
        </w:rPr>
        <w:t>公司需要遵守《深圳证券交易所行业信息披露指引第 </w:t>
      </w:r>
      <w:r>
        <w:rPr>
          <w:rFonts w:ascii="Times New Roman" w:hAnsi="Times New Roman" w:cs="Times New Roman" w:eastAsia="Times New Roman" w:hint="default"/>
        </w:rPr>
        <w:t>12  </w:t>
      </w:r>
      <w:r>
        <w:rPr>
          <w:rFonts w:ascii="Times New Roman" w:hAnsi="Times New Roman" w:cs="Times New Roman" w:eastAsia="Times New Roman" w:hint="default"/>
          <w:spacing w:val="17"/>
        </w:rPr>
        <w:t> </w:t>
      </w:r>
      <w:r>
        <w:rPr>
          <w:spacing w:val="-3"/>
        </w:rPr>
        <w:t>号</w:t>
      </w:r>
      <w:r>
        <w:rPr>
          <w:rFonts w:ascii="Times New Roman" w:hAnsi="Times New Roman" w:cs="Times New Roman" w:eastAsia="Times New Roman" w:hint="default"/>
          <w:spacing w:val="-3"/>
        </w:rPr>
        <w:t>——</w:t>
      </w:r>
      <w:r>
        <w:rPr>
          <w:spacing w:val="-3"/>
        </w:rPr>
        <w:t>上市公司从事软件与信息技术服务业务》的披露要求</w:t>
      </w:r>
    </w:p>
    <w:p>
      <w:pPr>
        <w:spacing w:line="240" w:lineRule="auto" w:before="12"/>
        <w:rPr>
          <w:rFonts w:ascii="宋体" w:hAnsi="宋体" w:cs="宋体" w:eastAsia="宋体" w:hint="default"/>
          <w:sz w:val="6"/>
          <w:szCs w:val="6"/>
        </w:rPr>
      </w:pPr>
    </w:p>
    <w:tbl>
      <w:tblPr>
        <w:tblW w:w="0" w:type="auto"/>
        <w:jc w:val="left"/>
        <w:tblInd w:w="143" w:type="dxa"/>
        <w:tblLayout w:type="fixed"/>
        <w:tblCellMar>
          <w:top w:w="0" w:type="dxa"/>
          <w:left w:w="0" w:type="dxa"/>
          <w:bottom w:w="0" w:type="dxa"/>
          <w:right w:w="0" w:type="dxa"/>
        </w:tblCellMar>
        <w:tblLook w:val="01E0"/>
      </w:tblPr>
      <w:tblGrid>
        <w:gridCol w:w="3039"/>
        <w:gridCol w:w="2084"/>
        <w:gridCol w:w="2699"/>
      </w:tblGrid>
      <w:tr>
        <w:trPr>
          <w:trHeight w:val="350" w:hRule="exact"/>
        </w:trPr>
        <w:tc>
          <w:tcPr>
            <w:tcW w:w="30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主要客户</w:t>
            </w:r>
          </w:p>
        </w:tc>
        <w:tc>
          <w:tcPr>
            <w:tcW w:w="2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2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原因</w:t>
            </w:r>
          </w:p>
        </w:tc>
      </w:tr>
      <w:tr>
        <w:trPr>
          <w:trHeight w:val="350" w:hRule="exact"/>
        </w:trPr>
        <w:tc>
          <w:tcPr>
            <w:tcW w:w="30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52,084,205.53</w:t>
            </w:r>
          </w:p>
        </w:tc>
        <w:tc>
          <w:tcPr>
            <w:tcW w:w="2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pacing w:val="-3"/>
                <w:sz w:val="18"/>
                <w:szCs w:val="18"/>
              </w:rPr>
              <w:t>项目已完工，决算审计尚未完成</w:t>
            </w:r>
          </w:p>
        </w:tc>
      </w:tr>
      <w:tr>
        <w:trPr>
          <w:trHeight w:val="356" w:hRule="exact"/>
        </w:trPr>
        <w:tc>
          <w:tcPr>
            <w:tcW w:w="30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left="-1"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7"/>
              <w:ind w:left="4" w:right="0"/>
              <w:jc w:val="left"/>
              <w:rPr>
                <w:rFonts w:ascii="Times New Roman" w:hAnsi="Times New Roman" w:cs="Times New Roman" w:eastAsia="Times New Roman" w:hint="default"/>
                <w:sz w:val="18"/>
                <w:szCs w:val="18"/>
              </w:rPr>
            </w:pPr>
            <w:r>
              <w:rPr>
                <w:rFonts w:ascii="Times New Roman"/>
                <w:sz w:val="18"/>
              </w:rPr>
              <w:t>4,500,000.00</w:t>
            </w:r>
          </w:p>
        </w:tc>
        <w:tc>
          <w:tcPr>
            <w:tcW w:w="2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0"/>
              <w:jc w:val="left"/>
              <w:rPr>
                <w:rFonts w:ascii="宋体" w:hAnsi="宋体" w:cs="宋体" w:eastAsia="宋体" w:hint="default"/>
                <w:sz w:val="18"/>
                <w:szCs w:val="18"/>
              </w:rPr>
            </w:pPr>
            <w:r>
              <w:rPr>
                <w:rFonts w:ascii="宋体" w:hAnsi="宋体" w:cs="宋体" w:eastAsia="宋体" w:hint="default"/>
                <w:spacing w:val="-3"/>
                <w:sz w:val="18"/>
                <w:szCs w:val="18"/>
              </w:rPr>
              <w:t>未达到付款条件</w:t>
            </w:r>
          </w:p>
        </w:tc>
      </w:tr>
      <w:tr>
        <w:trPr>
          <w:trHeight w:val="350" w:hRule="exact"/>
        </w:trPr>
        <w:tc>
          <w:tcPr>
            <w:tcW w:w="30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4,342,180.00</w:t>
            </w:r>
          </w:p>
        </w:tc>
        <w:tc>
          <w:tcPr>
            <w:tcW w:w="2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pacing w:val="-3"/>
                <w:sz w:val="18"/>
                <w:szCs w:val="18"/>
              </w:rPr>
              <w:t>未达到付款节点</w:t>
            </w:r>
          </w:p>
        </w:tc>
      </w:tr>
      <w:tr>
        <w:trPr>
          <w:trHeight w:val="350" w:hRule="exact"/>
        </w:trPr>
        <w:tc>
          <w:tcPr>
            <w:tcW w:w="30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4,068,000.01</w:t>
            </w:r>
          </w:p>
        </w:tc>
        <w:tc>
          <w:tcPr>
            <w:tcW w:w="2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pacing w:val="-3"/>
                <w:sz w:val="18"/>
                <w:szCs w:val="18"/>
              </w:rPr>
              <w:t>未达到付款节点</w:t>
            </w:r>
          </w:p>
        </w:tc>
      </w:tr>
      <w:tr>
        <w:trPr>
          <w:trHeight w:val="355" w:hRule="exact"/>
        </w:trPr>
        <w:tc>
          <w:tcPr>
            <w:tcW w:w="30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left="-1"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7"/>
              <w:ind w:left="4" w:right="0"/>
              <w:jc w:val="left"/>
              <w:rPr>
                <w:rFonts w:ascii="Times New Roman" w:hAnsi="Times New Roman" w:cs="Times New Roman" w:eastAsia="Times New Roman" w:hint="default"/>
                <w:sz w:val="18"/>
                <w:szCs w:val="18"/>
              </w:rPr>
            </w:pPr>
            <w:r>
              <w:rPr>
                <w:rFonts w:ascii="Times New Roman"/>
                <w:sz w:val="18"/>
              </w:rPr>
              <w:t>3,374,799.99</w:t>
            </w:r>
          </w:p>
        </w:tc>
        <w:tc>
          <w:tcPr>
            <w:tcW w:w="2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0"/>
              <w:jc w:val="left"/>
              <w:rPr>
                <w:rFonts w:ascii="宋体" w:hAnsi="宋体" w:cs="宋体" w:eastAsia="宋体" w:hint="default"/>
                <w:sz w:val="18"/>
                <w:szCs w:val="18"/>
              </w:rPr>
            </w:pPr>
            <w:r>
              <w:rPr>
                <w:rFonts w:ascii="宋体" w:hAnsi="宋体" w:cs="宋体" w:eastAsia="宋体" w:hint="default"/>
                <w:spacing w:val="-3"/>
                <w:sz w:val="18"/>
                <w:szCs w:val="18"/>
              </w:rPr>
              <w:t>客户未付款，正在诉讼中</w:t>
            </w:r>
          </w:p>
        </w:tc>
      </w:tr>
      <w:tr>
        <w:trPr>
          <w:trHeight w:val="350" w:hRule="exact"/>
        </w:trPr>
        <w:tc>
          <w:tcPr>
            <w:tcW w:w="30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客户六</w:t>
            </w:r>
          </w:p>
        </w:tc>
        <w:tc>
          <w:tcPr>
            <w:tcW w:w="20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1,449,599.98</w:t>
            </w:r>
          </w:p>
        </w:tc>
        <w:tc>
          <w:tcPr>
            <w:tcW w:w="26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pacing w:val="-3"/>
                <w:sz w:val="18"/>
                <w:szCs w:val="18"/>
              </w:rPr>
              <w:t>未达到付款节点</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4"/>
        <w:spacing w:line="240" w:lineRule="auto" w:before="36"/>
        <w:ind w:right="0"/>
        <w:jc w:val="left"/>
        <w:rPr>
          <w:b w:val="0"/>
          <w:bCs w:val="0"/>
        </w:rPr>
      </w:pPr>
      <w:bookmarkStart w:name="（2）本期计提、收回或转回的坏账准备情况" w:id="231"/>
      <w:bookmarkEnd w:id="23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right="0"/>
        <w:jc w:val="left"/>
      </w:pPr>
      <w:r>
        <w:rPr>
          <w:spacing w:val="-3"/>
        </w:rPr>
        <w:t>本期计提坏账准备情况：</w:t>
      </w:r>
    </w:p>
    <w:p>
      <w:pPr>
        <w:pStyle w:val="BodyText"/>
        <w:spacing w:line="240" w:lineRule="auto" w:before="115"/>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711"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按组合计提坏账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准备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54,343,262.86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26,870,677.85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1,727,987.31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66" w:right="0"/>
              <w:jc w:val="left"/>
              <w:rPr>
                <w:rFonts w:ascii="Times New Roman" w:hAnsi="Times New Roman" w:cs="Times New Roman" w:eastAsia="Times New Roman" w:hint="default"/>
                <w:sz w:val="18"/>
                <w:szCs w:val="18"/>
              </w:rPr>
            </w:pPr>
            <w:r>
              <w:rPr>
                <w:rFonts w:ascii="Times New Roman"/>
                <w:sz w:val="18"/>
              </w:rPr>
              <w:t>-442,694.59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79,043,258.81</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54,343,262.86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26,870,677.85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1,727,987.31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66" w:right="0"/>
              <w:jc w:val="left"/>
              <w:rPr>
                <w:rFonts w:ascii="Times New Roman" w:hAnsi="Times New Roman" w:cs="Times New Roman" w:eastAsia="Times New Roman" w:hint="default"/>
                <w:sz w:val="18"/>
                <w:szCs w:val="18"/>
              </w:rPr>
            </w:pPr>
            <w:r>
              <w:rPr>
                <w:rFonts w:ascii="Times New Roman"/>
                <w:sz w:val="18"/>
              </w:rPr>
              <w:t>-442,694.59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79,043,258.81</w:t>
            </w:r>
          </w:p>
        </w:tc>
      </w:tr>
    </w:tbl>
    <w:p>
      <w:pPr>
        <w:pStyle w:val="BodyText"/>
        <w:spacing w:line="240" w:lineRule="auto" w:before="53"/>
        <w:ind w:right="0"/>
        <w:jc w:val="left"/>
      </w:pPr>
      <w:r>
        <w:rPr>
          <w:spacing w:val="-3"/>
        </w:rPr>
        <w:t>其中本期坏账准备收回或转回金额重要的：</w:t>
      </w:r>
    </w:p>
    <w:p>
      <w:pPr>
        <w:pStyle w:val="BodyText"/>
        <w:spacing w:line="240" w:lineRule="auto" w:before="119"/>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60" w:right="0"/>
              <w:jc w:val="left"/>
              <w:rPr>
                <w:rFonts w:ascii="宋体" w:hAnsi="宋体" w:cs="宋体" w:eastAsia="宋体" w:hint="default"/>
                <w:sz w:val="18"/>
                <w:szCs w:val="18"/>
              </w:rPr>
            </w:pPr>
            <w:r>
              <w:rPr>
                <w:rFonts w:ascii="宋体" w:hAnsi="宋体" w:cs="宋体" w:eastAsia="宋体" w:hint="default"/>
                <w:spacing w:val="-3"/>
                <w:sz w:val="18"/>
                <w:szCs w:val="18"/>
              </w:rPr>
              <w:t>收回或转回金额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3）本期实际核销的应收账款情况" w:id="232"/>
      <w:bookmarkEnd w:id="232"/>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8"/>
        <w:gridCol w:w="4782"/>
      </w:tblGrid>
      <w:tr>
        <w:trPr>
          <w:trHeight w:val="39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应收货款</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1,727,987.31</w:t>
            </w:r>
          </w:p>
        </w:tc>
      </w:tr>
    </w:tbl>
    <w:p>
      <w:pPr>
        <w:pStyle w:val="BodyText"/>
        <w:spacing w:line="240" w:lineRule="auto" w:before="53"/>
        <w:ind w:right="0"/>
        <w:jc w:val="left"/>
      </w:pPr>
      <w:r>
        <w:rPr>
          <w:spacing w:val="-3"/>
        </w:rPr>
        <w:t>其中重要的应收账款核销情况：</w:t>
      </w:r>
    </w:p>
    <w:p>
      <w:pPr>
        <w:pStyle w:val="BodyText"/>
        <w:spacing w:line="240" w:lineRule="auto" w:before="119"/>
        <w:ind w:left="0" w:right="1122"/>
        <w:jc w:val="right"/>
      </w:pPr>
      <w:r>
        <w:rPr/>
        <w:t>单位：</w:t>
      </w:r>
      <w:r>
        <w:rPr>
          <w:spacing w:val="5"/>
        </w:rPr>
        <w:t> </w:t>
      </w:r>
      <w:r>
        <w:rPr/>
        <w:t>元</w:t>
      </w:r>
    </w:p>
    <w:p>
      <w:pPr>
        <w:spacing w:after="0" w:line="240" w:lineRule="auto"/>
        <w:jc w:val="right"/>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715"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56"/>
              <w:jc w:val="right"/>
              <w:rPr>
                <w:rFonts w:ascii="宋体" w:hAnsi="宋体" w:cs="宋体" w:eastAsia="宋体" w:hint="default"/>
                <w:sz w:val="18"/>
                <w:szCs w:val="18"/>
              </w:rPr>
            </w:pPr>
            <w:r>
              <w:rPr>
                <w:rFonts w:ascii="宋体" w:hAnsi="宋体" w:cs="宋体" w:eastAsia="宋体" w:hint="default"/>
                <w:spacing w:val="-3"/>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23" w:right="65" w:hanging="452"/>
              <w:jc w:val="left"/>
              <w:rPr>
                <w:rFonts w:ascii="宋体" w:hAnsi="宋体" w:cs="宋体" w:eastAsia="宋体" w:hint="default"/>
                <w:sz w:val="18"/>
                <w:szCs w:val="18"/>
              </w:rPr>
            </w:pPr>
            <w:r>
              <w:rPr>
                <w:rFonts w:ascii="宋体" w:hAnsi="宋体" w:cs="宋体" w:eastAsia="宋体" w:hint="default"/>
                <w:spacing w:val="-2"/>
                <w:sz w:val="18"/>
                <w:szCs w:val="18"/>
              </w:rPr>
              <w:t>款项是否由关联交</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易产生</w:t>
            </w:r>
          </w:p>
        </w:tc>
      </w:tr>
      <w:tr>
        <w:trPr>
          <w:trHeight w:val="399"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13"/>
              <w:jc w:val="right"/>
              <w:rPr>
                <w:rFonts w:ascii="宋体" w:hAnsi="宋体" w:cs="宋体" w:eastAsia="宋体" w:hint="default"/>
                <w:sz w:val="18"/>
                <w:szCs w:val="18"/>
              </w:rPr>
            </w:pPr>
            <w:r>
              <w:rPr>
                <w:rFonts w:ascii="宋体" w:hAnsi="宋体" w:cs="宋体" w:eastAsia="宋体" w:hint="default"/>
                <w:spacing w:val="-2"/>
                <w:sz w:val="18"/>
                <w:szCs w:val="18"/>
              </w:rPr>
              <w:t>公司内部核销流程</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382,500.00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13"/>
              <w:jc w:val="right"/>
              <w:rPr>
                <w:rFonts w:ascii="宋体" w:hAnsi="宋体" w:cs="宋体" w:eastAsia="宋体" w:hint="default"/>
                <w:sz w:val="18"/>
                <w:szCs w:val="18"/>
              </w:rPr>
            </w:pPr>
            <w:r>
              <w:rPr>
                <w:rFonts w:ascii="宋体" w:hAnsi="宋体" w:cs="宋体" w:eastAsia="宋体" w:hint="default"/>
                <w:spacing w:val="-2"/>
                <w:sz w:val="18"/>
                <w:szCs w:val="18"/>
              </w:rPr>
              <w:t>公司内部核销流程</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259,337.00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13"/>
              <w:jc w:val="right"/>
              <w:rPr>
                <w:rFonts w:ascii="宋体" w:hAnsi="宋体" w:cs="宋体" w:eastAsia="宋体" w:hint="default"/>
                <w:sz w:val="18"/>
                <w:szCs w:val="18"/>
              </w:rPr>
            </w:pPr>
            <w:r>
              <w:rPr>
                <w:rFonts w:ascii="宋体" w:hAnsi="宋体" w:cs="宋体" w:eastAsia="宋体" w:hint="default"/>
                <w:spacing w:val="-2"/>
                <w:sz w:val="18"/>
                <w:szCs w:val="18"/>
              </w:rPr>
              <w:t>公司内部核销流程</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120,960.01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13"/>
              <w:jc w:val="right"/>
              <w:rPr>
                <w:rFonts w:ascii="宋体" w:hAnsi="宋体" w:cs="宋体" w:eastAsia="宋体" w:hint="default"/>
                <w:sz w:val="18"/>
                <w:szCs w:val="18"/>
              </w:rPr>
            </w:pPr>
            <w:r>
              <w:rPr>
                <w:rFonts w:ascii="宋体" w:hAnsi="宋体" w:cs="宋体" w:eastAsia="宋体" w:hint="default"/>
                <w:spacing w:val="-2"/>
                <w:sz w:val="18"/>
                <w:szCs w:val="18"/>
              </w:rPr>
              <w:t>公司内部核销流程</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1,562,797.01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352" w:lineRule="auto" w:before="54"/>
        <w:ind w:right="9018"/>
        <w:jc w:val="left"/>
      </w:pPr>
      <w:r>
        <w:rPr>
          <w:spacing w:val="-3"/>
        </w:rPr>
        <w:t>应收账款核销说明：</w:t>
      </w:r>
      <w:r>
        <w:rPr>
          <w:spacing w:val="-62"/>
        </w:rPr>
        <w:t> </w:t>
      </w:r>
      <w:r>
        <w:rPr>
          <w:spacing w:val="-62"/>
        </w:rPr>
      </w:r>
      <w:r>
        <w:rPr/>
        <w:t>无</w:t>
      </w:r>
    </w:p>
    <w:p>
      <w:pPr>
        <w:spacing w:line="240" w:lineRule="auto" w:before="7"/>
        <w:rPr>
          <w:rFonts w:ascii="宋体" w:hAnsi="宋体" w:cs="宋体" w:eastAsia="宋体" w:hint="default"/>
          <w:sz w:val="20"/>
          <w:szCs w:val="20"/>
        </w:rPr>
      </w:pPr>
    </w:p>
    <w:p>
      <w:pPr>
        <w:pStyle w:val="Heading4"/>
        <w:spacing w:line="240" w:lineRule="auto"/>
        <w:ind w:right="0"/>
        <w:jc w:val="left"/>
        <w:rPr>
          <w:b w:val="0"/>
          <w:bCs w:val="0"/>
        </w:rPr>
      </w:pPr>
      <w:bookmarkStart w:name="（4）按欠款方归集的期末余额前五名的应收账款情况" w:id="233"/>
      <w:bookmarkEnd w:id="233"/>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83"/>
        <w:gridCol w:w="2531"/>
        <w:gridCol w:w="2526"/>
        <w:gridCol w:w="2531"/>
      </w:tblGrid>
      <w:tr>
        <w:trPr>
          <w:trHeight w:val="715"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80" w:right="79" w:hanging="989"/>
              <w:jc w:val="left"/>
              <w:rPr>
                <w:rFonts w:ascii="宋体" w:hAnsi="宋体" w:cs="宋体" w:eastAsia="宋体" w:hint="default"/>
                <w:sz w:val="18"/>
                <w:szCs w:val="18"/>
              </w:rPr>
            </w:pPr>
            <w:r>
              <w:rPr>
                <w:rFonts w:ascii="宋体" w:hAnsi="宋体" w:cs="宋体" w:eastAsia="宋体" w:hint="default"/>
                <w:spacing w:val="-3"/>
                <w:sz w:val="18"/>
                <w:szCs w:val="18"/>
              </w:rPr>
              <w:t>占应收账款期末余额合计数的</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比例</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398"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57,661,284.76</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14.91%</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42,492,073.05</w:t>
            </w:r>
          </w:p>
        </w:tc>
      </w:tr>
      <w:tr>
        <w:trPr>
          <w:trHeight w:val="404"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27,008,700.00</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6.98%</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842,010.00</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24,691,750.95</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6.39%</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3,319,740.42</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20,140,047.41</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5.21%</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604,201.42</w:t>
            </w:r>
          </w:p>
        </w:tc>
      </w:tr>
      <w:tr>
        <w:trPr>
          <w:trHeight w:val="398"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18,867,000.00</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4.88%</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566,010.00</w:t>
            </w:r>
          </w:p>
        </w:tc>
      </w:tr>
      <w:tr>
        <w:trPr>
          <w:trHeight w:val="404"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148,368,783.12</w:t>
            </w:r>
          </w:p>
        </w:tc>
        <w:tc>
          <w:tcPr>
            <w:tcW w:w="2526" w:type="dxa"/>
            <w:tcBorders>
              <w:top w:val="single" w:sz="4" w:space="0" w:color="000000"/>
              <w:left w:val="single" w:sz="4" w:space="0" w:color="000000"/>
              <w:bottom w:val="single" w:sz="4" w:space="0" w:color="000000"/>
              <w:right w:val="single" w:sz="16" w:space="0" w:color="D2D2D2"/>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1"/>
                <w:sz w:val="18"/>
              </w:rPr>
              <w:t>38.37%</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5）因金融资产转移而终止确认的应收账款" w:id="234"/>
      <w:bookmarkEnd w:id="234"/>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bookmarkStart w:name="（6）转移应收账款且继续涉入形成的资产、负债金额" w:id="235"/>
      <w:bookmarkEnd w:id="235"/>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9861"/>
        <w:jc w:val="left"/>
      </w:pPr>
      <w:r>
        <w:rPr/>
        <w:t>无</w:t>
      </w:r>
      <w:r>
        <w:rPr>
          <w:spacing w:val="-88"/>
        </w:rPr>
        <w:t> </w:t>
      </w:r>
      <w:r>
        <w:rPr>
          <w:spacing w:val="-2"/>
        </w:rPr>
        <w:t>其他说明：</w:t>
      </w:r>
      <w:r>
        <w:rPr>
          <w:spacing w:val="-78"/>
        </w:rPr>
        <w:t> </w:t>
      </w:r>
      <w:r>
        <w:rPr>
          <w:spacing w:val="-78"/>
        </w:rPr>
      </w:r>
      <w:r>
        <w:rPr/>
        <w:t>无</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bookmarkStart w:name="5、预付款项" w:id="236"/>
      <w:bookmarkEnd w:id="236"/>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预付款项按账龄列示" w:id="237"/>
      <w:bookmarkEnd w:id="237"/>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1"/>
        <w:gridCol w:w="1916"/>
        <w:gridCol w:w="1916"/>
        <w:gridCol w:w="1916"/>
        <w:gridCol w:w="1916"/>
      </w:tblGrid>
      <w:tr>
        <w:trPr>
          <w:trHeight w:val="403"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比例</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01"/>
        <w:gridCol w:w="1926"/>
        <w:gridCol w:w="1916"/>
        <w:gridCol w:w="1916"/>
        <w:gridCol w:w="1916"/>
      </w:tblGrid>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5,400,938.84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91.05%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2,554,044.03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72.89%</w:t>
            </w: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271,268.87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946,911.54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27.02%</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256,578.33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45.06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1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3,157.45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3,112.39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0.09%</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5,931,943.49</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3,504,113.02</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333" w:lineRule="auto" w:before="53"/>
        <w:ind w:right="5772"/>
        <w:jc w:val="left"/>
      </w:pPr>
      <w:r>
        <w:rPr/>
        <w:t>账龄超过 </w:t>
      </w:r>
      <w:r>
        <w:rPr>
          <w:rFonts w:ascii="Times New Roman" w:hAnsi="Times New Roman" w:cs="Times New Roman" w:eastAsia="Times New Roman" w:hint="default"/>
        </w:rPr>
        <w:t>1 </w:t>
      </w:r>
      <w:r>
        <w:rPr>
          <w:spacing w:val="-3"/>
        </w:rPr>
        <w:t>年且金额重要的预付款项未及时结算原因的说明：</w:t>
      </w:r>
      <w:r>
        <w:rPr>
          <w:spacing w:val="-70"/>
        </w:rPr>
        <w:t> </w:t>
      </w:r>
      <w:r>
        <w:rPr>
          <w:spacing w:val="-70"/>
        </w:rPr>
      </w:r>
      <w:r>
        <w:rPr/>
        <w:t>无</w:t>
      </w:r>
    </w:p>
    <w:p>
      <w:pPr>
        <w:spacing w:line="614" w:lineRule="exact" w:before="37"/>
        <w:ind w:left="153" w:right="0" w:firstLine="0"/>
        <w:jc w:val="left"/>
        <w:rPr>
          <w:rFonts w:ascii="宋体" w:hAnsi="宋体" w:cs="宋体" w:eastAsia="宋体" w:hint="default"/>
          <w:sz w:val="21"/>
          <w:szCs w:val="21"/>
        </w:rPr>
      </w:pPr>
      <w:bookmarkStart w:name="（2）按预付对象归集的期末余额前五名的预付款情况" w:id="238"/>
      <w:bookmarkEnd w:id="23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）按预付对象归集的期末余额前五名的预付款情况</w:t>
      </w:r>
      <w:r>
        <w:rPr>
          <w:rFonts w:ascii="宋体" w:hAnsi="宋体" w:cs="宋体" w:eastAsia="宋体" w:hint="default"/>
          <w:b/>
          <w:bCs/>
          <w:w w:val="100"/>
          <w:sz w:val="21"/>
          <w:szCs w:val="21"/>
        </w:rPr>
        <w:t> </w:t>
      </w:r>
      <w:r>
        <w:rPr>
          <w:rFonts w:ascii="宋体" w:hAnsi="宋体" w:cs="宋体" w:eastAsia="宋体" w:hint="default"/>
          <w:spacing w:val="-1"/>
          <w:sz w:val="21"/>
          <w:szCs w:val="21"/>
        </w:rPr>
        <w:t>期末余额前</w:t>
      </w:r>
      <w:r>
        <w:rPr>
          <w:rFonts w:ascii="Times New Roman" w:hAnsi="Times New Roman" w:cs="Times New Roman" w:eastAsia="Times New Roman" w:hint="default"/>
          <w:spacing w:val="-1"/>
          <w:sz w:val="21"/>
          <w:szCs w:val="21"/>
        </w:rPr>
        <w:t>5</w:t>
      </w:r>
      <w:r>
        <w:rPr>
          <w:rFonts w:ascii="宋体" w:hAnsi="宋体" w:cs="宋体" w:eastAsia="宋体" w:hint="default"/>
          <w:spacing w:val="-1"/>
          <w:sz w:val="21"/>
          <w:szCs w:val="21"/>
        </w:rPr>
        <w:t>名的预付款项合计数为</w:t>
      </w:r>
      <w:r>
        <w:rPr>
          <w:rFonts w:ascii="Times New Roman" w:hAnsi="Times New Roman" w:cs="Times New Roman" w:eastAsia="Times New Roman" w:hint="default"/>
          <w:spacing w:val="-1"/>
          <w:sz w:val="21"/>
          <w:szCs w:val="21"/>
        </w:rPr>
        <w:t>4,101,493.56</w:t>
      </w:r>
      <w:r>
        <w:rPr>
          <w:rFonts w:ascii="宋体" w:hAnsi="宋体" w:cs="宋体" w:eastAsia="宋体" w:hint="default"/>
          <w:spacing w:val="-1"/>
          <w:sz w:val="21"/>
          <w:szCs w:val="21"/>
        </w:rPr>
        <w:t>元，占预付款项期末余额合计数的比例为</w:t>
      </w:r>
      <w:r>
        <w:rPr>
          <w:rFonts w:ascii="Times New Roman" w:hAnsi="Times New Roman" w:cs="Times New Roman" w:eastAsia="Times New Roman" w:hint="default"/>
          <w:spacing w:val="-1"/>
          <w:sz w:val="21"/>
          <w:szCs w:val="21"/>
        </w:rPr>
        <w:t>69.14%</w:t>
      </w:r>
      <w:r>
        <w:rPr>
          <w:rFonts w:ascii="宋体" w:hAnsi="宋体" w:cs="宋体" w:eastAsia="宋体" w:hint="default"/>
          <w:spacing w:val="-1"/>
          <w:sz w:val="21"/>
          <w:szCs w:val="21"/>
        </w:rPr>
        <w:t>。</w:t>
      </w:r>
    </w:p>
    <w:p>
      <w:pPr>
        <w:pStyle w:val="BodyText"/>
        <w:spacing w:line="352" w:lineRule="auto" w:before="12"/>
        <w:ind w:right="9861"/>
        <w:jc w:val="left"/>
      </w:pPr>
      <w:r>
        <w:rPr>
          <w:spacing w:val="-2"/>
        </w:rPr>
        <w:t>其他说明：</w:t>
      </w:r>
      <w:r>
        <w:rPr>
          <w:spacing w:val="-78"/>
        </w:rPr>
        <w:t> </w:t>
      </w:r>
      <w:r>
        <w:rPr>
          <w:spacing w:val="-78"/>
        </w:rPr>
      </w:r>
      <w:r>
        <w:rPr/>
        <w:t>无</w:t>
      </w:r>
    </w:p>
    <w:p>
      <w:pPr>
        <w:spacing w:line="240" w:lineRule="auto" w:before="7"/>
        <w:rPr>
          <w:rFonts w:ascii="宋体" w:hAnsi="宋体" w:cs="宋体" w:eastAsia="宋体" w:hint="default"/>
          <w:sz w:val="20"/>
          <w:szCs w:val="20"/>
        </w:rPr>
      </w:pPr>
    </w:p>
    <w:p>
      <w:pPr>
        <w:pStyle w:val="Heading4"/>
        <w:spacing w:line="240" w:lineRule="auto"/>
        <w:ind w:right="0"/>
        <w:jc w:val="left"/>
        <w:rPr>
          <w:b w:val="0"/>
          <w:bCs w:val="0"/>
        </w:rPr>
      </w:pPr>
      <w:bookmarkStart w:name="6、其他应收款" w:id="239"/>
      <w:bookmarkEnd w:id="239"/>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25,512,001.66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22,521,450.76</w:t>
            </w:r>
          </w:p>
        </w:tc>
      </w:tr>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25,512,001.66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22,521,450.76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1）应收利息" w:id="240"/>
      <w:bookmarkEnd w:id="240"/>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应收利息分类" w:id="241"/>
      <w:bookmarkEnd w:id="241"/>
      <w:r>
        <w:rPr>
          <w:b w:val="0"/>
          <w:bCs w:val="0"/>
        </w:rPr>
      </w:r>
      <w:r>
        <w:rPr>
          <w:rFonts w:ascii="Times New Roman" w:hAnsi="Times New Roman" w:cs="Times New Roman" w:eastAsia="Times New Roman" w:hint="default"/>
        </w:rPr>
        <w:t>1</w:t>
      </w:r>
      <w:r>
        <w:rPr/>
        <w:t>）应收利息分类</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9"/>
        <w:gridCol w:w="3193"/>
      </w:tblGrid>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6"/>
        <w:rPr>
          <w:rFonts w:ascii="宋体" w:hAnsi="宋体" w:cs="宋体" w:eastAsia="宋体" w:hint="default"/>
          <w:sz w:val="19"/>
          <w:szCs w:val="19"/>
        </w:rPr>
      </w:pPr>
    </w:p>
    <w:p>
      <w:pPr>
        <w:pStyle w:val="Heading4"/>
        <w:spacing w:line="240" w:lineRule="auto" w:before="36"/>
        <w:ind w:right="0"/>
        <w:jc w:val="left"/>
        <w:rPr>
          <w:b w:val="0"/>
          <w:bCs w:val="0"/>
        </w:rPr>
      </w:pPr>
      <w:bookmarkStart w:name="2）重要逾期利息" w:id="242"/>
      <w:bookmarkEnd w:id="242"/>
      <w:r>
        <w:rPr>
          <w:b w:val="0"/>
          <w:bCs w:val="0"/>
        </w:rPr>
      </w:r>
      <w:r>
        <w:rPr>
          <w:rFonts w:ascii="Times New Roman" w:hAnsi="Times New Roman" w:cs="Times New Roman" w:eastAsia="Times New Roman" w:hint="default"/>
        </w:rPr>
        <w:t>2</w:t>
      </w:r>
      <w:r>
        <w:rPr/>
        <w:t>）重要逾期利息</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71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773" w:right="46" w:hanging="721"/>
              <w:jc w:val="left"/>
              <w:rPr>
                <w:rFonts w:ascii="宋体" w:hAnsi="宋体" w:cs="宋体" w:eastAsia="宋体" w:hint="default"/>
                <w:sz w:val="18"/>
                <w:szCs w:val="18"/>
              </w:rPr>
            </w:pPr>
            <w:r>
              <w:rPr>
                <w:rFonts w:ascii="宋体" w:hAnsi="宋体" w:cs="宋体" w:eastAsia="宋体" w:hint="default"/>
                <w:spacing w:val="-2"/>
                <w:sz w:val="18"/>
                <w:szCs w:val="18"/>
              </w:rPr>
              <w:t>是否发生减值及其判断</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依据</w:t>
            </w:r>
          </w:p>
        </w:tc>
      </w:tr>
    </w:tbl>
    <w:p>
      <w:pPr>
        <w:pStyle w:val="BodyText"/>
        <w:spacing w:line="240" w:lineRule="auto" w:before="53"/>
        <w:ind w:right="0"/>
        <w:jc w:val="left"/>
      </w:pPr>
      <w:r>
        <w:rPr/>
        <w:t>其他说明：</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bookmarkStart w:name="3）坏账准备计提情况" w:id="243"/>
      <w:bookmarkEnd w:id="243"/>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4"/>
        <w:spacing w:line="240" w:lineRule="auto" w:before="36"/>
        <w:ind w:right="0"/>
        <w:jc w:val="left"/>
        <w:rPr>
          <w:b w:val="0"/>
          <w:bCs w:val="0"/>
        </w:rPr>
      </w:pPr>
      <w:bookmarkStart w:name="（2）应收股利" w:id="244"/>
      <w:bookmarkEnd w:id="244"/>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应收股利分类" w:id="245"/>
      <w:bookmarkEnd w:id="245"/>
      <w:r>
        <w:rPr>
          <w:b w:val="0"/>
          <w:bCs w:val="0"/>
        </w:rPr>
      </w:r>
      <w:r>
        <w:rPr>
          <w:rFonts w:ascii="Times New Roman" w:hAnsi="Times New Roman" w:cs="Times New Roman" w:eastAsia="Times New Roman" w:hint="default"/>
        </w:rPr>
        <w:t>1</w:t>
      </w:r>
      <w:r>
        <w:rPr/>
        <w:t>）应收股利分类</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9"/>
        <w:gridCol w:w="3193"/>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重要的账龄超过1年的应收股利" w:id="246"/>
      <w:bookmarkEnd w:id="246"/>
      <w:r>
        <w:rPr>
          <w:b w:val="0"/>
          <w:bCs w:val="0"/>
        </w:rPr>
      </w:r>
      <w:r>
        <w:rPr>
          <w:rFonts w:ascii="Times New Roman" w:hAnsi="Times New Roman" w:cs="Times New Roman" w:eastAsia="Times New Roman" w:hint="default"/>
        </w:rPr>
        <w:t>2</w:t>
      </w:r>
      <w:r>
        <w:rPr/>
        <w:t>）重要的账龄超过</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773" w:right="46" w:hanging="721"/>
              <w:jc w:val="left"/>
              <w:rPr>
                <w:rFonts w:ascii="宋体" w:hAnsi="宋体" w:cs="宋体" w:eastAsia="宋体" w:hint="default"/>
                <w:sz w:val="18"/>
                <w:szCs w:val="18"/>
              </w:rPr>
            </w:pPr>
            <w:r>
              <w:rPr>
                <w:rFonts w:ascii="宋体" w:hAnsi="宋体" w:cs="宋体" w:eastAsia="宋体" w:hint="default"/>
                <w:spacing w:val="-2"/>
                <w:sz w:val="18"/>
                <w:szCs w:val="18"/>
              </w:rPr>
              <w:t>是否发生减值及其判断</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依据</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3）坏账准备计提情况" w:id="247"/>
      <w:bookmarkEnd w:id="247"/>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9"/>
        <w:rPr>
          <w:rFonts w:ascii="宋体" w:hAnsi="宋体" w:cs="宋体" w:eastAsia="宋体" w:hint="default"/>
          <w:b/>
          <w:bCs/>
          <w:sz w:val="26"/>
          <w:szCs w:val="26"/>
        </w:rPr>
      </w:pPr>
    </w:p>
    <w:p>
      <w:pPr>
        <w:pStyle w:val="BodyText"/>
        <w:spacing w:line="343" w:lineRule="auto"/>
        <w:ind w:right="901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w:t>
      </w:r>
      <w:r>
        <w:rPr>
          <w:w w:val="101"/>
        </w:rPr>
        <w:t> </w:t>
      </w:r>
      <w:r>
        <w:rPr/>
        <w:t>其他说明：</w:t>
      </w:r>
    </w:p>
    <w:p>
      <w:pPr>
        <w:spacing w:line="240" w:lineRule="auto" w:before="5"/>
        <w:rPr>
          <w:rFonts w:ascii="宋体" w:hAnsi="宋体" w:cs="宋体" w:eastAsia="宋体" w:hint="default"/>
          <w:sz w:val="20"/>
          <w:szCs w:val="20"/>
        </w:rPr>
      </w:pPr>
    </w:p>
    <w:p>
      <w:pPr>
        <w:pStyle w:val="Heading4"/>
        <w:spacing w:line="240" w:lineRule="auto"/>
        <w:ind w:right="0"/>
        <w:jc w:val="left"/>
        <w:rPr>
          <w:b w:val="0"/>
          <w:bCs w:val="0"/>
        </w:rPr>
      </w:pPr>
      <w:bookmarkStart w:name="（3）其他应收款" w:id="248"/>
      <w:bookmarkEnd w:id="248"/>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其他应收款按款项性质分类情况" w:id="249"/>
      <w:bookmarkEnd w:id="249"/>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21,603,244.00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18,801,232.30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应收增值税退税款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3,504,806.02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4,155,113.92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备用金借款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1,590,576.23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1,454,094.23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2,177,995.75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428,469.55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330,535.96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317,345.25</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29,207,157.96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25,156,255.25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坏账准备计提情况" w:id="250"/>
      <w:bookmarkEnd w:id="250"/>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6"/>
        <w:gridCol w:w="1650"/>
        <w:gridCol w:w="2098"/>
        <w:gridCol w:w="2103"/>
        <w:gridCol w:w="1800"/>
      </w:tblGrid>
      <w:tr>
        <w:trPr>
          <w:trHeight w:val="403" w:hRule="exact"/>
        </w:trPr>
        <w:tc>
          <w:tcPr>
            <w:tcW w:w="190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58"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86"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0" w:hRule="exact"/>
        </w:trPr>
        <w:tc>
          <w:tcPr>
            <w:tcW w:w="19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5"/>
              <w:ind w:left="58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3"/>
              <w:ind w:left="550" w:right="51" w:hanging="500"/>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w:t>
            </w:r>
            <w:r>
              <w:rPr>
                <w:rFonts w:ascii="宋体" w:hAnsi="宋体" w:cs="宋体" w:eastAsia="宋体" w:hint="default"/>
                <w:w w:val="101"/>
                <w:sz w:val="18"/>
                <w:szCs w:val="18"/>
              </w:rPr>
              <w:t> </w:t>
            </w:r>
            <w:r>
              <w:rPr>
                <w:rFonts w:ascii="宋体" w:hAnsi="宋体" w:cs="宋体" w:eastAsia="宋体" w:hint="default"/>
                <w:sz w:val="18"/>
                <w:szCs w:val="18"/>
              </w:rPr>
              <w:t>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76"/>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未发生信用减值</w:t>
            </w:r>
            <w:r>
              <w:rPr>
                <w:rFonts w:ascii="Times New Roman" w:hAnsi="Times New Roman" w:cs="Times New Roman" w:eastAsia="Times New Roman" w:hint="default"/>
                <w:spacing w:val="-3"/>
                <w:sz w:val="18"/>
                <w:szCs w:val="18"/>
              </w:rPr>
              <w:t>)</w:t>
            </w:r>
          </w:p>
        </w:tc>
        <w:tc>
          <w:tcPr>
            <w:tcW w:w="21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76"/>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已发生信用减值</w:t>
            </w:r>
            <w:r>
              <w:rPr>
                <w:rFonts w:ascii="Times New Roman" w:hAnsi="Times New Roman" w:cs="Times New Roman" w:eastAsia="Times New Roman" w:hint="default"/>
                <w:spacing w:val="-3"/>
                <w:sz w:val="18"/>
                <w:szCs w:val="18"/>
              </w:rPr>
              <w:t>)</w:t>
            </w:r>
          </w:p>
        </w:tc>
        <w:tc>
          <w:tcPr>
            <w:tcW w:w="1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5"/>
              <w:ind w:left="715"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5" w:hRule="exact"/>
        </w:trPr>
        <w:tc>
          <w:tcPr>
            <w:tcW w:w="190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50"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3" w:type="dxa"/>
            <w:vMerge/>
            <w:tcBorders>
              <w:left w:val="single" w:sz="4" w:space="0" w:color="000000"/>
              <w:bottom w:val="single" w:sz="4" w:space="0" w:color="000000"/>
              <w:right w:val="single" w:sz="4" w:space="0" w:color="000000"/>
            </w:tcBorders>
            <w:shd w:val="clear" w:color="auto" w:fill="D2D2D2"/>
          </w:tcPr>
          <w:p>
            <w:pPr/>
          </w:p>
        </w:tc>
        <w:tc>
          <w:tcPr>
            <w:tcW w:w="18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9" w:hRule="exact"/>
        </w:trPr>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50"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799" w:right="0"/>
              <w:jc w:val="left"/>
              <w:rPr>
                <w:rFonts w:ascii="Times New Roman" w:hAnsi="Times New Roman" w:cs="Times New Roman" w:eastAsia="Times New Roman" w:hint="default"/>
                <w:sz w:val="18"/>
                <w:szCs w:val="18"/>
              </w:rPr>
            </w:pPr>
            <w:r>
              <w:rPr>
                <w:rFonts w:ascii="Times New Roman"/>
                <w:sz w:val="18"/>
              </w:rPr>
              <w:t>290,796.10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57" w:right="0"/>
              <w:jc w:val="left"/>
              <w:rPr>
                <w:rFonts w:ascii="Times New Roman" w:hAnsi="Times New Roman" w:cs="Times New Roman" w:eastAsia="Times New Roman" w:hint="default"/>
                <w:sz w:val="18"/>
                <w:szCs w:val="18"/>
              </w:rPr>
            </w:pPr>
            <w:r>
              <w:rPr>
                <w:rFonts w:ascii="Times New Roman"/>
                <w:sz w:val="18"/>
              </w:rPr>
              <w:t>665,569.31</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23" w:right="0"/>
              <w:jc w:val="left"/>
              <w:rPr>
                <w:rFonts w:ascii="Times New Roman" w:hAnsi="Times New Roman" w:cs="Times New Roman" w:eastAsia="Times New Roman" w:hint="default"/>
                <w:sz w:val="18"/>
                <w:szCs w:val="18"/>
              </w:rPr>
            </w:pPr>
            <w:r>
              <w:rPr>
                <w:rFonts w:ascii="Times New Roman"/>
                <w:sz w:val="18"/>
              </w:rPr>
              <w:t>1,678,439.08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25" w:right="0"/>
              <w:jc w:val="left"/>
              <w:rPr>
                <w:rFonts w:ascii="Times New Roman" w:hAnsi="Times New Roman" w:cs="Times New Roman" w:eastAsia="Times New Roman" w:hint="default"/>
                <w:sz w:val="18"/>
                <w:szCs w:val="18"/>
              </w:rPr>
            </w:pPr>
            <w:r>
              <w:rPr>
                <w:rFonts w:ascii="Times New Roman"/>
                <w:sz w:val="18"/>
              </w:rPr>
              <w:t>2,634,804.49</w:t>
            </w:r>
          </w:p>
        </w:tc>
      </w:tr>
      <w:tr>
        <w:trPr>
          <w:trHeight w:val="163" w:hRule="exact"/>
        </w:trPr>
        <w:tc>
          <w:tcPr>
            <w:tcW w:w="1906" w:type="dxa"/>
            <w:vMerge w:val="restart"/>
            <w:tcBorders>
              <w:top w:val="single" w:sz="4" w:space="0" w:color="000000"/>
              <w:left w:val="single" w:sz="4" w:space="0" w:color="000000"/>
              <w:right w:val="single" w:sz="4" w:space="0" w:color="000000"/>
            </w:tcBorders>
            <w:shd w:val="clear" w:color="auto" w:fill="D2D2D2"/>
          </w:tcPr>
          <w:p>
            <w:pPr>
              <w:pStyle w:val="TableParagraph"/>
              <w:spacing w:line="304" w:lineRule="auto" w:before="53"/>
              <w:ind w:left="11"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日余额在</w:t>
            </w:r>
            <w:r>
              <w:rPr>
                <w:rFonts w:ascii="宋体" w:hAnsi="宋体" w:cs="宋体" w:eastAsia="宋体" w:hint="default"/>
                <w:w w:val="101"/>
                <w:sz w:val="18"/>
                <w:szCs w:val="18"/>
              </w:rPr>
              <w:t> </w:t>
            </w:r>
            <w:r>
              <w:rPr>
                <w:rFonts w:ascii="宋体" w:hAnsi="宋体" w:cs="宋体" w:eastAsia="宋体" w:hint="default"/>
                <w:sz w:val="18"/>
                <w:szCs w:val="18"/>
              </w:rPr>
              <w:t>本期</w:t>
            </w:r>
          </w:p>
        </w:tc>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906" w:type="dxa"/>
            <w:vMerge/>
            <w:tcBorders>
              <w:left w:val="single" w:sz="4" w:space="0" w:color="000000"/>
              <w:right w:val="single" w:sz="4" w:space="0" w:color="000000"/>
            </w:tcBorders>
            <w:shd w:val="clear" w:color="auto" w:fill="D2D2D2"/>
          </w:tcPr>
          <w:p>
            <w:pPr/>
          </w:p>
        </w:tc>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7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58" w:hRule="exact"/>
        </w:trPr>
        <w:tc>
          <w:tcPr>
            <w:tcW w:w="1906" w:type="dxa"/>
            <w:vMerge/>
            <w:tcBorders>
              <w:left w:val="single" w:sz="4" w:space="0" w:color="000000"/>
              <w:bottom w:val="single" w:sz="4" w:space="0" w:color="000000"/>
              <w:right w:val="single" w:sz="4" w:space="0" w:color="000000"/>
            </w:tcBorders>
            <w:shd w:val="clear" w:color="auto" w:fill="D2D2D2"/>
          </w:tcPr>
          <w:p>
            <w:pPr/>
          </w:p>
        </w:tc>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0"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06"/>
        <w:gridCol w:w="1662"/>
        <w:gridCol w:w="2098"/>
        <w:gridCol w:w="2103"/>
        <w:gridCol w:w="1800"/>
      </w:tblGrid>
      <w:tr>
        <w:trPr>
          <w:trHeight w:val="403" w:hRule="exact"/>
        </w:trPr>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转入第二阶段</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-165,806.63</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165,806.63</w:t>
            </w: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转入第三阶段</w:t>
            </w:r>
          </w:p>
        </w:tc>
        <w:tc>
          <w:tcPr>
            <w:tcW w:w="1662" w:type="dxa"/>
            <w:tcBorders>
              <w:top w:val="single" w:sz="4" w:space="0" w:color="000000"/>
              <w:left w:val="single" w:sz="8"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-492,405.77</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492,405.77</w:t>
            </w: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262,217.36</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213,718.59</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593,173.16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1,069,109.11</w:t>
            </w:r>
          </w:p>
        </w:tc>
      </w:tr>
      <w:tr>
        <w:trPr>
          <w:trHeight w:val="403" w:hRule="exact"/>
        </w:trPr>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-8,757.30</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-8,757.30</w:t>
            </w:r>
          </w:p>
        </w:tc>
      </w:tr>
      <w:tr>
        <w:trPr>
          <w:trHeight w:val="403" w:hRule="exact"/>
        </w:trPr>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日余额</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378,449.53</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552,688.76</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2,764,018.01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3,695,156.30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pStyle w:val="BodyText"/>
        <w:spacing w:line="240" w:lineRule="auto" w:before="53"/>
        <w:ind w:right="0"/>
        <w:jc w:val="left"/>
      </w:pPr>
      <w:r>
        <w:rPr>
          <w:spacing w:val="-3"/>
        </w:rPr>
        <w:t>损失准备本期变动金额重大的账面余额变动情况</w:t>
      </w:r>
    </w:p>
    <w:p>
      <w:pPr>
        <w:pStyle w:val="BodyText"/>
        <w:spacing w:line="343" w:lineRule="auto" w:before="115"/>
        <w:ind w:right="161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w:t>
      </w:r>
      <w:r>
        <w:rPr>
          <w:w w:val="101"/>
        </w:rPr>
        <w:t> </w:t>
      </w:r>
      <w:r>
        <w:rPr/>
        <w:t>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3937" w:space="4894"/>
            <w:col w:w="2099"/>
          </w:cols>
        </w:sectPr>
      </w:pP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6"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16,119,790.27</w:t>
            </w:r>
          </w:p>
        </w:tc>
      </w:tr>
      <w:tr>
        <w:trPr>
          <w:trHeight w:val="404"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5,526,887.58</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4,924,057.66</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2,636,422.45</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1,690,391.70</w:t>
            </w:r>
          </w:p>
        </w:tc>
      </w:tr>
      <w:tr>
        <w:trPr>
          <w:trHeight w:val="404"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60,100.60</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885,930.15</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29,207,157.96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3）本期计提、收回或转回的坏账准备情况" w:id="251"/>
      <w:bookmarkEnd w:id="251"/>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right="0"/>
        <w:jc w:val="left"/>
      </w:pPr>
      <w:r>
        <w:rPr>
          <w:spacing w:val="-3"/>
        </w:rPr>
        <w:t>本期计提坏账准备情况：</w:t>
      </w:r>
    </w:p>
    <w:p>
      <w:pPr>
        <w:pStyle w:val="BodyText"/>
        <w:spacing w:line="240" w:lineRule="auto" w:before="115"/>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17"/>
        <w:gridCol w:w="1100"/>
        <w:gridCol w:w="1340"/>
        <w:gridCol w:w="1330"/>
        <w:gridCol w:w="1330"/>
        <w:gridCol w:w="1330"/>
        <w:gridCol w:w="1724"/>
      </w:tblGrid>
      <w:tr>
        <w:trPr>
          <w:trHeight w:val="403" w:hRule="exact"/>
        </w:trPr>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1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3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417" w:type="dxa"/>
            <w:vMerge/>
            <w:tcBorders>
              <w:left w:val="single" w:sz="4" w:space="0" w:color="000000"/>
              <w:bottom w:val="single" w:sz="4" w:space="0" w:color="000000"/>
              <w:right w:val="single" w:sz="4" w:space="0" w:color="000000"/>
            </w:tcBorders>
            <w:shd w:val="clear" w:color="auto" w:fill="D2D2D2"/>
          </w:tcPr>
          <w:p>
            <w:pPr/>
          </w:p>
        </w:tc>
        <w:tc>
          <w:tcPr>
            <w:tcW w:w="1100" w:type="dxa"/>
            <w:vMerge/>
            <w:tcBorders>
              <w:left w:val="single" w:sz="4" w:space="0" w:color="000000"/>
              <w:bottom w:val="single" w:sz="4" w:space="0" w:color="000000"/>
              <w:right w:val="single" w:sz="4" w:space="0" w:color="000000"/>
            </w:tcBorders>
            <w:shd w:val="clear" w:color="auto" w:fill="D2D2D2"/>
          </w:tcPr>
          <w:p>
            <w:pP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24"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8"/>
              <w:jc w:val="both"/>
              <w:rPr>
                <w:rFonts w:ascii="宋体" w:hAnsi="宋体" w:cs="宋体" w:eastAsia="宋体" w:hint="default"/>
                <w:sz w:val="18"/>
                <w:szCs w:val="18"/>
              </w:rPr>
            </w:pPr>
            <w:r>
              <w:rPr>
                <w:rFonts w:ascii="宋体" w:hAnsi="宋体" w:cs="宋体" w:eastAsia="宋体" w:hint="default"/>
                <w:spacing w:val="-3"/>
                <w:sz w:val="18"/>
                <w:szCs w:val="18"/>
              </w:rPr>
              <w:t>按组合计提坏账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准备的其他应收</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款</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2,634,804.49</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1,069,109.11</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-8,757.30</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3,695,156.30</w:t>
            </w:r>
          </w:p>
        </w:tc>
      </w:tr>
      <w:tr>
        <w:trPr>
          <w:trHeight w:val="398"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88" w:right="0"/>
              <w:jc w:val="center"/>
              <w:rPr>
                <w:rFonts w:ascii="Times New Roman" w:hAnsi="Times New Roman" w:cs="Times New Roman" w:eastAsia="Times New Roman" w:hint="default"/>
                <w:sz w:val="18"/>
                <w:szCs w:val="18"/>
              </w:rPr>
            </w:pPr>
            <w:r>
              <w:rPr>
                <w:rFonts w:ascii="Times New Roman"/>
                <w:sz w:val="18"/>
              </w:rPr>
              <w:t>2,634,804.49</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1,069,109.11</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-8,757.30</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3,695,156.30</w:t>
            </w:r>
          </w:p>
        </w:tc>
      </w:tr>
    </w:tbl>
    <w:p>
      <w:pPr>
        <w:pStyle w:val="Heading5"/>
        <w:spacing w:line="260" w:lineRule="exact"/>
        <w:ind w:right="0"/>
        <w:jc w:val="left"/>
      </w:pPr>
      <w:r>
        <w:rPr/>
        <w:t>本期其他系处置控股子公司转出</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3"/>
        <w:spacing w:line="240" w:lineRule="auto"/>
        <w:ind w:right="0"/>
        <w:jc w:val="left"/>
        <w:rPr>
          <w:rFonts w:ascii="等线" w:hAnsi="等线" w:cs="等线" w:eastAsia="等线" w:hint="default"/>
        </w:rPr>
      </w:pPr>
      <w:r>
        <w:rPr>
          <w:rFonts w:ascii="等线" w:hAnsi="等线" w:cs="等线" w:eastAsia="等线" w:hint="default"/>
        </w:rPr>
        <w:t>其中本期坏账准备转回或收回金额重要的：</w:t>
      </w:r>
    </w:p>
    <w:p>
      <w:pPr>
        <w:spacing w:line="240" w:lineRule="auto" w:before="5"/>
        <w:rPr>
          <w:rFonts w:ascii="等线" w:hAnsi="等线" w:cs="等线" w:eastAsia="等线" w:hint="default"/>
          <w:sz w:val="14"/>
          <w:szCs w:val="14"/>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60" w:right="0"/>
              <w:jc w:val="left"/>
              <w:rPr>
                <w:rFonts w:ascii="宋体" w:hAnsi="宋体" w:cs="宋体" w:eastAsia="宋体" w:hint="default"/>
                <w:sz w:val="18"/>
                <w:szCs w:val="18"/>
              </w:rPr>
            </w:pPr>
            <w:r>
              <w:rPr>
                <w:rFonts w:ascii="宋体" w:hAnsi="宋体" w:cs="宋体" w:eastAsia="宋体" w:hint="default"/>
                <w:spacing w:val="-3"/>
                <w:sz w:val="18"/>
                <w:szCs w:val="18"/>
              </w:rPr>
              <w:t>转回或收回金额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5"/>
          <w:szCs w:val="25"/>
        </w:rPr>
      </w:pPr>
    </w:p>
    <w:p>
      <w:pPr>
        <w:pStyle w:val="Heading4"/>
        <w:spacing w:line="240" w:lineRule="auto" w:before="36"/>
        <w:ind w:right="0"/>
        <w:jc w:val="left"/>
        <w:rPr>
          <w:b w:val="0"/>
          <w:bCs w:val="0"/>
        </w:rPr>
      </w:pPr>
      <w:bookmarkStart w:name="4）本期实际核销的其他应收款情况" w:id="252"/>
      <w:bookmarkEnd w:id="252"/>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3"/>
        <w:ind w:right="0"/>
        <w:jc w:val="left"/>
      </w:pPr>
      <w:r>
        <w:rPr>
          <w:spacing w:val="-3"/>
        </w:rPr>
        <w:t>其中重要的其他应收款核销情况：</w:t>
      </w:r>
    </w:p>
    <w:p>
      <w:pPr>
        <w:pStyle w:val="BodyText"/>
        <w:spacing w:line="240" w:lineRule="auto" w:before="119"/>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5"/>
        <w:gridCol w:w="1594"/>
        <w:gridCol w:w="1599"/>
        <w:gridCol w:w="1594"/>
      </w:tblGrid>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pacing w:val="-3"/>
                <w:sz w:val="18"/>
                <w:szCs w:val="18"/>
              </w:rPr>
              <w:t>其他应收款性质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pacing w:val="-3"/>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23" w:right="65" w:hanging="452"/>
              <w:jc w:val="left"/>
              <w:rPr>
                <w:rFonts w:ascii="宋体" w:hAnsi="宋体" w:cs="宋体" w:eastAsia="宋体" w:hint="default"/>
                <w:sz w:val="18"/>
                <w:szCs w:val="18"/>
              </w:rPr>
            </w:pPr>
            <w:r>
              <w:rPr>
                <w:rFonts w:ascii="宋体" w:hAnsi="宋体" w:cs="宋体" w:eastAsia="宋体" w:hint="default"/>
                <w:spacing w:val="-2"/>
                <w:sz w:val="18"/>
                <w:szCs w:val="18"/>
              </w:rPr>
              <w:t>款项是否由关联交</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易产生</w:t>
            </w:r>
          </w:p>
        </w:tc>
      </w:tr>
    </w:tbl>
    <w:p>
      <w:pPr>
        <w:pStyle w:val="BodyText"/>
        <w:spacing w:line="240" w:lineRule="auto" w:before="53"/>
        <w:ind w:right="0"/>
        <w:jc w:val="left"/>
      </w:pPr>
      <w:r>
        <w:rPr/>
        <w:t>其他应收款核销说明：</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5）按欠款方归集的期末余额前五名的其他应收款情况" w:id="253"/>
      <w:bookmarkEnd w:id="253"/>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5"/>
        <w:gridCol w:w="1594"/>
        <w:gridCol w:w="1599"/>
        <w:gridCol w:w="1594"/>
      </w:tblGrid>
      <w:tr>
        <w:trPr>
          <w:trHeight w:val="710"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72" w:right="70"/>
              <w:jc w:val="left"/>
              <w:rPr>
                <w:rFonts w:ascii="宋体" w:hAnsi="宋体" w:cs="宋体" w:eastAsia="宋体" w:hint="default"/>
                <w:sz w:val="18"/>
                <w:szCs w:val="18"/>
              </w:rPr>
            </w:pPr>
            <w:r>
              <w:rPr>
                <w:rFonts w:ascii="宋体" w:hAnsi="宋体" w:cs="宋体" w:eastAsia="宋体" w:hint="default"/>
                <w:spacing w:val="-2"/>
                <w:sz w:val="18"/>
                <w:szCs w:val="18"/>
              </w:rPr>
              <w:t>占其他应收款期末</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余额合计数的比例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13"/>
              <w:jc w:val="left"/>
              <w:rPr>
                <w:rFonts w:ascii="宋体" w:hAnsi="宋体" w:cs="宋体" w:eastAsia="宋体" w:hint="default"/>
                <w:sz w:val="18"/>
                <w:szCs w:val="18"/>
              </w:rPr>
            </w:pPr>
            <w:r>
              <w:rPr>
                <w:rFonts w:ascii="宋体" w:hAnsi="宋体" w:cs="宋体" w:eastAsia="宋体" w:hint="default"/>
                <w:spacing w:val="-2"/>
                <w:sz w:val="18"/>
                <w:szCs w:val="18"/>
              </w:rPr>
              <w:t>陕西中医药大学第</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二附属医院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6,958,570.00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208,757.10</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113"/>
              <w:jc w:val="left"/>
              <w:rPr>
                <w:rFonts w:ascii="宋体" w:hAnsi="宋体" w:cs="宋体" w:eastAsia="宋体" w:hint="default"/>
                <w:sz w:val="18"/>
                <w:szCs w:val="18"/>
              </w:rPr>
            </w:pPr>
            <w:r>
              <w:rPr>
                <w:rFonts w:ascii="宋体" w:hAnsi="宋体" w:cs="宋体" w:eastAsia="宋体" w:hint="default"/>
                <w:spacing w:val="-2"/>
                <w:sz w:val="18"/>
                <w:szCs w:val="18"/>
              </w:rPr>
              <w:t>国家税务总局杭州</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市税务局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应收增值税退税款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3,504,806.02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3"/>
              <w:jc w:val="left"/>
              <w:rPr>
                <w:rFonts w:ascii="宋体" w:hAnsi="宋体" w:cs="宋体" w:eastAsia="宋体" w:hint="default"/>
                <w:sz w:val="18"/>
                <w:szCs w:val="18"/>
              </w:rPr>
            </w:pPr>
            <w:r>
              <w:rPr>
                <w:rFonts w:ascii="宋体" w:hAnsi="宋体" w:cs="宋体" w:eastAsia="宋体" w:hint="default"/>
                <w:spacing w:val="-2"/>
                <w:sz w:val="18"/>
                <w:szCs w:val="18"/>
              </w:rPr>
              <w:t>广西中医药大学第</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一附属医院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2,580,602.90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507,688.58</w:t>
            </w: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浙江医院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1,745,512.90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731,456.45</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24" w:right="113"/>
              <w:jc w:val="left"/>
              <w:rPr>
                <w:rFonts w:ascii="宋体" w:hAnsi="宋体" w:cs="宋体" w:eastAsia="宋体" w:hint="default"/>
                <w:sz w:val="18"/>
                <w:szCs w:val="18"/>
              </w:rPr>
            </w:pPr>
            <w:r>
              <w:rPr>
                <w:rFonts w:ascii="宋体" w:hAnsi="宋体" w:cs="宋体" w:eastAsia="宋体" w:hint="default"/>
                <w:spacing w:val="-2"/>
                <w:sz w:val="18"/>
                <w:szCs w:val="18"/>
              </w:rPr>
              <w:t>杭州意照建筑劳务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1,730,000.00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51,900.00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6"/>
              <w:ind w:right="6"/>
              <w:jc w:val="right"/>
              <w:rPr>
                <w:rFonts w:ascii="Times New Roman" w:hAnsi="Times New Roman" w:cs="Times New Roman" w:eastAsia="Times New Roman" w:hint="default"/>
                <w:sz w:val="18"/>
                <w:szCs w:val="18"/>
              </w:rPr>
            </w:pPr>
            <w:r>
              <w:rPr>
                <w:rFonts w:ascii="Times New Roman"/>
                <w:spacing w:val="-1"/>
                <w:sz w:val="18"/>
              </w:rPr>
              <w:t>16,519,491.82</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56.56%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1,499,802.13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6）涉及政府补助的应收款项" w:id="254"/>
      <w:bookmarkEnd w:id="254"/>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16"/>
        <w:gridCol w:w="1916"/>
        <w:gridCol w:w="1916"/>
        <w:gridCol w:w="1916"/>
      </w:tblGrid>
      <w:tr>
        <w:trPr>
          <w:trHeight w:val="710"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686" w:right="46" w:hanging="634"/>
              <w:jc w:val="left"/>
              <w:rPr>
                <w:rFonts w:ascii="宋体" w:hAnsi="宋体" w:cs="宋体" w:eastAsia="宋体" w:hint="default"/>
                <w:sz w:val="18"/>
                <w:szCs w:val="18"/>
              </w:rPr>
            </w:pPr>
            <w:r>
              <w:rPr>
                <w:rFonts w:ascii="宋体" w:hAnsi="宋体" w:cs="宋体" w:eastAsia="宋体" w:hint="default"/>
                <w:spacing w:val="-2"/>
                <w:sz w:val="18"/>
                <w:szCs w:val="18"/>
              </w:rPr>
              <w:t>预计收取的时间、金额</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及依据</w:t>
            </w:r>
          </w:p>
        </w:tc>
      </w:tr>
      <w:tr>
        <w:trPr>
          <w:trHeight w:val="716"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70"/>
              <w:jc w:val="left"/>
              <w:rPr>
                <w:rFonts w:ascii="宋体" w:hAnsi="宋体" w:cs="宋体" w:eastAsia="宋体" w:hint="default"/>
                <w:sz w:val="18"/>
                <w:szCs w:val="18"/>
              </w:rPr>
            </w:pPr>
            <w:r>
              <w:rPr>
                <w:rFonts w:ascii="宋体" w:hAnsi="宋体" w:cs="宋体" w:eastAsia="宋体" w:hint="default"/>
                <w:spacing w:val="-2"/>
                <w:sz w:val="18"/>
                <w:szCs w:val="18"/>
              </w:rPr>
              <w:t>国家税务总局杭州市税</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务局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75"/>
              <w:jc w:val="left"/>
              <w:rPr>
                <w:rFonts w:ascii="宋体" w:hAnsi="宋体" w:cs="宋体" w:eastAsia="宋体" w:hint="default"/>
                <w:sz w:val="18"/>
                <w:szCs w:val="18"/>
              </w:rPr>
            </w:pPr>
            <w:r>
              <w:rPr>
                <w:rFonts w:ascii="宋体" w:hAnsi="宋体" w:cs="宋体" w:eastAsia="宋体" w:hint="default"/>
                <w:spacing w:val="-2"/>
                <w:sz w:val="18"/>
                <w:szCs w:val="18"/>
              </w:rPr>
              <w:t>软件产品增值税超税负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退税款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3,504,806.02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pacing w:val="-12"/>
                <w:sz w:val="18"/>
                <w:szCs w:val="18"/>
              </w:rPr>
              <w:t>日、</w:t>
            </w:r>
            <w:r>
              <w:rPr>
                <w:rFonts w:ascii="Times New Roman" w:hAnsi="Times New Roman" w:cs="Times New Roman" w:eastAsia="Times New Roman" w:hint="default"/>
                <w:spacing w:val="-12"/>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日已收到</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7）因金融资产转移而终止确认的其他应收款" w:id="255"/>
      <w:bookmarkEnd w:id="255"/>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after="0" w:line="240" w:lineRule="auto"/>
        <w:jc w:val="left"/>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4"/>
        <w:spacing w:line="240" w:lineRule="auto" w:before="36"/>
        <w:ind w:right="0"/>
        <w:jc w:val="left"/>
        <w:rPr>
          <w:b w:val="0"/>
          <w:bCs w:val="0"/>
        </w:rPr>
      </w:pPr>
      <w:bookmarkStart w:name="8）转移其他应收款且继续涉入形成的资产、负债金额" w:id="256"/>
      <w:bookmarkEnd w:id="256"/>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9861"/>
        <w:jc w:val="left"/>
      </w:pPr>
      <w:r>
        <w:rPr/>
        <w:t>无</w:t>
      </w:r>
      <w:r>
        <w:rPr>
          <w:spacing w:val="-88"/>
        </w:rPr>
        <w:t> </w:t>
      </w:r>
      <w:r>
        <w:rPr>
          <w:spacing w:val="-2"/>
        </w:rPr>
        <w:t>其他说明：</w:t>
      </w:r>
      <w:r>
        <w:rPr>
          <w:spacing w:val="-78"/>
        </w:rPr>
        <w:t> </w:t>
      </w:r>
      <w:r>
        <w:rPr>
          <w:spacing w:val="-78"/>
        </w:rPr>
      </w:r>
      <w:r>
        <w:rPr/>
        <w:t>无</w:t>
      </w:r>
    </w:p>
    <w:p>
      <w:pPr>
        <w:spacing w:line="240" w:lineRule="auto" w:before="3"/>
        <w:rPr>
          <w:rFonts w:ascii="宋体" w:hAnsi="宋体" w:cs="宋体" w:eastAsia="宋体" w:hint="default"/>
          <w:sz w:val="20"/>
          <w:szCs w:val="20"/>
        </w:rPr>
      </w:pPr>
    </w:p>
    <w:p>
      <w:pPr>
        <w:pStyle w:val="Heading4"/>
        <w:spacing w:line="240" w:lineRule="auto"/>
        <w:ind w:right="0"/>
        <w:jc w:val="left"/>
        <w:rPr>
          <w:b w:val="0"/>
          <w:bCs w:val="0"/>
        </w:rPr>
      </w:pPr>
      <w:bookmarkStart w:name="7、存货" w:id="257"/>
      <w:bookmarkEnd w:id="257"/>
      <w:r>
        <w:rPr>
          <w:b w:val="0"/>
          <w:bCs w:val="0"/>
        </w:rPr>
      </w:r>
      <w:r>
        <w:rPr>
          <w:rFonts w:ascii="Times New Roman" w:hAnsi="Times New Roman" w:cs="Times New Roman" w:eastAsia="Times New Roman" w:hint="default"/>
        </w:rPr>
        <w:t>7</w:t>
      </w:r>
      <w:r>
        <w:rPr/>
        <w:t>、存货</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是否已执行新收入准则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bookmarkStart w:name="（1）存货分类" w:id="258"/>
      <w:bookmarkEnd w:id="258"/>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206" w:hRule="exact"/>
        </w:trPr>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87" w:hRule="exact"/>
        </w:trPr>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5" w:type="dxa"/>
            <w:gridSpan w:val="3"/>
            <w:vMerge/>
            <w:tcBorders>
              <w:left w:val="single" w:sz="4" w:space="0" w:color="000000"/>
              <w:bottom w:val="single" w:sz="4" w:space="0" w:color="000000"/>
              <w:right w:val="single" w:sz="4" w:space="0" w:color="000000"/>
            </w:tcBorders>
            <w:shd w:val="clear" w:color="auto" w:fill="D2D2D2"/>
          </w:tcPr>
          <w:p>
            <w:pPr/>
          </w:p>
        </w:tc>
        <w:tc>
          <w:tcPr>
            <w:tcW w:w="4101"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9"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2,333,703.72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2,333,703.72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1,657,510.37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1,657,510.37</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479,025.76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479,025.76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368,150.29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368,150.29</w:t>
            </w:r>
          </w:p>
        </w:tc>
      </w:tr>
      <w:tr>
        <w:trPr>
          <w:trHeight w:val="399"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2,812,729.48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2,812,729.48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2,025,660.66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2,025,660.66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存货跌价准备" w:id="259"/>
      <w:bookmarkEnd w:id="259"/>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4"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82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82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3）存货期末余额含有借款费用资本化金额的说明" w:id="260"/>
      <w:bookmarkEnd w:id="260"/>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4）期末建造合同形成的已完工未结算资产情况" w:id="261"/>
      <w:bookmarkEnd w:id="261"/>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3"/>
        <w:ind w:right="0"/>
        <w:jc w:val="left"/>
      </w:pPr>
      <w:r>
        <w:rPr/>
        <w:t>其他说明：</w:t>
      </w: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bookmarkStart w:name="8、其他流动资产" w:id="262"/>
      <w:bookmarkEnd w:id="262"/>
      <w:r>
        <w:rPr>
          <w:b w:val="0"/>
          <w:bCs w:val="0"/>
        </w:rPr>
      </w:r>
      <w:r>
        <w:rPr>
          <w:rFonts w:ascii="Times New Roman" w:hAnsi="Times New Roman" w:cs="Times New Roman" w:eastAsia="Times New Roman" w:hint="default"/>
        </w:rPr>
        <w:t>8</w:t>
      </w:r>
      <w:r>
        <w:rPr/>
        <w:t>、其他流动资产</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pStyle w:val="BodyText"/>
        <w:spacing w:line="240" w:lineRule="auto" w:before="46"/>
        <w:ind w:right="0"/>
        <w:jc w:val="left"/>
      </w:pPr>
      <w:r>
        <w:rPr>
          <w:spacing w:val="-2"/>
        </w:rPr>
        <w:t>是否已执行新收入准则</w:t>
      </w:r>
    </w:p>
    <w:p>
      <w:pPr>
        <w:pStyle w:val="BodyText"/>
        <w:spacing w:line="240" w:lineRule="auto" w:before="119"/>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1959" w:space="6872"/>
            <w:col w:w="2099"/>
          </w:cols>
        </w:sectPr>
      </w:pP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100,000,000.00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598,266.35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461,408.27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待抵扣增值税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94,178.76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166,686.57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预缴所得税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172,507.58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373,205.46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100,864,952.69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1,001,300.30</w:t>
            </w:r>
          </w:p>
        </w:tc>
      </w:tr>
    </w:tbl>
    <w:p>
      <w:pPr>
        <w:pStyle w:val="BodyText"/>
        <w:spacing w:line="240" w:lineRule="auto" w:before="53"/>
        <w:ind w:right="0"/>
        <w:jc w:val="left"/>
      </w:pPr>
      <w:r>
        <w:rPr/>
        <w:t>其他说明：</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期初数与上年年末数（2018年12月31日）差异详见第十二节财务报告、五、27之" w:id="263"/>
      <w:bookmarkEnd w:id="263"/>
      <w:r>
        <w:rPr>
          <w:b w:val="0"/>
          <w:bCs w:val="0"/>
        </w:rPr>
      </w:r>
      <w:r>
        <w:rPr/>
        <w:t>期初数与上年年末数（</w:t>
      </w:r>
      <w:r>
        <w:rPr>
          <w:rFonts w:ascii="宋体" w:hAnsi="宋体" w:cs="宋体" w:eastAsia="宋体" w:hint="default"/>
        </w:rPr>
        <w:t>2018</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2"/>
        </w:rPr>
        <w:t> </w:t>
      </w:r>
      <w:r>
        <w:rPr>
          <w:rFonts w:ascii="宋体" w:hAnsi="宋体" w:cs="宋体" w:eastAsia="宋体" w:hint="default"/>
        </w:rPr>
        <w:t>31</w:t>
      </w:r>
      <w:r>
        <w:rPr>
          <w:rFonts w:ascii="宋体" w:hAnsi="宋体" w:cs="宋体" w:eastAsia="宋体" w:hint="default"/>
          <w:spacing w:val="-53"/>
        </w:rPr>
        <w:t> </w:t>
      </w:r>
      <w:r>
        <w:rPr/>
        <w:t>日）差异详见第十二节财务报告、五、</w:t>
      </w:r>
      <w:r>
        <w:rPr>
          <w:rFonts w:ascii="宋体" w:hAnsi="宋体" w:cs="宋体" w:eastAsia="宋体" w:hint="default"/>
        </w:rPr>
        <w:t>27</w:t>
      </w:r>
      <w:r>
        <w:rPr>
          <w:rFonts w:ascii="宋体" w:hAnsi="宋体" w:cs="宋体" w:eastAsia="宋体" w:hint="default"/>
          <w:spacing w:val="-53"/>
        </w:rPr>
        <w:t> </w:t>
      </w:r>
      <w:r>
        <w:rPr/>
        <w:t>之说明。</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0"/>
        <w:jc w:val="left"/>
        <w:rPr>
          <w:b w:val="0"/>
          <w:bCs w:val="0"/>
        </w:rPr>
      </w:pPr>
      <w:bookmarkStart w:name="9、长期应收款" w:id="264"/>
      <w:bookmarkEnd w:id="264"/>
      <w:r>
        <w:rPr>
          <w:b w:val="0"/>
          <w:bCs w:val="0"/>
        </w:rPr>
      </w:r>
      <w:r>
        <w:rPr>
          <w:rFonts w:ascii="Times New Roman" w:hAnsi="Times New Roman" w:cs="Times New Roman" w:eastAsia="Times New Roman" w:hint="default"/>
        </w:rPr>
        <w:t>9</w:t>
      </w:r>
      <w:r>
        <w:rPr/>
        <w:t>、长期应收款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长期应收款情况" w:id="265"/>
      <w:bookmarkEnd w:id="265"/>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02"/>
        <w:gridCol w:w="1167"/>
        <w:gridCol w:w="1172"/>
        <w:gridCol w:w="1167"/>
        <w:gridCol w:w="1167"/>
        <w:gridCol w:w="1167"/>
        <w:gridCol w:w="1167"/>
        <w:gridCol w:w="1167"/>
      </w:tblGrid>
      <w:tr>
        <w:trPr>
          <w:trHeight w:val="206" w:hRule="exact"/>
        </w:trPr>
        <w:tc>
          <w:tcPr>
            <w:tcW w:w="1402" w:type="dxa"/>
            <w:tcBorders>
              <w:top w:val="single" w:sz="4" w:space="0" w:color="000000"/>
              <w:left w:val="single" w:sz="4" w:space="0" w:color="000000"/>
              <w:bottom w:val="nil" w:sz="6" w:space="0" w:color="auto"/>
              <w:right w:val="single" w:sz="4" w:space="0" w:color="000000"/>
            </w:tcBorders>
            <w:shd w:val="clear" w:color="auto" w:fill="D2D2D2"/>
          </w:tcPr>
          <w:p>
            <w:pPr/>
          </w:p>
        </w:tc>
        <w:tc>
          <w:tcPr>
            <w:tcW w:w="350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4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5" w:type="dxa"/>
            <w:gridSpan w:val="3"/>
            <w:vMerge/>
            <w:tcBorders>
              <w:left w:val="single" w:sz="4" w:space="0" w:color="000000"/>
              <w:bottom w:val="single" w:sz="4" w:space="0" w:color="000000"/>
              <w:right w:val="single" w:sz="4" w:space="0" w:color="000000"/>
            </w:tcBorders>
            <w:shd w:val="clear" w:color="auto" w:fill="D2D2D2"/>
          </w:tcPr>
          <w:p>
            <w:pPr/>
          </w:p>
        </w:tc>
        <w:tc>
          <w:tcPr>
            <w:tcW w:w="3501" w:type="dxa"/>
            <w:gridSpan w:val="3"/>
            <w:vMerge/>
            <w:tcBorders>
              <w:left w:val="single" w:sz="4" w:space="0" w:color="000000"/>
              <w:bottom w:val="single" w:sz="4" w:space="0" w:color="000000"/>
              <w:right w:val="single" w:sz="4" w:space="0" w:color="000000"/>
            </w:tcBorders>
            <w:shd w:val="clear" w:color="auto" w:fill="D2D2D2"/>
          </w:tcPr>
          <w:p>
            <w:pPr/>
          </w:p>
        </w:tc>
        <w:tc>
          <w:tcPr>
            <w:tcW w:w="11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202" w:hRule="exact"/>
        </w:trPr>
        <w:tc>
          <w:tcPr>
            <w:tcW w:w="1402" w:type="dxa"/>
            <w:vMerge/>
            <w:tcBorders>
              <w:left w:val="single" w:sz="4" w:space="0" w:color="000000"/>
              <w:bottom w:val="nil" w:sz="6" w:space="0" w:color="auto"/>
              <w:right w:val="single" w:sz="4" w:space="0" w:color="000000"/>
            </w:tcBorders>
            <w:shd w:val="clear" w:color="auto" w:fill="D2D2D2"/>
          </w:tcPr>
          <w:p>
            <w:pP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1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2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1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4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72"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6" w:hRule="exact"/>
        </w:trPr>
        <w:tc>
          <w:tcPr>
            <w:tcW w:w="1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03"/>
              <w:jc w:val="left"/>
              <w:rPr>
                <w:rFonts w:ascii="宋体" w:hAnsi="宋体" w:cs="宋体" w:eastAsia="宋体" w:hint="default"/>
                <w:sz w:val="18"/>
                <w:szCs w:val="18"/>
              </w:rPr>
            </w:pPr>
            <w:r>
              <w:rPr>
                <w:rFonts w:ascii="宋体" w:hAnsi="宋体" w:cs="宋体" w:eastAsia="宋体" w:hint="default"/>
                <w:spacing w:val="-3"/>
                <w:sz w:val="18"/>
                <w:szCs w:val="18"/>
              </w:rPr>
              <w:t>分期收款提供劳</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务</w:t>
            </w:r>
          </w:p>
        </w:tc>
        <w:tc>
          <w:tcPr>
            <w:tcW w:w="116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25,668,696.23</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783,038.89</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24,885,657.34</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25,614,233.96</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768,427.02</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24,845,806.94</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6.00%</w:t>
            </w:r>
          </w:p>
        </w:tc>
      </w:tr>
      <w:tr>
        <w:trPr>
          <w:trHeight w:val="710"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03"/>
              <w:jc w:val="left"/>
              <w:rPr>
                <w:rFonts w:ascii="宋体" w:hAnsi="宋体" w:cs="宋体" w:eastAsia="宋体" w:hint="default"/>
                <w:sz w:val="18"/>
                <w:szCs w:val="18"/>
              </w:rPr>
            </w:pPr>
            <w:r>
              <w:rPr>
                <w:rFonts w:ascii="宋体" w:hAnsi="宋体" w:cs="宋体" w:eastAsia="宋体" w:hint="default"/>
                <w:spacing w:val="-3"/>
                <w:sz w:val="18"/>
                <w:szCs w:val="18"/>
              </w:rPr>
              <w:t>其中：未实现融</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资收益</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-5,178,396.21</w:t>
            </w:r>
          </w:p>
        </w:tc>
        <w:tc>
          <w:tcPr>
            <w:tcW w:w="1172"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9" w:right="0"/>
              <w:jc w:val="center"/>
              <w:rPr>
                <w:rFonts w:ascii="Times New Roman" w:hAnsi="Times New Roman" w:cs="Times New Roman" w:eastAsia="Times New Roman" w:hint="default"/>
                <w:sz w:val="18"/>
                <w:szCs w:val="18"/>
              </w:rPr>
            </w:pPr>
            <w:r>
              <w:rPr>
                <w:rFonts w:ascii="Times New Roman"/>
                <w:sz w:val="18"/>
              </w:rPr>
              <w:t>-5,178,396.21</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-6,359,433.96</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-6,359,433.96</w:t>
            </w:r>
          </w:p>
        </w:tc>
        <w:tc>
          <w:tcPr>
            <w:tcW w:w="11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20,490,300.02</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783,038.89</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5" w:right="0"/>
              <w:jc w:val="center"/>
              <w:rPr>
                <w:rFonts w:ascii="Times New Roman" w:hAnsi="Times New Roman" w:cs="Times New Roman" w:eastAsia="Times New Roman" w:hint="default"/>
                <w:sz w:val="18"/>
                <w:szCs w:val="18"/>
              </w:rPr>
            </w:pPr>
            <w:r>
              <w:rPr>
                <w:rFonts w:ascii="Times New Roman"/>
                <w:sz w:val="18"/>
              </w:rPr>
              <w:t>19,707,261.13</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19,254,800.00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768,427.02</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18,486,372.98</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0"/>
        <w:jc w:val="left"/>
      </w:pPr>
      <w:r>
        <w:rPr/>
        <w:t>坏账准备减值情况</w:t>
      </w:r>
    </w:p>
    <w:p>
      <w:pPr>
        <w:pStyle w:val="BodyText"/>
        <w:spacing w:line="240" w:lineRule="auto" w:before="120"/>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4"/>
        <w:gridCol w:w="1662"/>
        <w:gridCol w:w="2098"/>
        <w:gridCol w:w="2103"/>
        <w:gridCol w:w="1800"/>
      </w:tblGrid>
      <w:tr>
        <w:trPr>
          <w:trHeight w:val="403" w:hRule="exact"/>
        </w:trPr>
        <w:tc>
          <w:tcPr>
            <w:tcW w:w="18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86"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0" w:hRule="exact"/>
        </w:trPr>
        <w:tc>
          <w:tcPr>
            <w:tcW w:w="18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5"/>
              <w:ind w:left="58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2"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3"/>
              <w:ind w:left="561" w:right="51" w:hanging="500"/>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w:t>
            </w:r>
            <w:r>
              <w:rPr>
                <w:rFonts w:ascii="宋体" w:hAnsi="宋体" w:cs="宋体" w:eastAsia="宋体" w:hint="default"/>
                <w:w w:val="101"/>
                <w:sz w:val="18"/>
                <w:szCs w:val="18"/>
              </w:rPr>
              <w:t> </w:t>
            </w:r>
            <w:r>
              <w:rPr>
                <w:rFonts w:ascii="宋体" w:hAnsi="宋体" w:cs="宋体" w:eastAsia="宋体" w:hint="default"/>
                <w:sz w:val="18"/>
                <w:szCs w:val="18"/>
              </w:rPr>
              <w:t>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76"/>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未发生信用减值</w:t>
            </w:r>
            <w:r>
              <w:rPr>
                <w:rFonts w:ascii="Times New Roman" w:hAnsi="Times New Roman" w:cs="Times New Roman" w:eastAsia="Times New Roman" w:hint="default"/>
                <w:spacing w:val="-3"/>
                <w:sz w:val="18"/>
                <w:szCs w:val="18"/>
              </w:rPr>
              <w:t>)</w:t>
            </w:r>
          </w:p>
        </w:tc>
        <w:tc>
          <w:tcPr>
            <w:tcW w:w="21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76"/>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已发生信用减值</w:t>
            </w:r>
            <w:r>
              <w:rPr>
                <w:rFonts w:ascii="Times New Roman" w:hAnsi="Times New Roman" w:cs="Times New Roman" w:eastAsia="Times New Roman" w:hint="default"/>
                <w:spacing w:val="-3"/>
                <w:sz w:val="18"/>
                <w:szCs w:val="18"/>
              </w:rPr>
              <w:t>)</w:t>
            </w:r>
          </w:p>
        </w:tc>
        <w:tc>
          <w:tcPr>
            <w:tcW w:w="1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5"/>
              <w:ind w:left="715"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5" w:hRule="exact"/>
        </w:trPr>
        <w:tc>
          <w:tcPr>
            <w:tcW w:w="18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2"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3" w:type="dxa"/>
            <w:vMerge/>
            <w:tcBorders>
              <w:left w:val="single" w:sz="4" w:space="0" w:color="000000"/>
              <w:bottom w:val="single" w:sz="4" w:space="0" w:color="000000"/>
              <w:right w:val="single" w:sz="4" w:space="0" w:color="000000"/>
            </w:tcBorders>
            <w:shd w:val="clear" w:color="auto" w:fill="D2D2D2"/>
          </w:tcPr>
          <w:p>
            <w:pPr/>
          </w:p>
        </w:tc>
        <w:tc>
          <w:tcPr>
            <w:tcW w:w="18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9"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768,427.02</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768,427.02</w:t>
            </w:r>
          </w:p>
        </w:tc>
      </w:tr>
      <w:tr>
        <w:trPr>
          <w:trHeight w:val="163" w:hRule="exact"/>
        </w:trPr>
        <w:tc>
          <w:tcPr>
            <w:tcW w:w="1894" w:type="dxa"/>
            <w:vMerge w:val="restart"/>
            <w:tcBorders>
              <w:top w:val="single" w:sz="4" w:space="0" w:color="000000"/>
              <w:left w:val="single" w:sz="4" w:space="0" w:color="000000"/>
              <w:right w:val="single" w:sz="4" w:space="0" w:color="000000"/>
            </w:tcBorders>
            <w:shd w:val="clear" w:color="auto" w:fill="D2D2D2"/>
          </w:tcPr>
          <w:p>
            <w:pPr>
              <w:pStyle w:val="TableParagraph"/>
              <w:spacing w:line="304" w:lineRule="auto" w:before="53"/>
              <w:ind w:left="11"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日余额在</w:t>
            </w:r>
            <w:r>
              <w:rPr>
                <w:rFonts w:ascii="宋体" w:hAnsi="宋体" w:cs="宋体" w:eastAsia="宋体" w:hint="default"/>
                <w:w w:val="101"/>
                <w:sz w:val="18"/>
                <w:szCs w:val="18"/>
              </w:rPr>
              <w:t> </w:t>
            </w:r>
            <w:r>
              <w:rPr>
                <w:rFonts w:ascii="宋体" w:hAnsi="宋体" w:cs="宋体" w:eastAsia="宋体" w:hint="default"/>
                <w:sz w:val="18"/>
                <w:szCs w:val="18"/>
              </w:rPr>
              <w:t>本期</w:t>
            </w:r>
          </w:p>
        </w:tc>
        <w:tc>
          <w:tcPr>
            <w:tcW w:w="1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894" w:type="dxa"/>
            <w:vMerge/>
            <w:tcBorders>
              <w:left w:val="single" w:sz="4" w:space="0" w:color="000000"/>
              <w:right w:val="single" w:sz="4" w:space="0" w:color="000000"/>
            </w:tcBorders>
            <w:shd w:val="clear" w:color="auto" w:fill="D2D2D2"/>
          </w:tcPr>
          <w:p>
            <w:pPr/>
          </w:p>
        </w:tc>
        <w:tc>
          <w:tcPr>
            <w:tcW w:w="16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7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58" w:hRule="exact"/>
        </w:trPr>
        <w:tc>
          <w:tcPr>
            <w:tcW w:w="1894" w:type="dxa"/>
            <w:vMerge/>
            <w:tcBorders>
              <w:left w:val="single" w:sz="4" w:space="0" w:color="000000"/>
              <w:bottom w:val="single" w:sz="4" w:space="0" w:color="000000"/>
              <w:right w:val="single" w:sz="4" w:space="0" w:color="000000"/>
            </w:tcBorders>
            <w:shd w:val="clear" w:color="auto" w:fill="D2D2D2"/>
          </w:tcPr>
          <w:p>
            <w:pPr/>
          </w:p>
        </w:tc>
        <w:tc>
          <w:tcPr>
            <w:tcW w:w="1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转入第二阶段</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-5,562.00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5,562.00</w:t>
            </w: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1,633.87</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12,978.00</w:t>
            </w: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14,611.87</w:t>
            </w:r>
          </w:p>
        </w:tc>
      </w:tr>
      <w:tr>
        <w:trPr>
          <w:trHeight w:val="398"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日余额</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764,498.89</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18,540.00</w:t>
            </w: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783,038.89</w:t>
            </w:r>
          </w:p>
        </w:tc>
      </w:tr>
    </w:tbl>
    <w:p>
      <w:pPr>
        <w:pStyle w:val="BodyText"/>
        <w:spacing w:line="240" w:lineRule="auto" w:before="53"/>
        <w:ind w:right="0"/>
        <w:jc w:val="left"/>
      </w:pPr>
      <w:r>
        <w:rPr>
          <w:spacing w:val="-3"/>
        </w:rPr>
        <w:t>损失准备本期变动金额重大的账面余额变动情况</w:t>
      </w:r>
    </w:p>
    <w:p>
      <w:pPr>
        <w:pStyle w:val="BodyText"/>
        <w:spacing w:line="240" w:lineRule="auto" w:before="119"/>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5"/>
          <w:szCs w:val="25"/>
        </w:rPr>
      </w:pPr>
    </w:p>
    <w:p>
      <w:pPr>
        <w:pStyle w:val="Heading4"/>
        <w:spacing w:line="240" w:lineRule="auto"/>
        <w:ind w:right="0"/>
        <w:jc w:val="left"/>
        <w:rPr>
          <w:b w:val="0"/>
          <w:bCs w:val="0"/>
        </w:rPr>
      </w:pPr>
      <w:bookmarkStart w:name="（2）因金融资产转移而终止确认的长期应收款" w:id="266"/>
      <w:bookmarkEnd w:id="266"/>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after="0" w:line="240" w:lineRule="auto"/>
        <w:jc w:val="left"/>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4"/>
        <w:spacing w:line="240" w:lineRule="auto" w:before="36"/>
        <w:ind w:right="0"/>
        <w:jc w:val="left"/>
        <w:rPr>
          <w:b w:val="0"/>
          <w:bCs w:val="0"/>
        </w:rPr>
      </w:pPr>
      <w:bookmarkStart w:name="（3）转移长期应收款且继续涉入形成的资产、负债金额" w:id="267"/>
      <w:bookmarkEnd w:id="267"/>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362" w:lineRule="auto"/>
        <w:ind w:right="10031"/>
        <w:jc w:val="left"/>
      </w:pPr>
      <w:r>
        <w:rPr/>
        <w:t>无</w:t>
      </w:r>
      <w:r>
        <w:rPr>
          <w:spacing w:val="-88"/>
        </w:rPr>
        <w:t> </w:t>
      </w:r>
      <w:r>
        <w:rPr/>
        <w:t>其他说明</w:t>
      </w:r>
    </w:p>
    <w:p>
      <w:pPr>
        <w:pStyle w:val="Heading5"/>
        <w:spacing w:line="273" w:lineRule="auto"/>
        <w:ind w:right="1037"/>
        <w:jc w:val="left"/>
      </w:pPr>
      <w:r>
        <w:rPr>
          <w:spacing w:val="-2"/>
        </w:rPr>
        <w:t>长期应收款系分期收款的医疗信息化建设项目形成的应收款项，按照实际利率法确认并摊销未确认融资收</w:t>
      </w:r>
      <w:r>
        <w:rPr>
          <w:spacing w:val="-33"/>
        </w:rPr>
        <w:t> </w:t>
      </w:r>
      <w:r>
        <w:rPr>
          <w:spacing w:val="-33"/>
        </w:rPr>
      </w:r>
      <w:r>
        <w:rPr/>
        <w:t>益。</w:t>
      </w:r>
    </w:p>
    <w:p>
      <w:pPr>
        <w:spacing w:line="240" w:lineRule="auto" w:before="9"/>
        <w:rPr>
          <w:rFonts w:ascii="宋体" w:hAnsi="宋体" w:cs="宋体" w:eastAsia="宋体" w:hint="default"/>
          <w:sz w:val="23"/>
          <w:szCs w:val="23"/>
        </w:rPr>
      </w:pPr>
    </w:p>
    <w:p>
      <w:pPr>
        <w:pStyle w:val="Heading4"/>
        <w:spacing w:line="240" w:lineRule="auto"/>
        <w:ind w:right="0"/>
        <w:jc w:val="left"/>
        <w:rPr>
          <w:b w:val="0"/>
          <w:bCs w:val="0"/>
        </w:rPr>
      </w:pPr>
      <w:bookmarkStart w:name="10、长期股权投资" w:id="268"/>
      <w:bookmarkEnd w:id="268"/>
      <w:r>
        <w:rPr>
          <w:b w:val="0"/>
          <w:bCs w:val="0"/>
        </w:rPr>
      </w:r>
      <w:r>
        <w:rPr>
          <w:rFonts w:ascii="Times New Roman" w:hAnsi="Times New Roman" w:cs="Times New Roman" w:eastAsia="Times New Roman" w:hint="default"/>
        </w:rPr>
        <w:t>10</w:t>
      </w:r>
      <w:r>
        <w:rPr/>
        <w:t>、长期股权投资</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7"/>
        <w:gridCol w:w="802"/>
        <w:gridCol w:w="797"/>
        <w:gridCol w:w="797"/>
        <w:gridCol w:w="797"/>
        <w:gridCol w:w="802"/>
        <w:gridCol w:w="797"/>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21" w:lineRule="auto"/>
              <w:ind w:left="302" w:right="27" w:hanging="269"/>
              <w:jc w:val="left"/>
              <w:rPr>
                <w:rFonts w:ascii="宋体" w:hAnsi="宋体" w:cs="宋体" w:eastAsia="宋体" w:hint="default"/>
                <w:sz w:val="18"/>
                <w:szCs w:val="18"/>
              </w:rPr>
            </w:pPr>
            <w:r>
              <w:rPr>
                <w:rFonts w:ascii="宋体" w:hAnsi="宋体" w:cs="宋体" w:eastAsia="宋体" w:hint="default"/>
                <w:sz w:val="18"/>
                <w:szCs w:val="18"/>
              </w:rPr>
              <w:t>被投资单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09" w:lineRule="auto"/>
              <w:ind w:left="33" w:right="26"/>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期初余额</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账面价</w:t>
            </w:r>
            <w:r>
              <w:rPr>
                <w:rFonts w:ascii="宋体" w:hAnsi="宋体" w:cs="宋体" w:eastAsia="宋体" w:hint="default"/>
                <w:w w:val="101"/>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63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09" w:lineRule="auto"/>
              <w:ind w:left="33" w:right="27"/>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期末余额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账面价</w:t>
            </w:r>
            <w:r>
              <w:rPr>
                <w:rFonts w:ascii="宋体" w:hAnsi="宋体" w:cs="宋体" w:eastAsia="宋体" w:hint="default"/>
                <w:w w:val="101"/>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21" w:lineRule="auto"/>
              <w:ind w:left="33" w:right="26"/>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期末余额</w:t>
            </w:r>
          </w:p>
        </w:tc>
      </w:tr>
      <w:tr>
        <w:trPr>
          <w:trHeight w:val="1028"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33" w:right="27"/>
              <w:jc w:val="both"/>
              <w:rPr>
                <w:rFonts w:ascii="宋体" w:hAnsi="宋体" w:cs="宋体" w:eastAsia="宋体" w:hint="default"/>
                <w:sz w:val="18"/>
                <w:szCs w:val="18"/>
              </w:rPr>
            </w:pPr>
            <w:r>
              <w:rPr>
                <w:rFonts w:ascii="宋体" w:hAnsi="宋体" w:cs="宋体" w:eastAsia="宋体" w:hint="default"/>
                <w:sz w:val="18"/>
                <w:szCs w:val="18"/>
              </w:rPr>
              <w:t>权益法下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确认的投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资损益</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收益调整</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15" w:right="26" w:hanging="183"/>
              <w:jc w:val="left"/>
              <w:rPr>
                <w:rFonts w:ascii="宋体" w:hAnsi="宋体" w:cs="宋体" w:eastAsia="宋体" w:hint="default"/>
                <w:sz w:val="18"/>
                <w:szCs w:val="18"/>
              </w:rPr>
            </w:pPr>
            <w:r>
              <w:rPr>
                <w:rFonts w:ascii="宋体" w:hAnsi="宋体" w:cs="宋体" w:eastAsia="宋体" w:hint="default"/>
                <w:sz w:val="18"/>
                <w:szCs w:val="18"/>
              </w:rPr>
              <w:t>其他权益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33" w:right="27"/>
              <w:jc w:val="both"/>
              <w:rPr>
                <w:rFonts w:ascii="宋体" w:hAnsi="宋体" w:cs="宋体" w:eastAsia="宋体" w:hint="default"/>
                <w:sz w:val="18"/>
                <w:szCs w:val="18"/>
              </w:rPr>
            </w:pPr>
            <w:r>
              <w:rPr>
                <w:rFonts w:ascii="宋体" w:hAnsi="宋体" w:cs="宋体" w:eastAsia="宋体" w:hint="default"/>
                <w:sz w:val="18"/>
                <w:szCs w:val="18"/>
              </w:rPr>
              <w:t>宣告发放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现金股利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或利润</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15" w:right="27" w:hanging="183"/>
              <w:jc w:val="left"/>
              <w:rPr>
                <w:rFonts w:ascii="宋体" w:hAnsi="宋体" w:cs="宋体" w:eastAsia="宋体" w:hint="default"/>
                <w:sz w:val="18"/>
                <w:szCs w:val="18"/>
              </w:rPr>
            </w:pPr>
            <w:r>
              <w:rPr>
                <w:rFonts w:ascii="宋体" w:hAnsi="宋体" w:cs="宋体" w:eastAsia="宋体" w:hint="default"/>
                <w:sz w:val="18"/>
                <w:szCs w:val="18"/>
              </w:rPr>
              <w:t>计提减值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准备</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1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964"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中原和仁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医疗科技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p>
            <w:pPr>
              <w:pStyle w:val="TableParagraph"/>
              <w:spacing w:line="319" w:lineRule="auto" w:before="19"/>
              <w:ind w:left="24" w:right="36"/>
              <w:jc w:val="both"/>
              <w:rPr>
                <w:rFonts w:ascii="宋体" w:hAnsi="宋体" w:cs="宋体" w:eastAsia="宋体" w:hint="default"/>
                <w:sz w:val="18"/>
                <w:szCs w:val="18"/>
              </w:rPr>
            </w:pPr>
            <w:r>
              <w:rPr>
                <w:rFonts w:ascii="宋体" w:hAnsi="宋体" w:cs="宋体" w:eastAsia="宋体" w:hint="default"/>
                <w:sz w:val="18"/>
                <w:szCs w:val="18"/>
              </w:rPr>
              <w:t>（以下简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称中原和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仁公司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-1,701,88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0.30</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1,798,119</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.70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-1,701,88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0.30</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1,798,119</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.70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-1,701,88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0.30</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1,798,119</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.70</w:t>
            </w: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3"/>
        <w:ind w:right="0"/>
        <w:jc w:val="left"/>
      </w:pPr>
      <w:r>
        <w:rPr/>
        <w:t>其他说明</w:t>
      </w: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bookmarkStart w:name="11、投资性房地产" w:id="269"/>
      <w:bookmarkEnd w:id="269"/>
      <w:r>
        <w:rPr>
          <w:b w:val="0"/>
          <w:bCs w:val="0"/>
        </w:rPr>
      </w:r>
      <w:r>
        <w:rPr>
          <w:rFonts w:ascii="Times New Roman" w:hAnsi="Times New Roman" w:cs="Times New Roman" w:eastAsia="Times New Roman" w:hint="default"/>
        </w:rPr>
        <w:t>11</w:t>
      </w:r>
      <w:r>
        <w:rPr/>
        <w:t>、投资性房地产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采用成本计量模式的投资性房地产" w:id="270"/>
      <w:bookmarkEnd w:id="270"/>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3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73,180,024.73</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73,180,024.73</w:t>
            </w:r>
          </w:p>
        </w:tc>
      </w:tr>
      <w:tr>
        <w:trPr>
          <w:trHeight w:val="399"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8,331,128.24</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8,331,128.24</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3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345" w:right="0"/>
              <w:jc w:val="left"/>
              <w:rPr>
                <w:rFonts w:ascii="宋体" w:hAnsi="宋体" w:cs="宋体" w:eastAsia="宋体"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）存货</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固定资产</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8,331,128.24</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8,331,128.24</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360"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9"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）企业合并增加</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本期减少金额</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81,511,152.97</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81,511,152.97</w:t>
            </w:r>
          </w:p>
        </w:tc>
      </w:tr>
      <w:tr>
        <w:trPr>
          <w:trHeight w:val="710"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2"/>
                <w:sz w:val="18"/>
                <w:szCs w:val="18"/>
              </w:rPr>
              <w:t>二、累计折旧和累计摊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销</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5,906,590.21</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5,906,590.21</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5,043,910.54</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5,043,910.54</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3,748,040.70</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3,748,040.70</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19"/>
                <w:sz w:val="18"/>
                <w:szCs w:val="18"/>
              </w:rPr>
              <w:t> </w:t>
            </w:r>
            <w:r>
              <w:rPr>
                <w:rFonts w:ascii="宋体" w:hAnsi="宋体" w:cs="宋体" w:eastAsia="宋体" w:hint="default"/>
                <w:spacing w:val="-3"/>
                <w:sz w:val="18"/>
                <w:szCs w:val="18"/>
              </w:rPr>
              <w:t>固定资产转入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1,295,869.84</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1,295,869.84</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本期减少金额</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10,950,500.75</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10,950,500.75</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、本期减少金额</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期末账面价值</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70,560,652.22</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70,560,652.22</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期初账面价值</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67,273,434.52</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67,273,434.52</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采用公允价值计量模式的投资性房地产" w:id="271"/>
      <w:bookmarkEnd w:id="271"/>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4"/>
        <w:spacing w:line="240" w:lineRule="auto" w:before="36"/>
        <w:ind w:right="0"/>
        <w:jc w:val="left"/>
        <w:rPr>
          <w:b w:val="0"/>
          <w:bCs w:val="0"/>
        </w:rPr>
      </w:pPr>
      <w:bookmarkStart w:name="（3）未办妥产权证书的投资性房地产情况" w:id="272"/>
      <w:bookmarkEnd w:id="272"/>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82" w:right="0"/>
              <w:jc w:val="left"/>
              <w:rPr>
                <w:rFonts w:ascii="宋体" w:hAnsi="宋体" w:cs="宋体" w:eastAsia="宋体" w:hint="default"/>
                <w:sz w:val="18"/>
                <w:szCs w:val="18"/>
              </w:rPr>
            </w:pPr>
            <w:r>
              <w:rPr>
                <w:rFonts w:ascii="宋体" w:hAnsi="宋体" w:cs="宋体" w:eastAsia="宋体" w:hint="default"/>
                <w:spacing w:val="-3"/>
                <w:sz w:val="18"/>
                <w:szCs w:val="18"/>
              </w:rPr>
              <w:t>未办妥产权证书原因</w:t>
            </w:r>
          </w:p>
        </w:tc>
      </w:tr>
    </w:tbl>
    <w:p>
      <w:pPr>
        <w:pStyle w:val="BodyText"/>
        <w:spacing w:line="240" w:lineRule="auto" w:before="53"/>
        <w:ind w:right="0"/>
        <w:jc w:val="left"/>
      </w:pPr>
      <w:r>
        <w:rPr/>
        <w:t>其他说明</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bookmarkStart w:name="12、固定资产" w:id="273"/>
      <w:bookmarkEnd w:id="273"/>
      <w:r>
        <w:rPr>
          <w:b w:val="0"/>
          <w:bCs w:val="0"/>
        </w:rPr>
      </w:r>
      <w:r>
        <w:rPr>
          <w:rFonts w:ascii="Times New Roman" w:hAnsi="Times New Roman" w:cs="Times New Roman" w:eastAsia="Times New Roman" w:hint="default"/>
        </w:rPr>
        <w:t>12</w:t>
      </w:r>
      <w:r>
        <w:rPr/>
        <w:t>、固定资产</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85,943,289.73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97,826,733.17</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85,943,289.73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97,826,733.17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1）固定资产情况" w:id="274"/>
      <w:bookmarkEnd w:id="274"/>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928"/>
        <w:gridCol w:w="1911"/>
        <w:gridCol w:w="1916"/>
        <w:gridCol w:w="1916"/>
      </w:tblGrid>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5"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99"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一、账面原值：</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101,186,489.35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14,258,433.00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1,116,153.68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116,561,076.03</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1,063,761.25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2,367,504.32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3,434,965.57</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2,367,504.32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2,371,204.32</w:t>
            </w:r>
          </w:p>
        </w:tc>
      </w:tr>
      <w:tr>
        <w:trPr>
          <w:trHeight w:val="399"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）在建工程转入</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）企业合并增加</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5"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）工程结算</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1,063,761.25</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1,063,761.25</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8,331,128.24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2,516,689.58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306,970.94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11,154,788.76</w:t>
            </w:r>
          </w:p>
        </w:tc>
      </w:tr>
      <w:tr>
        <w:trPr>
          <w:trHeight w:val="399"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819,754.70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819,754.70</w:t>
            </w:r>
          </w:p>
        </w:tc>
      </w:tr>
      <w:tr>
        <w:trPr>
          <w:trHeight w:val="715"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1" w:right="182" w:firstLine="54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转出至投</w:t>
            </w:r>
            <w:r>
              <w:rPr>
                <w:rFonts w:ascii="宋体" w:hAnsi="宋体" w:cs="宋体" w:eastAsia="宋体" w:hint="default"/>
                <w:w w:val="101"/>
                <w:sz w:val="18"/>
                <w:szCs w:val="18"/>
              </w:rPr>
              <w:t> </w:t>
            </w:r>
            <w:r>
              <w:rPr>
                <w:rFonts w:ascii="宋体" w:hAnsi="宋体" w:cs="宋体" w:eastAsia="宋体" w:hint="default"/>
                <w:sz w:val="18"/>
                <w:szCs w:val="18"/>
              </w:rPr>
              <w:t>资性房地产</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8,331,128.24</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8,331,128.24</w:t>
            </w:r>
          </w:p>
        </w:tc>
      </w:tr>
      <w:tr>
        <w:trPr>
          <w:trHeight w:val="716"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182" w:firstLine="54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处置子公</w:t>
            </w:r>
            <w:r>
              <w:rPr>
                <w:rFonts w:ascii="宋体" w:hAnsi="宋体" w:cs="宋体" w:eastAsia="宋体" w:hint="default"/>
                <w:w w:val="101"/>
                <w:sz w:val="18"/>
                <w:szCs w:val="18"/>
              </w:rPr>
              <w:t> </w:t>
            </w:r>
            <w:r>
              <w:rPr>
                <w:rFonts w:ascii="宋体" w:hAnsi="宋体" w:cs="宋体" w:eastAsia="宋体" w:hint="default"/>
                <w:sz w:val="18"/>
                <w:szCs w:val="18"/>
              </w:rPr>
              <w:t>司转出</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1,696,934.88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306,970.94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2,003,905.82</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93,919,122.36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14,109,247.74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812,882.74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108,841,252.84</w:t>
            </w:r>
          </w:p>
        </w:tc>
      </w:tr>
      <w:tr>
        <w:trPr>
          <w:trHeight w:val="398"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9,325,954.27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8,687,721.05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720,667.54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18,734,342.86</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4,587,347.32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2,793,263.31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197,544.27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7,578,154.90</w:t>
            </w:r>
          </w:p>
        </w:tc>
      </w:tr>
      <w:tr>
        <w:trPr>
          <w:trHeight w:val="40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4,587,347.32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2,793,263.31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197,544.27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7,578,154.90</w:t>
            </w:r>
          </w:p>
        </w:tc>
      </w:tr>
      <w:tr>
        <w:trPr>
          <w:trHeight w:val="398"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8" w:type="dxa"/>
            <w:tcBorders>
              <w:top w:val="single" w:sz="4" w:space="0" w:color="000000"/>
              <w:left w:val="single" w:sz="13"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04"/>
        <w:gridCol w:w="1928"/>
        <w:gridCol w:w="1911"/>
        <w:gridCol w:w="1916"/>
        <w:gridCol w:w="1916"/>
      </w:tblGrid>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1,295,869.82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1,962,713.32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155,951.51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3,414,534.65</w:t>
            </w:r>
          </w:p>
        </w:tc>
      </w:tr>
      <w:tr>
        <w:trPr>
          <w:trHeight w:val="398"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54"/>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）处置或报废</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693,211.85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693,211.85</w:t>
            </w:r>
          </w:p>
        </w:tc>
      </w:tr>
      <w:tr>
        <w:trPr>
          <w:trHeight w:val="716"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18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1"/>
                <w:sz w:val="18"/>
                <w:szCs w:val="18"/>
              </w:rPr>
              <w:t> </w:t>
            </w:r>
            <w:r>
              <w:rPr>
                <w:rFonts w:ascii="宋体" w:hAnsi="宋体" w:cs="宋体" w:eastAsia="宋体" w:hint="default"/>
                <w:spacing w:val="-3"/>
                <w:sz w:val="18"/>
                <w:szCs w:val="18"/>
              </w:rPr>
              <w:t>转出至投资性房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地产</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1,295,869.82</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1,295,869.82</w:t>
            </w: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处置子公司转出</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1,269,501.47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155,951.51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1,425,452.98</w:t>
            </w: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12,617,431.77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9,518,271.04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762,260.30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22,897,963.11</w:t>
            </w:r>
          </w:p>
        </w:tc>
      </w:tr>
      <w:tr>
        <w:trPr>
          <w:trHeight w:val="398"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8" w:type="dxa"/>
            <w:tcBorders>
              <w:top w:val="single" w:sz="4" w:space="0" w:color="000000"/>
              <w:left w:val="single" w:sz="13"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54"/>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）处置或报废</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8" w:type="dxa"/>
            <w:tcBorders>
              <w:top w:val="single" w:sz="4" w:space="0" w:color="000000"/>
              <w:left w:val="single" w:sz="13"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81,301,690.59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4,590,976.70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50,622.44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85,943,289.73</w:t>
            </w: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91,860,535.08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5,570,711.95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395,486.14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97,826,733.17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暂时闲置的固定资产情况" w:id="275"/>
      <w:bookmarkEnd w:id="275"/>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3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3）通过融资租赁租入的固定资产情况" w:id="276"/>
      <w:bookmarkEnd w:id="276"/>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3"/>
        <w:gridCol w:w="1919"/>
        <w:gridCol w:w="1911"/>
        <w:gridCol w:w="1916"/>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4）通过经营租赁租出的固定资产" w:id="277"/>
      <w:bookmarkEnd w:id="277"/>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5）未办妥产权证书的固定资产情况" w:id="278"/>
      <w:bookmarkEnd w:id="278"/>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1"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pStyle w:val="BodyText"/>
        <w:spacing w:line="240" w:lineRule="auto" w:before="46"/>
        <w:ind w:right="0"/>
        <w:jc w:val="left"/>
      </w:pPr>
      <w:r>
        <w:rPr/>
        <w:t>其他说明</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6）固定资产清理" w:id="279"/>
      <w:bookmarkEnd w:id="279"/>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3"/>
        <w:ind w:right="0"/>
        <w:jc w:val="left"/>
      </w:pPr>
      <w:r>
        <w:rPr/>
        <w:t>其他说明</w:t>
      </w: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bookmarkStart w:name="13、无形资产" w:id="280"/>
      <w:bookmarkEnd w:id="280"/>
      <w:r>
        <w:rPr>
          <w:b w:val="0"/>
          <w:bCs w:val="0"/>
        </w:rPr>
      </w:r>
      <w:r>
        <w:rPr>
          <w:rFonts w:ascii="Times New Roman" w:hAnsi="Times New Roman" w:cs="Times New Roman" w:eastAsia="Times New Roman" w:hint="default"/>
        </w:rPr>
        <w:t>13</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无形资产情况" w:id="281"/>
      <w:bookmarkEnd w:id="281"/>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70"/>
        <w:gridCol w:w="1606"/>
        <w:gridCol w:w="1595"/>
        <w:gridCol w:w="1594"/>
        <w:gridCol w:w="1594"/>
        <w:gridCol w:w="1599"/>
      </w:tblGrid>
      <w:tr>
        <w:trPr>
          <w:trHeight w:val="404"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5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40"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4,964,600.00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10,191,076.49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15,155,676.49</w:t>
            </w:r>
          </w:p>
        </w:tc>
      </w:tr>
      <w:tr>
        <w:trPr>
          <w:trHeight w:val="716"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3,325,330.31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3,325,330.31</w:t>
            </w: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92"/>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）购置</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11,793.62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11,793.62</w:t>
            </w:r>
          </w:p>
        </w:tc>
      </w:tr>
      <w:tr>
        <w:trPr>
          <w:trHeight w:val="715"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w w:val="101"/>
                <w:sz w:val="18"/>
                <w:szCs w:val="18"/>
              </w:rPr>
              <w:t>发</w:t>
            </w:r>
            <w:r>
              <w:rPr>
                <w:rFonts w:ascii="宋体" w:hAnsi="宋体" w:cs="宋体" w:eastAsia="宋体" w:hint="default"/>
                <w:sz w:val="18"/>
                <w:szCs w:val="18"/>
              </w:rPr>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3,313,536.69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3,313,536.69</w:t>
            </w:r>
          </w:p>
        </w:tc>
      </w:tr>
      <w:tr>
        <w:trPr>
          <w:trHeight w:val="711"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11" w:firstLine="542"/>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w:t>
            </w:r>
            <w:r>
              <w:rPr>
                <w:rFonts w:ascii="宋体" w:hAnsi="宋体" w:cs="宋体" w:eastAsia="宋体" w:hint="default"/>
                <w:w w:val="101"/>
                <w:sz w:val="18"/>
                <w:szCs w:val="18"/>
              </w:rPr>
              <w:t> </w:t>
            </w:r>
            <w:r>
              <w:rPr>
                <w:rFonts w:ascii="宋体" w:hAnsi="宋体" w:cs="宋体" w:eastAsia="宋体" w:hint="default"/>
                <w:sz w:val="18"/>
                <w:szCs w:val="18"/>
              </w:rPr>
              <w:t>并增加</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4"/>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本期减少金额</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2,657,477.22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2,657,477.22</w:t>
            </w: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92"/>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）处置</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2,657,477.22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2,657,477.22</w:t>
            </w:r>
          </w:p>
        </w:tc>
      </w:tr>
      <w:tr>
        <w:trPr>
          <w:trHeight w:val="399"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4,964,600.00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10,858,929.58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15,823,529.58</w:t>
            </w: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628,849.08</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4,429,077.04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5,057,926.12</w:t>
            </w:r>
          </w:p>
        </w:tc>
      </w:tr>
      <w:tr>
        <w:trPr>
          <w:trHeight w:val="711"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99,291.96</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1,818,787.41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1,918,079.37</w:t>
            </w: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92"/>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）计提</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99,291.96</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1,818,787.41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1,918,079.37</w:t>
            </w: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1,645,548.45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1,645,548.45</w:t>
            </w:r>
          </w:p>
        </w:tc>
      </w:tr>
      <w:tr>
        <w:trPr>
          <w:trHeight w:val="398"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92"/>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）处置</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1,645,548.45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1,645,548.45</w:t>
            </w: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82"/>
        <w:gridCol w:w="1606"/>
        <w:gridCol w:w="1595"/>
        <w:gridCol w:w="1594"/>
        <w:gridCol w:w="1594"/>
        <w:gridCol w:w="1599"/>
      </w:tblGrid>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728,141.04</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4,602,316.00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5,330,457.04</w:t>
            </w:r>
          </w:p>
        </w:tc>
      </w:tr>
      <w:tr>
        <w:trPr>
          <w:trHeight w:val="398"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值</w:t>
            </w:r>
            <w:r>
              <w:rPr>
                <w:rFonts w:ascii="宋体" w:hAnsi="宋体" w:cs="宋体" w:eastAsia="宋体" w:hint="default"/>
                <w:sz w:val="18"/>
                <w:szCs w:val="18"/>
              </w:rPr>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4,236,458.96</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6,256,613.58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10,493,072.54</w:t>
            </w:r>
          </w:p>
        </w:tc>
      </w:tr>
      <w:tr>
        <w:trPr>
          <w:trHeight w:val="716"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值</w:t>
            </w:r>
            <w:r>
              <w:rPr>
                <w:rFonts w:ascii="宋体" w:hAnsi="宋体" w:cs="宋体" w:eastAsia="宋体" w:hint="default"/>
                <w:sz w:val="18"/>
                <w:szCs w:val="18"/>
              </w:rPr>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4,335,750.92</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5,761,999.45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10,097,750.37</w:t>
            </w:r>
          </w:p>
        </w:tc>
      </w:tr>
    </w:tbl>
    <w:p>
      <w:pPr>
        <w:pStyle w:val="BodyText"/>
        <w:spacing w:line="240" w:lineRule="auto" w:before="53"/>
        <w:ind w:right="0"/>
        <w:jc w:val="left"/>
      </w:pPr>
      <w:r>
        <w:rPr>
          <w:spacing w:val="-3"/>
        </w:rPr>
        <w:t>本期末通过公司内部研发形成的无形资产占无形资产余额的比例</w:t>
      </w:r>
      <w:r>
        <w:rPr>
          <w:spacing w:val="38"/>
        </w:rPr>
        <w:t> </w:t>
      </w:r>
      <w:r>
        <w:rPr>
          <w:rFonts w:ascii="Times New Roman" w:hAnsi="Times New Roman" w:cs="Times New Roman" w:eastAsia="Times New Roman" w:hint="default"/>
        </w:rPr>
        <w:t>46.87%</w:t>
      </w:r>
      <w:r>
        <w:rPr/>
        <w:t>。</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bookmarkStart w:name="（2）未办妥产权证书的土地使用权情况" w:id="282"/>
      <w:bookmarkEnd w:id="282"/>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1"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3"/>
        <w:ind w:right="0"/>
        <w:jc w:val="left"/>
      </w:pPr>
      <w:r>
        <w:rPr/>
        <w:t>其他说明：</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14、开发支出" w:id="283"/>
      <w:bookmarkEnd w:id="283"/>
      <w:r>
        <w:rPr>
          <w:b w:val="0"/>
          <w:bCs w:val="0"/>
        </w:rPr>
      </w:r>
      <w:r>
        <w:rPr>
          <w:rFonts w:ascii="Times New Roman" w:hAnsi="Times New Roman" w:cs="Times New Roman" w:eastAsia="Times New Roman" w:hint="default"/>
        </w:rPr>
        <w:t>14</w:t>
      </w:r>
      <w:r>
        <w:rPr/>
        <w:t>、开发支出</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049"/>
        <w:gridCol w:w="1066"/>
        <w:gridCol w:w="1061"/>
        <w:gridCol w:w="1066"/>
        <w:gridCol w:w="1061"/>
        <w:gridCol w:w="1066"/>
        <w:gridCol w:w="1061"/>
        <w:gridCol w:w="1066"/>
        <w:gridCol w:w="1061"/>
      </w:tblGrid>
      <w:tr>
        <w:trPr>
          <w:trHeight w:val="398" w:hRule="exact"/>
        </w:trPr>
        <w:tc>
          <w:tcPr>
            <w:tcW w:w="10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3" w:hRule="exact"/>
        </w:trPr>
        <w:tc>
          <w:tcPr>
            <w:tcW w:w="10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33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1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3"/>
              <w:ind w:left="436" w:right="69" w:hanging="360"/>
              <w:jc w:val="left"/>
              <w:rPr>
                <w:rFonts w:ascii="宋体" w:hAnsi="宋体" w:cs="宋体" w:eastAsia="宋体" w:hint="default"/>
                <w:sz w:val="18"/>
                <w:szCs w:val="18"/>
              </w:rPr>
            </w:pPr>
            <w:r>
              <w:rPr>
                <w:rFonts w:ascii="宋体" w:hAnsi="宋体" w:cs="宋体" w:eastAsia="宋体" w:hint="default"/>
                <w:spacing w:val="-2"/>
                <w:sz w:val="18"/>
                <w:szCs w:val="18"/>
              </w:rPr>
              <w:t>内部开发支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出</w:t>
            </w:r>
          </w:p>
        </w:tc>
        <w:tc>
          <w:tcPr>
            <w:tcW w:w="10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3"/>
              <w:ind w:left="345" w:right="75" w:hanging="269"/>
              <w:jc w:val="left"/>
              <w:rPr>
                <w:rFonts w:ascii="宋体" w:hAnsi="宋体" w:cs="宋体" w:eastAsia="宋体" w:hint="default"/>
                <w:sz w:val="18"/>
                <w:szCs w:val="18"/>
              </w:rPr>
            </w:pPr>
            <w:r>
              <w:rPr>
                <w:rFonts w:ascii="宋体" w:hAnsi="宋体" w:cs="宋体" w:eastAsia="宋体" w:hint="default"/>
                <w:spacing w:val="-2"/>
                <w:sz w:val="18"/>
                <w:szCs w:val="18"/>
              </w:rPr>
              <w:t>确认为无形</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资产</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转入当期损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益</w:t>
            </w:r>
          </w:p>
        </w:tc>
        <w:tc>
          <w:tcPr>
            <w:tcW w:w="10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16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1049" w:type="dxa"/>
            <w:vMerge/>
            <w:tcBorders>
              <w:left w:val="single" w:sz="4" w:space="0" w:color="000000"/>
              <w:bottom w:val="nil" w:sz="6" w:space="0" w:color="auto"/>
              <w:right w:val="single" w:sz="4" w:space="0" w:color="000000"/>
            </w:tcBorders>
            <w:shd w:val="clear" w:color="auto" w:fill="D2D2D2"/>
          </w:tcPr>
          <w:p>
            <w:pPr/>
          </w:p>
        </w:tc>
        <w:tc>
          <w:tcPr>
            <w:tcW w:w="1066" w:type="dxa"/>
            <w:vMerge/>
            <w:tcBorders>
              <w:left w:val="single" w:sz="4" w:space="0" w:color="000000"/>
              <w:bottom w:val="nil" w:sz="6" w:space="0" w:color="auto"/>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1" w:type="dxa"/>
            <w:vMerge w:val="restart"/>
            <w:tcBorders>
              <w:top w:val="nil" w:sz="6" w:space="0" w:color="auto"/>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6" w:type="dxa"/>
            <w:vMerge w:val="restart"/>
            <w:tcBorders>
              <w:top w:val="nil" w:sz="6" w:space="0" w:color="auto"/>
              <w:left w:val="single" w:sz="4" w:space="0" w:color="000000"/>
              <w:right w:val="single" w:sz="4" w:space="0" w:color="000000"/>
            </w:tcBorders>
            <w:shd w:val="clear" w:color="auto" w:fill="D2D2D2"/>
          </w:tcPr>
          <w:p>
            <w:pPr/>
          </w:p>
        </w:tc>
        <w:tc>
          <w:tcPr>
            <w:tcW w:w="106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049" w:type="dxa"/>
            <w:vMerge w:val="restart"/>
            <w:tcBorders>
              <w:top w:val="nil" w:sz="6" w:space="0" w:color="auto"/>
              <w:left w:val="single" w:sz="4" w:space="0" w:color="000000"/>
              <w:right w:val="single" w:sz="4" w:space="0" w:color="000000"/>
            </w:tcBorders>
            <w:shd w:val="clear" w:color="auto" w:fill="D2D2D2"/>
          </w:tcPr>
          <w:p>
            <w:pPr/>
          </w:p>
        </w:tc>
        <w:tc>
          <w:tcPr>
            <w:tcW w:w="1066" w:type="dxa"/>
            <w:vMerge w:val="restart"/>
            <w:tcBorders>
              <w:top w:val="nil" w:sz="6" w:space="0" w:color="auto"/>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bottom w:val="nil" w:sz="6" w:space="0" w:color="auto"/>
              <w:right w:val="single" w:sz="4" w:space="0" w:color="000000"/>
            </w:tcBorders>
            <w:shd w:val="clear" w:color="auto" w:fill="D2D2D2"/>
          </w:tcPr>
          <w:p>
            <w:pPr/>
          </w:p>
        </w:tc>
        <w:tc>
          <w:tcPr>
            <w:tcW w:w="1061" w:type="dxa"/>
            <w:vMerge/>
            <w:tcBorders>
              <w:left w:val="single" w:sz="4" w:space="0" w:color="000000"/>
              <w:bottom w:val="nil" w:sz="6" w:space="0" w:color="auto"/>
              <w:right w:val="single" w:sz="4" w:space="0" w:color="000000"/>
            </w:tcBorders>
            <w:shd w:val="clear" w:color="auto" w:fill="D2D2D2"/>
          </w:tcPr>
          <w:p>
            <w:pPr/>
          </w:p>
        </w:tc>
        <w:tc>
          <w:tcPr>
            <w:tcW w:w="1066"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bottom w:val="nil" w:sz="6" w:space="0" w:color="auto"/>
              <w:right w:val="single" w:sz="4" w:space="0" w:color="000000"/>
            </w:tcBorders>
            <w:shd w:val="clear" w:color="auto" w:fill="D2D2D2"/>
          </w:tcPr>
          <w:p>
            <w:pPr/>
          </w:p>
        </w:tc>
        <w:tc>
          <w:tcPr>
            <w:tcW w:w="1061" w:type="dxa"/>
            <w:vMerge w:val="restart"/>
            <w:tcBorders>
              <w:top w:val="nil" w:sz="6" w:space="0" w:color="auto"/>
              <w:left w:val="single" w:sz="4" w:space="0" w:color="000000"/>
              <w:right w:val="single" w:sz="4" w:space="0" w:color="000000"/>
            </w:tcBorders>
            <w:shd w:val="clear" w:color="auto" w:fill="D2D2D2"/>
          </w:tcPr>
          <w:p>
            <w:pPr/>
          </w:p>
        </w:tc>
      </w:tr>
      <w:tr>
        <w:trPr>
          <w:trHeight w:val="159" w:hRule="exact"/>
        </w:trPr>
        <w:tc>
          <w:tcPr>
            <w:tcW w:w="1049"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7"/>
              <w:jc w:val="center"/>
              <w:rPr>
                <w:rFonts w:ascii="Times New Roman" w:hAnsi="Times New Roman" w:cs="Times New Roman" w:eastAsia="Times New Roman" w:hint="default"/>
                <w:sz w:val="18"/>
                <w:szCs w:val="18"/>
              </w:rPr>
            </w:pPr>
            <w:r>
              <w:rPr>
                <w:rFonts w:ascii="Times New Roman"/>
                <w:spacing w:val="-4"/>
                <w:sz w:val="18"/>
              </w:rPr>
              <w:t>SMART</w:t>
            </w:r>
            <w:r>
              <w:rPr>
                <w:rFonts w:ascii="Times New Roman"/>
                <w:spacing w:val="10"/>
                <w:sz w:val="18"/>
              </w:rPr>
              <w:t> </w:t>
            </w:r>
            <w:r>
              <w:rPr>
                <w:rFonts w:ascii="Times New Roman"/>
                <w:spacing w:val="-4"/>
                <w:sz w:val="18"/>
              </w:rPr>
              <w:t>HIS</w:t>
            </w:r>
          </w:p>
        </w:tc>
        <w:tc>
          <w:tcPr>
            <w:tcW w:w="10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1,635,147.41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1,678,389.28</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3,313,536.69</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1,635,147.41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1,678,389.28</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3,313,536.69</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3"/>
        <w:ind w:right="0"/>
        <w:jc w:val="left"/>
      </w:pPr>
      <w:r>
        <w:rPr/>
        <w:t>其他说明</w:t>
      </w:r>
    </w:p>
    <w:p>
      <w:pPr>
        <w:spacing w:after="0" w:line="240" w:lineRule="auto"/>
        <w:jc w:val="left"/>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4"/>
        <w:spacing w:line="240" w:lineRule="auto" w:before="36"/>
        <w:ind w:right="0"/>
        <w:jc w:val="left"/>
        <w:rPr>
          <w:b w:val="0"/>
          <w:bCs w:val="0"/>
        </w:rPr>
      </w:pPr>
      <w:bookmarkStart w:name="15、商誉" w:id="284"/>
      <w:bookmarkEnd w:id="284"/>
      <w:r>
        <w:rPr>
          <w:b w:val="0"/>
          <w:bCs w:val="0"/>
        </w:rPr>
      </w:r>
      <w:r>
        <w:rPr>
          <w:rFonts w:ascii="Times New Roman" w:hAnsi="Times New Roman" w:cs="Times New Roman" w:eastAsia="Times New Roman" w:hint="default"/>
        </w:rPr>
        <w:t>15</w:t>
      </w:r>
      <w:r>
        <w:rPr/>
        <w:t>、商誉</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1）商誉账面原值" w:id="285"/>
      <w:bookmarkEnd w:id="285"/>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5"/>
        <w:gridCol w:w="1380"/>
        <w:gridCol w:w="1364"/>
        <w:gridCol w:w="1368"/>
        <w:gridCol w:w="1368"/>
        <w:gridCol w:w="1369"/>
        <w:gridCol w:w="1369"/>
      </w:tblGrid>
      <w:tr>
        <w:trPr>
          <w:trHeight w:val="317" w:hRule="exact"/>
        </w:trPr>
        <w:tc>
          <w:tcPr>
            <w:tcW w:w="134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5" w:right="34"/>
              <w:jc w:val="center"/>
              <w:rPr>
                <w:rFonts w:ascii="宋体" w:hAnsi="宋体" w:cs="宋体" w:eastAsia="宋体" w:hint="default"/>
                <w:sz w:val="18"/>
                <w:szCs w:val="18"/>
              </w:rPr>
            </w:pPr>
            <w:r>
              <w:rPr>
                <w:rFonts w:ascii="宋体" w:hAnsi="宋体" w:cs="宋体" w:eastAsia="宋体" w:hint="default"/>
                <w:spacing w:val="-3"/>
                <w:sz w:val="18"/>
                <w:szCs w:val="18"/>
              </w:rPr>
              <w:t>被投资单位名称</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或形成商誉的事</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项</w:t>
            </w:r>
          </w:p>
        </w:tc>
        <w:tc>
          <w:tcPr>
            <w:tcW w:w="1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2" w:hRule="exact"/>
        </w:trPr>
        <w:tc>
          <w:tcPr>
            <w:tcW w:w="1345" w:type="dxa"/>
            <w:vMerge/>
            <w:tcBorders>
              <w:left w:val="single" w:sz="4" w:space="0" w:color="000000"/>
              <w:right w:val="single" w:sz="4" w:space="0" w:color="000000"/>
            </w:tcBorders>
            <w:shd w:val="clear" w:color="auto" w:fill="D2D2D2"/>
          </w:tcPr>
          <w:p>
            <w:pPr/>
          </w:p>
        </w:tc>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2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2" w:type="dxa"/>
            <w:gridSpan w:val="2"/>
            <w:vMerge/>
            <w:tcBorders>
              <w:left w:val="single" w:sz="4" w:space="0" w:color="000000"/>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2" w:hRule="exact"/>
        </w:trPr>
        <w:tc>
          <w:tcPr>
            <w:tcW w:w="1345" w:type="dxa"/>
            <w:vMerge/>
            <w:tcBorders>
              <w:left w:val="single" w:sz="4" w:space="0" w:color="000000"/>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9"/>
              <w:ind w:left="48" w:right="0"/>
              <w:jc w:val="left"/>
              <w:rPr>
                <w:rFonts w:ascii="宋体" w:hAnsi="宋体" w:cs="宋体" w:eastAsia="宋体" w:hint="default"/>
                <w:sz w:val="18"/>
                <w:szCs w:val="18"/>
              </w:rPr>
            </w:pPr>
            <w:r>
              <w:rPr>
                <w:rFonts w:ascii="宋体" w:hAnsi="宋体" w:cs="宋体" w:eastAsia="宋体" w:hint="default"/>
                <w:spacing w:val="-3"/>
                <w:sz w:val="18"/>
                <w:szCs w:val="18"/>
              </w:rPr>
              <w:t>企业合并形成的</w:t>
            </w:r>
          </w:p>
        </w:tc>
        <w:tc>
          <w:tcPr>
            <w:tcW w:w="1368"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9"/>
              <w:ind w:left="5"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5" w:type="dxa"/>
            <w:vMerge/>
            <w:tcBorders>
              <w:left w:val="single" w:sz="4" w:space="0" w:color="000000"/>
              <w:bottom w:val="single" w:sz="4" w:space="0" w:color="000000"/>
              <w:right w:val="single" w:sz="4" w:space="0" w:color="000000"/>
            </w:tcBorders>
            <w:shd w:val="clear" w:color="auto" w:fill="D2D2D2"/>
          </w:tcPr>
          <w:p>
            <w:pPr/>
          </w:p>
        </w:tc>
        <w:tc>
          <w:tcPr>
            <w:tcW w:w="1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9"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杭州云医公司</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926,638.80</w:t>
            </w:r>
          </w:p>
        </w:tc>
        <w:tc>
          <w:tcPr>
            <w:tcW w:w="1364" w:type="dxa"/>
            <w:tcBorders>
              <w:top w:val="single" w:sz="46" w:space="0" w:color="D2D2D2"/>
              <w:left w:val="single" w:sz="4" w:space="0" w:color="000000"/>
              <w:bottom w:val="single" w:sz="4" w:space="0" w:color="000000"/>
              <w:right w:val="single" w:sz="4" w:space="0" w:color="000000"/>
            </w:tcBorders>
          </w:tcPr>
          <w:p>
            <w:pPr/>
          </w:p>
        </w:tc>
        <w:tc>
          <w:tcPr>
            <w:tcW w:w="1368" w:type="dxa"/>
            <w:tcBorders>
              <w:top w:val="single" w:sz="46" w:space="0" w:color="D2D2D2"/>
              <w:left w:val="single" w:sz="4" w:space="0" w:color="000000"/>
              <w:bottom w:val="single" w:sz="4" w:space="0" w:color="000000"/>
              <w:right w:val="single" w:sz="4" w:space="0" w:color="000000"/>
            </w:tcBorders>
          </w:tcPr>
          <w:p>
            <w:pPr/>
          </w:p>
        </w:tc>
        <w:tc>
          <w:tcPr>
            <w:tcW w:w="1368" w:type="dxa"/>
            <w:tcBorders>
              <w:top w:val="single" w:sz="46" w:space="0" w:color="D2D2D2"/>
              <w:left w:val="single" w:sz="4" w:space="0" w:color="000000"/>
              <w:bottom w:val="single" w:sz="4" w:space="0" w:color="000000"/>
              <w:right w:val="single" w:sz="4" w:space="0" w:color="000000"/>
            </w:tcBorders>
          </w:tcPr>
          <w:p>
            <w:pPr/>
          </w:p>
        </w:tc>
        <w:tc>
          <w:tcPr>
            <w:tcW w:w="1369" w:type="dxa"/>
            <w:tcBorders>
              <w:top w:val="single" w:sz="46" w:space="0" w:color="D2D2D2"/>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926,638.80</w:t>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926,638.80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926,638.80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商誉减值准备" w:id="286"/>
      <w:bookmarkEnd w:id="286"/>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5"/>
        <w:gridCol w:w="1380"/>
        <w:gridCol w:w="1364"/>
        <w:gridCol w:w="1368"/>
        <w:gridCol w:w="1368"/>
        <w:gridCol w:w="1369"/>
        <w:gridCol w:w="1369"/>
      </w:tblGrid>
      <w:tr>
        <w:trPr>
          <w:trHeight w:val="317" w:hRule="exact"/>
        </w:trPr>
        <w:tc>
          <w:tcPr>
            <w:tcW w:w="134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5" w:right="34"/>
              <w:jc w:val="center"/>
              <w:rPr>
                <w:rFonts w:ascii="宋体" w:hAnsi="宋体" w:cs="宋体" w:eastAsia="宋体" w:hint="default"/>
                <w:sz w:val="18"/>
                <w:szCs w:val="18"/>
              </w:rPr>
            </w:pPr>
            <w:r>
              <w:rPr>
                <w:rFonts w:ascii="宋体" w:hAnsi="宋体" w:cs="宋体" w:eastAsia="宋体" w:hint="default"/>
                <w:spacing w:val="-3"/>
                <w:sz w:val="18"/>
                <w:szCs w:val="18"/>
              </w:rPr>
              <w:t>被投资单位名称</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或形成商誉的事</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项</w:t>
            </w:r>
          </w:p>
        </w:tc>
        <w:tc>
          <w:tcPr>
            <w:tcW w:w="1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2" w:hRule="exact"/>
        </w:trPr>
        <w:tc>
          <w:tcPr>
            <w:tcW w:w="1345" w:type="dxa"/>
            <w:vMerge/>
            <w:tcBorders>
              <w:left w:val="single" w:sz="4" w:space="0" w:color="000000"/>
              <w:right w:val="single" w:sz="4" w:space="0" w:color="000000"/>
            </w:tcBorders>
            <w:shd w:val="clear" w:color="auto" w:fill="D2D2D2"/>
          </w:tcPr>
          <w:p>
            <w:pPr/>
          </w:p>
        </w:tc>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2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2" w:type="dxa"/>
            <w:gridSpan w:val="2"/>
            <w:vMerge/>
            <w:tcBorders>
              <w:left w:val="single" w:sz="4" w:space="0" w:color="000000"/>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2" w:hRule="exact"/>
        </w:trPr>
        <w:tc>
          <w:tcPr>
            <w:tcW w:w="1345" w:type="dxa"/>
            <w:vMerge/>
            <w:tcBorders>
              <w:left w:val="single" w:sz="4" w:space="0" w:color="000000"/>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9"/>
              <w:ind w:left="9"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9"/>
              <w:ind w:left="5"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5" w:type="dxa"/>
            <w:vMerge/>
            <w:tcBorders>
              <w:left w:val="single" w:sz="4" w:space="0" w:color="000000"/>
              <w:bottom w:val="single" w:sz="4" w:space="0" w:color="000000"/>
              <w:right w:val="single" w:sz="4" w:space="0" w:color="000000"/>
            </w:tcBorders>
            <w:shd w:val="clear" w:color="auto" w:fill="D2D2D2"/>
          </w:tcPr>
          <w:p>
            <w:pPr/>
          </w:p>
        </w:tc>
        <w:tc>
          <w:tcPr>
            <w:tcW w:w="1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50" w:space="0" w:color="D2D2D2"/>
              <w:left w:val="single" w:sz="4" w:space="0" w:color="000000"/>
              <w:bottom w:val="single" w:sz="4" w:space="0" w:color="000000"/>
              <w:right w:val="single" w:sz="4" w:space="0" w:color="000000"/>
            </w:tcBorders>
          </w:tcPr>
          <w:p>
            <w:pPr/>
          </w:p>
        </w:tc>
        <w:tc>
          <w:tcPr>
            <w:tcW w:w="1368" w:type="dxa"/>
            <w:tcBorders>
              <w:top w:val="single" w:sz="50" w:space="0" w:color="D2D2D2"/>
              <w:left w:val="single" w:sz="4" w:space="0" w:color="000000"/>
              <w:bottom w:val="single" w:sz="4" w:space="0" w:color="000000"/>
              <w:right w:val="single" w:sz="4" w:space="0" w:color="000000"/>
            </w:tcBorders>
          </w:tcPr>
          <w:p>
            <w:pPr/>
          </w:p>
        </w:tc>
        <w:tc>
          <w:tcPr>
            <w:tcW w:w="1368" w:type="dxa"/>
            <w:tcBorders>
              <w:top w:val="single" w:sz="50" w:space="0" w:color="D2D2D2"/>
              <w:left w:val="single" w:sz="4" w:space="0" w:color="000000"/>
              <w:bottom w:val="single" w:sz="4" w:space="0" w:color="000000"/>
              <w:right w:val="single" w:sz="4" w:space="0" w:color="000000"/>
            </w:tcBorders>
          </w:tcPr>
          <w:p>
            <w:pPr/>
          </w:p>
        </w:tc>
        <w:tc>
          <w:tcPr>
            <w:tcW w:w="1369" w:type="dxa"/>
            <w:tcBorders>
              <w:top w:val="single" w:sz="50" w:space="0" w:color="D2D2D2"/>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80" w:type="dxa"/>
            <w:tcBorders>
              <w:top w:val="single" w:sz="4" w:space="0" w:color="000000"/>
              <w:left w:val="single" w:sz="13" w:space="0" w:color="D2D2D2"/>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2" w:lineRule="auto" w:before="53"/>
        <w:ind w:right="7425"/>
        <w:jc w:val="left"/>
      </w:pPr>
      <w:r>
        <w:rPr>
          <w:spacing w:val="-3"/>
        </w:rPr>
        <w:t>商誉所在资产组或资产组组合的相关信息</w:t>
      </w:r>
      <w:r>
        <w:rPr>
          <w:spacing w:val="-33"/>
        </w:rPr>
        <w:t> </w:t>
      </w:r>
      <w:r>
        <w:rPr>
          <w:spacing w:val="-33"/>
        </w:rPr>
      </w:r>
      <w:r>
        <w:rPr/>
        <w:t>无</w:t>
      </w:r>
    </w:p>
    <w:p>
      <w:pPr>
        <w:spacing w:line="240" w:lineRule="auto" w:before="0"/>
        <w:rPr>
          <w:rFonts w:ascii="宋体" w:hAnsi="宋体" w:cs="宋体" w:eastAsia="宋体" w:hint="default"/>
          <w:sz w:val="18"/>
          <w:szCs w:val="18"/>
        </w:rPr>
      </w:pPr>
    </w:p>
    <w:p>
      <w:pPr>
        <w:pStyle w:val="BodyText"/>
        <w:spacing w:line="316" w:lineRule="auto" w:before="138"/>
        <w:ind w:right="0"/>
        <w:jc w:val="left"/>
      </w:pPr>
      <w:r>
        <w:rPr>
          <w:spacing w:val="-4"/>
        </w:rPr>
        <w:t>说明商誉减值测试过程、关键参数（如预计未来现金流量现值时的预测期增长率、稳定期增长率、利润率、折现率、预测期</w:t>
      </w:r>
      <w:r>
        <w:rPr>
          <w:spacing w:val="40"/>
        </w:rPr>
        <w:t> </w:t>
      </w:r>
      <w:r>
        <w:rPr>
          <w:spacing w:val="40"/>
        </w:rPr>
      </w:r>
      <w:r>
        <w:rPr>
          <w:spacing w:val="-3"/>
        </w:rPr>
        <w:t>等）及商誉减值损失的确认方法：</w:t>
      </w:r>
    </w:p>
    <w:p>
      <w:pPr>
        <w:pStyle w:val="Heading5"/>
        <w:spacing w:line="261" w:lineRule="auto" w:before="32"/>
        <w:ind w:right="0" w:firstLine="422"/>
        <w:jc w:val="left"/>
      </w:pPr>
      <w:r>
        <w:rPr/>
        <w:t>期末，公司对杭州云医公司的商誉进行了减值测试。商誉的可收回金额按照上述公司的预计未来现金</w:t>
      </w:r>
      <w:r>
        <w:rPr>
          <w:w w:val="100"/>
        </w:rPr>
        <w:t> </w:t>
      </w:r>
      <w:r>
        <w:rPr>
          <w:spacing w:val="-6"/>
          <w:w w:val="100"/>
        </w:rPr>
        <w:t>流量的现值计算，其预计现金流量根据公司</w:t>
      </w:r>
      <w:r>
        <w:rPr>
          <w:rFonts w:ascii="Times New Roman" w:hAnsi="Times New Roman" w:cs="Times New Roman" w:eastAsia="Times New Roman" w:hint="default"/>
          <w:spacing w:val="-6"/>
          <w:w w:val="100"/>
        </w:rPr>
        <w:t>5</w:t>
      </w:r>
      <w:r>
        <w:rPr>
          <w:spacing w:val="-6"/>
          <w:w w:val="100"/>
        </w:rPr>
        <w:t>年期现金流量预测为基础，现金流量预测使用的折现率为</w:t>
      </w:r>
      <w:r>
        <w:rPr>
          <w:rFonts w:ascii="Times New Roman" w:hAnsi="Times New Roman" w:cs="Times New Roman" w:eastAsia="Times New Roman" w:hint="default"/>
          <w:spacing w:val="-6"/>
          <w:w w:val="100"/>
        </w:rPr>
        <w:t>12%</w:t>
      </w:r>
      <w:r>
        <w:rPr>
          <w:spacing w:val="-6"/>
          <w:w w:val="100"/>
        </w:rPr>
        <w:t>，</w:t>
      </w:r>
      <w:r>
        <w:rPr>
          <w:spacing w:val="-65"/>
          <w:w w:val="100"/>
        </w:rPr>
        <w:t> </w:t>
      </w:r>
      <w:r>
        <w:rPr/>
        <w:t>根据历史实际经营数据、行业发展趋势、预期收入增长率、毛利率等指标编制预测未来</w:t>
      </w:r>
      <w:r>
        <w:rPr>
          <w:spacing w:val="-18"/>
        </w:rPr>
        <w:t> </w:t>
      </w:r>
      <w:r>
        <w:rPr>
          <w:rFonts w:ascii="Times New Roman" w:hAnsi="Times New Roman" w:cs="Times New Roman" w:eastAsia="Times New Roman" w:hint="default"/>
        </w:rPr>
        <w:t>5</w:t>
      </w:r>
      <w:r>
        <w:rPr/>
        <w:t>年现金流量，预</w:t>
      </w:r>
      <w:r>
        <w:rPr>
          <w:spacing w:val="-103"/>
        </w:rPr>
        <w:t> </w:t>
      </w:r>
      <w:r>
        <w:rPr>
          <w:spacing w:val="-103"/>
        </w:rPr>
      </w:r>
      <w:r>
        <w:rPr/>
        <w:t>测期以后的现金流量维持不变。</w:t>
      </w:r>
    </w:p>
    <w:p>
      <w:pPr>
        <w:pStyle w:val="Heading5"/>
        <w:spacing w:line="273" w:lineRule="auto" w:before="19"/>
        <w:ind w:right="0" w:firstLine="422"/>
        <w:jc w:val="left"/>
      </w:pPr>
      <w:r>
        <w:rPr/>
        <w:t>减值测试中采用的其他关键数据包括：产品预计售价、销量、维护成本及其他相关费用。</w:t>
      </w:r>
      <w:r>
        <w:rPr>
          <w:w w:val="100"/>
        </w:rPr>
        <w:t> </w:t>
      </w:r>
      <w:r>
        <w:rPr>
          <w:spacing w:val="-2"/>
        </w:rPr>
        <w:t>公司根据历史经验及对市场发展的预测确定上述关键数据。公司采用的折现率是反映当前市场货币时间价</w:t>
      </w:r>
      <w:r>
        <w:rPr>
          <w:spacing w:val="-33"/>
        </w:rPr>
        <w:t> </w:t>
      </w:r>
      <w:r>
        <w:rPr>
          <w:spacing w:val="-33"/>
        </w:rPr>
      </w:r>
      <w:r>
        <w:rPr/>
        <w:t>值和相关资产组特定风险的税前利率。</w:t>
      </w:r>
    </w:p>
    <w:p>
      <w:pPr>
        <w:pStyle w:val="Heading5"/>
        <w:spacing w:line="240" w:lineRule="auto" w:before="7"/>
        <w:ind w:left="575" w:right="0"/>
        <w:jc w:val="left"/>
      </w:pPr>
      <w:r>
        <w:rPr/>
        <w:t>上述对可收回金额的预计表明商誉并未出现减值损失。</w:t>
      </w:r>
    </w:p>
    <w:p>
      <w:pPr>
        <w:spacing w:line="240" w:lineRule="auto" w:before="0"/>
        <w:rPr>
          <w:rFonts w:ascii="宋体" w:hAnsi="宋体" w:cs="宋体" w:eastAsia="宋体" w:hint="default"/>
          <w:sz w:val="20"/>
          <w:szCs w:val="20"/>
        </w:rPr>
      </w:pPr>
    </w:p>
    <w:p>
      <w:pPr>
        <w:pStyle w:val="BodyText"/>
        <w:spacing w:line="352" w:lineRule="auto" w:before="156"/>
        <w:ind w:right="9018"/>
        <w:jc w:val="left"/>
      </w:pPr>
      <w:r>
        <w:rPr>
          <w:spacing w:val="-3"/>
        </w:rPr>
        <w:t>商誉减值测试的影响</w:t>
      </w:r>
      <w:r>
        <w:rPr>
          <w:spacing w:val="-62"/>
        </w:rPr>
        <w:t> </w:t>
      </w:r>
      <w:r>
        <w:rPr>
          <w:spacing w:val="-62"/>
        </w:rPr>
      </w:r>
      <w:r>
        <w:rPr/>
        <w:t>不适用</w:t>
      </w:r>
    </w:p>
    <w:p>
      <w:pPr>
        <w:pStyle w:val="BodyText"/>
        <w:spacing w:line="240" w:lineRule="auto" w:before="35"/>
        <w:ind w:right="0"/>
        <w:jc w:val="left"/>
      </w:pPr>
      <w:r>
        <w:rPr/>
        <w:t>其他说明</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bookmarkStart w:name="16、长期待摊费用" w:id="287"/>
      <w:bookmarkEnd w:id="287"/>
      <w:r>
        <w:rPr>
          <w:b w:val="0"/>
          <w:bCs w:val="0"/>
        </w:rPr>
      </w:r>
      <w:r>
        <w:rPr>
          <w:rFonts w:ascii="Times New Roman" w:hAnsi="Times New Roman" w:cs="Times New Roman" w:eastAsia="Times New Roman" w:hint="default"/>
        </w:rPr>
        <w:t>16</w:t>
      </w:r>
      <w:r>
        <w:rPr/>
        <w:t>、长期待摊费用</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5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3,007,674.38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2,851,944.72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1,658,028.32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191,265.86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4,010,324.92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3,007,674.38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2,851,944.72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1,658,028.32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191,265.86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4,010,324.92</w:t>
            </w:r>
          </w:p>
        </w:tc>
      </w:tr>
    </w:tbl>
    <w:p>
      <w:pPr>
        <w:pStyle w:val="BodyText"/>
        <w:spacing w:line="240" w:lineRule="auto" w:before="53"/>
        <w:ind w:right="0"/>
        <w:jc w:val="left"/>
      </w:pPr>
      <w:r>
        <w:rPr/>
        <w:t>其他说明</w:t>
      </w:r>
    </w:p>
    <w:p>
      <w:pPr>
        <w:pStyle w:val="Heading5"/>
        <w:spacing w:line="240" w:lineRule="auto" w:before="85"/>
        <w:ind w:right="0"/>
        <w:jc w:val="left"/>
      </w:pPr>
      <w:r>
        <w:rPr/>
        <w:t>本期其他减少系处置控股子公司转出</w:t>
      </w:r>
    </w:p>
    <w:p>
      <w:pPr>
        <w:spacing w:line="240" w:lineRule="auto" w:before="12"/>
        <w:rPr>
          <w:rFonts w:ascii="宋体" w:hAnsi="宋体" w:cs="宋体" w:eastAsia="宋体" w:hint="default"/>
          <w:sz w:val="25"/>
          <w:szCs w:val="25"/>
        </w:rPr>
      </w:pPr>
    </w:p>
    <w:p>
      <w:pPr>
        <w:pStyle w:val="Heading4"/>
        <w:spacing w:line="240" w:lineRule="auto"/>
        <w:ind w:right="0"/>
        <w:jc w:val="left"/>
        <w:rPr>
          <w:b w:val="0"/>
          <w:bCs w:val="0"/>
        </w:rPr>
      </w:pPr>
      <w:bookmarkStart w:name="17、递延所得税资产/递延所得税负债" w:id="288"/>
      <w:bookmarkEnd w:id="288"/>
      <w:r>
        <w:rPr>
          <w:b w:val="0"/>
          <w:bCs w:val="0"/>
        </w:rPr>
      </w:r>
      <w:r>
        <w:rPr>
          <w:rFonts w:ascii="Times New Roman" w:hAnsi="Times New Roman" w:cs="Times New Roman" w:eastAsia="Times New Roman" w:hint="default"/>
        </w:rPr>
        <w:t>17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未经抵销的递延所得税资产" w:id="289"/>
      <w:bookmarkEnd w:id="289"/>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206" w:hRule="exact"/>
        </w:trPr>
        <w:tc>
          <w:tcPr>
            <w:tcW w:w="191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87" w:hRule="exact"/>
        </w:trPr>
        <w:tc>
          <w:tcPr>
            <w:tcW w:w="19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2" w:type="dxa"/>
            <w:gridSpan w:val="2"/>
            <w:vMerge/>
            <w:tcBorders>
              <w:left w:val="single" w:sz="4" w:space="0" w:color="000000"/>
              <w:bottom w:val="single" w:sz="4" w:space="0" w:color="000000"/>
              <w:right w:val="single" w:sz="4" w:space="0" w:color="000000"/>
            </w:tcBorders>
            <w:shd w:val="clear" w:color="auto" w:fill="D2D2D2"/>
          </w:tcPr>
          <w:p>
            <w:pPr/>
          </w:p>
        </w:tc>
        <w:tc>
          <w:tcPr>
            <w:tcW w:w="3832"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1" w:type="dxa"/>
            <w:vMerge/>
            <w:tcBorders>
              <w:left w:val="single" w:sz="4" w:space="0" w:color="000000"/>
              <w:bottom w:val="nil" w:sz="6" w:space="0" w:color="auto"/>
              <w:right w:val="single" w:sz="4" w:space="0" w:color="000000"/>
            </w:tcBorders>
            <w:shd w:val="clear" w:color="auto" w:fill="D2D2D2"/>
          </w:tcPr>
          <w:p>
            <w:pPr/>
          </w:p>
        </w:tc>
        <w:tc>
          <w:tcPr>
            <w:tcW w:w="19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3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30"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r>
      <w:tr>
        <w:trPr>
          <w:trHeight w:val="206" w:hRule="exact"/>
        </w:trPr>
        <w:tc>
          <w:tcPr>
            <w:tcW w:w="19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1"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55,203,904.89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8,261,946.21</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2,409,656.43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361,448.46</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信用减值准备</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79,468,255.05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11,906,500.05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0"/>
              <w:jc w:val="left"/>
              <w:rPr>
                <w:rFonts w:ascii="宋体" w:hAnsi="宋体" w:cs="宋体" w:eastAsia="宋体" w:hint="default"/>
                <w:sz w:val="18"/>
                <w:szCs w:val="18"/>
              </w:rPr>
            </w:pPr>
            <w:r>
              <w:rPr>
                <w:rFonts w:ascii="宋体" w:hAnsi="宋体" w:cs="宋体" w:eastAsia="宋体" w:hint="default"/>
                <w:spacing w:val="-2"/>
                <w:sz w:val="18"/>
                <w:szCs w:val="18"/>
              </w:rPr>
              <w:t>工会经费及职工教育经</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费</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3,773,721.80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566,058.27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5,000,346.62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750,051.99</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2,144,280.27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311,160.15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2,291,640.99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334,059.41</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25,239,583.33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3,785,937.50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13,150,883.86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1,972,632.58</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82,838.41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12,425.76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110,708,678.86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16,582,081.73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78,056,432.79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11,680,138.65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未经抵销的递延所得税负债" w:id="290"/>
      <w:bookmarkEnd w:id="290"/>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9"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3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30"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3）以抵销后净额列示的递延所得税资产或负债" w:id="291"/>
      <w:bookmarkEnd w:id="291"/>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9"/>
        <w:gridCol w:w="1913"/>
        <w:gridCol w:w="1914"/>
        <w:gridCol w:w="1904"/>
      </w:tblGrid>
      <w:tr>
        <w:trPr>
          <w:trHeight w:val="164"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4"/>
              <w:ind w:left="410" w:right="51" w:hanging="361"/>
              <w:jc w:val="left"/>
              <w:rPr>
                <w:rFonts w:ascii="宋体" w:hAnsi="宋体" w:cs="宋体" w:eastAsia="宋体" w:hint="default"/>
                <w:sz w:val="18"/>
                <w:szCs w:val="18"/>
              </w:rPr>
            </w:pPr>
            <w:r>
              <w:rPr>
                <w:rFonts w:ascii="宋体" w:hAnsi="宋体" w:cs="宋体" w:eastAsia="宋体" w:hint="default"/>
                <w:spacing w:val="-2"/>
                <w:sz w:val="18"/>
                <w:szCs w:val="18"/>
              </w:rPr>
              <w:t>递延所得税资产和负债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期末互抵金额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4"/>
              <w:ind w:left="321" w:right="43" w:hanging="269"/>
              <w:jc w:val="left"/>
              <w:rPr>
                <w:rFonts w:ascii="宋体" w:hAnsi="宋体" w:cs="宋体" w:eastAsia="宋体" w:hint="default"/>
                <w:sz w:val="18"/>
                <w:szCs w:val="18"/>
              </w:rPr>
            </w:pPr>
            <w:r>
              <w:rPr>
                <w:rFonts w:ascii="宋体" w:hAnsi="宋体" w:cs="宋体" w:eastAsia="宋体" w:hint="default"/>
                <w:spacing w:val="-2"/>
                <w:sz w:val="18"/>
                <w:szCs w:val="18"/>
              </w:rPr>
              <w:t>抵销后递延所得税资产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4"/>
              <w:ind w:left="410" w:right="46" w:hanging="360"/>
              <w:jc w:val="left"/>
              <w:rPr>
                <w:rFonts w:ascii="宋体" w:hAnsi="宋体" w:cs="宋体" w:eastAsia="宋体" w:hint="default"/>
                <w:sz w:val="18"/>
                <w:szCs w:val="18"/>
              </w:rPr>
            </w:pPr>
            <w:r>
              <w:rPr>
                <w:rFonts w:ascii="宋体" w:hAnsi="宋体" w:cs="宋体" w:eastAsia="宋体" w:hint="default"/>
                <w:spacing w:val="-2"/>
                <w:sz w:val="18"/>
                <w:szCs w:val="18"/>
              </w:rPr>
              <w:t>递延所得税资产和负债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期初互抵金额</w:t>
            </w:r>
          </w:p>
        </w:tc>
        <w:tc>
          <w:tcPr>
            <w:tcW w:w="190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4"/>
              <w:ind w:left="321" w:right="34" w:hanging="269"/>
              <w:jc w:val="left"/>
              <w:rPr>
                <w:rFonts w:ascii="宋体" w:hAnsi="宋体" w:cs="宋体" w:eastAsia="宋体" w:hint="default"/>
                <w:sz w:val="18"/>
                <w:szCs w:val="18"/>
              </w:rPr>
            </w:pPr>
            <w:r>
              <w:rPr>
                <w:rFonts w:ascii="宋体" w:hAnsi="宋体" w:cs="宋体" w:eastAsia="宋体" w:hint="default"/>
                <w:spacing w:val="-2"/>
                <w:sz w:val="18"/>
                <w:szCs w:val="18"/>
              </w:rPr>
              <w:t>抵销后递延所得税资产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或负债期初余额</w:t>
            </w:r>
          </w:p>
        </w:tc>
      </w:tr>
      <w:tr>
        <w:trPr>
          <w:trHeight w:val="389"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919"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4" w:type="dxa"/>
            <w:vMerge/>
            <w:tcBorders>
              <w:left w:val="single" w:sz="4" w:space="0" w:color="000000"/>
              <w:right w:val="single" w:sz="4" w:space="0" w:color="000000"/>
            </w:tcBorders>
            <w:shd w:val="clear" w:color="auto" w:fill="D2D2D2"/>
          </w:tcPr>
          <w:p>
            <w:pPr/>
          </w:p>
        </w:tc>
      </w:tr>
      <w:tr>
        <w:trPr>
          <w:trHeight w:val="163"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9"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919" w:type="dxa"/>
            <w:tcBorders>
              <w:top w:val="single" w:sz="4" w:space="0" w:color="000000"/>
              <w:left w:val="single" w:sz="10"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45" w:right="0"/>
              <w:jc w:val="left"/>
              <w:rPr>
                <w:rFonts w:ascii="Times New Roman" w:hAnsi="Times New Roman" w:cs="Times New Roman" w:eastAsia="Times New Roman" w:hint="default"/>
                <w:sz w:val="18"/>
                <w:szCs w:val="18"/>
              </w:rPr>
            </w:pPr>
            <w:r>
              <w:rPr>
                <w:rFonts w:ascii="Times New Roman"/>
                <w:sz w:val="18"/>
              </w:rPr>
              <w:t>16,582,081.73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54" w:right="0"/>
              <w:jc w:val="left"/>
              <w:rPr>
                <w:rFonts w:ascii="Times New Roman" w:hAnsi="Times New Roman" w:cs="Times New Roman" w:eastAsia="Times New Roman" w:hint="default"/>
                <w:sz w:val="18"/>
                <w:szCs w:val="18"/>
              </w:rPr>
            </w:pPr>
            <w:r>
              <w:rPr>
                <w:rFonts w:ascii="Times New Roman"/>
                <w:spacing w:val="-2"/>
                <w:sz w:val="18"/>
              </w:rPr>
              <w:t>11,680,138.65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4）未确认递延所得税资产明细" w:id="292"/>
      <w:bookmarkEnd w:id="292"/>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258,691.82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320,181.71</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28,074,779.68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22,297,082.31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28,333,471.50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22,617,264.02</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5）未确认递延所得税资产的可抵扣亏损将于以下年度到期" w:id="293"/>
      <w:bookmarkEnd w:id="293"/>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695,060.46</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1,201,658.44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1,201,658.44</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4,595,375.63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4,595,375.63</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5,637,110.69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5,637,110.69</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10,167,877.09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10,167,877.09</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6,472,757.83</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28,074,779.68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22,297,082.31</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0"/>
        <w:jc w:val="left"/>
      </w:pPr>
      <w:r>
        <w:rPr/>
        <w:t>其他说明：</w:t>
      </w: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bookmarkStart w:name="18、短期借款" w:id="294"/>
      <w:bookmarkEnd w:id="294"/>
      <w:r>
        <w:rPr>
          <w:b w:val="0"/>
          <w:bCs w:val="0"/>
        </w:rPr>
      </w:r>
      <w:r>
        <w:rPr>
          <w:rFonts w:ascii="Times New Roman" w:hAnsi="Times New Roman" w:cs="Times New Roman" w:eastAsia="Times New Roman" w:hint="default"/>
        </w:rPr>
        <w:t>18</w:t>
      </w:r>
      <w:r>
        <w:rPr/>
        <w:t>、短期借款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短期借款分类" w:id="295"/>
      <w:bookmarkEnd w:id="295"/>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80,752,591.67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105,145,119.44</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80,752,591.67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105,145,119.44</w:t>
            </w:r>
          </w:p>
        </w:tc>
      </w:tr>
    </w:tbl>
    <w:p>
      <w:pPr>
        <w:pStyle w:val="BodyText"/>
        <w:spacing w:line="240" w:lineRule="auto" w:before="53"/>
        <w:ind w:right="0"/>
        <w:jc w:val="left"/>
      </w:pPr>
      <w:r>
        <w:rPr/>
        <w:t>短期借款分类的说明：</w:t>
      </w: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bookmarkStart w:name="（2）已逾期未偿还的短期借款情况" w:id="296"/>
      <w:bookmarkEnd w:id="296"/>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right="0"/>
        <w:jc w:val="left"/>
      </w:pPr>
      <w:r>
        <w:rPr>
          <w:spacing w:val="-3"/>
        </w:rPr>
        <w:t>本期末已逾期未偿还的短期借款总额为元，其中重要的已逾期未偿还的短期借款情况如下：</w:t>
      </w:r>
    </w:p>
    <w:p>
      <w:pPr>
        <w:pStyle w:val="BodyText"/>
        <w:spacing w:line="240" w:lineRule="auto" w:before="115"/>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3"/>
        <w:gridCol w:w="1919"/>
        <w:gridCol w:w="1911"/>
        <w:gridCol w:w="1916"/>
        <w:gridCol w:w="1916"/>
      </w:tblGrid>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3"/>
        <w:ind w:right="0"/>
        <w:jc w:val="left"/>
      </w:pPr>
      <w:r>
        <w:rPr/>
        <w:t>其他说明：</w:t>
      </w:r>
    </w:p>
    <w:p>
      <w:pPr>
        <w:pStyle w:val="Heading5"/>
        <w:spacing w:line="240" w:lineRule="auto" w:before="89"/>
        <w:ind w:right="0"/>
        <w:jc w:val="left"/>
      </w:pPr>
      <w:r>
        <w:rPr/>
        <w:t>期初数与上年年末数（</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日）差异详见第十二节财务报告、五、</w:t>
      </w:r>
      <w:r>
        <w:rPr>
          <w:rFonts w:ascii="宋体" w:hAnsi="宋体" w:cs="宋体" w:eastAsia="宋体" w:hint="default"/>
        </w:rPr>
        <w:t>27</w:t>
      </w:r>
      <w:r>
        <w:rPr/>
        <w:t>之说明。</w:t>
      </w:r>
    </w:p>
    <w:p>
      <w:pPr>
        <w:spacing w:line="240" w:lineRule="auto" w:before="12"/>
        <w:rPr>
          <w:rFonts w:ascii="宋体" w:hAnsi="宋体" w:cs="宋体" w:eastAsia="宋体" w:hint="default"/>
          <w:sz w:val="25"/>
          <w:szCs w:val="25"/>
        </w:rPr>
      </w:pPr>
    </w:p>
    <w:p>
      <w:pPr>
        <w:pStyle w:val="Heading4"/>
        <w:spacing w:line="240" w:lineRule="auto"/>
        <w:ind w:right="0"/>
        <w:jc w:val="left"/>
        <w:rPr>
          <w:b w:val="0"/>
          <w:bCs w:val="0"/>
        </w:rPr>
      </w:pPr>
      <w:bookmarkStart w:name="19、应付票据" w:id="297"/>
      <w:bookmarkEnd w:id="297"/>
      <w:r>
        <w:rPr>
          <w:b w:val="0"/>
          <w:bCs w:val="0"/>
        </w:rPr>
      </w:r>
      <w:r>
        <w:rPr>
          <w:rFonts w:ascii="Times New Roman" w:hAnsi="Times New Roman" w:cs="Times New Roman" w:eastAsia="Times New Roman" w:hint="default"/>
        </w:rPr>
        <w:t>19</w:t>
      </w:r>
      <w:r>
        <w:rPr/>
        <w:t>、应付票据</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10,455,952.40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11,939,914.60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10,455,952.40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11,939,914.60</w:t>
            </w:r>
          </w:p>
        </w:tc>
      </w:tr>
    </w:tbl>
    <w:p>
      <w:pPr>
        <w:pStyle w:val="BodyText"/>
        <w:spacing w:line="240" w:lineRule="auto" w:before="53"/>
        <w:ind w:right="0"/>
        <w:jc w:val="left"/>
      </w:pPr>
      <w:r>
        <w:rPr>
          <w:spacing w:val="-3"/>
        </w:rPr>
        <w:t>本期末已到期未支付的应付票据总额为 </w:t>
      </w:r>
      <w:r>
        <w:rPr>
          <w:rFonts w:ascii="Times New Roman" w:hAnsi="Times New Roman" w:cs="Times New Roman" w:eastAsia="Times New Roman" w:hint="default"/>
        </w:rPr>
        <w:t>0.00</w:t>
      </w:r>
      <w:r>
        <w:rPr>
          <w:rFonts w:ascii="Times New Roman" w:hAnsi="Times New Roman" w:cs="Times New Roman" w:eastAsia="Times New Roman" w:hint="default"/>
          <w:spacing w:val="12"/>
        </w:rPr>
        <w:t> </w:t>
      </w:r>
      <w:r>
        <w:rPr/>
        <w:t>元。</w:t>
      </w:r>
    </w:p>
    <w:p>
      <w:pPr>
        <w:spacing w:line="240" w:lineRule="auto" w:before="4"/>
        <w:rPr>
          <w:rFonts w:ascii="宋体" w:hAnsi="宋体" w:cs="宋体" w:eastAsia="宋体" w:hint="default"/>
          <w:sz w:val="25"/>
          <w:szCs w:val="25"/>
        </w:rPr>
      </w:pPr>
    </w:p>
    <w:p>
      <w:pPr>
        <w:pStyle w:val="Heading4"/>
        <w:spacing w:line="240" w:lineRule="auto"/>
        <w:ind w:right="0"/>
        <w:jc w:val="left"/>
        <w:rPr>
          <w:b w:val="0"/>
          <w:bCs w:val="0"/>
        </w:rPr>
      </w:pPr>
      <w:bookmarkStart w:name="20、应付账款" w:id="298"/>
      <w:bookmarkEnd w:id="298"/>
      <w:r>
        <w:rPr>
          <w:b w:val="0"/>
          <w:bCs w:val="0"/>
        </w:rPr>
      </w:r>
      <w:r>
        <w:rPr>
          <w:rFonts w:ascii="Times New Roman" w:hAnsi="Times New Roman" w:cs="Times New Roman" w:eastAsia="Times New Roman" w:hint="default"/>
        </w:rPr>
        <w:t>20</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应付账款列示" w:id="299"/>
      <w:bookmarkEnd w:id="299"/>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106,231,406.09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123,857,328.13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应付长期资产购置款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2,472,004.35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12,104,808.66</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1,802,955.06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13,950.00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110,506,365.50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135,976,086.79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账龄超过1年的重要应付账款" w:id="300"/>
      <w:bookmarkEnd w:id="300"/>
      <w:r>
        <w:rPr>
          <w:b w:val="0"/>
          <w:bCs w:val="0"/>
        </w:rPr>
      </w:r>
      <w:r>
        <w:rPr/>
        <w:t>（</w:t>
      </w:r>
      <w:r>
        <w:rPr>
          <w:rFonts w:ascii="Times New Roman" w:hAnsi="Times New Roman" w:cs="Times New Roman" w:eastAsia="Times New Roman" w:hint="default"/>
        </w:rPr>
        <w:t>2</w:t>
      </w:r>
      <w:r>
        <w:rPr/>
        <w:t>）账龄超过</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未偿还或结转的原因</w:t>
            </w:r>
          </w:p>
        </w:tc>
      </w:tr>
    </w:tbl>
    <w:p>
      <w:pPr>
        <w:pStyle w:val="BodyText"/>
        <w:spacing w:line="240" w:lineRule="auto" w:before="56"/>
        <w:ind w:right="0"/>
        <w:jc w:val="left"/>
      </w:pPr>
      <w:r>
        <w:rPr/>
        <w:t>其他说明：</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21、预收款项" w:id="301"/>
      <w:bookmarkEnd w:id="301"/>
      <w:r>
        <w:rPr>
          <w:b w:val="0"/>
          <w:bCs w:val="0"/>
        </w:rPr>
      </w:r>
      <w:r>
        <w:rPr>
          <w:rFonts w:ascii="Times New Roman" w:hAnsi="Times New Roman" w:cs="Times New Roman" w:eastAsia="Times New Roman" w:hint="default"/>
        </w:rPr>
        <w:t>21</w:t>
      </w:r>
      <w:r>
        <w:rPr/>
        <w:t>、预收款项</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是否已执行新收入准则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8"/>
        <w:rPr>
          <w:rFonts w:ascii="宋体" w:hAnsi="宋体" w:cs="宋体" w:eastAsia="宋体" w:hint="default"/>
          <w:sz w:val="25"/>
          <w:szCs w:val="25"/>
        </w:rPr>
      </w:pPr>
    </w:p>
    <w:p>
      <w:pPr>
        <w:pStyle w:val="Heading4"/>
        <w:spacing w:line="240" w:lineRule="auto"/>
        <w:ind w:right="0"/>
        <w:jc w:val="left"/>
        <w:rPr>
          <w:b w:val="0"/>
          <w:bCs w:val="0"/>
        </w:rPr>
      </w:pPr>
      <w:bookmarkStart w:name="（1）预收款项列示" w:id="302"/>
      <w:bookmarkEnd w:id="302"/>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17,371,383.92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22,292,504.67</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17,371,383.92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22,292,504.67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账龄超过1年的重要预收款项" w:id="303"/>
      <w:bookmarkEnd w:id="303"/>
      <w:r>
        <w:rPr>
          <w:b w:val="0"/>
          <w:bCs w:val="0"/>
        </w:rPr>
      </w:r>
      <w:r>
        <w:rPr/>
        <w:t>（</w:t>
      </w:r>
      <w:r>
        <w:rPr>
          <w:rFonts w:ascii="Times New Roman" w:hAnsi="Times New Roman" w:cs="Times New Roman" w:eastAsia="Times New Roman" w:hint="default"/>
        </w:rPr>
        <w:t>2</w:t>
      </w:r>
      <w:r>
        <w:rPr/>
        <w:t>）账龄超过</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未偿还或结转的原因</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4"/>
        <w:spacing w:line="240" w:lineRule="auto" w:before="36"/>
        <w:ind w:right="0"/>
        <w:jc w:val="left"/>
        <w:rPr>
          <w:b w:val="0"/>
          <w:bCs w:val="0"/>
        </w:rPr>
      </w:pPr>
      <w:bookmarkStart w:name="（3）期末建造合同形成的已结算未完工项目情况" w:id="304"/>
      <w:bookmarkEnd w:id="304"/>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357" w:lineRule="auto" w:before="53"/>
        <w:ind w:right="9861"/>
        <w:jc w:val="left"/>
      </w:pPr>
      <w:r>
        <w:rPr>
          <w:spacing w:val="-2"/>
        </w:rPr>
        <w:t>其他说明：</w:t>
      </w:r>
      <w:r>
        <w:rPr>
          <w:spacing w:val="-78"/>
        </w:rPr>
        <w:t> </w:t>
      </w:r>
      <w:r>
        <w:rPr>
          <w:spacing w:val="-78"/>
        </w:rPr>
      </w:r>
      <w:r>
        <w:rPr/>
        <w:t>无</w:t>
      </w:r>
    </w:p>
    <w:p>
      <w:pPr>
        <w:spacing w:line="240" w:lineRule="auto" w:before="3"/>
        <w:rPr>
          <w:rFonts w:ascii="宋体" w:hAnsi="宋体" w:cs="宋体" w:eastAsia="宋体" w:hint="default"/>
          <w:sz w:val="20"/>
          <w:szCs w:val="20"/>
        </w:rPr>
      </w:pPr>
    </w:p>
    <w:p>
      <w:pPr>
        <w:pStyle w:val="Heading4"/>
        <w:spacing w:line="240" w:lineRule="auto"/>
        <w:ind w:right="0"/>
        <w:jc w:val="left"/>
        <w:rPr>
          <w:b w:val="0"/>
          <w:bCs w:val="0"/>
        </w:rPr>
      </w:pPr>
      <w:bookmarkStart w:name="22、应付职工薪酬" w:id="305"/>
      <w:bookmarkEnd w:id="305"/>
      <w:r>
        <w:rPr>
          <w:b w:val="0"/>
          <w:bCs w:val="0"/>
        </w:rPr>
      </w:r>
      <w:r>
        <w:rPr>
          <w:rFonts w:ascii="Times New Roman" w:hAnsi="Times New Roman" w:cs="Times New Roman" w:eastAsia="Times New Roman" w:hint="default"/>
        </w:rPr>
        <w:t>22</w:t>
      </w:r>
      <w:r>
        <w:rPr/>
        <w:t>、应付职工薪酬</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1）应付职工薪酬列示" w:id="306"/>
      <w:bookmarkEnd w:id="306"/>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9"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24,134,019.11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123,322,776.97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120,400,907.88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27,055,888.20</w:t>
            </w:r>
          </w:p>
        </w:tc>
      </w:tr>
      <w:tr>
        <w:trPr>
          <w:trHeight w:val="715"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2"/>
              <w:jc w:val="left"/>
              <w:rPr>
                <w:rFonts w:ascii="宋体" w:hAnsi="宋体" w:cs="宋体" w:eastAsia="宋体" w:hint="default"/>
                <w:sz w:val="18"/>
                <w:szCs w:val="18"/>
              </w:rPr>
            </w:pPr>
            <w:r>
              <w:rPr>
                <w:rFonts w:ascii="宋体" w:hAnsi="宋体" w:cs="宋体" w:eastAsia="宋体" w:hint="default"/>
                <w:spacing w:val="-3"/>
                <w:sz w:val="18"/>
                <w:szCs w:val="18"/>
              </w:rPr>
              <w:t>二、离职后福利</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设定提</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存计划</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458,703.19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9,604,196.10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9,500,820.33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562,078.96</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24,592,722.30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132,926,973.07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129,901,728.21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27,617,967.16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短期薪酬列示" w:id="307"/>
      <w:bookmarkEnd w:id="307"/>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6"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24" w:right="3"/>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、工资、奖金、津贴和</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补贴</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18,779,169.89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107,612,260.24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103,565,236.81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22,826,193.32</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3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956,238.40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956,238.40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352,871.26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6,718,280.84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6,621,061.75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450,090.35</w:t>
            </w: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0"/>
              <w:jc w:val="right"/>
              <w:rPr>
                <w:rFonts w:ascii="宋体" w:hAnsi="宋体" w:cs="宋体" w:eastAsia="宋体" w:hint="default"/>
                <w:sz w:val="18"/>
                <w:szCs w:val="18"/>
              </w:rPr>
            </w:pPr>
            <w:r>
              <w:rPr>
                <w:rFonts w:ascii="宋体" w:hAnsi="宋体" w:cs="宋体" w:eastAsia="宋体" w:hint="default"/>
                <w:spacing w:val="-2"/>
                <w:sz w:val="18"/>
                <w:szCs w:val="18"/>
              </w:rPr>
              <w:t>其中：医疗保险费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308,676.97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5,969,557.91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5,879,721.42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398,513.46</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60"/>
              <w:jc w:val="right"/>
              <w:rPr>
                <w:rFonts w:ascii="宋体" w:hAnsi="宋体" w:cs="宋体" w:eastAsia="宋体" w:hint="default"/>
                <w:sz w:val="18"/>
                <w:szCs w:val="18"/>
              </w:rPr>
            </w:pPr>
            <w:r>
              <w:rPr>
                <w:rFonts w:ascii="宋体" w:hAnsi="宋体" w:cs="宋体" w:eastAsia="宋体" w:hint="default"/>
                <w:spacing w:val="-2"/>
                <w:sz w:val="18"/>
                <w:szCs w:val="18"/>
              </w:rPr>
              <w:t>工伤保险费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10,777.27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145,557.06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148,636.61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7,697.72</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0"/>
              <w:jc w:val="right"/>
              <w:rPr>
                <w:rFonts w:ascii="宋体" w:hAnsi="宋体" w:cs="宋体" w:eastAsia="宋体" w:hint="default"/>
                <w:sz w:val="18"/>
                <w:szCs w:val="18"/>
              </w:rPr>
            </w:pPr>
            <w:r>
              <w:rPr>
                <w:rFonts w:ascii="宋体" w:hAnsi="宋体" w:cs="宋体" w:eastAsia="宋体" w:hint="default"/>
                <w:spacing w:val="-2"/>
                <w:sz w:val="18"/>
                <w:szCs w:val="18"/>
              </w:rPr>
              <w:t>生育保险费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33,417.02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603,165.87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592,703.72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43,879.17</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7,144,801.60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7,146,001.60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3"/>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、工会经费和职工教育</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经费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5,000,777.96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891,195.89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2,112,369.32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3,779,604.53</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24,134,019.11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123,322,776.97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120,400,907.88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27,055,888.20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3）设定提存计划列示" w:id="308"/>
      <w:bookmarkEnd w:id="308"/>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1078" w:right="0"/>
              <w:jc w:val="left"/>
              <w:rPr>
                <w:rFonts w:ascii="Times New Roman" w:hAnsi="Times New Roman" w:cs="Times New Roman" w:eastAsia="Times New Roman" w:hint="default"/>
                <w:sz w:val="18"/>
                <w:szCs w:val="18"/>
              </w:rPr>
            </w:pPr>
            <w:r>
              <w:rPr>
                <w:rFonts w:ascii="Times New Roman"/>
                <w:sz w:val="18"/>
              </w:rPr>
              <w:t>442,264.88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36" w:right="0"/>
              <w:jc w:val="left"/>
              <w:rPr>
                <w:rFonts w:ascii="Times New Roman" w:hAnsi="Times New Roman" w:cs="Times New Roman" w:eastAsia="Times New Roman" w:hint="default"/>
                <w:sz w:val="18"/>
                <w:szCs w:val="18"/>
              </w:rPr>
            </w:pPr>
            <w:r>
              <w:rPr>
                <w:rFonts w:ascii="Times New Roman"/>
                <w:sz w:val="18"/>
              </w:rPr>
              <w:t>9,262,787.45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36" w:right="0"/>
              <w:jc w:val="left"/>
              <w:rPr>
                <w:rFonts w:ascii="Times New Roman" w:hAnsi="Times New Roman" w:cs="Times New Roman" w:eastAsia="Times New Roman" w:hint="default"/>
                <w:sz w:val="18"/>
                <w:szCs w:val="18"/>
              </w:rPr>
            </w:pPr>
            <w:r>
              <w:rPr>
                <w:rFonts w:ascii="Times New Roman"/>
                <w:sz w:val="18"/>
              </w:rPr>
              <w:t>9,163,390.87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70" w:right="0"/>
              <w:jc w:val="left"/>
              <w:rPr>
                <w:rFonts w:ascii="Times New Roman" w:hAnsi="Times New Roman" w:cs="Times New Roman" w:eastAsia="Times New Roman" w:hint="default"/>
                <w:sz w:val="18"/>
                <w:szCs w:val="18"/>
              </w:rPr>
            </w:pPr>
            <w:r>
              <w:rPr>
                <w:rFonts w:ascii="Times New Roman"/>
                <w:sz w:val="18"/>
              </w:rPr>
              <w:t>541,661.46</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16,438.31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341,408.65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337,429.46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20,417.50</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458,703.19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9,604,196.10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9,500,820.33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562,078.96</w:t>
            </w:r>
          </w:p>
        </w:tc>
      </w:tr>
    </w:tbl>
    <w:p>
      <w:pPr>
        <w:pStyle w:val="BodyText"/>
        <w:spacing w:line="240" w:lineRule="auto" w:before="53"/>
        <w:ind w:right="0"/>
        <w:jc w:val="left"/>
      </w:pPr>
      <w:r>
        <w:rPr/>
        <w:t>其他说明：</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23、应交税费" w:id="309"/>
      <w:bookmarkEnd w:id="309"/>
      <w:r>
        <w:rPr>
          <w:b w:val="0"/>
          <w:bCs w:val="0"/>
        </w:rPr>
      </w:r>
      <w:r>
        <w:rPr>
          <w:rFonts w:ascii="Times New Roman" w:hAnsi="Times New Roman" w:cs="Times New Roman" w:eastAsia="Times New Roman" w:hint="default"/>
        </w:rPr>
        <w:t>23</w:t>
      </w:r>
      <w:r>
        <w:rPr/>
        <w:t>、应交税费</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3"/>
                <w:sz w:val="18"/>
              </w:rPr>
              <w:t>7,111,532.09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17,879,695.81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3,426,251.63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7,045,623.44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1,441,449.76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212,791.51</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497,173.49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1,273,769.89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1,307,418.18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716,291.48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213,074.36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545,901.37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141,106.54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363,834.26</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31,939.63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26,188.51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534.04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5,839.41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14,170,479.72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28,069,935.68</w:t>
            </w:r>
          </w:p>
        </w:tc>
      </w:tr>
    </w:tbl>
    <w:p>
      <w:pPr>
        <w:pStyle w:val="BodyText"/>
        <w:spacing w:line="240" w:lineRule="auto" w:before="53"/>
        <w:ind w:right="0"/>
        <w:jc w:val="left"/>
      </w:pPr>
      <w:r>
        <w:rPr/>
        <w:t>其他说明：</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bookmarkStart w:name="24、其他应付款" w:id="310"/>
      <w:bookmarkEnd w:id="310"/>
      <w:r>
        <w:rPr>
          <w:b w:val="0"/>
          <w:bCs w:val="0"/>
        </w:rPr>
      </w:r>
      <w:r>
        <w:rPr>
          <w:rFonts w:ascii="Times New Roman" w:hAnsi="Times New Roman" w:cs="Times New Roman" w:eastAsia="Times New Roman" w:hint="default"/>
        </w:rPr>
        <w:t>24</w:t>
      </w:r>
      <w:r>
        <w:rPr/>
        <w:t>、其他应付款</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367,387.50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185,400.00</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59,690,718.83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55,497,263.17</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60,058,106.33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55,682,663.17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1）应付利息" w:id="311"/>
      <w:bookmarkEnd w:id="311"/>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3"/>
        <w:ind w:right="0"/>
        <w:jc w:val="left"/>
      </w:pPr>
      <w:r>
        <w:rPr>
          <w:spacing w:val="-3"/>
        </w:rPr>
        <w:t>重要的已逾期未支付的利息情况：</w:t>
      </w:r>
    </w:p>
    <w:p>
      <w:pPr>
        <w:pStyle w:val="BodyText"/>
        <w:spacing w:line="240" w:lineRule="auto" w:before="119"/>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3"/>
        <w:ind w:right="0"/>
        <w:jc w:val="left"/>
      </w:pPr>
      <w:r>
        <w:rPr/>
        <w:t>其他说明：</w:t>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4"/>
        <w:spacing w:line="240" w:lineRule="auto" w:before="36"/>
        <w:ind w:right="0"/>
        <w:jc w:val="left"/>
        <w:rPr>
          <w:b w:val="0"/>
          <w:bCs w:val="0"/>
        </w:rPr>
      </w:pPr>
      <w:bookmarkStart w:name="（2）应付股利" w:id="312"/>
      <w:bookmarkEnd w:id="312"/>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367,387.50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185,400.00</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367,387.50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185,400.00</w:t>
            </w:r>
          </w:p>
        </w:tc>
      </w:tr>
    </w:tbl>
    <w:p>
      <w:pPr>
        <w:pStyle w:val="BodyText"/>
        <w:spacing w:line="240" w:lineRule="auto" w:before="53"/>
        <w:ind w:right="0"/>
        <w:jc w:val="left"/>
      </w:pPr>
      <w:r>
        <w:rPr>
          <w:spacing w:val="-3"/>
        </w:rPr>
        <w:t>其他说明，包括重要的超过 </w:t>
      </w:r>
      <w:r>
        <w:rPr>
          <w:rFonts w:ascii="Times New Roman" w:hAnsi="Times New Roman" w:cs="Times New Roman" w:eastAsia="Times New Roman" w:hint="default"/>
        </w:rPr>
        <w:t>1 </w:t>
      </w:r>
      <w:r>
        <w:rPr>
          <w:rFonts w:ascii="Times New Roman" w:hAnsi="Times New Roman" w:cs="Times New Roman" w:eastAsia="Times New Roman" w:hint="default"/>
          <w:spacing w:val="2"/>
        </w:rPr>
        <w:t> </w:t>
      </w:r>
      <w:r>
        <w:rPr>
          <w:spacing w:val="-3"/>
        </w:rPr>
        <w:t>年未支付的应付股利，应披露未支付原因：</w:t>
      </w:r>
    </w:p>
    <w:p>
      <w:pPr>
        <w:pStyle w:val="Heading5"/>
        <w:spacing w:line="240" w:lineRule="auto" w:before="76"/>
        <w:ind w:right="0"/>
        <w:jc w:val="left"/>
      </w:pPr>
      <w:r>
        <w:rPr/>
        <w:t>上述应付股利系尚未解锁的限制性股票的未付股利。</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8"/>
        <w:ind w:right="0"/>
        <w:jc w:val="left"/>
        <w:rPr>
          <w:b w:val="0"/>
          <w:bCs w:val="0"/>
        </w:rPr>
      </w:pPr>
      <w:bookmarkStart w:name="（3）其他应付款" w:id="313"/>
      <w:bookmarkEnd w:id="313"/>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1）按款项性质列示其他应付款" w:id="314"/>
      <w:bookmarkEnd w:id="314"/>
      <w:r>
        <w:rPr>
          <w:b w:val="0"/>
          <w:bCs w:val="0"/>
        </w:rPr>
      </w:r>
      <w:r>
        <w:rPr>
          <w:rFonts w:ascii="Times New Roman" w:hAnsi="Times New Roman" w:cs="Times New Roman" w:eastAsia="Times New Roman" w:hint="default"/>
        </w:rPr>
        <w:t>1</w:t>
      </w:r>
      <w:r>
        <w:rPr/>
        <w:t>）按款项性质列示其他应付款</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限制性股票回购义务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53,750,136.45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50,892,300.00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预提及代垫费用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2,313,739.20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2,032,432.80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2,502,472.21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1,808,795.50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1,124,370.97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763,734.87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59,690,718.83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55,497,263.17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账龄超过1年的重要其他应付款" w:id="315"/>
      <w:bookmarkEnd w:id="315"/>
      <w:r>
        <w:rPr>
          <w:b w:val="0"/>
          <w:bCs w:val="0"/>
        </w:rPr>
      </w:r>
      <w:r>
        <w:rPr>
          <w:rFonts w:ascii="Times New Roman" w:hAnsi="Times New Roman" w:cs="Times New Roman" w:eastAsia="Times New Roman" w:hint="default"/>
        </w:rPr>
        <w:t>2</w:t>
      </w:r>
      <w:r>
        <w:rPr/>
        <w:t>）账龄超过</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未偿还或结转的原因</w:t>
            </w:r>
          </w:p>
        </w:tc>
      </w:tr>
    </w:tbl>
    <w:p>
      <w:pPr>
        <w:pStyle w:val="BodyText"/>
        <w:spacing w:line="240" w:lineRule="auto" w:before="54"/>
        <w:ind w:right="0"/>
        <w:jc w:val="left"/>
      </w:pPr>
      <w:r>
        <w:rPr/>
        <w:t>其他说明</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bookmarkStart w:name="25、预计负债" w:id="316"/>
      <w:bookmarkEnd w:id="316"/>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pStyle w:val="BodyText"/>
        <w:spacing w:line="240" w:lineRule="auto" w:before="46"/>
        <w:ind w:right="0"/>
        <w:jc w:val="left"/>
      </w:pPr>
      <w:r>
        <w:rPr>
          <w:spacing w:val="-2"/>
        </w:rPr>
        <w:t>是否已执行新收入准则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1959" w:space="6872"/>
            <w:col w:w="2099"/>
          </w:cols>
        </w:sectPr>
      </w:pP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7"/>
        <w:gridCol w:w="2408"/>
        <w:gridCol w:w="2391"/>
        <w:gridCol w:w="2391"/>
      </w:tblGrid>
      <w:tr>
        <w:trPr>
          <w:trHeight w:val="403"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2,144,280.27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2,291,640.99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维保费</w:t>
            </w:r>
          </w:p>
        </w:tc>
      </w:tr>
      <w:tr>
        <w:trPr>
          <w:trHeight w:val="399" w:hRule="exact"/>
        </w:trPr>
        <w:tc>
          <w:tcPr>
            <w:tcW w:w="2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2,144,280.27</w:t>
            </w:r>
          </w:p>
        </w:tc>
        <w:tc>
          <w:tcPr>
            <w:tcW w:w="239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1"/>
                <w:sz w:val="18"/>
              </w:rPr>
              <w:t>2,291,640.99</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357" w:lineRule="auto" w:before="53"/>
        <w:ind w:right="6009"/>
        <w:jc w:val="left"/>
      </w:pPr>
      <w:r>
        <w:rPr>
          <w:spacing w:val="-3"/>
        </w:rPr>
        <w:t>其他说明，包括重要预计负债的相关重要假设、估计说明：</w:t>
      </w:r>
      <w:r>
        <w:rPr>
          <w:spacing w:val="-10"/>
        </w:rPr>
        <w:t> </w:t>
      </w:r>
      <w:r>
        <w:rPr>
          <w:spacing w:val="-10"/>
        </w:rPr>
      </w:r>
      <w:r>
        <w:rPr/>
        <w:t>无</w:t>
      </w:r>
    </w:p>
    <w:p>
      <w:pPr>
        <w:spacing w:after="0" w:line="357" w:lineRule="auto"/>
        <w:jc w:val="left"/>
        <w:sectPr>
          <w:type w:val="continuous"/>
          <w:pgSz w:w="11910" w:h="16840"/>
          <w:pgMar w:top="1060" w:bottom="1160" w:left="980" w:right="0"/>
        </w:sectPr>
      </w:pPr>
    </w:p>
    <w:p>
      <w:pPr>
        <w:spacing w:line="240" w:lineRule="auto" w:before="4"/>
        <w:rPr>
          <w:rFonts w:ascii="宋体" w:hAnsi="宋体" w:cs="宋体" w:eastAsia="宋体" w:hint="default"/>
          <w:sz w:val="25"/>
          <w:szCs w:val="25"/>
        </w:rPr>
      </w:pPr>
    </w:p>
    <w:p>
      <w:pPr>
        <w:pStyle w:val="Heading4"/>
        <w:spacing w:line="240" w:lineRule="auto" w:before="36"/>
        <w:ind w:right="0"/>
        <w:jc w:val="left"/>
        <w:rPr>
          <w:b w:val="0"/>
          <w:bCs w:val="0"/>
        </w:rPr>
      </w:pPr>
      <w:bookmarkStart w:name="26、股本" w:id="317"/>
      <w:bookmarkEnd w:id="317"/>
      <w:r>
        <w:rPr>
          <w:b w:val="0"/>
          <w:bCs w:val="0"/>
        </w:rPr>
      </w:r>
      <w:r>
        <w:rPr>
          <w:rFonts w:ascii="Times New Roman" w:hAnsi="Times New Roman" w:cs="Times New Roman" w:eastAsia="Times New Roman" w:hint="default"/>
        </w:rPr>
        <w:t>26</w:t>
      </w:r>
      <w:r>
        <w:rPr/>
        <w:t>、股本</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9"/>
        <w:gridCol w:w="1196"/>
        <w:gridCol w:w="1196"/>
        <w:gridCol w:w="1196"/>
        <w:gridCol w:w="1186"/>
        <w:gridCol w:w="1205"/>
      </w:tblGrid>
      <w:tr>
        <w:trPr>
          <w:trHeight w:val="207"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2"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2" w:type="dxa"/>
            <w:gridSpan w:val="5"/>
            <w:vMerge/>
            <w:tcBorders>
              <w:left w:val="single" w:sz="4" w:space="0" w:color="000000"/>
              <w:bottom w:val="single" w:sz="4" w:space="0" w:color="000000"/>
              <w:right w:val="single" w:sz="4" w:space="0" w:color="000000"/>
            </w:tcBorders>
            <w:shd w:val="clear" w:color="auto" w:fill="D2D2D2"/>
          </w:tcPr>
          <w:p>
            <w:pPr/>
          </w:p>
        </w:tc>
        <w:tc>
          <w:tcPr>
            <w:tcW w:w="12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2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5"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9"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6" w:type="dxa"/>
            <w:vMerge/>
            <w:tcBorders>
              <w:left w:val="single" w:sz="4" w:space="0" w:color="000000"/>
              <w:bottom w:val="single" w:sz="4" w:space="0" w:color="000000"/>
              <w:right w:val="single" w:sz="4" w:space="0" w:color="000000"/>
            </w:tcBorders>
            <w:shd w:val="clear" w:color="auto" w:fill="D2D2D2"/>
          </w:tcPr>
          <w:p>
            <w:pPr/>
          </w:p>
        </w:tc>
        <w:tc>
          <w:tcPr>
            <w:tcW w:w="12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122" w:right="0"/>
              <w:jc w:val="left"/>
              <w:rPr>
                <w:rFonts w:ascii="Times New Roman" w:hAnsi="Times New Roman" w:cs="Times New Roman" w:eastAsia="Times New Roman" w:hint="default"/>
                <w:sz w:val="18"/>
                <w:szCs w:val="18"/>
              </w:rPr>
            </w:pPr>
            <w:r>
              <w:rPr>
                <w:rFonts w:ascii="Times New Roman"/>
                <w:sz w:val="18"/>
              </w:rPr>
              <w:t>83,090,000.00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43" w:right="0"/>
              <w:jc w:val="left"/>
              <w:rPr>
                <w:rFonts w:ascii="Times New Roman" w:hAnsi="Times New Roman" w:cs="Times New Roman" w:eastAsia="Times New Roman" w:hint="default"/>
                <w:sz w:val="18"/>
                <w:szCs w:val="18"/>
              </w:rPr>
            </w:pPr>
            <w:r>
              <w:rPr>
                <w:rFonts w:ascii="Times New Roman"/>
                <w:sz w:val="18"/>
              </w:rPr>
              <w:t>700,000.00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9" w:right="0"/>
              <w:jc w:val="left"/>
              <w:rPr>
                <w:rFonts w:ascii="Times New Roman" w:hAnsi="Times New Roman" w:cs="Times New Roman" w:eastAsia="Times New Roman" w:hint="default"/>
                <w:sz w:val="18"/>
                <w:szCs w:val="18"/>
              </w:rPr>
            </w:pPr>
            <w:r>
              <w:rPr>
                <w:rFonts w:ascii="Times New Roman"/>
                <w:sz w:val="18"/>
              </w:rPr>
              <w:t>33,516,000.00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9" w:right="0"/>
              <w:jc w:val="left"/>
              <w:rPr>
                <w:rFonts w:ascii="Times New Roman" w:hAnsi="Times New Roman" w:cs="Times New Roman" w:eastAsia="Times New Roman" w:hint="default"/>
                <w:sz w:val="18"/>
                <w:szCs w:val="18"/>
              </w:rPr>
            </w:pPr>
            <w:r>
              <w:rPr>
                <w:rFonts w:ascii="Times New Roman"/>
                <w:sz w:val="18"/>
              </w:rPr>
              <w:t>34,216,000.00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pacing w:val="-2"/>
                <w:sz w:val="18"/>
              </w:rPr>
              <w:t>117,306,000.00</w:t>
            </w:r>
          </w:p>
        </w:tc>
      </w:tr>
    </w:tbl>
    <w:p>
      <w:pPr>
        <w:pStyle w:val="BodyText"/>
        <w:spacing w:line="240" w:lineRule="auto" w:before="53"/>
        <w:ind w:right="0"/>
        <w:jc w:val="left"/>
      </w:pPr>
      <w:r>
        <w:rPr/>
        <w:t>其他说明：</w:t>
      </w:r>
    </w:p>
    <w:p>
      <w:pPr>
        <w:pStyle w:val="Heading5"/>
        <w:spacing w:line="256" w:lineRule="auto" w:before="90"/>
        <w:ind w:right="1122" w:firstLine="422"/>
        <w:jc w:val="both"/>
      </w:pPr>
      <w:r>
        <w:rPr/>
        <w:t>（</w:t>
      </w:r>
      <w:r>
        <w:rPr>
          <w:rFonts w:ascii="Times New Roman" w:hAnsi="Times New Roman" w:cs="Times New Roman" w:eastAsia="Times New Roman" w:hint="default"/>
        </w:rPr>
        <w:t>1</w:t>
      </w:r>
      <w:r>
        <w:rPr/>
        <w:t>）根据公司二届五次、六次、七次、十四次董事会和</w:t>
      </w:r>
      <w:r>
        <w:rPr>
          <w:rFonts w:ascii="Times New Roman" w:hAnsi="Times New Roman" w:cs="Times New Roman" w:eastAsia="Times New Roman" w:hint="default"/>
        </w:rPr>
        <w:t>2017</w:t>
      </w:r>
      <w:r>
        <w:rPr>
          <w:rFonts w:ascii="Times New Roman" w:hAnsi="Times New Roman" w:cs="Times New Roman" w:eastAsia="Times New Roman" w:hint="default"/>
          <w:spacing w:val="33"/>
        </w:rPr>
        <w:t> </w:t>
      </w:r>
      <w:r>
        <w:rPr/>
        <w:t>年第二次临时股东大会决议，公司向徐</w:t>
      </w:r>
      <w:r>
        <w:rPr>
          <w:w w:val="100"/>
        </w:rPr>
        <w:t> </w:t>
      </w:r>
      <w:r>
        <w:rPr>
          <w:spacing w:val="-2"/>
        </w:rPr>
        <w:t>江民等</w:t>
      </w:r>
      <w:r>
        <w:rPr>
          <w:rFonts w:ascii="Times New Roman" w:hAnsi="Times New Roman" w:cs="Times New Roman" w:eastAsia="Times New Roman" w:hint="default"/>
          <w:spacing w:val="-2"/>
        </w:rPr>
        <w:t>9</w:t>
      </w:r>
      <w:r>
        <w:rPr>
          <w:spacing w:val="-2"/>
        </w:rPr>
        <w:t>名激励对象授予预留限制性人民币普通股（</w:t>
      </w:r>
      <w:r>
        <w:rPr>
          <w:rFonts w:ascii="Times New Roman" w:hAnsi="Times New Roman" w:cs="Times New Roman" w:eastAsia="Times New Roman" w:hint="default"/>
          <w:spacing w:val="-2"/>
        </w:rPr>
        <w:t>A</w:t>
      </w:r>
      <w:r>
        <w:rPr>
          <w:spacing w:val="-2"/>
        </w:rPr>
        <w:t>股）股票</w:t>
      </w:r>
      <w:r>
        <w:rPr>
          <w:rFonts w:ascii="Times New Roman" w:hAnsi="Times New Roman" w:cs="Times New Roman" w:eastAsia="Times New Roman" w:hint="default"/>
          <w:spacing w:val="-2"/>
        </w:rPr>
        <w:t>700,000</w:t>
      </w:r>
      <w:r>
        <w:rPr>
          <w:spacing w:val="-2"/>
        </w:rPr>
        <w:t>股，授予价格为</w:t>
      </w:r>
      <w:r>
        <w:rPr>
          <w:rFonts w:ascii="Times New Roman" w:hAnsi="Times New Roman" w:cs="Times New Roman" w:eastAsia="Times New Roman" w:hint="default"/>
          <w:spacing w:val="-2"/>
        </w:rPr>
        <w:t>24.18</w:t>
      </w:r>
      <w:r>
        <w:rPr>
          <w:spacing w:val="-2"/>
        </w:rPr>
        <w:t>元</w:t>
      </w:r>
      <w:r>
        <w:rPr>
          <w:rFonts w:ascii="Times New Roman" w:hAnsi="Times New Roman" w:cs="Times New Roman" w:eastAsia="Times New Roman" w:hint="default"/>
          <w:spacing w:val="-2"/>
        </w:rPr>
        <w:t>/</w:t>
      </w:r>
      <w:r>
        <w:rPr>
          <w:spacing w:val="-2"/>
        </w:rPr>
        <w:t>股。本期收</w:t>
      </w:r>
      <w:r>
        <w:rPr>
          <w:spacing w:val="-16"/>
        </w:rPr>
        <w:t> </w:t>
      </w:r>
      <w:r>
        <w:rPr>
          <w:spacing w:val="-16"/>
        </w:rPr>
      </w:r>
      <w:r>
        <w:rPr>
          <w:spacing w:val="-1"/>
        </w:rPr>
        <w:t>到徐江民等</w:t>
      </w:r>
      <w:r>
        <w:rPr>
          <w:rFonts w:ascii="Times New Roman" w:hAnsi="Times New Roman" w:cs="Times New Roman" w:eastAsia="Times New Roman" w:hint="default"/>
          <w:spacing w:val="-1"/>
        </w:rPr>
        <w:t>9</w:t>
      </w:r>
      <w:r>
        <w:rPr>
          <w:spacing w:val="-1"/>
        </w:rPr>
        <w:t>名激励对象以货币资金缴付的出资额</w:t>
      </w:r>
      <w:r>
        <w:rPr>
          <w:rFonts w:ascii="Times New Roman" w:hAnsi="Times New Roman" w:cs="Times New Roman" w:eastAsia="Times New Roman" w:hint="default"/>
          <w:spacing w:val="-1"/>
        </w:rPr>
        <w:t>16,926,000.00</w:t>
      </w:r>
      <w:r>
        <w:rPr>
          <w:spacing w:val="-1"/>
        </w:rPr>
        <w:t>元，其中，计入实收股本</w:t>
      </w:r>
      <w:r>
        <w:rPr>
          <w:rFonts w:ascii="Times New Roman" w:hAnsi="Times New Roman" w:cs="Times New Roman" w:eastAsia="Times New Roman" w:hint="default"/>
          <w:spacing w:val="-1"/>
        </w:rPr>
        <w:t>700,000.00</w:t>
      </w:r>
      <w:r>
        <w:rPr>
          <w:spacing w:val="-1"/>
        </w:rPr>
        <w:t>元，计</w:t>
      </w:r>
      <w:r>
        <w:rPr>
          <w:spacing w:val="-10"/>
        </w:rPr>
        <w:t> </w:t>
      </w:r>
      <w:r>
        <w:rPr>
          <w:spacing w:val="-1"/>
        </w:rPr>
        <w:t>入资本公积（股本溢价）</w:t>
      </w:r>
      <w:r>
        <w:rPr>
          <w:rFonts w:ascii="Times New Roman" w:hAnsi="Times New Roman" w:cs="Times New Roman" w:eastAsia="Times New Roman" w:hint="default"/>
          <w:spacing w:val="-1"/>
        </w:rPr>
        <w:t>16,226,000.00</w:t>
      </w:r>
      <w:r>
        <w:rPr>
          <w:spacing w:val="-1"/>
        </w:rPr>
        <w:t>元。上述股本变动业经天健会计师事务所（特殊普通合伙）审验，</w:t>
      </w:r>
      <w:r>
        <w:rPr>
          <w:spacing w:val="-18"/>
        </w:rPr>
        <w:t> </w:t>
      </w:r>
      <w:r>
        <w:rPr>
          <w:spacing w:val="-18"/>
        </w:rPr>
      </w:r>
      <w:r>
        <w:rPr/>
        <w:t>并由其出具《验资报告》（天健验〔</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25</w:t>
      </w:r>
      <w:r>
        <w:rPr/>
        <w:t>号）。公司已于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日办妥工商变更登记。</w:t>
      </w:r>
    </w:p>
    <w:p>
      <w:pPr>
        <w:pStyle w:val="Heading5"/>
        <w:spacing w:line="256" w:lineRule="auto" w:before="5"/>
        <w:ind w:right="1122" w:firstLine="422"/>
        <w:jc w:val="both"/>
      </w:pPr>
      <w:r>
        <w:rPr/>
        <w:t>（</w:t>
      </w:r>
      <w:r>
        <w:rPr>
          <w:rFonts w:ascii="Times New Roman" w:hAnsi="Times New Roman" w:cs="Times New Roman" w:eastAsia="Times New Roman" w:hint="default"/>
        </w:rPr>
        <w:t>2</w:t>
      </w:r>
      <w:r>
        <w:rPr/>
        <w:t>）根据公司</w:t>
      </w:r>
      <w:r>
        <w:rPr>
          <w:rFonts w:ascii="Times New Roman" w:hAnsi="Times New Roman" w:cs="Times New Roman" w:eastAsia="Times New Roman" w:hint="default"/>
        </w:rPr>
        <w:t>2018</w:t>
      </w:r>
      <w:r>
        <w:rPr/>
        <w:t>年度股东大会决议，以及二届二十次董事会决议、</w:t>
      </w:r>
      <w:r>
        <w:rPr>
          <w:rFonts w:ascii="Times New Roman" w:hAnsi="Times New Roman" w:cs="Times New Roman" w:eastAsia="Times New Roman" w:hint="default"/>
        </w:rPr>
        <w:t>2019</w:t>
      </w:r>
      <w:r>
        <w:rPr/>
        <w:t>年第三次临时股东大会决</w:t>
      </w:r>
      <w:r>
        <w:rPr>
          <w:w w:val="100"/>
        </w:rPr>
        <w:t> </w:t>
      </w:r>
      <w:r>
        <w:rPr>
          <w:spacing w:val="-3"/>
          <w:w w:val="105"/>
        </w:rPr>
        <w:t>议及修改后章程，公司申请增加注册资本人民币 </w:t>
      </w:r>
      <w:r>
        <w:rPr>
          <w:rFonts w:ascii="Times New Roman" w:hAnsi="Times New Roman" w:cs="Times New Roman" w:eastAsia="Times New Roman" w:hint="default"/>
          <w:spacing w:val="-3"/>
          <w:w w:val="105"/>
        </w:rPr>
      </w:r>
      <w:r>
        <w:rPr>
          <w:rFonts w:ascii="Times New Roman" w:hAnsi="Times New Roman" w:cs="Times New Roman" w:eastAsia="Times New Roman" w:hint="default"/>
          <w:w w:val="105"/>
        </w:rPr>
        <w:t>5</w:t>
      </w:r>
      <w:r>
        <w:rPr>
          <w:rFonts w:ascii="Times New Roman" w:hAnsi="Times New Roman" w:cs="Times New Roman" w:eastAsia="Times New Roman" w:hint="default"/>
          <w:spacing w:val="30"/>
          <w:w w:val="105"/>
        </w:rPr>
        <w:t> </w:t>
      </w:r>
      <w:r>
        <w:rPr>
          <w:rFonts w:ascii="Times New Roman" w:hAnsi="Times New Roman" w:cs="Times New Roman" w:eastAsia="Times New Roman" w:hint="default"/>
          <w:spacing w:val="-3"/>
          <w:w w:val="105"/>
        </w:rPr>
        <w:t>.00</w:t>
      </w:r>
      <w:r>
        <w:rPr>
          <w:spacing w:val="-3"/>
          <w:w w:val="105"/>
        </w:rPr>
        <w:t>元，由资本公积转增，转增基准日为</w:t>
      </w:r>
      <w:r>
        <w:rPr>
          <w:rFonts w:ascii="Times New Roman" w:hAnsi="Times New Roman" w:cs="Times New Roman" w:eastAsia="Times New Roman" w:hint="default"/>
          <w:spacing w:val="-3"/>
          <w:w w:val="105"/>
        </w:rPr>
        <w:t>2019</w:t>
      </w:r>
      <w:r>
        <w:rPr>
          <w:spacing w:val="-3"/>
          <w:w w:val="105"/>
        </w:rPr>
        <w:t>年</w:t>
      </w:r>
      <w:r>
        <w:rPr>
          <w:rFonts w:ascii="Times New Roman" w:hAnsi="Times New Roman" w:cs="Times New Roman" w:eastAsia="Times New Roman" w:hint="default"/>
          <w:spacing w:val="-3"/>
          <w:w w:val="105"/>
        </w:rPr>
        <w:t>6</w:t>
      </w:r>
      <w:r>
        <w:rPr>
          <w:rFonts w:ascii="Times New Roman" w:hAnsi="Times New Roman" w:cs="Times New Roman" w:eastAsia="Times New Roman" w:hint="default"/>
          <w:w w:val="100"/>
        </w:rPr>
        <w:t> </w:t>
      </w:r>
      <w:r>
        <w:rPr>
          <w:spacing w:val="-2"/>
        </w:rPr>
        <w:t>月</w:t>
      </w:r>
      <w:r>
        <w:rPr>
          <w:rFonts w:ascii="Times New Roman" w:hAnsi="Times New Roman" w:cs="Times New Roman" w:eastAsia="Times New Roman" w:hint="default"/>
          <w:spacing w:val="-2"/>
        </w:rPr>
        <w:t>14</w:t>
      </w:r>
      <w:r>
        <w:rPr>
          <w:spacing w:val="-2"/>
        </w:rPr>
        <w:t>日。上述股本变动业经天健会计师事务所（特殊普通合伙）审验，并由其出具《验资报告》（天健验</w:t>
      </w:r>
    </w:p>
    <w:p>
      <w:pPr>
        <w:pStyle w:val="Heading5"/>
        <w:spacing w:line="240" w:lineRule="auto" w:before="5"/>
        <w:ind w:right="0"/>
        <w:jc w:val="left"/>
      </w:pPr>
      <w:r>
        <w:rPr/>
        <w:t>〔</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323</w:t>
      </w:r>
      <w:r>
        <w:rPr/>
        <w:t>号）。公司已于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日办妥工商变更登记。</w:t>
      </w:r>
    </w:p>
    <w:p>
      <w:pPr>
        <w:spacing w:line="240" w:lineRule="auto" w:before="10"/>
        <w:rPr>
          <w:rFonts w:ascii="宋体" w:hAnsi="宋体" w:cs="宋体" w:eastAsia="宋体" w:hint="default"/>
          <w:sz w:val="24"/>
          <w:szCs w:val="24"/>
        </w:rPr>
      </w:pPr>
    </w:p>
    <w:p>
      <w:pPr>
        <w:pStyle w:val="Heading4"/>
        <w:spacing w:line="240" w:lineRule="auto"/>
        <w:ind w:right="0"/>
        <w:jc w:val="left"/>
        <w:rPr>
          <w:b w:val="0"/>
          <w:bCs w:val="0"/>
        </w:rPr>
      </w:pPr>
      <w:bookmarkStart w:name="27、资本公积" w:id="318"/>
      <w:bookmarkEnd w:id="318"/>
      <w:r>
        <w:rPr>
          <w:b w:val="0"/>
          <w:bCs w:val="0"/>
        </w:rPr>
      </w:r>
      <w:r>
        <w:rPr>
          <w:rFonts w:ascii="Times New Roman" w:hAnsi="Times New Roman" w:cs="Times New Roman" w:eastAsia="Times New Roman" w:hint="default"/>
        </w:rPr>
        <w:t>27</w:t>
      </w:r>
      <w:r>
        <w:rPr/>
        <w:t>、资本公积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268,326,947.94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25,653,500.00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33,516,000.00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260,464,447.94</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13,150,883.86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23,432,423.22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9,427,500.00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27,155,807.08</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281,477,831.80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49,085,923.22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42,943,500.00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287,620,255.02</w:t>
            </w:r>
          </w:p>
        </w:tc>
      </w:tr>
    </w:tbl>
    <w:p>
      <w:pPr>
        <w:pStyle w:val="BodyText"/>
        <w:spacing w:line="240" w:lineRule="auto" w:before="53"/>
        <w:ind w:right="0"/>
        <w:jc w:val="left"/>
      </w:pPr>
      <w:r>
        <w:rPr>
          <w:spacing w:val="-3"/>
        </w:rPr>
        <w:t>其他说明，包括本期增减变动情况、变动原因说明：</w:t>
      </w:r>
    </w:p>
    <w:p>
      <w:pPr>
        <w:pStyle w:val="BodyText"/>
        <w:spacing w:line="240" w:lineRule="auto" w:before="110"/>
        <w:ind w:right="0"/>
        <w:jc w:val="left"/>
      </w:pPr>
      <w:r>
        <w:rPr>
          <w:rFonts w:ascii="Times New Roman" w:hAnsi="Times New Roman" w:cs="Times New Roman" w:eastAsia="Times New Roman" w:hint="default"/>
        </w:rPr>
        <w:t>1)</w:t>
      </w:r>
      <w:r>
        <w:rPr/>
        <w:t>本期资本公积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t>增加 </w:t>
      </w:r>
      <w:r>
        <w:rPr>
          <w:rFonts w:ascii="Times New Roman" w:hAnsi="Times New Roman" w:cs="Times New Roman" w:eastAsia="Times New Roman" w:hint="default"/>
        </w:rPr>
        <w:t>25,653,500.00 </w:t>
      </w:r>
      <w:r>
        <w:rPr>
          <w:spacing w:val="-5"/>
        </w:rPr>
        <w:t>元，其中，实施股权激励增发股票形成股本溢价 </w:t>
      </w:r>
      <w:r>
        <w:rPr>
          <w:rFonts w:ascii="Times New Roman" w:hAnsi="Times New Roman" w:cs="Times New Roman" w:eastAsia="Times New Roman" w:hint="default"/>
        </w:rPr>
        <w:t>16,226,000.00</w:t>
      </w:r>
      <w:r>
        <w:rPr>
          <w:rFonts w:ascii="Times New Roman" w:hAnsi="Times New Roman" w:cs="Times New Roman" w:eastAsia="Times New Roman" w:hint="default"/>
          <w:spacing w:val="-15"/>
        </w:rPr>
        <w:t> </w:t>
      </w:r>
      <w:r>
        <w:rPr>
          <w:spacing w:val="-7"/>
        </w:rPr>
        <w:t>元；本期部分限</w:t>
      </w:r>
    </w:p>
    <w:p>
      <w:pPr>
        <w:pStyle w:val="BodyText"/>
        <w:spacing w:line="304" w:lineRule="auto" w:before="63"/>
        <w:ind w:right="1037"/>
        <w:jc w:val="left"/>
      </w:pPr>
      <w:r>
        <w:rPr>
          <w:spacing w:val="-4"/>
        </w:rPr>
        <w:t>制性股票已解锁，相应将原确认的对应股份的股份支付费用 </w:t>
      </w:r>
      <w:r>
        <w:rPr>
          <w:rFonts w:ascii="Times New Roman" w:hAnsi="Times New Roman" w:cs="Times New Roman" w:eastAsia="Times New Roman" w:hint="default"/>
        </w:rPr>
        <w:t>9,427,500.00 </w:t>
      </w:r>
      <w:r>
        <w:rPr>
          <w:spacing w:val="-3"/>
        </w:rPr>
        <w:t>元由资本公积</w:t>
      </w:r>
      <w:r>
        <w:rPr>
          <w:rFonts w:ascii="Times New Roman" w:hAnsi="Times New Roman" w:cs="Times New Roman" w:eastAsia="Times New Roman" w:hint="default"/>
          <w:spacing w:val="-3"/>
        </w:rPr>
        <w:t>(</w:t>
      </w:r>
      <w:r>
        <w:rPr>
          <w:spacing w:val="-3"/>
        </w:rPr>
        <w:t>其他资本公积</w:t>
      </w:r>
      <w:r>
        <w:rPr>
          <w:rFonts w:ascii="Times New Roman" w:hAnsi="Times New Roman" w:cs="Times New Roman" w:eastAsia="Times New Roman" w:hint="default"/>
          <w:spacing w:val="-3"/>
        </w:rPr>
        <w:t>)</w:t>
      </w:r>
      <w:r>
        <w:rPr>
          <w:spacing w:val="-3"/>
        </w:rPr>
        <w:t>转入资本公积</w:t>
      </w:r>
      <w:r>
        <w:rPr>
          <w:rFonts w:ascii="Times New Roman" w:hAnsi="Times New Roman" w:cs="Times New Roman" w:eastAsia="Times New Roman" w:hint="default"/>
          <w:spacing w:val="-3"/>
        </w:rPr>
        <w:t>(</w:t>
      </w:r>
      <w:r>
        <w:rPr>
          <w:spacing w:val="-3"/>
        </w:rPr>
        <w:t>股本溢</w:t>
      </w:r>
      <w:r>
        <w:rPr>
          <w:spacing w:val="-46"/>
        </w:rPr>
        <w:t> </w:t>
      </w:r>
      <w:r>
        <w:rPr>
          <w:spacing w:val="-46"/>
        </w:rPr>
      </w:r>
      <w:r>
        <w:rPr/>
        <w:t>价</w:t>
      </w:r>
      <w:r>
        <w:rPr>
          <w:rFonts w:ascii="Times New Roman" w:hAnsi="Times New Roman" w:cs="Times New Roman" w:eastAsia="Times New Roman" w:hint="default"/>
        </w:rPr>
        <w:t>)</w:t>
      </w:r>
      <w:r>
        <w:rPr/>
        <w:t>；</w:t>
      </w:r>
    </w:p>
    <w:p>
      <w:pPr>
        <w:pStyle w:val="BodyText"/>
        <w:spacing w:line="240" w:lineRule="auto" w:before="52"/>
        <w:ind w:right="0"/>
        <w:jc w:val="left"/>
      </w:pPr>
      <w:r>
        <w:rPr>
          <w:rFonts w:ascii="Times New Roman" w:hAnsi="Times New Roman" w:cs="Times New Roman" w:eastAsia="Times New Roman" w:hint="default"/>
        </w:rPr>
        <w:t>2)</w:t>
      </w:r>
      <w:r>
        <w:rPr/>
        <w:t>本期资本公积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t>减少 </w:t>
      </w:r>
      <w:r>
        <w:rPr>
          <w:rFonts w:ascii="Times New Roman" w:hAnsi="Times New Roman" w:cs="Times New Roman" w:eastAsia="Times New Roman" w:hint="default"/>
        </w:rPr>
        <w:t>33,516,000.00</w:t>
      </w:r>
      <w:r>
        <w:rPr>
          <w:rFonts w:ascii="Times New Roman" w:hAnsi="Times New Roman" w:cs="Times New Roman" w:eastAsia="Times New Roman" w:hint="default"/>
          <w:spacing w:val="-7"/>
        </w:rPr>
        <w:t> </w:t>
      </w:r>
      <w:r>
        <w:rPr>
          <w:spacing w:val="-3"/>
        </w:rPr>
        <w:t>元系本期资本公积转增股本。</w:t>
      </w:r>
    </w:p>
    <w:p>
      <w:pPr>
        <w:pStyle w:val="BodyText"/>
        <w:spacing w:line="240" w:lineRule="auto" w:before="96"/>
        <w:ind w:right="0"/>
        <w:jc w:val="left"/>
      </w:pPr>
      <w:r>
        <w:rPr>
          <w:rFonts w:ascii="Times New Roman" w:hAnsi="Times New Roman" w:cs="Times New Roman" w:eastAsia="Times New Roman" w:hint="default"/>
          <w:spacing w:val="-3"/>
        </w:rPr>
        <w:t>3)</w:t>
      </w:r>
      <w:r>
        <w:rPr>
          <w:spacing w:val="-3"/>
        </w:rPr>
        <w:t>本期资本公积</w:t>
      </w:r>
      <w:r>
        <w:rPr>
          <w:rFonts w:ascii="Times New Roman" w:hAnsi="Times New Roman" w:cs="Times New Roman" w:eastAsia="Times New Roman" w:hint="default"/>
          <w:spacing w:val="-3"/>
        </w:rPr>
        <w:t>(</w:t>
      </w:r>
      <w:r>
        <w:rPr>
          <w:spacing w:val="-3"/>
        </w:rPr>
        <w:t>其他资本公积</w:t>
      </w:r>
      <w:r>
        <w:rPr>
          <w:rFonts w:ascii="Times New Roman" w:hAnsi="Times New Roman" w:cs="Times New Roman" w:eastAsia="Times New Roman" w:hint="default"/>
          <w:spacing w:val="-3"/>
        </w:rPr>
        <w:t>)</w:t>
      </w:r>
      <w:r>
        <w:rPr>
          <w:spacing w:val="-3"/>
        </w:rPr>
        <w:t>增加 </w:t>
      </w:r>
      <w:r>
        <w:rPr>
          <w:rFonts w:ascii="Times New Roman" w:hAnsi="Times New Roman" w:cs="Times New Roman" w:eastAsia="Times New Roman" w:hint="default"/>
        </w:rPr>
        <w:t>23,432,423.22  </w:t>
      </w:r>
      <w:r>
        <w:rPr>
          <w:rFonts w:ascii="Times New Roman" w:hAnsi="Times New Roman" w:cs="Times New Roman" w:eastAsia="Times New Roman" w:hint="default"/>
          <w:spacing w:val="4"/>
        </w:rPr>
        <w:t> </w:t>
      </w:r>
      <w:r>
        <w:rPr>
          <w:spacing w:val="-4"/>
        </w:rPr>
        <w:t>元，系根据股权激励授予日公司股票收盘价计算确认本期应摊销的股份支</w:t>
      </w:r>
    </w:p>
    <w:p>
      <w:pPr>
        <w:pStyle w:val="BodyText"/>
        <w:spacing w:line="240" w:lineRule="auto" w:before="63"/>
        <w:ind w:right="0"/>
        <w:jc w:val="left"/>
      </w:pPr>
      <w:r>
        <w:rPr>
          <w:spacing w:val="-3"/>
        </w:rPr>
        <w:t>付费用，计入其他资本公积 </w:t>
      </w:r>
      <w:r>
        <w:rPr>
          <w:rFonts w:ascii="Times New Roman" w:hAnsi="Times New Roman" w:cs="Times New Roman" w:eastAsia="Times New Roman" w:hint="default"/>
        </w:rPr>
        <w:t>21,516,199.47  </w:t>
      </w:r>
      <w:r>
        <w:rPr>
          <w:rFonts w:ascii="Times New Roman" w:hAnsi="Times New Roman" w:cs="Times New Roman" w:eastAsia="Times New Roman" w:hint="default"/>
          <w:spacing w:val="8"/>
        </w:rPr>
        <w:t> </w:t>
      </w:r>
      <w:r>
        <w:rPr>
          <w:spacing w:val="-3"/>
        </w:rPr>
        <w:t>元；本期部分限制性股票已解锁，所得税税前扣除金额超过会计上确认股份支付</w:t>
      </w:r>
    </w:p>
    <w:p>
      <w:pPr>
        <w:pStyle w:val="BodyText"/>
        <w:spacing w:line="240" w:lineRule="auto" w:before="67"/>
        <w:ind w:right="0"/>
        <w:jc w:val="left"/>
      </w:pPr>
      <w:r>
        <w:rPr>
          <w:spacing w:val="-3"/>
        </w:rPr>
        <w:t>费用金额的所得税影响，计入其他资本公积 </w:t>
      </w:r>
      <w:r>
        <w:rPr>
          <w:rFonts w:ascii="Times New Roman" w:hAnsi="Times New Roman" w:cs="Times New Roman" w:eastAsia="Times New Roman" w:hint="default"/>
        </w:rPr>
        <w:t>1,916,223.75</w:t>
      </w:r>
      <w:r>
        <w:rPr>
          <w:rFonts w:ascii="Times New Roman" w:hAnsi="Times New Roman" w:cs="Times New Roman" w:eastAsia="Times New Roman" w:hint="default"/>
          <w:spacing w:val="15"/>
        </w:rPr>
        <w:t> </w:t>
      </w:r>
      <w:r>
        <w:rPr/>
        <w:t>元。</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bookmarkStart w:name="28、库存股" w:id="319"/>
      <w:bookmarkEnd w:id="319"/>
      <w:r>
        <w:rPr>
          <w:b w:val="0"/>
          <w:bCs w:val="0"/>
        </w:rPr>
      </w:r>
      <w:r>
        <w:rPr>
          <w:rFonts w:ascii="Times New Roman" w:hAnsi="Times New Roman" w:cs="Times New Roman" w:eastAsia="Times New Roman" w:hint="default"/>
        </w:rPr>
        <w:t>28</w:t>
      </w:r>
      <w:r>
        <w:rPr/>
        <w:t>、库存股</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未解锁限制性股票</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50,892,300.00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16,926,000.00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12,703,462.50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55,114,837.50</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50,892,300.00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16,926,000.00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12,703,462.50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55,114,837.50</w:t>
            </w:r>
          </w:p>
        </w:tc>
      </w:tr>
    </w:tbl>
    <w:p>
      <w:pPr>
        <w:pStyle w:val="BodyText"/>
        <w:spacing w:line="240" w:lineRule="auto" w:before="53"/>
        <w:ind w:right="0"/>
        <w:jc w:val="left"/>
      </w:pPr>
      <w:r>
        <w:rPr>
          <w:spacing w:val="-3"/>
        </w:rPr>
        <w:t>其他说明，包括本期增减变动情况、变动原因说明：</w:t>
      </w:r>
    </w:p>
    <w:p>
      <w:pPr>
        <w:spacing w:after="0" w:line="24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240" w:lineRule="auto" w:before="46"/>
        <w:ind w:right="0"/>
        <w:jc w:val="left"/>
      </w:pPr>
      <w:r>
        <w:rPr>
          <w:rFonts w:ascii="Times New Roman" w:hAnsi="Times New Roman" w:cs="Times New Roman" w:eastAsia="Times New Roman" w:hint="default"/>
        </w:rPr>
        <w:t>1)</w:t>
      </w:r>
      <w:r>
        <w:rPr/>
        <w:t>本期向 </w:t>
      </w:r>
      <w:r>
        <w:rPr>
          <w:rFonts w:ascii="Times New Roman" w:hAnsi="Times New Roman" w:cs="Times New Roman" w:eastAsia="Times New Roman" w:hint="default"/>
        </w:rPr>
        <w:t>9  </w:t>
      </w:r>
      <w:r>
        <w:rPr>
          <w:spacing w:val="-3"/>
        </w:rPr>
        <w:t>名激励对象授予预留限制性人民币普通股（</w:t>
      </w:r>
      <w:r>
        <w:rPr>
          <w:rFonts w:ascii="Times New Roman" w:hAnsi="Times New Roman" w:cs="Times New Roman" w:eastAsia="Times New Roman" w:hint="default"/>
          <w:spacing w:val="-3"/>
        </w:rPr>
        <w:t>A </w:t>
      </w:r>
      <w:r>
        <w:rPr/>
        <w:t>股）股票 </w:t>
      </w:r>
      <w:r>
        <w:rPr>
          <w:rFonts w:ascii="Times New Roman" w:hAnsi="Times New Roman" w:cs="Times New Roman" w:eastAsia="Times New Roman" w:hint="default"/>
        </w:rPr>
        <w:t>700,000</w:t>
      </w:r>
      <w:r>
        <w:rPr>
          <w:rFonts w:ascii="Times New Roman" w:hAnsi="Times New Roman" w:cs="Times New Roman" w:eastAsia="Times New Roman" w:hint="default"/>
          <w:spacing w:val="-13"/>
        </w:rPr>
        <w:t> </w:t>
      </w:r>
      <w:r>
        <w:rPr>
          <w:spacing w:val="-3"/>
        </w:rPr>
        <w:t>股，按照发行限制性股票的数量及相应的回购价</w:t>
      </w:r>
    </w:p>
    <w:p>
      <w:pPr>
        <w:pStyle w:val="BodyText"/>
        <w:spacing w:line="240" w:lineRule="auto" w:before="67"/>
        <w:ind w:right="0"/>
        <w:jc w:val="left"/>
      </w:pPr>
      <w:r>
        <w:rPr/>
        <w:t>格计算增加库存股</w:t>
      </w:r>
      <w:r>
        <w:rPr>
          <w:spacing w:val="-43"/>
        </w:rPr>
        <w:t> </w:t>
      </w:r>
      <w:r>
        <w:rPr>
          <w:rFonts w:ascii="Times New Roman" w:hAnsi="Times New Roman" w:cs="Times New Roman" w:eastAsia="Times New Roman" w:hint="default"/>
        </w:rPr>
        <w:t>16,926,000.00</w:t>
      </w:r>
      <w:r>
        <w:rPr>
          <w:rFonts w:ascii="Times New Roman" w:hAnsi="Times New Roman" w:cs="Times New Roman" w:eastAsia="Times New Roman" w:hint="default"/>
          <w:spacing w:val="3"/>
        </w:rPr>
        <w:t> </w:t>
      </w:r>
      <w:r>
        <w:rPr>
          <w:spacing w:val="-5"/>
        </w:rPr>
        <w:t>元。</w:t>
      </w:r>
      <w:r>
        <w:rPr/>
      </w:r>
    </w:p>
    <w:p>
      <w:pPr>
        <w:pStyle w:val="BodyText"/>
        <w:spacing w:line="240" w:lineRule="auto" w:before="96"/>
        <w:ind w:right="0"/>
        <w:jc w:val="left"/>
      </w:pPr>
      <w:r>
        <w:rPr>
          <w:rFonts w:ascii="Times New Roman" w:hAnsi="Times New Roman" w:cs="Times New Roman" w:eastAsia="Times New Roman" w:hint="default"/>
        </w:rPr>
        <w:t>2)</w:t>
      </w:r>
      <w:r>
        <w:rPr/>
        <w:t>根据 </w:t>
      </w:r>
      <w:r>
        <w:rPr>
          <w:rFonts w:ascii="Times New Roman" w:hAnsi="Times New Roman" w:cs="Times New Roman" w:eastAsia="Times New Roman" w:hint="default"/>
        </w:rPr>
        <w:t>2018 </w:t>
      </w:r>
      <w:r>
        <w:rPr>
          <w:spacing w:val="-3"/>
        </w:rPr>
        <w:t>年度利润分配方案，确认限制性股票可撤销现金股利义务减少库存股 </w:t>
      </w:r>
      <w:r>
        <w:rPr>
          <w:rFonts w:ascii="Times New Roman" w:hAnsi="Times New Roman" w:cs="Times New Roman" w:eastAsia="Times New Roman" w:hint="default"/>
        </w:rPr>
        <w:t>227,437.50 </w:t>
      </w:r>
      <w:r>
        <w:rPr/>
        <w:t>元；</w:t>
      </w:r>
      <w:r>
        <w:rPr>
          <w:rFonts w:ascii="Times New Roman" w:hAnsi="Times New Roman" w:cs="Times New Roman" w:eastAsia="Times New Roman" w:hint="default"/>
        </w:rPr>
        <w:t>2017</w:t>
      </w:r>
      <w:r>
        <w:rPr>
          <w:rFonts w:ascii="Times New Roman" w:hAnsi="Times New Roman" w:cs="Times New Roman" w:eastAsia="Times New Roman" w:hint="default"/>
          <w:spacing w:val="22"/>
        </w:rPr>
        <w:t> </w:t>
      </w:r>
      <w:r>
        <w:rPr>
          <w:spacing w:val="-3"/>
        </w:rPr>
        <w:t>年限制性股票激励计</w:t>
      </w:r>
    </w:p>
    <w:p>
      <w:pPr>
        <w:pStyle w:val="BodyText"/>
        <w:spacing w:line="240" w:lineRule="auto" w:before="68"/>
        <w:ind w:right="0"/>
        <w:jc w:val="left"/>
      </w:pPr>
      <w:r>
        <w:rPr>
          <w:spacing w:val="-3"/>
        </w:rPr>
        <w:t>划首次授予部分的本期第一个解锁期解锁股份 </w:t>
      </w:r>
      <w:r>
        <w:rPr>
          <w:rFonts w:ascii="Times New Roman" w:hAnsi="Times New Roman" w:cs="Times New Roman" w:eastAsia="Times New Roman" w:hint="default"/>
        </w:rPr>
        <w:t>757,500 </w:t>
      </w:r>
      <w:r>
        <w:rPr>
          <w:spacing w:val="-3"/>
        </w:rPr>
        <w:t>股，对应减少库存股 </w:t>
      </w:r>
      <w:r>
        <w:rPr>
          <w:rFonts w:ascii="Times New Roman" w:hAnsi="Times New Roman" w:cs="Times New Roman" w:eastAsia="Times New Roman" w:hint="default"/>
        </w:rPr>
        <w:t>12,476,025.00</w:t>
      </w:r>
      <w:r>
        <w:rPr>
          <w:rFonts w:ascii="Times New Roman" w:hAnsi="Times New Roman" w:cs="Times New Roman" w:eastAsia="Times New Roman" w:hint="default"/>
          <w:spacing w:val="4"/>
        </w:rPr>
        <w:t> </w:t>
      </w:r>
      <w:r>
        <w:rPr>
          <w:spacing w:val="-5"/>
        </w:rPr>
        <w:t>元。</w:t>
      </w:r>
      <w:r>
        <w:rPr/>
      </w:r>
    </w:p>
    <w:p>
      <w:pPr>
        <w:spacing w:line="240" w:lineRule="auto" w:before="8"/>
        <w:rPr>
          <w:rFonts w:ascii="宋体" w:hAnsi="宋体" w:cs="宋体" w:eastAsia="宋体" w:hint="default"/>
          <w:sz w:val="25"/>
          <w:szCs w:val="25"/>
        </w:rPr>
      </w:pPr>
    </w:p>
    <w:p>
      <w:pPr>
        <w:pStyle w:val="Heading4"/>
        <w:spacing w:line="240" w:lineRule="auto"/>
        <w:ind w:right="0"/>
        <w:jc w:val="left"/>
        <w:rPr>
          <w:b w:val="0"/>
          <w:bCs w:val="0"/>
        </w:rPr>
      </w:pPr>
      <w:bookmarkStart w:name="29、盈余公积" w:id="320"/>
      <w:bookmarkEnd w:id="320"/>
      <w:r>
        <w:rPr>
          <w:b w:val="0"/>
          <w:bCs w:val="0"/>
        </w:rPr>
      </w:r>
      <w:r>
        <w:rPr>
          <w:rFonts w:ascii="Times New Roman" w:hAnsi="Times New Roman" w:cs="Times New Roman" w:eastAsia="Times New Roman" w:hint="default"/>
        </w:rPr>
        <w:t>29</w:t>
      </w:r>
      <w:r>
        <w:rPr/>
        <w:t>、盈余公积</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25,064,167.89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4,365,784.21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29,429,952.10</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25,064,167.89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4,365,784.21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29,429,952.10</w:t>
            </w:r>
          </w:p>
        </w:tc>
      </w:tr>
    </w:tbl>
    <w:p>
      <w:pPr>
        <w:pStyle w:val="BodyText"/>
        <w:spacing w:line="240" w:lineRule="auto" w:before="53"/>
        <w:ind w:right="0"/>
        <w:jc w:val="left"/>
      </w:pPr>
      <w:r>
        <w:rPr>
          <w:spacing w:val="-3"/>
        </w:rPr>
        <w:t>盈余公积说明，包括本期增减变动情况、变动原因说明：</w:t>
      </w:r>
    </w:p>
    <w:p>
      <w:pPr>
        <w:pStyle w:val="Heading5"/>
        <w:spacing w:line="240" w:lineRule="auto" w:before="89"/>
        <w:ind w:right="0"/>
        <w:jc w:val="left"/>
      </w:pPr>
      <w:r>
        <w:rPr/>
        <w:t>本期增加系根据母公司实现的净利润提取</w:t>
      </w:r>
      <w:r>
        <w:rPr>
          <w:rFonts w:ascii="Times New Roman" w:hAnsi="Times New Roman" w:cs="Times New Roman" w:eastAsia="Times New Roman" w:hint="default"/>
        </w:rPr>
        <w:t>10%</w:t>
      </w:r>
      <w:r>
        <w:rPr/>
        <w:t>法定盈余公积。</w:t>
      </w:r>
    </w:p>
    <w:p>
      <w:pPr>
        <w:spacing w:line="240" w:lineRule="auto" w:before="10"/>
        <w:rPr>
          <w:rFonts w:ascii="宋体" w:hAnsi="宋体" w:cs="宋体" w:eastAsia="宋体" w:hint="default"/>
          <w:sz w:val="24"/>
          <w:szCs w:val="24"/>
        </w:rPr>
      </w:pPr>
    </w:p>
    <w:p>
      <w:pPr>
        <w:pStyle w:val="Heading4"/>
        <w:spacing w:line="240" w:lineRule="auto"/>
        <w:ind w:right="0"/>
        <w:jc w:val="left"/>
        <w:rPr>
          <w:b w:val="0"/>
          <w:bCs w:val="0"/>
        </w:rPr>
      </w:pPr>
      <w:bookmarkStart w:name="30、未分配利润" w:id="321"/>
      <w:bookmarkEnd w:id="321"/>
      <w:r>
        <w:rPr>
          <w:b w:val="0"/>
          <w:bCs w:val="0"/>
        </w:rPr>
      </w:r>
      <w:r>
        <w:rPr>
          <w:rFonts w:ascii="Times New Roman" w:hAnsi="Times New Roman" w:cs="Times New Roman" w:eastAsia="Times New Roman" w:hint="default"/>
        </w:rPr>
        <w:t>30</w:t>
      </w:r>
      <w:r>
        <w:rPr/>
        <w:t>、未分配利润</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702"/>
        <w:gridCol w:w="2936"/>
        <w:gridCol w:w="2919"/>
      </w:tblGrid>
      <w:tr>
        <w:trPr>
          <w:trHeight w:val="399"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208,451,416.62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177,293,242.59</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加：本期归属于母公司所有者的净利润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41,234,827.65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40,444,026.83</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4,365,784.21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4,300,452.80</w:t>
            </w:r>
          </w:p>
        </w:tc>
      </w:tr>
      <w:tr>
        <w:trPr>
          <w:trHeight w:val="398"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应付普通股股利</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6,284,249.80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4,985,400.00</w:t>
            </w:r>
          </w:p>
        </w:tc>
      </w:tr>
      <w:tr>
        <w:trPr>
          <w:trHeight w:val="404"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期末未分配利润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239,036,210.26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208,451,416.62</w:t>
            </w:r>
          </w:p>
        </w:tc>
      </w:tr>
    </w:tbl>
    <w:p>
      <w:pPr>
        <w:pStyle w:val="BodyText"/>
        <w:spacing w:line="240" w:lineRule="auto" w:before="53"/>
        <w:ind w:right="0"/>
        <w:jc w:val="left"/>
      </w:pPr>
      <w:r>
        <w:rPr>
          <w:spacing w:val="-3"/>
        </w:rPr>
        <w:t>调整期初未分配利润明细：</w:t>
      </w:r>
    </w:p>
    <w:p>
      <w:pPr>
        <w:pStyle w:val="BodyText"/>
        <w:spacing w:line="240" w:lineRule="auto" w:before="119"/>
        <w:ind w:right="0"/>
        <w:jc w:val="left"/>
      </w:pPr>
      <w:r>
        <w:rPr>
          <w:rFonts w:ascii="Times New Roman" w:hAnsi="Times New Roman" w:cs="Times New Roman" w:eastAsia="Times New Roman" w:hint="default"/>
          <w:spacing w:val="-3"/>
        </w:rPr>
        <w:t>1)</w:t>
      </w:r>
      <w:r>
        <w:rPr>
          <w:spacing w:val="-3"/>
        </w:rPr>
        <w:t>、由于《企业会计准则》及其相关新规定进行追溯调整，影响期初未分配利润 </w:t>
      </w:r>
      <w:r>
        <w:rPr>
          <w:rFonts w:ascii="Times New Roman" w:hAnsi="Times New Roman" w:cs="Times New Roman" w:eastAsia="Times New Roman" w:hint="default"/>
        </w:rPr>
        <w:t>0.00 </w:t>
      </w:r>
      <w:r>
        <w:rPr>
          <w:rFonts w:ascii="Times New Roman" w:hAnsi="Times New Roman" w:cs="Times New Roman" w:eastAsia="Times New Roman" w:hint="default"/>
          <w:spacing w:val="23"/>
        </w:rPr>
        <w:t> </w:t>
      </w:r>
      <w:r>
        <w:rPr>
          <w:spacing w:val="-5"/>
        </w:rPr>
        <w:t>元。</w:t>
      </w:r>
      <w:r>
        <w:rPr/>
      </w:r>
    </w:p>
    <w:p>
      <w:pPr>
        <w:pStyle w:val="BodyText"/>
        <w:spacing w:line="240" w:lineRule="auto" w:before="101"/>
        <w:ind w:right="0"/>
        <w:jc w:val="left"/>
      </w:pPr>
      <w:r>
        <w:rPr>
          <w:rFonts w:ascii="Times New Roman" w:hAnsi="Times New Roman" w:cs="Times New Roman" w:eastAsia="Times New Roman" w:hint="default"/>
          <w:spacing w:val="-3"/>
        </w:rPr>
        <w:t>2)</w:t>
      </w:r>
      <w:r>
        <w:rPr>
          <w:spacing w:val="-3"/>
        </w:rPr>
        <w:t>、由于会计政策变更，影响期初未分配利润 </w:t>
      </w:r>
      <w:r>
        <w:rPr>
          <w:rFonts w:ascii="Times New Roman" w:hAnsi="Times New Roman" w:cs="Times New Roman" w:eastAsia="Times New Roman" w:hint="default"/>
        </w:rPr>
        <w:t>0.00</w:t>
      </w:r>
      <w:r>
        <w:rPr>
          <w:rFonts w:ascii="Times New Roman" w:hAnsi="Times New Roman" w:cs="Times New Roman" w:eastAsia="Times New Roman" w:hint="default"/>
          <w:spacing w:val="22"/>
        </w:rPr>
        <w:t> </w:t>
      </w:r>
      <w:r>
        <w:rPr/>
        <w:t>元。</w:t>
      </w:r>
    </w:p>
    <w:p>
      <w:pPr>
        <w:pStyle w:val="BodyText"/>
        <w:spacing w:line="240" w:lineRule="auto" w:before="101"/>
        <w:ind w:right="0"/>
        <w:jc w:val="left"/>
      </w:pPr>
      <w:r>
        <w:rPr>
          <w:rFonts w:ascii="Times New Roman" w:hAnsi="Times New Roman" w:cs="Times New Roman" w:eastAsia="Times New Roman" w:hint="default"/>
          <w:spacing w:val="-3"/>
        </w:rPr>
        <w:t>3)</w:t>
      </w:r>
      <w:r>
        <w:rPr>
          <w:spacing w:val="-3"/>
        </w:rPr>
        <w:t>、由于重大会计差错更正，影响期初未分配利润 </w:t>
      </w:r>
      <w:r>
        <w:rPr>
          <w:rFonts w:ascii="Times New Roman" w:hAnsi="Times New Roman" w:cs="Times New Roman" w:eastAsia="Times New Roman" w:hint="default"/>
        </w:rPr>
        <w:t>0.00</w:t>
      </w:r>
      <w:r>
        <w:rPr>
          <w:rFonts w:ascii="Times New Roman" w:hAnsi="Times New Roman" w:cs="Times New Roman" w:eastAsia="Times New Roman" w:hint="default"/>
          <w:spacing w:val="28"/>
        </w:rPr>
        <w:t> </w:t>
      </w:r>
      <w:r>
        <w:rPr/>
        <w:t>元。</w:t>
      </w:r>
    </w:p>
    <w:p>
      <w:pPr>
        <w:pStyle w:val="BodyText"/>
        <w:spacing w:line="240" w:lineRule="auto" w:before="106"/>
        <w:ind w:right="0"/>
        <w:jc w:val="left"/>
      </w:pPr>
      <w:r>
        <w:rPr>
          <w:rFonts w:ascii="Times New Roman" w:hAnsi="Times New Roman" w:cs="Times New Roman" w:eastAsia="Times New Roman" w:hint="default"/>
          <w:spacing w:val="-3"/>
        </w:rPr>
        <w:t>4)</w:t>
      </w:r>
      <w:r>
        <w:rPr>
          <w:spacing w:val="-3"/>
        </w:rPr>
        <w:t>、由于同一控制导致的合并范围变更，影响期初未分配利润 </w:t>
      </w:r>
      <w:r>
        <w:rPr>
          <w:rFonts w:ascii="Times New Roman" w:hAnsi="Times New Roman" w:cs="Times New Roman" w:eastAsia="Times New Roman" w:hint="default"/>
        </w:rPr>
        <w:t>0.00</w:t>
      </w:r>
      <w:r>
        <w:rPr>
          <w:rFonts w:ascii="Times New Roman" w:hAnsi="Times New Roman" w:cs="Times New Roman" w:eastAsia="Times New Roman" w:hint="default"/>
          <w:spacing w:val="40"/>
        </w:rPr>
        <w:t> </w:t>
      </w:r>
      <w:r>
        <w:rPr/>
        <w:t>元。</w:t>
      </w:r>
    </w:p>
    <w:p>
      <w:pPr>
        <w:pStyle w:val="BodyText"/>
        <w:spacing w:line="240" w:lineRule="auto" w:before="101"/>
        <w:ind w:right="0"/>
        <w:jc w:val="left"/>
      </w:pPr>
      <w:r>
        <w:rPr>
          <w:rFonts w:ascii="Times New Roman" w:hAnsi="Times New Roman" w:cs="Times New Roman" w:eastAsia="Times New Roman" w:hint="default"/>
        </w:rPr>
        <w:t>5)</w:t>
      </w:r>
      <w:r>
        <w:rPr/>
        <w:t>、其他调整合计影响期初未分配利润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spacing w:val="-5"/>
        </w:rPr>
        <w:t>元。</w:t>
      </w:r>
      <w:r>
        <w:rPr/>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bookmarkStart w:name="31、营业收入和营业成本" w:id="322"/>
      <w:bookmarkEnd w:id="322"/>
      <w:r>
        <w:rPr>
          <w:b w:val="0"/>
          <w:bCs w:val="0"/>
        </w:rPr>
      </w:r>
      <w:r>
        <w:rPr>
          <w:rFonts w:ascii="Times New Roman" w:hAnsi="Times New Roman" w:cs="Times New Roman" w:eastAsia="Times New Roman" w:hint="default"/>
        </w:rPr>
        <w:t>31</w:t>
      </w:r>
      <w:r>
        <w:rPr/>
        <w:t>、营业收入和营业成本</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31"/>
        <w:gridCol w:w="1911"/>
        <w:gridCol w:w="1916"/>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4"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2" w:type="dxa"/>
            <w:gridSpan w:val="2"/>
            <w:vMerge/>
            <w:tcBorders>
              <w:left w:val="single" w:sz="4" w:space="0" w:color="000000"/>
              <w:bottom w:val="single" w:sz="4" w:space="0" w:color="000000"/>
              <w:right w:val="single" w:sz="4" w:space="0" w:color="000000"/>
            </w:tcBorders>
            <w:shd w:val="clear" w:color="auto" w:fill="D2D2D2"/>
          </w:tcPr>
          <w:p>
            <w:pPr/>
          </w:p>
        </w:tc>
      </w:tr>
      <w:tr>
        <w:trPr>
          <w:trHeight w:val="194"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31"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430,733,381.02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235,256,828.59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387,116,251.12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207,122,922.26</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10,226,453.76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4,868,298.32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4,304,767.38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3,798,360.10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440,959,834.78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240,125,126.91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391,421,018.50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210,921,282.36</w:t>
            </w:r>
          </w:p>
        </w:tc>
      </w:tr>
    </w:tbl>
    <w:p>
      <w:pPr>
        <w:pStyle w:val="BodyText"/>
        <w:spacing w:line="240" w:lineRule="auto" w:before="53"/>
        <w:ind w:right="0"/>
        <w:jc w:val="left"/>
      </w:pPr>
      <w:r>
        <w:rPr/>
        <w:t>是否已执行新收入准则</w:t>
      </w:r>
    </w:p>
    <w:p>
      <w:pPr>
        <w:spacing w:after="0" w:line="240" w:lineRule="auto"/>
        <w:jc w:val="left"/>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pStyle w:val="BodyText"/>
        <w:spacing w:line="338" w:lineRule="auto" w:before="46"/>
        <w:ind w:right="9861"/>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5"/>
        </w:rPr>
        <w:t> </w:t>
      </w:r>
      <w:r>
        <w:rPr/>
        <w:t>其他说明</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32、税金及附加" w:id="323"/>
      <w:bookmarkEnd w:id="323"/>
      <w:r>
        <w:rPr>
          <w:b w:val="0"/>
          <w:bCs w:val="0"/>
        </w:rPr>
      </w:r>
      <w:r>
        <w:rPr>
          <w:rFonts w:ascii="Times New Roman" w:hAnsi="Times New Roman" w:cs="Times New Roman" w:eastAsia="Times New Roman" w:hint="default"/>
        </w:rPr>
        <w:t>32</w:t>
      </w:r>
      <w:r>
        <w:rPr/>
        <w:t>、税金及附加</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2,285,056.35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2,249,063.78</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979,309.85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966,346.74</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1,967,647.48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1,492,277.88</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5" w:type="dxa"/>
            <w:tcBorders>
              <w:top w:val="single" w:sz="4" w:space="0" w:color="000000"/>
              <w:left w:val="single" w:sz="13"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11,072.43</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3,000.00</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289,020.62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228,172.97</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651,948.38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644,104.00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6,175,982.68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5,594,037.80</w:t>
            </w:r>
          </w:p>
        </w:tc>
      </w:tr>
    </w:tbl>
    <w:p>
      <w:pPr>
        <w:pStyle w:val="BodyText"/>
        <w:spacing w:line="240" w:lineRule="auto" w:before="53"/>
        <w:ind w:right="0"/>
        <w:jc w:val="left"/>
      </w:pPr>
      <w:r>
        <w:rPr/>
        <w:t>其他说明：</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33、销售费用" w:id="324"/>
      <w:bookmarkEnd w:id="324"/>
      <w:r>
        <w:rPr>
          <w:b w:val="0"/>
          <w:bCs w:val="0"/>
        </w:rPr>
      </w:r>
      <w:r>
        <w:rPr>
          <w:rFonts w:ascii="Times New Roman" w:hAnsi="Times New Roman" w:cs="Times New Roman" w:eastAsia="Times New Roman" w:hint="default"/>
        </w:rPr>
        <w:t>33</w:t>
      </w:r>
      <w:r>
        <w:rPr/>
        <w:t>、销售费用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18,073,906.18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15,842,771.21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4,750,396.12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2,808,301.14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3,631,078.47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3,790,952.62</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2,222,344.62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3,485,216.26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维保费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2,659,680.80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2,349,718.55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2,200,218.28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2,254,860.50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33,537,624.47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30,531,820.28</w:t>
            </w:r>
          </w:p>
        </w:tc>
      </w:tr>
    </w:tbl>
    <w:p>
      <w:pPr>
        <w:pStyle w:val="BodyText"/>
        <w:spacing w:line="240" w:lineRule="auto" w:before="53"/>
        <w:ind w:right="0"/>
        <w:jc w:val="left"/>
      </w:pPr>
      <w:r>
        <w:rPr/>
        <w:t>其他说明：</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34、管理费用" w:id="325"/>
      <w:bookmarkEnd w:id="325"/>
      <w:r>
        <w:rPr>
          <w:b w:val="0"/>
          <w:bCs w:val="0"/>
        </w:rPr>
      </w:r>
      <w:r>
        <w:rPr>
          <w:rFonts w:ascii="Times New Roman" w:hAnsi="Times New Roman" w:cs="Times New Roman" w:eastAsia="Times New Roman" w:hint="default"/>
        </w:rPr>
        <w:t>34</w:t>
      </w:r>
      <w:r>
        <w:rPr/>
        <w:t>、管理费用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24,321,157.97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19,698,361.30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股份支付费用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21,516,199.47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13,150,883.86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4,220,430.32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2,946,360.36</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1,421,444.89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1,246,338.26</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中介机构费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3,825,153.55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2,148,246.20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3,075,190.00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1,723,635.20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租赁物业费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1,289,695.21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1,479,650.91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1,089,494.28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770,013.28</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2,666,177.45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1,382,144.14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63,424,943.14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44,545,633.51</w:t>
            </w:r>
          </w:p>
        </w:tc>
      </w:tr>
    </w:tbl>
    <w:p>
      <w:pPr>
        <w:pStyle w:val="BodyText"/>
        <w:spacing w:line="240" w:lineRule="auto" w:before="53"/>
        <w:ind w:right="0"/>
        <w:jc w:val="left"/>
      </w:pPr>
      <w:r>
        <w:rPr/>
        <w:t>其他说明：</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bookmarkStart w:name="35、研发费用" w:id="326"/>
      <w:bookmarkEnd w:id="326"/>
      <w:r>
        <w:rPr>
          <w:b w:val="0"/>
          <w:bCs w:val="0"/>
        </w:rPr>
      </w:r>
      <w:r>
        <w:rPr>
          <w:rFonts w:ascii="Times New Roman" w:hAnsi="Times New Roman" w:cs="Times New Roman" w:eastAsia="Times New Roman" w:hint="default"/>
        </w:rPr>
        <w:t>35</w:t>
      </w:r>
      <w:r>
        <w:rPr/>
        <w:t>、研发费用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人员人工费用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36,764,485.60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33,852,468.34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租赁物业费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2,606,613.43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3,318,030.34</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折旧及摊销费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5,470,361.94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3,925,626.93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委托外部研究开发费用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509,990.78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479,367.84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2,004,102.15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3,109,304.87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47,355,553.90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44,684,798.32</w:t>
            </w:r>
          </w:p>
        </w:tc>
      </w:tr>
    </w:tbl>
    <w:p>
      <w:pPr>
        <w:pStyle w:val="BodyText"/>
        <w:spacing w:line="240" w:lineRule="auto" w:before="53"/>
        <w:ind w:right="0"/>
        <w:jc w:val="left"/>
      </w:pPr>
      <w:r>
        <w:rPr/>
        <w:t>其他说明：</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36、财务费用" w:id="327"/>
      <w:bookmarkEnd w:id="327"/>
      <w:r>
        <w:rPr>
          <w:b w:val="0"/>
          <w:bCs w:val="0"/>
        </w:rPr>
      </w:r>
      <w:r>
        <w:rPr>
          <w:rFonts w:ascii="Times New Roman" w:hAnsi="Times New Roman" w:cs="Times New Roman" w:eastAsia="Times New Roman" w:hint="default"/>
        </w:rPr>
        <w:t>36</w:t>
      </w:r>
      <w:r>
        <w:rPr/>
        <w:t>、财务费用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5,140,040.31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2,722,245.08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-2,355,535.58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-884,664.46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274,938.71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176,750.28</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3,059,443.44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2,014,330.90</w:t>
            </w:r>
          </w:p>
        </w:tc>
      </w:tr>
    </w:tbl>
    <w:p>
      <w:pPr>
        <w:pStyle w:val="BodyText"/>
        <w:spacing w:line="240" w:lineRule="auto" w:before="53"/>
        <w:ind w:right="0"/>
        <w:jc w:val="left"/>
      </w:pPr>
      <w:r>
        <w:rPr/>
        <w:t>其他说明：</w:t>
      </w: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bookmarkStart w:name="37、其他收益" w:id="328"/>
      <w:bookmarkEnd w:id="328"/>
      <w:r>
        <w:rPr>
          <w:b w:val="0"/>
          <w:bCs w:val="0"/>
        </w:rPr>
      </w:r>
      <w:r>
        <w:rPr>
          <w:rFonts w:ascii="Times New Roman" w:hAnsi="Times New Roman" w:cs="Times New Roman" w:eastAsia="Times New Roman" w:hint="default"/>
        </w:rPr>
        <w:t>37</w:t>
      </w:r>
      <w:r>
        <w:rPr/>
        <w:t>、其他收益</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产生其他收益的来源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19,505,244.51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10,795,560.93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代扣个人所得税手续费返还</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39,432.31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108,108.40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4"/>
        <w:spacing w:line="240" w:lineRule="auto" w:before="36"/>
        <w:ind w:right="0"/>
        <w:jc w:val="left"/>
        <w:rPr>
          <w:b w:val="0"/>
          <w:bCs w:val="0"/>
        </w:rPr>
      </w:pPr>
      <w:bookmarkStart w:name="38、投资收益" w:id="329"/>
      <w:bookmarkEnd w:id="329"/>
      <w:r>
        <w:rPr>
          <w:b w:val="0"/>
          <w:bCs w:val="0"/>
        </w:rPr>
      </w:r>
      <w:r>
        <w:rPr>
          <w:rFonts w:ascii="Times New Roman" w:hAnsi="Times New Roman" w:cs="Times New Roman" w:eastAsia="Times New Roman" w:hint="default"/>
        </w:rPr>
        <w:t>38</w:t>
      </w:r>
      <w:r>
        <w:rPr/>
        <w:t>、投资收益</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462"/>
        <w:gridCol w:w="3188"/>
        <w:gridCol w:w="2919"/>
      </w:tblGrid>
      <w:tr>
        <w:trPr>
          <w:trHeight w:val="404"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权益法核算的长期股权投资收益</w:t>
            </w:r>
          </w:p>
        </w:tc>
        <w:tc>
          <w:tcPr>
            <w:tcW w:w="31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-1,701,880.30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处置长期股权投资产生的投资收益</w:t>
            </w:r>
          </w:p>
        </w:tc>
        <w:tc>
          <w:tcPr>
            <w:tcW w:w="31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459,053.33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处置可供出售金融资产取得的投资收益</w:t>
            </w:r>
          </w:p>
        </w:tc>
        <w:tc>
          <w:tcPr>
            <w:tcW w:w="3188"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6,013,471.97</w:t>
            </w:r>
          </w:p>
        </w:tc>
      </w:tr>
      <w:tr>
        <w:trPr>
          <w:trHeight w:val="716"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181"/>
              <w:jc w:val="left"/>
              <w:rPr>
                <w:rFonts w:ascii="宋体" w:hAnsi="宋体" w:cs="宋体" w:eastAsia="宋体" w:hint="default"/>
                <w:sz w:val="18"/>
                <w:szCs w:val="18"/>
              </w:rPr>
            </w:pPr>
            <w:r>
              <w:rPr>
                <w:rFonts w:ascii="宋体" w:hAnsi="宋体" w:cs="宋体" w:eastAsia="宋体" w:hint="default"/>
                <w:spacing w:val="-3"/>
                <w:sz w:val="18"/>
                <w:szCs w:val="18"/>
              </w:rPr>
              <w:t>处置分类为以公允价值计量且其变动计入</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当期损益的金融资产</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1,371,568.90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处置以摊余成本计量的金融资产</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5,914,458.80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6,043,200.73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6,013,471.97</w:t>
            </w:r>
          </w:p>
        </w:tc>
      </w:tr>
    </w:tbl>
    <w:p>
      <w:pPr>
        <w:pStyle w:val="BodyText"/>
        <w:spacing w:line="240" w:lineRule="auto" w:before="53"/>
        <w:ind w:right="0"/>
        <w:jc w:val="left"/>
      </w:pPr>
      <w:r>
        <w:rPr/>
        <w:t>其他说明：</w:t>
      </w: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bookmarkStart w:name="39、信用减值损失" w:id="330"/>
      <w:bookmarkEnd w:id="330"/>
      <w:r>
        <w:rPr>
          <w:b w:val="0"/>
          <w:bCs w:val="0"/>
        </w:rPr>
      </w:r>
      <w:r>
        <w:rPr>
          <w:rFonts w:ascii="Times New Roman" w:hAnsi="Times New Roman" w:cs="Times New Roman" w:eastAsia="Times New Roman" w:hint="default"/>
        </w:rPr>
        <w:t>39</w:t>
      </w:r>
      <w:r>
        <w:rPr/>
        <w:t>、信用减值损失</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-27,566,413.83</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-27,566,413.83</w:t>
            </w:r>
          </w:p>
        </w:tc>
        <w:tc>
          <w:tcPr>
            <w:tcW w:w="31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3"/>
        <w:ind w:right="0"/>
        <w:jc w:val="left"/>
      </w:pPr>
      <w:r>
        <w:rPr/>
        <w:t>其他说明：</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40、资产减值损失" w:id="331"/>
      <w:bookmarkEnd w:id="331"/>
      <w:r>
        <w:rPr>
          <w:b w:val="0"/>
          <w:bCs w:val="0"/>
        </w:rPr>
      </w:r>
      <w:r>
        <w:rPr>
          <w:rFonts w:ascii="Times New Roman" w:hAnsi="Times New Roman" w:cs="Times New Roman" w:eastAsia="Times New Roman" w:hint="default"/>
        </w:rPr>
        <w:t>40</w:t>
      </w:r>
      <w:r>
        <w:rPr/>
        <w:t>、资产减值损失</w:t>
      </w:r>
      <w:r>
        <w:rPr>
          <w:b w:val="0"/>
          <w:bCs w:val="0"/>
        </w:rPr>
      </w:r>
    </w:p>
    <w:p>
      <w:pPr>
        <w:spacing w:line="240" w:lineRule="auto" w:before="7"/>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pStyle w:val="BodyText"/>
        <w:spacing w:line="240" w:lineRule="auto" w:before="46"/>
        <w:ind w:right="0"/>
        <w:jc w:val="left"/>
      </w:pPr>
      <w:r>
        <w:rPr>
          <w:spacing w:val="-2"/>
        </w:rPr>
        <w:t>是否已执行新收入准则</w:t>
      </w:r>
    </w:p>
    <w:p>
      <w:pPr>
        <w:pStyle w:val="BodyText"/>
        <w:spacing w:line="240" w:lineRule="auto" w:before="119"/>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1959" w:space="6872"/>
            <w:col w:w="2099"/>
          </w:cols>
        </w:sectPr>
      </w:pP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5" w:type="dxa"/>
            <w:tcBorders>
              <w:top w:val="single" w:sz="4" w:space="0" w:color="000000"/>
              <w:left w:val="single" w:sz="13"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-26,562,259.57</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-26,562,259.57</w:t>
            </w:r>
          </w:p>
        </w:tc>
      </w:tr>
    </w:tbl>
    <w:p>
      <w:pPr>
        <w:pStyle w:val="BodyText"/>
        <w:spacing w:line="240" w:lineRule="auto" w:before="53"/>
        <w:ind w:right="0"/>
        <w:jc w:val="left"/>
      </w:pPr>
      <w:r>
        <w:rPr/>
        <w:t>其他说明：</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41、资产处置收益" w:id="332"/>
      <w:bookmarkEnd w:id="332"/>
      <w:r>
        <w:rPr>
          <w:b w:val="0"/>
          <w:bCs w:val="0"/>
        </w:rPr>
      </w:r>
      <w:r>
        <w:rPr>
          <w:rFonts w:ascii="Times New Roman" w:hAnsi="Times New Roman" w:cs="Times New Roman" w:eastAsia="Times New Roman" w:hint="default"/>
        </w:rPr>
        <w:t>41</w:t>
      </w:r>
      <w:r>
        <w:rPr/>
        <w:t>、资产处置收益</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资产处置收益的来源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-22,750.16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-35,177.03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5"/>
          <w:szCs w:val="25"/>
        </w:rPr>
      </w:pPr>
    </w:p>
    <w:p>
      <w:pPr>
        <w:pStyle w:val="Heading4"/>
        <w:spacing w:line="240" w:lineRule="auto" w:before="36"/>
        <w:ind w:right="0"/>
        <w:jc w:val="left"/>
        <w:rPr>
          <w:b w:val="0"/>
          <w:bCs w:val="0"/>
        </w:rPr>
      </w:pPr>
      <w:bookmarkStart w:name="42、营业外收入" w:id="333"/>
      <w:bookmarkEnd w:id="333"/>
      <w:r>
        <w:rPr>
          <w:b w:val="0"/>
          <w:bCs w:val="0"/>
        </w:rPr>
      </w:r>
      <w:r>
        <w:rPr>
          <w:rFonts w:ascii="Times New Roman" w:hAnsi="Times New Roman" w:cs="Times New Roman" w:eastAsia="Times New Roman" w:hint="default"/>
        </w:rPr>
        <w:t>42</w:t>
      </w:r>
      <w:r>
        <w:rPr/>
        <w:t>、营业外收入</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716"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4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104" w:right="103" w:hanging="994"/>
              <w:jc w:val="left"/>
              <w:rPr>
                <w:rFonts w:ascii="宋体" w:hAnsi="宋体" w:cs="宋体" w:eastAsia="宋体" w:hint="default"/>
                <w:sz w:val="18"/>
                <w:szCs w:val="18"/>
              </w:rPr>
            </w:pPr>
            <w:r>
              <w:rPr>
                <w:rFonts w:ascii="宋体" w:hAnsi="宋体" w:cs="宋体" w:eastAsia="宋体" w:hint="default"/>
                <w:spacing w:val="-3"/>
                <w:sz w:val="18"/>
                <w:szCs w:val="18"/>
              </w:rPr>
              <w:t>计入当期非经常性损益的金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无需支付的款项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282,458.21</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282,458.21</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670.60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5.07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670.60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283,128.81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5.07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283,128.81</w:t>
            </w:r>
          </w:p>
        </w:tc>
      </w:tr>
    </w:tbl>
    <w:p>
      <w:pPr>
        <w:pStyle w:val="BodyText"/>
        <w:spacing w:line="240" w:lineRule="auto" w:before="53"/>
        <w:ind w:right="0"/>
        <w:jc w:val="left"/>
      </w:pPr>
      <w:r>
        <w:rPr>
          <w:spacing w:val="-3"/>
        </w:rPr>
        <w:t>计入当期损益的政府补助：</w:t>
      </w:r>
    </w:p>
    <w:p>
      <w:pPr>
        <w:pStyle w:val="BodyText"/>
        <w:spacing w:line="240" w:lineRule="auto" w:before="119"/>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6"/>
        <w:gridCol w:w="1061"/>
        <w:gridCol w:w="1066"/>
        <w:gridCol w:w="1061"/>
        <w:gridCol w:w="1066"/>
        <w:gridCol w:w="1061"/>
        <w:gridCol w:w="1066"/>
        <w:gridCol w:w="1061"/>
        <w:gridCol w:w="1066"/>
      </w:tblGrid>
      <w:tr>
        <w:trPr>
          <w:trHeight w:val="715"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76" w:right="75"/>
              <w:jc w:val="left"/>
              <w:rPr>
                <w:rFonts w:ascii="宋体" w:hAnsi="宋体" w:cs="宋体" w:eastAsia="宋体" w:hint="default"/>
                <w:sz w:val="18"/>
                <w:szCs w:val="18"/>
              </w:rPr>
            </w:pPr>
            <w:r>
              <w:rPr>
                <w:rFonts w:ascii="宋体" w:hAnsi="宋体" w:cs="宋体" w:eastAsia="宋体" w:hint="default"/>
                <w:spacing w:val="-2"/>
                <w:sz w:val="18"/>
                <w:szCs w:val="18"/>
              </w:rPr>
              <w:t>补贴是否影</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响当年盈亏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是否特殊补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贴</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436" w:right="75" w:hanging="360"/>
              <w:jc w:val="left"/>
              <w:rPr>
                <w:rFonts w:ascii="宋体" w:hAnsi="宋体" w:cs="宋体" w:eastAsia="宋体" w:hint="default"/>
                <w:sz w:val="18"/>
                <w:szCs w:val="18"/>
              </w:rPr>
            </w:pPr>
            <w:r>
              <w:rPr>
                <w:rFonts w:ascii="宋体" w:hAnsi="宋体" w:cs="宋体" w:eastAsia="宋体" w:hint="default"/>
                <w:spacing w:val="-2"/>
                <w:sz w:val="18"/>
                <w:szCs w:val="18"/>
              </w:rPr>
              <w:t>本期发生金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上期发生金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76" w:right="48" w:hanging="24"/>
              <w:jc w:val="left"/>
              <w:rPr>
                <w:rFonts w:ascii="宋体" w:hAnsi="宋体" w:cs="宋体" w:eastAsia="宋体" w:hint="default"/>
                <w:sz w:val="18"/>
                <w:szCs w:val="18"/>
              </w:rPr>
            </w:pPr>
            <w:r>
              <w:rPr>
                <w:rFonts w:ascii="宋体" w:hAnsi="宋体" w:cs="宋体" w:eastAsia="宋体" w:hint="default"/>
                <w:spacing w:val="-2"/>
                <w:sz w:val="18"/>
                <w:szCs w:val="18"/>
              </w:rPr>
              <w:t>与资产相关</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与收益相关</w:t>
            </w:r>
          </w:p>
        </w:tc>
      </w:tr>
    </w:tbl>
    <w:p>
      <w:pPr>
        <w:pStyle w:val="BodyText"/>
        <w:spacing w:line="240" w:lineRule="auto" w:before="54"/>
        <w:ind w:right="0"/>
        <w:jc w:val="left"/>
      </w:pPr>
      <w:r>
        <w:rPr/>
        <w:t>其他说明：</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bookmarkStart w:name="43、营业外支出" w:id="334"/>
      <w:bookmarkEnd w:id="334"/>
      <w:r>
        <w:rPr>
          <w:b w:val="0"/>
          <w:bCs w:val="0"/>
        </w:rPr>
      </w:r>
      <w:r>
        <w:rPr>
          <w:rFonts w:ascii="Times New Roman" w:hAnsi="Times New Roman" w:cs="Times New Roman" w:eastAsia="Times New Roman" w:hint="default"/>
        </w:rPr>
        <w:t>43</w:t>
      </w:r>
      <w:r>
        <w:rPr/>
        <w:t>、营业外支出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164" w:hRule="exact"/>
        </w:trPr>
        <w:tc>
          <w:tcPr>
            <w:tcW w:w="2391"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4"/>
              <w:ind w:left="1104" w:right="103" w:hanging="994"/>
              <w:jc w:val="left"/>
              <w:rPr>
                <w:rFonts w:ascii="宋体" w:hAnsi="宋体" w:cs="宋体" w:eastAsia="宋体" w:hint="default"/>
                <w:sz w:val="18"/>
                <w:szCs w:val="18"/>
              </w:rPr>
            </w:pPr>
            <w:r>
              <w:rPr>
                <w:rFonts w:ascii="宋体" w:hAnsi="宋体" w:cs="宋体" w:eastAsia="宋体" w:hint="default"/>
                <w:spacing w:val="-3"/>
                <w:sz w:val="18"/>
                <w:szCs w:val="18"/>
              </w:rPr>
              <w:t>计入当期非经常性损益的金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r>
      <w:tr>
        <w:trPr>
          <w:trHeight w:val="389" w:hRule="exact"/>
        </w:trPr>
        <w:tc>
          <w:tcPr>
            <w:tcW w:w="23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vMerge/>
            <w:tcBorders>
              <w:left w:val="single" w:sz="4" w:space="0" w:color="000000"/>
              <w:right w:val="single" w:sz="4" w:space="0" w:color="000000"/>
            </w:tcBorders>
            <w:shd w:val="clear" w:color="auto" w:fill="D2D2D2"/>
          </w:tcPr>
          <w:p>
            <w:pPr/>
          </w:p>
        </w:tc>
      </w:tr>
      <w:tr>
        <w:trPr>
          <w:trHeight w:val="163" w:hRule="exact"/>
        </w:trPr>
        <w:tc>
          <w:tcPr>
            <w:tcW w:w="239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200,000.00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30,828.74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20,205.35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30,828.74</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1,157.26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2,856.96</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赔偿支出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1,370,000.00</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1,370,000.00</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105,597.77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70,486.55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105,597.77</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1,507,583.77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293,548.86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1,506,426.51</w:t>
            </w:r>
          </w:p>
        </w:tc>
      </w:tr>
    </w:tbl>
    <w:p>
      <w:pPr>
        <w:pStyle w:val="BodyText"/>
        <w:spacing w:line="240" w:lineRule="auto" w:before="53"/>
        <w:ind w:right="0"/>
        <w:jc w:val="left"/>
      </w:pPr>
      <w:r>
        <w:rPr/>
        <w:t>其他说明：</w:t>
      </w: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bookmarkStart w:name="44、所得税费用" w:id="335"/>
      <w:bookmarkEnd w:id="335"/>
      <w:r>
        <w:rPr>
          <w:b w:val="0"/>
          <w:bCs w:val="0"/>
        </w:rPr>
      </w:r>
      <w:r>
        <w:rPr>
          <w:rFonts w:ascii="Times New Roman" w:hAnsi="Times New Roman" w:cs="Times New Roman" w:eastAsia="Times New Roman" w:hint="default"/>
        </w:rPr>
        <w:t>44</w:t>
      </w:r>
      <w:r>
        <w:rPr/>
        <w:t>、所得税费用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所得税费用表" w:id="336"/>
      <w:bookmarkEnd w:id="336"/>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当期所得税费用</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7,691,466.22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11,045,555.90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递延所得税费用</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-4,994,746.07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-6,484,592.29</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2,696,720.15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4,560,963.61</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4"/>
        <w:spacing w:line="240" w:lineRule="auto" w:before="36"/>
        <w:ind w:right="0"/>
        <w:jc w:val="left"/>
        <w:rPr>
          <w:b w:val="0"/>
          <w:bCs w:val="0"/>
        </w:rPr>
      </w:pPr>
      <w:bookmarkStart w:name="（2）会计利润与所得税费用调整过程" w:id="337"/>
      <w:bookmarkEnd w:id="337"/>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9"/>
        <w:gridCol w:w="4799"/>
      </w:tblGrid>
      <w:tr>
        <w:trPr>
          <w:trHeight w:val="404"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3"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44,055,418.84</w:t>
            </w:r>
          </w:p>
        </w:tc>
      </w:tr>
      <w:tr>
        <w:trPr>
          <w:trHeight w:val="398"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按法定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适用税率计算的所得税费用</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6,608,312.83</w:t>
            </w:r>
          </w:p>
        </w:tc>
      </w:tr>
      <w:tr>
        <w:trPr>
          <w:trHeight w:val="403"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子公司适用不同税率的影响</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-1,090,927.35</w:t>
            </w:r>
          </w:p>
        </w:tc>
      </w:tr>
      <w:tr>
        <w:trPr>
          <w:trHeight w:val="404"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调整以前期间所得税的影响</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-3,443,640.76</w:t>
            </w:r>
          </w:p>
        </w:tc>
      </w:tr>
      <w:tr>
        <w:trPr>
          <w:trHeight w:val="403"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不可抵扣的成本、费用和损失的影响</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1,769,595.82</w:t>
            </w:r>
          </w:p>
        </w:tc>
      </w:tr>
      <w:tr>
        <w:trPr>
          <w:trHeight w:val="398"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使用前期未确认递延所得税资产的可抵扣亏损的影响</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927,917.81</w:t>
            </w:r>
          </w:p>
        </w:tc>
      </w:tr>
      <w:tr>
        <w:trPr>
          <w:trHeight w:val="716"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49"/>
              <w:jc w:val="left"/>
              <w:rPr>
                <w:rFonts w:ascii="宋体" w:hAnsi="宋体" w:cs="宋体" w:eastAsia="宋体" w:hint="default"/>
                <w:sz w:val="18"/>
                <w:szCs w:val="18"/>
              </w:rPr>
            </w:pPr>
            <w:r>
              <w:rPr>
                <w:rFonts w:ascii="宋体" w:hAnsi="宋体" w:cs="宋体" w:eastAsia="宋体" w:hint="default"/>
                <w:spacing w:val="-3"/>
                <w:sz w:val="18"/>
                <w:szCs w:val="18"/>
              </w:rPr>
              <w:t>本期未确认递延所得税资产的可抵扣暂时性差异或可抵扣亏</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损的影响</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1,908,941.17</w:t>
            </w:r>
          </w:p>
        </w:tc>
      </w:tr>
      <w:tr>
        <w:trPr>
          <w:trHeight w:val="403" w:hRule="exact"/>
        </w:trPr>
        <w:tc>
          <w:tcPr>
            <w:tcW w:w="4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研发费用加计扣除的影响</w:t>
            </w:r>
          </w:p>
        </w:tc>
        <w:tc>
          <w:tcPr>
            <w:tcW w:w="4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-4,166,078.54</w:t>
            </w:r>
          </w:p>
        </w:tc>
      </w:tr>
      <w:tr>
        <w:trPr>
          <w:trHeight w:val="403" w:hRule="exact"/>
        </w:trPr>
        <w:tc>
          <w:tcPr>
            <w:tcW w:w="4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合并抵消影响</w:t>
            </w:r>
          </w:p>
        </w:tc>
        <w:tc>
          <w:tcPr>
            <w:tcW w:w="4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226,623.25</w:t>
            </w:r>
          </w:p>
        </w:tc>
      </w:tr>
      <w:tr>
        <w:trPr>
          <w:trHeight w:val="398" w:hRule="exact"/>
        </w:trPr>
        <w:tc>
          <w:tcPr>
            <w:tcW w:w="4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-44,024.08</w:t>
            </w:r>
          </w:p>
        </w:tc>
      </w:tr>
      <w:tr>
        <w:trPr>
          <w:trHeight w:val="403"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2,696,720.15</w:t>
            </w:r>
          </w:p>
        </w:tc>
      </w:tr>
    </w:tbl>
    <w:p>
      <w:pPr>
        <w:pStyle w:val="BodyText"/>
        <w:spacing w:line="240" w:lineRule="auto" w:before="54"/>
        <w:ind w:right="0"/>
        <w:jc w:val="left"/>
      </w:pPr>
      <w:r>
        <w:rPr/>
        <w:t>其他说明</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bookmarkStart w:name="45、现金流量表项目" w:id="338"/>
      <w:bookmarkEnd w:id="338"/>
      <w:r>
        <w:rPr>
          <w:b w:val="0"/>
          <w:bCs w:val="0"/>
        </w:rPr>
      </w:r>
      <w:r>
        <w:rPr>
          <w:rFonts w:ascii="Times New Roman" w:hAnsi="Times New Roman" w:cs="Times New Roman" w:eastAsia="Times New Roman" w:hint="default"/>
        </w:rPr>
        <w:t>45</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收到的其他与经营活动有关的现金" w:id="339"/>
      <w:bookmarkEnd w:id="339"/>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收回各类银行保证金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8,710,628.75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3,197,853.06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4,989,150.77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829,983.66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1,174,497.83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884,664.46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1,342,167.52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440,541.02</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16,216,444.87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5,353,042.20</w:t>
            </w:r>
          </w:p>
        </w:tc>
      </w:tr>
    </w:tbl>
    <w:p>
      <w:pPr>
        <w:pStyle w:val="BodyText"/>
        <w:spacing w:line="240" w:lineRule="auto" w:before="53"/>
        <w:ind w:right="0"/>
        <w:jc w:val="left"/>
      </w:pPr>
      <w:r>
        <w:rPr>
          <w:spacing w:val="-3"/>
        </w:rPr>
        <w:t>收到的其他与经营活动有关的现金说明：</w:t>
      </w: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bookmarkStart w:name="（2）支付的其他与经营活动有关的现金" w:id="340"/>
      <w:bookmarkEnd w:id="340"/>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支付各类银行保证金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12,911,334.10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8,710,628.75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技术开发费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5,120,706.36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6,906,703.05</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差旅交通费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5,052,523.36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5,708,492.37</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7,825,586.12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4,531,936.34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3,311,838.90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3,641,158.52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2,108,334.99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2,362,576.37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中介机构费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3,825,153.55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2,237,405.54</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租赁物业费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1,426,553.29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1,939,202.02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维保费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2,512,320.08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2,349,718.55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垫付赔偿款支出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3,100,000.00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3,844,250.96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2,800,633.36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51,038,601.71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41,188,454.87</w:t>
            </w:r>
          </w:p>
        </w:tc>
      </w:tr>
    </w:tbl>
    <w:p>
      <w:pPr>
        <w:pStyle w:val="BodyText"/>
        <w:spacing w:line="240" w:lineRule="auto" w:before="53"/>
        <w:ind w:right="0"/>
        <w:jc w:val="left"/>
      </w:pPr>
      <w:r>
        <w:rPr>
          <w:spacing w:val="-3"/>
        </w:rPr>
        <w:t>支付的其他与经营活动有关的现金说明：</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3）收到的其他与投资活动有关的现金" w:id="341"/>
      <w:bookmarkEnd w:id="341"/>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w w:val="101"/>
        </w:rPr>
        <w:t>无</w:t>
      </w:r>
      <w:r>
        <w:rPr/>
      </w: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bookmarkStart w:name="（4）支付的其他与投资活动有关的现金" w:id="342"/>
      <w:bookmarkEnd w:id="342"/>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bookmarkStart w:name="（5）收到的其他与筹资活动有关的现金" w:id="343"/>
      <w:bookmarkEnd w:id="343"/>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w w:val="101"/>
        </w:rPr>
        <w:t>无</w:t>
      </w:r>
      <w:r>
        <w:rPr/>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6）支付的其他与筹资活动有关的现金" w:id="344"/>
      <w:bookmarkEnd w:id="344"/>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收购少数股权支付的现金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5,916,737.62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限制性股票回购</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1,364,701.05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2,148,900.00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子公司注销返还少数股东</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546,143.22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1,364,701.05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8,611,780.84</w:t>
            </w:r>
          </w:p>
        </w:tc>
      </w:tr>
    </w:tbl>
    <w:p>
      <w:pPr>
        <w:pStyle w:val="BodyText"/>
        <w:spacing w:line="240" w:lineRule="auto" w:before="53"/>
        <w:ind w:right="0"/>
        <w:jc w:val="left"/>
      </w:pPr>
      <w:r>
        <w:rPr>
          <w:spacing w:val="-3"/>
        </w:rPr>
        <w:t>支付的其他与筹资活动有关的现金说明：</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bookmarkStart w:name="46、现金流量表补充资料" w:id="345"/>
      <w:bookmarkEnd w:id="345"/>
      <w:r>
        <w:rPr>
          <w:b w:val="0"/>
          <w:bCs w:val="0"/>
        </w:rPr>
      </w:r>
      <w:r>
        <w:rPr>
          <w:rFonts w:ascii="Times New Roman" w:hAnsi="Times New Roman" w:cs="Times New Roman" w:eastAsia="Times New Roman" w:hint="default"/>
        </w:rPr>
        <w:t>46</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现金流量表补充资料" w:id="346"/>
      <w:bookmarkEnd w:id="346"/>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after="0" w:line="240" w:lineRule="auto"/>
        <w:jc w:val="right"/>
        <w:sectPr>
          <w:pgSz w:w="11910" w:h="16840"/>
          <w:pgMar w:header="741" w:footer="979" w:top="1060" w:bottom="1160" w:left="980" w:right="0"/>
        </w:sectPr>
      </w:pPr>
    </w:p>
    <w:p>
      <w:pPr>
        <w:spacing w:line="240" w:lineRule="auto" w:before="11"/>
        <w:rPr>
          <w:rFonts w:ascii="宋体" w:hAnsi="宋体" w:cs="宋体" w:eastAsia="宋体" w:hint="default"/>
          <w:sz w:val="28"/>
          <w:szCs w:val="28"/>
        </w:rPr>
      </w:pPr>
      <w:r>
        <w:rPr/>
        <w:pict>
          <v:group style="position:absolute;margin-left:223.300003pt;margin-top:375.575989pt;width:151.25pt;height:20.95pt;mso-position-horizontal-relative:page;mso-position-vertical-relative:page;z-index:-1110208" coordorigin="4466,7512" coordsize="3025,419">
            <v:group style="position:absolute;left:4478;top:7524;width:2;height:395" coordorigin="4478,7524" coordsize="2,395">
              <v:shape style="position:absolute;left:4478;top:7524;width:2;height:395" coordorigin="4478,7524" coordsize="0,395" path="m4478,7524l4478,7918e" filled="false" stroked="true" strokeweight="1.2pt" strokecolor="#ffffff">
                <v:path arrowok="t"/>
              </v:shape>
            </v:group>
            <v:group style="position:absolute;left:4490;top:7524;width:3001;height:395" coordorigin="4490,7524" coordsize="3001,395">
              <v:shape style="position:absolute;left:4490;top:7524;width:3001;height:395" coordorigin="4490,7524" coordsize="3001,395" path="m4490,7918l7491,7918,7491,7524,4490,7524,4490,7918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6"/>
        <w:gridCol w:w="1123"/>
        <w:gridCol w:w="1945"/>
        <w:gridCol w:w="3183"/>
      </w:tblGrid>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98"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．将净利润调节为经营活动现金流量：</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4"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left="1992" w:right="0"/>
              <w:jc w:val="left"/>
              <w:rPr>
                <w:rFonts w:ascii="Times New Roman" w:hAnsi="Times New Roman" w:cs="Times New Roman" w:eastAsia="Times New Roman" w:hint="default"/>
                <w:sz w:val="18"/>
                <w:szCs w:val="18"/>
              </w:rPr>
            </w:pPr>
            <w:r>
              <w:rPr>
                <w:rFonts w:ascii="Times New Roman"/>
                <w:sz w:val="18"/>
              </w:rPr>
              <w:t>41,358,698.69</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38,594,312.63</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1992" w:right="0"/>
              <w:jc w:val="left"/>
              <w:rPr>
                <w:rFonts w:ascii="Times New Roman" w:hAnsi="Times New Roman" w:cs="Times New Roman" w:eastAsia="Times New Roman" w:hint="default"/>
                <w:sz w:val="18"/>
                <w:szCs w:val="18"/>
              </w:rPr>
            </w:pPr>
            <w:r>
              <w:rPr>
                <w:rFonts w:ascii="Times New Roman"/>
                <w:sz w:val="18"/>
              </w:rPr>
              <w:t>27,566,413.83</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26,562,259.57</w:t>
            </w:r>
          </w:p>
        </w:tc>
      </w:tr>
      <w:tr>
        <w:trPr>
          <w:trHeight w:val="715"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7" w:firstLine="720"/>
              <w:jc w:val="left"/>
              <w:rPr>
                <w:rFonts w:ascii="宋体" w:hAnsi="宋体" w:cs="宋体" w:eastAsia="宋体" w:hint="default"/>
                <w:sz w:val="18"/>
                <w:szCs w:val="18"/>
              </w:rPr>
            </w:pPr>
            <w:r>
              <w:rPr>
                <w:rFonts w:ascii="宋体" w:hAnsi="宋体" w:cs="宋体" w:eastAsia="宋体" w:hint="default"/>
                <w:spacing w:val="-3"/>
                <w:sz w:val="18"/>
                <w:szCs w:val="18"/>
              </w:rPr>
              <w:t>固定资产折旧、油气资产折耗、</w:t>
            </w:r>
            <w:r>
              <w:rPr>
                <w:rFonts w:ascii="宋体" w:hAnsi="宋体" w:cs="宋体" w:eastAsia="宋体" w:hint="default"/>
                <w:w w:val="101"/>
                <w:sz w:val="18"/>
                <w:szCs w:val="18"/>
              </w:rPr>
              <w:t> </w:t>
            </w:r>
            <w:r>
              <w:rPr>
                <w:rFonts w:ascii="宋体" w:hAnsi="宋体" w:cs="宋体" w:eastAsia="宋体" w:hint="default"/>
                <w:spacing w:val="-3"/>
                <w:sz w:val="18"/>
                <w:szCs w:val="18"/>
              </w:rPr>
              <w:t>生产性生物资产折旧</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001" w:right="0"/>
              <w:jc w:val="left"/>
              <w:rPr>
                <w:rFonts w:ascii="Times New Roman" w:hAnsi="Times New Roman" w:cs="Times New Roman" w:eastAsia="Times New Roman" w:hint="default"/>
                <w:sz w:val="18"/>
                <w:szCs w:val="18"/>
              </w:rPr>
            </w:pPr>
            <w:r>
              <w:rPr>
                <w:rFonts w:ascii="Times New Roman"/>
                <w:sz w:val="18"/>
              </w:rPr>
              <w:t>11,326,195.60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11,483,421.07</w:t>
            </w:r>
          </w:p>
        </w:tc>
      </w:tr>
      <w:tr>
        <w:trPr>
          <w:trHeight w:val="398"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1,918,079.37</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321,045.43</w:t>
            </w:r>
          </w:p>
        </w:tc>
      </w:tr>
      <w:tr>
        <w:trPr>
          <w:trHeight w:val="404"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73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1,658,028.32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610,318.57</w:t>
            </w:r>
          </w:p>
        </w:tc>
      </w:tr>
      <w:tr>
        <w:trPr>
          <w:trHeight w:val="715"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37" w:firstLine="72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长期资产的损失（收益以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22,750.16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35,177.03</w:t>
            </w:r>
          </w:p>
        </w:tc>
      </w:tr>
      <w:tr>
        <w:trPr>
          <w:trHeight w:val="716"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56" w:firstLine="720"/>
              <w:jc w:val="left"/>
              <w:rPr>
                <w:rFonts w:ascii="宋体" w:hAnsi="宋体" w:cs="宋体" w:eastAsia="宋体" w:hint="default"/>
                <w:sz w:val="18"/>
                <w:szCs w:val="18"/>
              </w:rPr>
            </w:pPr>
            <w:r>
              <w:rPr>
                <w:rFonts w:ascii="宋体" w:hAnsi="宋体" w:cs="宋体" w:eastAsia="宋体" w:hint="default"/>
                <w:spacing w:val="-2"/>
                <w:sz w:val="18"/>
                <w:szCs w:val="18"/>
              </w:rPr>
              <w:t>固定资产报废损失（收益以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30,828.74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20,205.35</w:t>
            </w:r>
          </w:p>
        </w:tc>
      </w:tr>
      <w:tr>
        <w:trPr>
          <w:trHeight w:val="398"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6"/>
              <w:jc w:val="right"/>
              <w:rPr>
                <w:rFonts w:ascii="宋体" w:hAnsi="宋体" w:cs="宋体" w:eastAsia="宋体" w:hint="default"/>
                <w:sz w:val="18"/>
                <w:szCs w:val="18"/>
              </w:rPr>
            </w:pPr>
            <w:r>
              <w:rPr>
                <w:rFonts w:ascii="宋体" w:hAnsi="宋体" w:cs="宋体" w:eastAsia="宋体" w:hint="default"/>
                <w:spacing w:val="-2"/>
                <w:sz w:val="18"/>
                <w:szCs w:val="18"/>
              </w:rPr>
              <w:t>财务费用（收益以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3,959,002.56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2,722,245.08</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56"/>
              <w:jc w:val="right"/>
              <w:rPr>
                <w:rFonts w:ascii="宋体" w:hAnsi="宋体" w:cs="宋体" w:eastAsia="宋体" w:hint="default"/>
                <w:sz w:val="18"/>
                <w:szCs w:val="18"/>
              </w:rPr>
            </w:pPr>
            <w:r>
              <w:rPr>
                <w:rFonts w:ascii="宋体" w:hAnsi="宋体" w:cs="宋体" w:eastAsia="宋体" w:hint="default"/>
                <w:spacing w:val="-2"/>
                <w:sz w:val="18"/>
                <w:szCs w:val="18"/>
              </w:rPr>
              <w:t>投资损失（收益以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left="2025" w:right="0"/>
              <w:jc w:val="left"/>
              <w:rPr>
                <w:rFonts w:ascii="Times New Roman" w:hAnsi="Times New Roman" w:cs="Times New Roman" w:eastAsia="Times New Roman" w:hint="default"/>
                <w:sz w:val="18"/>
                <w:szCs w:val="18"/>
              </w:rPr>
            </w:pPr>
            <w:r>
              <w:rPr>
                <w:rFonts w:ascii="Times New Roman"/>
                <w:sz w:val="18"/>
              </w:rPr>
              <w:t>-6,043,200.73</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-6,013,471.97</w:t>
            </w:r>
          </w:p>
        </w:tc>
      </w:tr>
      <w:tr>
        <w:trPr>
          <w:trHeight w:val="715"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p>
          <w:p>
            <w:pPr>
              <w:pStyle w:val="TableParagraph"/>
              <w:spacing w:line="240" w:lineRule="auto" w:before="8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025" w:right="0"/>
              <w:jc w:val="left"/>
              <w:rPr>
                <w:rFonts w:ascii="Times New Roman" w:hAnsi="Times New Roman" w:cs="Times New Roman" w:eastAsia="Times New Roman" w:hint="default"/>
                <w:sz w:val="18"/>
                <w:szCs w:val="18"/>
              </w:rPr>
            </w:pPr>
            <w:r>
              <w:rPr>
                <w:rFonts w:ascii="Times New Roman"/>
                <w:sz w:val="18"/>
              </w:rPr>
              <w:t>-4,994,746.07</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-6,484,592.29</w:t>
            </w:r>
          </w:p>
        </w:tc>
      </w:tr>
      <w:tr>
        <w:trPr>
          <w:trHeight w:val="404"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94"/>
              <w:jc w:val="right"/>
              <w:rPr>
                <w:rFonts w:ascii="宋体" w:hAnsi="宋体" w:cs="宋体" w:eastAsia="宋体" w:hint="default"/>
                <w:sz w:val="18"/>
                <w:szCs w:val="18"/>
              </w:rPr>
            </w:pPr>
            <w:r>
              <w:rPr>
                <w:rFonts w:ascii="宋体" w:hAnsi="宋体" w:cs="宋体" w:eastAsia="宋体" w:hint="default"/>
                <w:spacing w:val="-5"/>
                <w:sz w:val="18"/>
                <w:szCs w:val="18"/>
              </w:rPr>
              <w:t>存货的减少（增加以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号填列</w:t>
            </w:r>
          </w:p>
        </w:tc>
        <w:tc>
          <w:tcPr>
            <w:tcW w:w="1123" w:type="dxa"/>
            <w:tcBorders>
              <w:top w:val="single" w:sz="4" w:space="0" w:color="000000"/>
              <w:left w:val="single" w:sz="8" w:space="0" w:color="D2D2D2"/>
              <w:bottom w:val="single" w:sz="4" w:space="0" w:color="000000"/>
              <w:right w:val="nil" w:sz="6" w:space="0" w:color="auto"/>
            </w:tcBorders>
          </w:tcPr>
          <w:p>
            <w:pPr>
              <w:pStyle w:val="TableParagraph"/>
              <w:spacing w:line="240" w:lineRule="auto" w:before="54"/>
              <w:ind w:left="-116"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9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left="1046" w:right="0"/>
              <w:jc w:val="left"/>
              <w:rPr>
                <w:rFonts w:ascii="Times New Roman" w:hAnsi="Times New Roman" w:cs="Times New Roman" w:eastAsia="Times New Roman" w:hint="default"/>
                <w:sz w:val="18"/>
                <w:szCs w:val="18"/>
              </w:rPr>
            </w:pPr>
            <w:r>
              <w:rPr>
                <w:rFonts w:ascii="Times New Roman"/>
                <w:sz w:val="18"/>
              </w:rPr>
              <w:t>-787,068.82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-936,161.32</w:t>
            </w:r>
          </w:p>
        </w:tc>
      </w:tr>
      <w:tr>
        <w:trPr>
          <w:trHeight w:val="710"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经营性应收项目的减少（增加以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34" w:right="0"/>
              <w:jc w:val="left"/>
              <w:rPr>
                <w:rFonts w:ascii="Times New Roman" w:hAnsi="Times New Roman" w:cs="Times New Roman" w:eastAsia="Times New Roman" w:hint="default"/>
                <w:sz w:val="18"/>
                <w:szCs w:val="18"/>
              </w:rPr>
            </w:pPr>
            <w:r>
              <w:rPr>
                <w:rFonts w:ascii="Times New Roman"/>
                <w:sz w:val="18"/>
              </w:rPr>
              <w:t>-31,401,232.77</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-150,348,934.51</w:t>
            </w:r>
          </w:p>
        </w:tc>
      </w:tr>
      <w:tr>
        <w:trPr>
          <w:trHeight w:val="716"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31" w:right="0"/>
              <w:jc w:val="left"/>
              <w:rPr>
                <w:rFonts w:ascii="宋体" w:hAnsi="宋体" w:cs="宋体" w:eastAsia="宋体" w:hint="default"/>
                <w:sz w:val="18"/>
                <w:szCs w:val="18"/>
              </w:rPr>
            </w:pPr>
            <w:r>
              <w:rPr>
                <w:rFonts w:ascii="宋体" w:hAnsi="宋体" w:cs="宋体" w:eastAsia="宋体" w:hint="default"/>
                <w:spacing w:val="-3"/>
                <w:sz w:val="18"/>
                <w:szCs w:val="18"/>
              </w:rPr>
              <w:t>经营性应付项目的增加（减少以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934" w:right="0"/>
              <w:jc w:val="left"/>
              <w:rPr>
                <w:rFonts w:ascii="Times New Roman" w:hAnsi="Times New Roman" w:cs="Times New Roman" w:eastAsia="Times New Roman" w:hint="default"/>
                <w:sz w:val="18"/>
                <w:szCs w:val="18"/>
              </w:rPr>
            </w:pPr>
            <w:r>
              <w:rPr>
                <w:rFonts w:ascii="Times New Roman"/>
                <w:sz w:val="18"/>
              </w:rPr>
              <w:t>-26,630,533.77</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88,511,724.85</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1992" w:right="0"/>
              <w:jc w:val="left"/>
              <w:rPr>
                <w:rFonts w:ascii="Times New Roman" w:hAnsi="Times New Roman" w:cs="Times New Roman" w:eastAsia="Times New Roman" w:hint="default"/>
                <w:sz w:val="18"/>
                <w:szCs w:val="18"/>
              </w:rPr>
            </w:pPr>
            <w:r>
              <w:rPr>
                <w:rFonts w:ascii="Times New Roman"/>
                <w:sz w:val="18"/>
              </w:rPr>
              <w:t>23,432,423.22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13,150,883.86</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19"/>
              <w:jc w:val="righ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1992" w:right="0"/>
              <w:jc w:val="left"/>
              <w:rPr>
                <w:rFonts w:ascii="Times New Roman" w:hAnsi="Times New Roman" w:cs="Times New Roman" w:eastAsia="Times New Roman" w:hint="default"/>
                <w:sz w:val="18"/>
                <w:szCs w:val="18"/>
              </w:rPr>
            </w:pPr>
            <w:r>
              <w:rPr>
                <w:rFonts w:ascii="Times New Roman"/>
                <w:sz w:val="18"/>
              </w:rPr>
              <w:t>41,415,638.33</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18,228,433.35</w:t>
            </w:r>
          </w:p>
        </w:tc>
      </w:tr>
      <w:tr>
        <w:trPr>
          <w:trHeight w:val="158" w:hRule="exact"/>
        </w:trPr>
        <w:tc>
          <w:tcPr>
            <w:tcW w:w="3306"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3"/>
              <w:ind w:left="11" w:right="12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．不涉及现金收支的重大投资和筹资活</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动：</w:t>
            </w:r>
          </w:p>
        </w:tc>
        <w:tc>
          <w:tcPr>
            <w:tcW w:w="30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3306" w:type="dxa"/>
            <w:vMerge/>
            <w:tcBorders>
              <w:left w:val="single" w:sz="4" w:space="0" w:color="000000"/>
              <w:right w:val="single" w:sz="4" w:space="0" w:color="000000"/>
            </w:tcBorders>
            <w:shd w:val="clear" w:color="auto" w:fill="D2D2D2"/>
          </w:tcPr>
          <w:p>
            <w:pPr/>
          </w:p>
        </w:tc>
        <w:tc>
          <w:tcPr>
            <w:tcW w:w="306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161" w:hRule="exact"/>
        </w:trPr>
        <w:tc>
          <w:tcPr>
            <w:tcW w:w="3306" w:type="dxa"/>
            <w:vMerge/>
            <w:tcBorders>
              <w:left w:val="single" w:sz="4" w:space="0" w:color="000000"/>
              <w:bottom w:val="single" w:sz="4" w:space="0" w:color="000000"/>
              <w:right w:val="single" w:sz="4" w:space="0" w:color="000000"/>
            </w:tcBorders>
            <w:shd w:val="clear" w:color="auto" w:fill="D2D2D2"/>
          </w:tcPr>
          <w:p>
            <w:pPr/>
          </w:p>
        </w:tc>
        <w:tc>
          <w:tcPr>
            <w:tcW w:w="30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．现金及现金等价物净变动情况：</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4"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现金的期末余额</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1905" w:right="0"/>
              <w:jc w:val="left"/>
              <w:rPr>
                <w:rFonts w:ascii="Times New Roman" w:hAnsi="Times New Roman" w:cs="Times New Roman" w:eastAsia="Times New Roman" w:hint="default"/>
                <w:sz w:val="18"/>
                <w:szCs w:val="18"/>
              </w:rPr>
            </w:pPr>
            <w:r>
              <w:rPr>
                <w:rFonts w:ascii="Times New Roman"/>
                <w:sz w:val="18"/>
              </w:rPr>
              <w:t>217,718,253.56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356,480,701.01</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减：现金的期初余额</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1905" w:right="0"/>
              <w:jc w:val="left"/>
              <w:rPr>
                <w:rFonts w:ascii="Times New Roman" w:hAnsi="Times New Roman" w:cs="Times New Roman" w:eastAsia="Times New Roman" w:hint="default"/>
                <w:sz w:val="18"/>
                <w:szCs w:val="18"/>
              </w:rPr>
            </w:pPr>
            <w:r>
              <w:rPr>
                <w:rFonts w:ascii="Times New Roman"/>
                <w:sz w:val="18"/>
              </w:rPr>
              <w:t>356,480,701.01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113,914,195.50</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1843" w:right="0"/>
              <w:jc w:val="left"/>
              <w:rPr>
                <w:rFonts w:ascii="Times New Roman" w:hAnsi="Times New Roman" w:cs="Times New Roman" w:eastAsia="Times New Roman" w:hint="default"/>
                <w:sz w:val="18"/>
                <w:szCs w:val="18"/>
              </w:rPr>
            </w:pPr>
            <w:r>
              <w:rPr>
                <w:rFonts w:ascii="Times New Roman"/>
                <w:sz w:val="18"/>
              </w:rPr>
              <w:t>-138,762,447.45</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242,566,505.51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本期支付的取得子公司的现金净额" w:id="347"/>
      <w:bookmarkEnd w:id="347"/>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989"/>
        <w:gridCol w:w="4581"/>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4"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98"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pStyle w:val="BodyText"/>
        <w:spacing w:line="240" w:lineRule="auto" w:before="46"/>
        <w:ind w:right="0"/>
        <w:jc w:val="left"/>
      </w:pPr>
      <w:r>
        <w:rPr/>
        <w:t>其他说明：</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3）本期收到的处置子公司的现金净额" w:id="348"/>
      <w:bookmarkEnd w:id="348"/>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989"/>
        <w:gridCol w:w="4581"/>
      </w:tblGrid>
      <w:tr>
        <w:trPr>
          <w:trHeight w:val="398"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本期处置子公司于本期收到的现金或现金等价物</w:t>
            </w:r>
          </w:p>
        </w:tc>
        <w:tc>
          <w:tcPr>
            <w:tcW w:w="45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2,400,000.00</w:t>
            </w:r>
          </w:p>
        </w:tc>
      </w:tr>
      <w:tr>
        <w:trPr>
          <w:trHeight w:val="404"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其中：和仁云慧公司</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2,400,000.00</w:t>
            </w:r>
          </w:p>
        </w:tc>
      </w:tr>
      <w:tr>
        <w:trPr>
          <w:trHeight w:val="398"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减：丧失控制权日子公司持有的现金及现金等价物</w:t>
            </w:r>
          </w:p>
        </w:tc>
        <w:tc>
          <w:tcPr>
            <w:tcW w:w="45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1,268,136.73</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和仁云慧公司</w:t>
            </w:r>
          </w:p>
        </w:tc>
        <w:tc>
          <w:tcPr>
            <w:tcW w:w="4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1,268,136.73</w:t>
            </w:r>
          </w:p>
        </w:tc>
      </w:tr>
      <w:tr>
        <w:trPr>
          <w:trHeight w:val="404"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98"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处置子公司收到的现金净额</w:t>
            </w:r>
          </w:p>
        </w:tc>
        <w:tc>
          <w:tcPr>
            <w:tcW w:w="45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1,131,863.27</w:t>
            </w:r>
          </w:p>
        </w:tc>
      </w:tr>
    </w:tbl>
    <w:p>
      <w:pPr>
        <w:pStyle w:val="BodyText"/>
        <w:spacing w:line="240" w:lineRule="auto" w:before="53"/>
        <w:ind w:right="0"/>
        <w:jc w:val="left"/>
      </w:pPr>
      <w:r>
        <w:rPr/>
        <w:t>其他说明：</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bookmarkStart w:name="（4）现金和现金等价物的构成" w:id="349"/>
      <w:bookmarkEnd w:id="349"/>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6"/>
        <w:gridCol w:w="3068"/>
        <w:gridCol w:w="3183"/>
      </w:tblGrid>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217,718,253.56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356,480,701.01</w:t>
            </w:r>
          </w:p>
        </w:tc>
      </w:tr>
      <w:tr>
        <w:trPr>
          <w:trHeight w:val="404"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其中：库存现金</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4,337.78</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11,863.35</w:t>
            </w:r>
          </w:p>
        </w:tc>
      </w:tr>
      <w:tr>
        <w:trPr>
          <w:trHeight w:val="398"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可随时用于支付的银行存款</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216,762,330.70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355,940,924.03</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可随时用于支付的其他货币资金</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951,585.08</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527,913.63</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三、期末现金及现金等价物余额</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217,718,253.56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356,480,701.01</w:t>
            </w:r>
          </w:p>
        </w:tc>
      </w:tr>
    </w:tbl>
    <w:p>
      <w:pPr>
        <w:pStyle w:val="BodyText"/>
        <w:spacing w:line="240" w:lineRule="auto" w:before="54"/>
        <w:ind w:right="0"/>
        <w:jc w:val="left"/>
      </w:pPr>
      <w:r>
        <w:rPr/>
        <w:t>其他说明：</w:t>
      </w:r>
    </w:p>
    <w:p>
      <w:pPr>
        <w:spacing w:line="240" w:lineRule="auto" w:before="8"/>
        <w:rPr>
          <w:rFonts w:ascii="宋体" w:hAnsi="宋体" w:cs="宋体" w:eastAsia="宋体" w:hint="default"/>
          <w:sz w:val="26"/>
          <w:szCs w:val="26"/>
        </w:rPr>
      </w:pPr>
    </w:p>
    <w:p>
      <w:pPr>
        <w:spacing w:line="544" w:lineRule="auto" w:before="0"/>
        <w:ind w:left="153" w:right="3109" w:firstLine="0"/>
        <w:jc w:val="left"/>
        <w:rPr>
          <w:rFonts w:ascii="宋体" w:hAnsi="宋体" w:cs="宋体" w:eastAsia="宋体" w:hint="default"/>
          <w:sz w:val="21"/>
          <w:szCs w:val="21"/>
        </w:rPr>
      </w:pPr>
      <w:bookmarkStart w:name="47、所有者权益变动表项目注释" w:id="350"/>
      <w:bookmarkEnd w:id="350"/>
      <w:r>
        <w:rPr/>
      </w:r>
      <w:r>
        <w:rPr>
          <w:rFonts w:ascii="Times New Roman" w:hAnsi="Times New Roman" w:cs="Times New Roman" w:eastAsia="Times New Roman" w:hint="default"/>
          <w:b/>
          <w:bCs/>
          <w:sz w:val="21"/>
          <w:szCs w:val="21"/>
        </w:rPr>
        <w:t>47</w:t>
      </w:r>
      <w:r>
        <w:rPr>
          <w:rFonts w:ascii="宋体" w:hAnsi="宋体" w:cs="宋体" w:eastAsia="宋体" w:hint="default"/>
          <w:b/>
          <w:bCs/>
          <w:sz w:val="21"/>
          <w:szCs w:val="21"/>
        </w:rPr>
        <w:t>、所有者权益变动表项目注释</w:t>
      </w:r>
      <w:r>
        <w:rPr>
          <w:rFonts w:ascii="宋体" w:hAnsi="宋体" w:cs="宋体" w:eastAsia="宋体" w:hint="default"/>
          <w:b/>
          <w:bCs/>
          <w:spacing w:val="-100"/>
          <w:sz w:val="21"/>
          <w:szCs w:val="21"/>
        </w:rPr>
        <w:t> </w:t>
      </w:r>
      <w:r>
        <w:rPr>
          <w:rFonts w:ascii="宋体" w:hAnsi="宋体" w:cs="宋体" w:eastAsia="宋体" w:hint="default"/>
          <w:spacing w:val="-3"/>
          <w:sz w:val="18"/>
          <w:szCs w:val="18"/>
        </w:rPr>
        <w:t>说明对上年期末余额进行调整的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其他</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项目名称及调整金额等事项：</w:t>
      </w:r>
      <w:r>
        <w:rPr>
          <w:rFonts w:ascii="宋体" w:hAnsi="宋体" w:cs="宋体" w:eastAsia="宋体" w:hint="default"/>
          <w:spacing w:val="-1"/>
          <w:sz w:val="18"/>
          <w:szCs w:val="18"/>
        </w:rPr>
        <w:t> </w:t>
      </w:r>
      <w:r>
        <w:rPr>
          <w:rFonts w:ascii="宋体" w:hAnsi="宋体" w:cs="宋体" w:eastAsia="宋体" w:hint="default"/>
          <w:spacing w:val="-1"/>
          <w:sz w:val="18"/>
          <w:szCs w:val="18"/>
        </w:rPr>
      </w:r>
      <w:bookmarkStart w:name="48、所有权或使用权受到限制的资产" w:id="351"/>
      <w:bookmarkEnd w:id="351"/>
      <w:r>
        <w:rPr>
          <w:rFonts w:ascii="宋体" w:hAnsi="宋体" w:cs="宋体" w:eastAsia="宋体" w:hint="default"/>
          <w:spacing w:val="-1"/>
          <w:sz w:val="18"/>
          <w:szCs w:val="18"/>
        </w:rPr>
      </w:r>
      <w:r>
        <w:rPr>
          <w:rFonts w:ascii="Times New Roman" w:hAnsi="Times New Roman" w:cs="Times New Roman" w:eastAsia="Times New Roman" w:hint="default"/>
          <w:b/>
          <w:bCs/>
          <w:sz w:val="21"/>
          <w:szCs w:val="21"/>
        </w:rPr>
        <w:t>48</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58"/>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6"/>
        <w:gridCol w:w="3068"/>
        <w:gridCol w:w="3183"/>
      </w:tblGrid>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9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4"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12,911,334.10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各类保证金存款</w:t>
            </w:r>
          </w:p>
        </w:tc>
      </w:tr>
      <w:tr>
        <w:trPr>
          <w:trHeight w:val="398"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8" w:type="dxa"/>
            <w:tcBorders>
              <w:top w:val="single" w:sz="4" w:space="0" w:color="000000"/>
              <w:left w:val="single" w:sz="8" w:space="0" w:color="D2D2D2"/>
              <w:bottom w:val="single" w:sz="4" w:space="0" w:color="000000"/>
              <w:right w:val="single" w:sz="10" w:space="0" w:color="D2D2D2"/>
            </w:tcBorders>
          </w:tcPr>
          <w:p>
            <w:pPr>
              <w:pStyle w:val="TableParagraph"/>
              <w:spacing w:line="240" w:lineRule="auto" w:before="96"/>
              <w:ind w:right="10"/>
              <w:jc w:val="right"/>
              <w:rPr>
                <w:rFonts w:ascii="Times New Roman" w:hAnsi="Times New Roman" w:cs="Times New Roman" w:eastAsia="Times New Roman" w:hint="default"/>
                <w:sz w:val="18"/>
                <w:szCs w:val="18"/>
              </w:rPr>
            </w:pPr>
            <w:r>
              <w:rPr>
                <w:rFonts w:ascii="Times New Roman"/>
                <w:spacing w:val="-2"/>
                <w:sz w:val="18"/>
              </w:rPr>
              <w:t>12,911,334.10</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0"/>
        <w:jc w:val="left"/>
      </w:pPr>
      <w:r>
        <w:rPr/>
        <w:t>其他说明：</w:t>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4"/>
        <w:spacing w:line="240" w:lineRule="auto" w:before="36"/>
        <w:ind w:right="0"/>
        <w:jc w:val="left"/>
        <w:rPr>
          <w:b w:val="0"/>
          <w:bCs w:val="0"/>
        </w:rPr>
      </w:pPr>
      <w:bookmarkStart w:name="49、政府补助" w:id="352"/>
      <w:bookmarkEnd w:id="352"/>
      <w:r>
        <w:rPr>
          <w:b w:val="0"/>
          <w:bCs w:val="0"/>
        </w:rPr>
      </w:r>
      <w:r>
        <w:rPr>
          <w:rFonts w:ascii="Times New Roman" w:hAnsi="Times New Roman" w:cs="Times New Roman" w:eastAsia="Times New Roman" w:hint="default"/>
        </w:rPr>
        <w:t>49</w:t>
      </w:r>
      <w:r>
        <w:rPr/>
        <w:t>、政府补助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政府补助基本情况" w:id="353"/>
      <w:bookmarkEnd w:id="353"/>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计入当期损益的金额</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增值税超税负退税</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14,516,093.74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14,516,093.74</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重大科技创新专项验收补助</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4" w:right="14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pacing w:val="-3"/>
                <w:sz w:val="18"/>
                <w:szCs w:val="18"/>
              </w:rPr>
              <w:t>年度天津市服务业专项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资金项目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1,800,000.00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人才激励专项资金资助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223,341.00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223,341.00</w:t>
            </w:r>
          </w:p>
        </w:tc>
      </w:tr>
      <w:tr>
        <w:trPr>
          <w:trHeight w:val="71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90"/>
              <w:jc w:val="left"/>
              <w:rPr>
                <w:rFonts w:ascii="宋体" w:hAnsi="宋体" w:cs="宋体" w:eastAsia="宋体" w:hint="default"/>
                <w:sz w:val="18"/>
                <w:szCs w:val="18"/>
              </w:rPr>
            </w:pPr>
            <w:r>
              <w:rPr>
                <w:rFonts w:ascii="宋体" w:hAnsi="宋体" w:cs="宋体" w:eastAsia="宋体" w:hint="default"/>
                <w:spacing w:val="-3"/>
                <w:sz w:val="18"/>
                <w:szCs w:val="18"/>
              </w:rPr>
              <w:t>重点企业研究院重点研发项</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目经费区配套资助经费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465,809.77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465,809.77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政府补助退回情况" w:id="354"/>
      <w:bookmarkEnd w:id="354"/>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9"/>
        <w:rPr>
          <w:rFonts w:ascii="宋体" w:hAnsi="宋体" w:cs="宋体" w:eastAsia="宋体" w:hint="default"/>
          <w:b/>
          <w:bCs/>
          <w:sz w:val="26"/>
          <w:szCs w:val="26"/>
        </w:rPr>
      </w:pPr>
    </w:p>
    <w:p>
      <w:pPr>
        <w:pStyle w:val="BodyText"/>
        <w:spacing w:line="343" w:lineRule="auto"/>
        <w:ind w:right="901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w:t>
      </w:r>
      <w:r>
        <w:rPr>
          <w:w w:val="101"/>
        </w:rPr>
        <w:t> </w:t>
      </w:r>
      <w:r>
        <w:rPr/>
        <w:t>其他说明：</w:t>
      </w:r>
    </w:p>
    <w:p>
      <w:pPr>
        <w:spacing w:line="240" w:lineRule="auto" w:before="5"/>
        <w:rPr>
          <w:rFonts w:ascii="宋体" w:hAnsi="宋体" w:cs="宋体" w:eastAsia="宋体" w:hint="default"/>
          <w:sz w:val="20"/>
          <w:szCs w:val="20"/>
        </w:rPr>
      </w:pPr>
    </w:p>
    <w:p>
      <w:pPr>
        <w:spacing w:line="487" w:lineRule="auto" w:before="0"/>
        <w:ind w:left="153" w:right="8582" w:firstLine="0"/>
        <w:jc w:val="left"/>
        <w:rPr>
          <w:rFonts w:ascii="宋体" w:hAnsi="宋体" w:cs="宋体" w:eastAsia="宋体" w:hint="default"/>
          <w:sz w:val="21"/>
          <w:szCs w:val="21"/>
        </w:rPr>
      </w:pPr>
      <w:bookmarkStart w:name="50、其他" w:id="355"/>
      <w:bookmarkEnd w:id="355"/>
      <w:r>
        <w:rPr/>
      </w:r>
      <w:r>
        <w:rPr>
          <w:rFonts w:ascii="Times New Roman" w:hAnsi="Times New Roman" w:cs="Times New Roman" w:eastAsia="Times New Roman" w:hint="default"/>
          <w:b/>
          <w:bCs/>
          <w:sz w:val="21"/>
          <w:szCs w:val="21"/>
        </w:rPr>
        <w:t>50</w:t>
      </w:r>
      <w:r>
        <w:rPr>
          <w:rFonts w:ascii="宋体" w:hAnsi="宋体" w:cs="宋体" w:eastAsia="宋体" w:hint="default"/>
          <w:b/>
          <w:bCs/>
          <w:sz w:val="21"/>
          <w:szCs w:val="21"/>
        </w:rPr>
        <w:t>、其他</w:t>
      </w:r>
      <w:r>
        <w:rPr>
          <w:rFonts w:ascii="宋体" w:hAnsi="宋体" w:cs="宋体" w:eastAsia="宋体" w:hint="default"/>
          <w:b/>
          <w:bCs/>
          <w:spacing w:val="-104"/>
          <w:sz w:val="21"/>
          <w:szCs w:val="21"/>
        </w:rPr>
        <w:t> </w:t>
      </w:r>
      <w:bookmarkStart w:name="八、合并范围的变更" w:id="356"/>
      <w:bookmarkEnd w:id="356"/>
      <w:r>
        <w:rPr>
          <w:rFonts w:ascii="宋体" w:hAnsi="宋体" w:cs="宋体" w:eastAsia="宋体" w:hint="default"/>
          <w:b/>
          <w:bCs/>
          <w:spacing w:val="-104"/>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处置子公司" w:id="357"/>
      <w:bookmarkEnd w:id="35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、处置子公司</w:t>
      </w:r>
      <w:r>
        <w:rPr>
          <w:rFonts w:ascii="宋体" w:hAnsi="宋体" w:cs="宋体" w:eastAsia="宋体" w:hint="default"/>
          <w:sz w:val="21"/>
          <w:szCs w:val="21"/>
        </w:rPr>
      </w:r>
    </w:p>
    <w:p>
      <w:pPr>
        <w:spacing w:after="0" w:line="487" w:lineRule="auto"/>
        <w:jc w:val="left"/>
        <w:rPr>
          <w:rFonts w:ascii="宋体" w:hAnsi="宋体" w:cs="宋体" w:eastAsia="宋体" w:hint="default"/>
          <w:sz w:val="21"/>
          <w:szCs w:val="21"/>
        </w:rPr>
        <w:sectPr>
          <w:pgSz w:w="11910" w:h="16840"/>
          <w:pgMar w:header="741" w:footer="979" w:top="1060" w:bottom="1160" w:left="980" w:right="0"/>
        </w:sectPr>
      </w:pPr>
    </w:p>
    <w:p>
      <w:pPr>
        <w:pStyle w:val="BodyText"/>
        <w:spacing w:line="240" w:lineRule="auto" w:before="114"/>
        <w:ind w:right="0"/>
        <w:jc w:val="left"/>
      </w:pPr>
      <w:r>
        <w:rPr>
          <w:spacing w:val="-3"/>
        </w:rPr>
        <w:t>是否存在单次处置对子公司投资即丧失控制权的情形</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6"/>
          <w:szCs w:val="26"/>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4297" w:space="4534"/>
            <w:col w:w="2099"/>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34"/>
        <w:gridCol w:w="740"/>
        <w:gridCol w:w="735"/>
        <w:gridCol w:w="734"/>
        <w:gridCol w:w="735"/>
        <w:gridCol w:w="734"/>
        <w:gridCol w:w="740"/>
        <w:gridCol w:w="735"/>
        <w:gridCol w:w="734"/>
        <w:gridCol w:w="740"/>
        <w:gridCol w:w="734"/>
        <w:gridCol w:w="735"/>
        <w:gridCol w:w="739"/>
      </w:tblGrid>
      <w:tr>
        <w:trPr>
          <w:trHeight w:val="3831" w:hRule="exact"/>
        </w:trPr>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182" w:right="84" w:hanging="87"/>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名称</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96" w:right="89"/>
              <w:jc w:val="left"/>
              <w:rPr>
                <w:rFonts w:ascii="宋体" w:hAnsi="宋体" w:cs="宋体" w:eastAsia="宋体" w:hint="default"/>
                <w:sz w:val="18"/>
                <w:szCs w:val="18"/>
              </w:rPr>
            </w:pPr>
            <w:r>
              <w:rPr>
                <w:rFonts w:ascii="宋体" w:hAnsi="宋体" w:cs="宋体" w:eastAsia="宋体" w:hint="default"/>
                <w:sz w:val="18"/>
                <w:szCs w:val="18"/>
              </w:rPr>
              <w:t>股权处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置价款</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95" w:right="84"/>
              <w:jc w:val="left"/>
              <w:rPr>
                <w:rFonts w:ascii="宋体" w:hAnsi="宋体" w:cs="宋体" w:eastAsia="宋体" w:hint="default"/>
                <w:sz w:val="18"/>
                <w:szCs w:val="18"/>
              </w:rPr>
            </w:pPr>
            <w:r>
              <w:rPr>
                <w:rFonts w:ascii="宋体" w:hAnsi="宋体" w:cs="宋体" w:eastAsia="宋体" w:hint="default"/>
                <w:sz w:val="18"/>
                <w:szCs w:val="18"/>
              </w:rPr>
              <w:t>股权处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置比例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91" w:right="89"/>
              <w:jc w:val="left"/>
              <w:rPr>
                <w:rFonts w:ascii="宋体" w:hAnsi="宋体" w:cs="宋体" w:eastAsia="宋体" w:hint="default"/>
                <w:sz w:val="18"/>
                <w:szCs w:val="18"/>
              </w:rPr>
            </w:pPr>
            <w:r>
              <w:rPr>
                <w:rFonts w:ascii="宋体" w:hAnsi="宋体" w:cs="宋体" w:eastAsia="宋体" w:hint="default"/>
                <w:sz w:val="18"/>
                <w:szCs w:val="18"/>
              </w:rPr>
              <w:t>股权处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置方式</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91" w:right="89"/>
              <w:jc w:val="both"/>
              <w:rPr>
                <w:rFonts w:ascii="宋体" w:hAnsi="宋体" w:cs="宋体" w:eastAsia="宋体" w:hint="default"/>
                <w:sz w:val="18"/>
                <w:szCs w:val="18"/>
              </w:rPr>
            </w:pPr>
            <w:r>
              <w:rPr>
                <w:rFonts w:ascii="宋体" w:hAnsi="宋体" w:cs="宋体" w:eastAsia="宋体" w:hint="default"/>
                <w:sz w:val="18"/>
                <w:szCs w:val="18"/>
              </w:rPr>
              <w:t>丧失控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制权的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时点</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91" w:right="89"/>
              <w:jc w:val="both"/>
              <w:rPr>
                <w:rFonts w:ascii="宋体" w:hAnsi="宋体" w:cs="宋体" w:eastAsia="宋体" w:hint="default"/>
                <w:sz w:val="18"/>
                <w:szCs w:val="18"/>
              </w:rPr>
            </w:pPr>
            <w:r>
              <w:rPr>
                <w:rFonts w:ascii="宋体" w:hAnsi="宋体" w:cs="宋体" w:eastAsia="宋体" w:hint="default"/>
                <w:sz w:val="18"/>
                <w:szCs w:val="18"/>
              </w:rPr>
              <w:t>丧失控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制权时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点的确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定依据</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91" w:right="94"/>
              <w:jc w:val="center"/>
              <w:rPr>
                <w:rFonts w:ascii="宋体" w:hAnsi="宋体" w:cs="宋体" w:eastAsia="宋体" w:hint="default"/>
                <w:sz w:val="18"/>
                <w:szCs w:val="18"/>
              </w:rPr>
            </w:pPr>
            <w:r>
              <w:rPr>
                <w:rFonts w:ascii="宋体" w:hAnsi="宋体" w:cs="宋体" w:eastAsia="宋体" w:hint="default"/>
                <w:spacing w:val="-2"/>
                <w:sz w:val="18"/>
                <w:szCs w:val="18"/>
              </w:rPr>
              <w:t>处置价</w:t>
            </w:r>
            <w:r>
              <w:rPr>
                <w:rFonts w:ascii="宋体" w:hAnsi="宋体" w:cs="宋体" w:eastAsia="宋体" w:hint="default"/>
                <w:w w:val="101"/>
                <w:sz w:val="18"/>
                <w:szCs w:val="18"/>
              </w:rPr>
              <w:t> </w:t>
            </w:r>
            <w:r>
              <w:rPr>
                <w:rFonts w:ascii="宋体" w:hAnsi="宋体" w:cs="宋体" w:eastAsia="宋体" w:hint="default"/>
                <w:spacing w:val="-2"/>
                <w:sz w:val="18"/>
                <w:szCs w:val="18"/>
              </w:rPr>
              <w:t>款与处</w:t>
            </w:r>
            <w:r>
              <w:rPr>
                <w:rFonts w:ascii="宋体" w:hAnsi="宋体" w:cs="宋体" w:eastAsia="宋体" w:hint="default"/>
                <w:w w:val="101"/>
                <w:sz w:val="18"/>
                <w:szCs w:val="18"/>
              </w:rPr>
              <w:t> </w:t>
            </w:r>
            <w:r>
              <w:rPr>
                <w:rFonts w:ascii="宋体" w:hAnsi="宋体" w:cs="宋体" w:eastAsia="宋体" w:hint="default"/>
                <w:spacing w:val="-2"/>
                <w:sz w:val="18"/>
                <w:szCs w:val="18"/>
              </w:rPr>
              <w:t>置投资</w:t>
            </w:r>
            <w:r>
              <w:rPr>
                <w:rFonts w:ascii="宋体" w:hAnsi="宋体" w:cs="宋体" w:eastAsia="宋体" w:hint="default"/>
                <w:w w:val="101"/>
                <w:sz w:val="18"/>
                <w:szCs w:val="18"/>
              </w:rPr>
              <w:t> </w:t>
            </w:r>
            <w:r>
              <w:rPr>
                <w:rFonts w:ascii="宋体" w:hAnsi="宋体" w:cs="宋体" w:eastAsia="宋体" w:hint="default"/>
                <w:spacing w:val="-2"/>
                <w:sz w:val="18"/>
                <w:szCs w:val="18"/>
              </w:rPr>
              <w:t>对应的</w:t>
            </w:r>
            <w:r>
              <w:rPr>
                <w:rFonts w:ascii="宋体" w:hAnsi="宋体" w:cs="宋体" w:eastAsia="宋体" w:hint="default"/>
                <w:w w:val="101"/>
                <w:sz w:val="18"/>
                <w:szCs w:val="18"/>
              </w:rPr>
              <w:t> </w:t>
            </w:r>
            <w:r>
              <w:rPr>
                <w:rFonts w:ascii="宋体" w:hAnsi="宋体" w:cs="宋体" w:eastAsia="宋体" w:hint="default"/>
                <w:spacing w:val="-2"/>
                <w:sz w:val="18"/>
                <w:szCs w:val="18"/>
              </w:rPr>
              <w:t>合并财</w:t>
            </w:r>
            <w:r>
              <w:rPr>
                <w:rFonts w:ascii="宋体" w:hAnsi="宋体" w:cs="宋体" w:eastAsia="宋体" w:hint="default"/>
                <w:w w:val="101"/>
                <w:sz w:val="18"/>
                <w:szCs w:val="18"/>
              </w:rPr>
              <w:t> </w:t>
            </w:r>
            <w:r>
              <w:rPr>
                <w:rFonts w:ascii="宋体" w:hAnsi="宋体" w:cs="宋体" w:eastAsia="宋体" w:hint="default"/>
                <w:spacing w:val="-2"/>
                <w:sz w:val="18"/>
                <w:szCs w:val="18"/>
              </w:rPr>
              <w:t>务报表</w:t>
            </w:r>
            <w:r>
              <w:rPr>
                <w:rFonts w:ascii="宋体" w:hAnsi="宋体" w:cs="宋体" w:eastAsia="宋体" w:hint="default"/>
                <w:w w:val="101"/>
                <w:sz w:val="18"/>
                <w:szCs w:val="18"/>
              </w:rPr>
              <w:t> </w:t>
            </w:r>
            <w:r>
              <w:rPr>
                <w:rFonts w:ascii="宋体" w:hAnsi="宋体" w:cs="宋体" w:eastAsia="宋体" w:hint="default"/>
                <w:spacing w:val="-2"/>
                <w:sz w:val="18"/>
                <w:szCs w:val="18"/>
              </w:rPr>
              <w:t>层面享</w:t>
            </w:r>
            <w:r>
              <w:rPr>
                <w:rFonts w:ascii="宋体" w:hAnsi="宋体" w:cs="宋体" w:eastAsia="宋体" w:hint="default"/>
                <w:w w:val="101"/>
                <w:sz w:val="18"/>
                <w:szCs w:val="18"/>
              </w:rPr>
              <w:t> </w:t>
            </w:r>
            <w:r>
              <w:rPr>
                <w:rFonts w:ascii="宋体" w:hAnsi="宋体" w:cs="宋体" w:eastAsia="宋体" w:hint="default"/>
                <w:spacing w:val="-2"/>
                <w:sz w:val="18"/>
                <w:szCs w:val="18"/>
              </w:rPr>
              <w:t>有该子</w:t>
            </w:r>
            <w:r>
              <w:rPr>
                <w:rFonts w:ascii="宋体" w:hAnsi="宋体" w:cs="宋体" w:eastAsia="宋体" w:hint="default"/>
                <w:w w:val="101"/>
                <w:sz w:val="18"/>
                <w:szCs w:val="18"/>
              </w:rPr>
              <w:t> </w:t>
            </w:r>
            <w:r>
              <w:rPr>
                <w:rFonts w:ascii="宋体" w:hAnsi="宋体" w:cs="宋体" w:eastAsia="宋体" w:hint="default"/>
                <w:spacing w:val="-2"/>
                <w:sz w:val="18"/>
                <w:szCs w:val="18"/>
              </w:rPr>
              <w:t>公司净</w:t>
            </w:r>
            <w:r>
              <w:rPr>
                <w:rFonts w:ascii="宋体" w:hAnsi="宋体" w:cs="宋体" w:eastAsia="宋体" w:hint="default"/>
                <w:w w:val="101"/>
                <w:sz w:val="18"/>
                <w:szCs w:val="18"/>
              </w:rPr>
              <w:t> </w:t>
            </w:r>
            <w:r>
              <w:rPr>
                <w:rFonts w:ascii="宋体" w:hAnsi="宋体" w:cs="宋体" w:eastAsia="宋体" w:hint="default"/>
                <w:spacing w:val="-2"/>
                <w:sz w:val="18"/>
                <w:szCs w:val="18"/>
              </w:rPr>
              <w:t>资产份</w:t>
            </w:r>
            <w:r>
              <w:rPr>
                <w:rFonts w:ascii="宋体" w:hAnsi="宋体" w:cs="宋体" w:eastAsia="宋体" w:hint="default"/>
                <w:w w:val="101"/>
                <w:sz w:val="18"/>
                <w:szCs w:val="18"/>
              </w:rPr>
              <w:t> </w:t>
            </w:r>
            <w:r>
              <w:rPr>
                <w:rFonts w:ascii="宋体" w:hAnsi="宋体" w:cs="宋体" w:eastAsia="宋体" w:hint="default"/>
                <w:spacing w:val="-2"/>
                <w:sz w:val="18"/>
                <w:szCs w:val="18"/>
              </w:rPr>
              <w:t>额的差</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91" w:right="89"/>
              <w:jc w:val="both"/>
              <w:rPr>
                <w:rFonts w:ascii="宋体" w:hAnsi="宋体" w:cs="宋体" w:eastAsia="宋体" w:hint="default"/>
                <w:sz w:val="18"/>
                <w:szCs w:val="18"/>
              </w:rPr>
            </w:pPr>
            <w:r>
              <w:rPr>
                <w:rFonts w:ascii="宋体" w:hAnsi="宋体" w:cs="宋体" w:eastAsia="宋体" w:hint="default"/>
                <w:sz w:val="18"/>
                <w:szCs w:val="18"/>
              </w:rPr>
              <w:t>丧失控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制权之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日剩余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股权的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5" w:right="84"/>
              <w:jc w:val="center"/>
              <w:rPr>
                <w:rFonts w:ascii="宋体" w:hAnsi="宋体" w:cs="宋体" w:eastAsia="宋体" w:hint="default"/>
                <w:sz w:val="18"/>
                <w:szCs w:val="18"/>
              </w:rPr>
            </w:pPr>
            <w:r>
              <w:rPr>
                <w:rFonts w:ascii="宋体" w:hAnsi="宋体" w:cs="宋体" w:eastAsia="宋体" w:hint="default"/>
                <w:spacing w:val="-2"/>
                <w:sz w:val="18"/>
                <w:szCs w:val="18"/>
              </w:rPr>
              <w:t>丧失控</w:t>
            </w:r>
            <w:r>
              <w:rPr>
                <w:rFonts w:ascii="宋体" w:hAnsi="宋体" w:cs="宋体" w:eastAsia="宋体" w:hint="default"/>
                <w:w w:val="101"/>
                <w:sz w:val="18"/>
                <w:szCs w:val="18"/>
              </w:rPr>
              <w:t> </w:t>
            </w:r>
            <w:r>
              <w:rPr>
                <w:rFonts w:ascii="宋体" w:hAnsi="宋体" w:cs="宋体" w:eastAsia="宋体" w:hint="default"/>
                <w:spacing w:val="-2"/>
                <w:sz w:val="18"/>
                <w:szCs w:val="18"/>
              </w:rPr>
              <w:t>制权之</w:t>
            </w:r>
            <w:r>
              <w:rPr>
                <w:rFonts w:ascii="宋体" w:hAnsi="宋体" w:cs="宋体" w:eastAsia="宋体" w:hint="default"/>
                <w:w w:val="101"/>
                <w:sz w:val="18"/>
                <w:szCs w:val="18"/>
              </w:rPr>
              <w:t> </w:t>
            </w:r>
            <w:r>
              <w:rPr>
                <w:rFonts w:ascii="宋体" w:hAnsi="宋体" w:cs="宋体" w:eastAsia="宋体" w:hint="default"/>
                <w:spacing w:val="-2"/>
                <w:sz w:val="18"/>
                <w:szCs w:val="18"/>
              </w:rPr>
              <w:t>日剩余</w:t>
            </w:r>
            <w:r>
              <w:rPr>
                <w:rFonts w:ascii="宋体" w:hAnsi="宋体" w:cs="宋体" w:eastAsia="宋体" w:hint="default"/>
                <w:w w:val="101"/>
                <w:sz w:val="18"/>
                <w:szCs w:val="18"/>
              </w:rPr>
              <w:t> </w:t>
            </w:r>
            <w:r>
              <w:rPr>
                <w:rFonts w:ascii="宋体" w:hAnsi="宋体" w:cs="宋体" w:eastAsia="宋体" w:hint="default"/>
                <w:spacing w:val="-2"/>
                <w:sz w:val="18"/>
                <w:szCs w:val="18"/>
              </w:rPr>
              <w:t>股权的</w:t>
            </w:r>
            <w:r>
              <w:rPr>
                <w:rFonts w:ascii="宋体" w:hAnsi="宋体" w:cs="宋体" w:eastAsia="宋体" w:hint="default"/>
                <w:w w:val="101"/>
                <w:sz w:val="18"/>
                <w:szCs w:val="18"/>
              </w:rPr>
              <w:t> </w:t>
            </w:r>
            <w:r>
              <w:rPr>
                <w:rFonts w:ascii="宋体" w:hAnsi="宋体" w:cs="宋体" w:eastAsia="宋体" w:hint="default"/>
                <w:spacing w:val="-2"/>
                <w:sz w:val="18"/>
                <w:szCs w:val="18"/>
              </w:rPr>
              <w:t>账面价</w:t>
            </w:r>
            <w:r>
              <w:rPr>
                <w:rFonts w:ascii="宋体" w:hAnsi="宋体" w:cs="宋体" w:eastAsia="宋体" w:hint="default"/>
                <w:w w:val="101"/>
                <w:sz w:val="18"/>
                <w:szCs w:val="18"/>
              </w:rPr>
              <w:t> </w:t>
            </w:r>
            <w:r>
              <w:rPr>
                <w:rFonts w:ascii="宋体" w:hAnsi="宋体" w:cs="宋体" w:eastAsia="宋体" w:hint="default"/>
                <w:sz w:val="18"/>
                <w:szCs w:val="18"/>
              </w:rPr>
              <w:t>值</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5" w:right="89"/>
              <w:jc w:val="center"/>
              <w:rPr>
                <w:rFonts w:ascii="宋体" w:hAnsi="宋体" w:cs="宋体" w:eastAsia="宋体" w:hint="default"/>
                <w:sz w:val="18"/>
                <w:szCs w:val="18"/>
              </w:rPr>
            </w:pPr>
            <w:r>
              <w:rPr>
                <w:rFonts w:ascii="宋体" w:hAnsi="宋体" w:cs="宋体" w:eastAsia="宋体" w:hint="default"/>
                <w:spacing w:val="-2"/>
                <w:sz w:val="18"/>
                <w:szCs w:val="18"/>
              </w:rPr>
              <w:t>丧失控</w:t>
            </w:r>
            <w:r>
              <w:rPr>
                <w:rFonts w:ascii="宋体" w:hAnsi="宋体" w:cs="宋体" w:eastAsia="宋体" w:hint="default"/>
                <w:w w:val="101"/>
                <w:sz w:val="18"/>
                <w:szCs w:val="18"/>
              </w:rPr>
              <w:t> </w:t>
            </w:r>
            <w:r>
              <w:rPr>
                <w:rFonts w:ascii="宋体" w:hAnsi="宋体" w:cs="宋体" w:eastAsia="宋体" w:hint="default"/>
                <w:spacing w:val="-2"/>
                <w:sz w:val="18"/>
                <w:szCs w:val="18"/>
              </w:rPr>
              <w:t>制权之</w:t>
            </w:r>
            <w:r>
              <w:rPr>
                <w:rFonts w:ascii="宋体" w:hAnsi="宋体" w:cs="宋体" w:eastAsia="宋体" w:hint="default"/>
                <w:w w:val="101"/>
                <w:sz w:val="18"/>
                <w:szCs w:val="18"/>
              </w:rPr>
              <w:t> </w:t>
            </w:r>
            <w:r>
              <w:rPr>
                <w:rFonts w:ascii="宋体" w:hAnsi="宋体" w:cs="宋体" w:eastAsia="宋体" w:hint="default"/>
                <w:spacing w:val="-2"/>
                <w:sz w:val="18"/>
                <w:szCs w:val="18"/>
              </w:rPr>
              <w:t>日剩余</w:t>
            </w:r>
            <w:r>
              <w:rPr>
                <w:rFonts w:ascii="宋体" w:hAnsi="宋体" w:cs="宋体" w:eastAsia="宋体" w:hint="default"/>
                <w:w w:val="101"/>
                <w:sz w:val="18"/>
                <w:szCs w:val="18"/>
              </w:rPr>
              <w:t> </w:t>
            </w:r>
            <w:r>
              <w:rPr>
                <w:rFonts w:ascii="宋体" w:hAnsi="宋体" w:cs="宋体" w:eastAsia="宋体" w:hint="default"/>
                <w:spacing w:val="-2"/>
                <w:sz w:val="18"/>
                <w:szCs w:val="18"/>
              </w:rPr>
              <w:t>股权的</w:t>
            </w:r>
            <w:r>
              <w:rPr>
                <w:rFonts w:ascii="宋体" w:hAnsi="宋体" w:cs="宋体" w:eastAsia="宋体" w:hint="default"/>
                <w:w w:val="101"/>
                <w:sz w:val="18"/>
                <w:szCs w:val="18"/>
              </w:rPr>
              <w:t> </w:t>
            </w:r>
            <w:r>
              <w:rPr>
                <w:rFonts w:ascii="宋体" w:hAnsi="宋体" w:cs="宋体" w:eastAsia="宋体" w:hint="default"/>
                <w:spacing w:val="-2"/>
                <w:sz w:val="18"/>
                <w:szCs w:val="18"/>
              </w:rPr>
              <w:t>公允价</w:t>
            </w:r>
            <w:r>
              <w:rPr>
                <w:rFonts w:ascii="宋体" w:hAnsi="宋体" w:cs="宋体" w:eastAsia="宋体" w:hint="default"/>
                <w:w w:val="101"/>
                <w:sz w:val="18"/>
                <w:szCs w:val="18"/>
              </w:rPr>
              <w:t> </w:t>
            </w:r>
            <w:r>
              <w:rPr>
                <w:rFonts w:ascii="宋体" w:hAnsi="宋体" w:cs="宋体" w:eastAsia="宋体" w:hint="default"/>
                <w:sz w:val="18"/>
                <w:szCs w:val="18"/>
              </w:rPr>
              <w:t>值</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9" w:lineRule="auto"/>
              <w:ind w:left="95" w:right="84"/>
              <w:jc w:val="center"/>
              <w:rPr>
                <w:rFonts w:ascii="宋体" w:hAnsi="宋体" w:cs="宋体" w:eastAsia="宋体" w:hint="default"/>
                <w:sz w:val="18"/>
                <w:szCs w:val="18"/>
              </w:rPr>
            </w:pPr>
            <w:r>
              <w:rPr>
                <w:rFonts w:ascii="宋体" w:hAnsi="宋体" w:cs="宋体" w:eastAsia="宋体" w:hint="default"/>
                <w:spacing w:val="-2"/>
                <w:sz w:val="18"/>
                <w:szCs w:val="18"/>
              </w:rPr>
              <w:t>按照公</w:t>
            </w:r>
            <w:r>
              <w:rPr>
                <w:rFonts w:ascii="宋体" w:hAnsi="宋体" w:cs="宋体" w:eastAsia="宋体" w:hint="default"/>
                <w:w w:val="101"/>
                <w:sz w:val="18"/>
                <w:szCs w:val="18"/>
              </w:rPr>
              <w:t> </w:t>
            </w:r>
            <w:r>
              <w:rPr>
                <w:rFonts w:ascii="宋体" w:hAnsi="宋体" w:cs="宋体" w:eastAsia="宋体" w:hint="default"/>
                <w:spacing w:val="-2"/>
                <w:sz w:val="18"/>
                <w:szCs w:val="18"/>
              </w:rPr>
              <w:t>允价值</w:t>
            </w:r>
            <w:r>
              <w:rPr>
                <w:rFonts w:ascii="宋体" w:hAnsi="宋体" w:cs="宋体" w:eastAsia="宋体" w:hint="default"/>
                <w:w w:val="101"/>
                <w:sz w:val="18"/>
                <w:szCs w:val="18"/>
              </w:rPr>
              <w:t> </w:t>
            </w:r>
            <w:r>
              <w:rPr>
                <w:rFonts w:ascii="宋体" w:hAnsi="宋体" w:cs="宋体" w:eastAsia="宋体" w:hint="default"/>
                <w:spacing w:val="-2"/>
                <w:sz w:val="18"/>
                <w:szCs w:val="18"/>
              </w:rPr>
              <w:t>重新计</w:t>
            </w:r>
            <w:r>
              <w:rPr>
                <w:rFonts w:ascii="宋体" w:hAnsi="宋体" w:cs="宋体" w:eastAsia="宋体" w:hint="default"/>
                <w:w w:val="101"/>
                <w:sz w:val="18"/>
                <w:szCs w:val="18"/>
              </w:rPr>
              <w:t> </w:t>
            </w:r>
            <w:r>
              <w:rPr>
                <w:rFonts w:ascii="宋体" w:hAnsi="宋体" w:cs="宋体" w:eastAsia="宋体" w:hint="default"/>
                <w:spacing w:val="-2"/>
                <w:sz w:val="18"/>
                <w:szCs w:val="18"/>
              </w:rPr>
              <w:t>量剩余</w:t>
            </w:r>
            <w:r>
              <w:rPr>
                <w:rFonts w:ascii="宋体" w:hAnsi="宋体" w:cs="宋体" w:eastAsia="宋体" w:hint="default"/>
                <w:w w:val="101"/>
                <w:sz w:val="18"/>
                <w:szCs w:val="18"/>
              </w:rPr>
              <w:t> </w:t>
            </w:r>
            <w:r>
              <w:rPr>
                <w:rFonts w:ascii="宋体" w:hAnsi="宋体" w:cs="宋体" w:eastAsia="宋体" w:hint="default"/>
                <w:spacing w:val="-2"/>
                <w:sz w:val="18"/>
                <w:szCs w:val="18"/>
              </w:rPr>
              <w:t>股权产</w:t>
            </w:r>
            <w:r>
              <w:rPr>
                <w:rFonts w:ascii="宋体" w:hAnsi="宋体" w:cs="宋体" w:eastAsia="宋体" w:hint="default"/>
                <w:w w:val="101"/>
                <w:sz w:val="18"/>
                <w:szCs w:val="18"/>
              </w:rPr>
              <w:t> </w:t>
            </w:r>
            <w:r>
              <w:rPr>
                <w:rFonts w:ascii="宋体" w:hAnsi="宋体" w:cs="宋体" w:eastAsia="宋体" w:hint="default"/>
                <w:spacing w:val="-2"/>
                <w:sz w:val="18"/>
                <w:szCs w:val="18"/>
              </w:rPr>
              <w:t>生的利</w:t>
            </w:r>
            <w:r>
              <w:rPr>
                <w:rFonts w:ascii="宋体" w:hAnsi="宋体" w:cs="宋体" w:eastAsia="宋体" w:hint="default"/>
                <w:w w:val="101"/>
                <w:sz w:val="18"/>
                <w:szCs w:val="18"/>
              </w:rPr>
              <w:t> </w:t>
            </w:r>
            <w:r>
              <w:rPr>
                <w:rFonts w:ascii="宋体" w:hAnsi="宋体" w:cs="宋体" w:eastAsia="宋体" w:hint="default"/>
                <w:spacing w:val="-2"/>
                <w:sz w:val="18"/>
                <w:szCs w:val="18"/>
              </w:rPr>
              <w:t>得或损</w:t>
            </w:r>
            <w:r>
              <w:rPr>
                <w:rFonts w:ascii="宋体" w:hAnsi="宋体" w:cs="宋体" w:eastAsia="宋体" w:hint="default"/>
                <w:w w:val="101"/>
                <w:sz w:val="18"/>
                <w:szCs w:val="18"/>
              </w:rPr>
              <w:t> </w:t>
            </w:r>
            <w:r>
              <w:rPr>
                <w:rFonts w:ascii="宋体" w:hAnsi="宋体" w:cs="宋体" w:eastAsia="宋体" w:hint="default"/>
                <w:sz w:val="18"/>
                <w:szCs w:val="18"/>
              </w:rPr>
              <w:t>失</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5" w:right="84"/>
              <w:jc w:val="center"/>
              <w:rPr>
                <w:rFonts w:ascii="宋体" w:hAnsi="宋体" w:cs="宋体" w:eastAsia="宋体" w:hint="default"/>
                <w:sz w:val="18"/>
                <w:szCs w:val="18"/>
              </w:rPr>
            </w:pPr>
            <w:r>
              <w:rPr>
                <w:rFonts w:ascii="宋体" w:hAnsi="宋体" w:cs="宋体" w:eastAsia="宋体" w:hint="default"/>
                <w:spacing w:val="-2"/>
                <w:sz w:val="18"/>
                <w:szCs w:val="18"/>
              </w:rPr>
              <w:t>丧失控</w:t>
            </w:r>
            <w:r>
              <w:rPr>
                <w:rFonts w:ascii="宋体" w:hAnsi="宋体" w:cs="宋体" w:eastAsia="宋体" w:hint="default"/>
                <w:w w:val="101"/>
                <w:sz w:val="18"/>
                <w:szCs w:val="18"/>
              </w:rPr>
              <w:t> </w:t>
            </w:r>
            <w:r>
              <w:rPr>
                <w:rFonts w:ascii="宋体" w:hAnsi="宋体" w:cs="宋体" w:eastAsia="宋体" w:hint="default"/>
                <w:spacing w:val="-2"/>
                <w:sz w:val="18"/>
                <w:szCs w:val="18"/>
              </w:rPr>
              <w:t>制权之</w:t>
            </w:r>
            <w:r>
              <w:rPr>
                <w:rFonts w:ascii="宋体" w:hAnsi="宋体" w:cs="宋体" w:eastAsia="宋体" w:hint="default"/>
                <w:w w:val="101"/>
                <w:sz w:val="18"/>
                <w:szCs w:val="18"/>
              </w:rPr>
              <w:t> </w:t>
            </w:r>
            <w:r>
              <w:rPr>
                <w:rFonts w:ascii="宋体" w:hAnsi="宋体" w:cs="宋体" w:eastAsia="宋体" w:hint="default"/>
                <w:spacing w:val="-2"/>
                <w:sz w:val="18"/>
                <w:szCs w:val="18"/>
              </w:rPr>
              <w:t>日剩余</w:t>
            </w:r>
            <w:r>
              <w:rPr>
                <w:rFonts w:ascii="宋体" w:hAnsi="宋体" w:cs="宋体" w:eastAsia="宋体" w:hint="default"/>
                <w:w w:val="101"/>
                <w:sz w:val="18"/>
                <w:szCs w:val="18"/>
              </w:rPr>
              <w:t> </w:t>
            </w:r>
            <w:r>
              <w:rPr>
                <w:rFonts w:ascii="宋体" w:hAnsi="宋体" w:cs="宋体" w:eastAsia="宋体" w:hint="default"/>
                <w:spacing w:val="-2"/>
                <w:sz w:val="18"/>
                <w:szCs w:val="18"/>
              </w:rPr>
              <w:t>股权公</w:t>
            </w:r>
            <w:r>
              <w:rPr>
                <w:rFonts w:ascii="宋体" w:hAnsi="宋体" w:cs="宋体" w:eastAsia="宋体" w:hint="default"/>
                <w:w w:val="101"/>
                <w:sz w:val="18"/>
                <w:szCs w:val="18"/>
              </w:rPr>
              <w:t> </w:t>
            </w:r>
            <w:r>
              <w:rPr>
                <w:rFonts w:ascii="宋体" w:hAnsi="宋体" w:cs="宋体" w:eastAsia="宋体" w:hint="default"/>
                <w:spacing w:val="-2"/>
                <w:sz w:val="18"/>
                <w:szCs w:val="18"/>
              </w:rPr>
              <w:t>允价值</w:t>
            </w:r>
            <w:r>
              <w:rPr>
                <w:rFonts w:ascii="宋体" w:hAnsi="宋体" w:cs="宋体" w:eastAsia="宋体" w:hint="default"/>
                <w:w w:val="101"/>
                <w:sz w:val="18"/>
                <w:szCs w:val="18"/>
              </w:rPr>
              <w:t> </w:t>
            </w:r>
            <w:r>
              <w:rPr>
                <w:rFonts w:ascii="宋体" w:hAnsi="宋体" w:cs="宋体" w:eastAsia="宋体" w:hint="default"/>
                <w:spacing w:val="-2"/>
                <w:sz w:val="18"/>
                <w:szCs w:val="18"/>
              </w:rPr>
              <w:t>的确定</w:t>
            </w:r>
            <w:r>
              <w:rPr>
                <w:rFonts w:ascii="宋体" w:hAnsi="宋体" w:cs="宋体" w:eastAsia="宋体" w:hint="default"/>
                <w:w w:val="101"/>
                <w:sz w:val="18"/>
                <w:szCs w:val="18"/>
              </w:rPr>
              <w:t> </w:t>
            </w:r>
            <w:r>
              <w:rPr>
                <w:rFonts w:ascii="宋体" w:hAnsi="宋体" w:cs="宋体" w:eastAsia="宋体" w:hint="default"/>
                <w:spacing w:val="-2"/>
                <w:sz w:val="18"/>
                <w:szCs w:val="18"/>
              </w:rPr>
              <w:t>方法及</w:t>
            </w:r>
            <w:r>
              <w:rPr>
                <w:rFonts w:ascii="宋体" w:hAnsi="宋体" w:cs="宋体" w:eastAsia="宋体" w:hint="default"/>
                <w:w w:val="101"/>
                <w:sz w:val="18"/>
                <w:szCs w:val="18"/>
              </w:rPr>
              <w:t> </w:t>
            </w:r>
            <w:r>
              <w:rPr>
                <w:rFonts w:ascii="宋体" w:hAnsi="宋体" w:cs="宋体" w:eastAsia="宋体" w:hint="default"/>
                <w:spacing w:val="-2"/>
                <w:sz w:val="18"/>
                <w:szCs w:val="18"/>
              </w:rPr>
              <w:t>主要假</w:t>
            </w:r>
            <w:r>
              <w:rPr>
                <w:rFonts w:ascii="宋体" w:hAnsi="宋体" w:cs="宋体" w:eastAsia="宋体" w:hint="default"/>
                <w:w w:val="101"/>
                <w:sz w:val="18"/>
                <w:szCs w:val="18"/>
              </w:rPr>
              <w:t> </w:t>
            </w:r>
            <w:r>
              <w:rPr>
                <w:rFonts w:ascii="宋体" w:hAnsi="宋体" w:cs="宋体" w:eastAsia="宋体" w:hint="default"/>
                <w:sz w:val="18"/>
                <w:szCs w:val="18"/>
              </w:rPr>
              <w:t>设</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5" w:right="89"/>
              <w:jc w:val="both"/>
              <w:rPr>
                <w:rFonts w:ascii="宋体" w:hAnsi="宋体" w:cs="宋体" w:eastAsia="宋体" w:hint="default"/>
                <w:sz w:val="18"/>
                <w:szCs w:val="18"/>
              </w:rPr>
            </w:pPr>
            <w:r>
              <w:rPr>
                <w:rFonts w:ascii="宋体" w:hAnsi="宋体" w:cs="宋体" w:eastAsia="宋体" w:hint="default"/>
                <w:sz w:val="18"/>
                <w:szCs w:val="18"/>
              </w:rPr>
              <w:t>与原子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权投资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相关的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转入投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资损益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的金额</w:t>
            </w:r>
          </w:p>
        </w:tc>
      </w:tr>
    </w:tbl>
    <w:p>
      <w:pPr>
        <w:spacing w:after="0" w:line="319" w:lineRule="auto"/>
        <w:jc w:val="both"/>
        <w:rPr>
          <w:rFonts w:ascii="宋体" w:hAnsi="宋体" w:cs="宋体" w:eastAsia="宋体"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737"/>
        <w:gridCol w:w="740"/>
        <w:gridCol w:w="735"/>
        <w:gridCol w:w="734"/>
        <w:gridCol w:w="735"/>
        <w:gridCol w:w="734"/>
        <w:gridCol w:w="740"/>
        <w:gridCol w:w="735"/>
        <w:gridCol w:w="734"/>
        <w:gridCol w:w="740"/>
        <w:gridCol w:w="734"/>
        <w:gridCol w:w="735"/>
        <w:gridCol w:w="739"/>
      </w:tblGrid>
      <w:tr>
        <w:trPr>
          <w:trHeight w:val="102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158"/>
              <w:jc w:val="left"/>
              <w:rPr>
                <w:rFonts w:ascii="宋体" w:hAnsi="宋体" w:cs="宋体" w:eastAsia="宋体" w:hint="default"/>
                <w:sz w:val="18"/>
                <w:szCs w:val="18"/>
              </w:rPr>
            </w:pPr>
            <w:r>
              <w:rPr>
                <w:rFonts w:ascii="宋体" w:hAnsi="宋体" w:cs="宋体" w:eastAsia="宋体" w:hint="default"/>
                <w:sz w:val="18"/>
                <w:szCs w:val="18"/>
              </w:rPr>
              <w:t>和仁云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慧公司</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2,400,00</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60.00%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156"/>
              <w:jc w:val="left"/>
              <w:rPr>
                <w:rFonts w:ascii="宋体" w:hAnsi="宋体" w:cs="宋体" w:eastAsia="宋体" w:hint="default"/>
                <w:sz w:val="18"/>
                <w:szCs w:val="18"/>
              </w:rPr>
            </w:pPr>
            <w:r>
              <w:rPr>
                <w:rFonts w:ascii="宋体" w:hAnsi="宋体" w:cs="宋体" w:eastAsia="宋体" w:hint="default"/>
                <w:sz w:val="18"/>
                <w:szCs w:val="18"/>
              </w:rPr>
              <w:t>股权转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让</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30</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56"/>
              <w:jc w:val="both"/>
              <w:rPr>
                <w:rFonts w:ascii="宋体" w:hAnsi="宋体" w:cs="宋体" w:eastAsia="宋体" w:hint="default"/>
                <w:sz w:val="18"/>
                <w:szCs w:val="18"/>
              </w:rPr>
            </w:pPr>
            <w:r>
              <w:rPr>
                <w:rFonts w:ascii="宋体" w:hAnsi="宋体" w:cs="宋体" w:eastAsia="宋体" w:hint="default"/>
                <w:sz w:val="18"/>
                <w:szCs w:val="18"/>
              </w:rPr>
              <w:t>收到股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权转让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款</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459,053.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4"/>
        <w:ind w:right="5004"/>
        <w:jc w:val="left"/>
      </w:pPr>
      <w:r>
        <w:rPr/>
        <w:t>其他说明：</w:t>
      </w:r>
      <w:r>
        <w:rPr>
          <w:w w:val="101"/>
        </w:rPr>
        <w:t> </w:t>
      </w:r>
      <w:r>
        <w:rPr>
          <w:spacing w:val="-3"/>
        </w:rPr>
        <w:t>是否存在通过多次交易分步处置对子公司投资且在本期丧失控制权的情形</w:t>
      </w:r>
    </w:p>
    <w:p>
      <w:pPr>
        <w:pStyle w:val="BodyText"/>
        <w:spacing w:line="240" w:lineRule="auto" w:before="3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bookmarkStart w:name="2、其他原因的合并范围变动" w:id="358"/>
      <w:bookmarkEnd w:id="358"/>
      <w:r>
        <w:rPr>
          <w:b w:val="0"/>
          <w:bCs w:val="0"/>
        </w:rPr>
      </w:r>
      <w:r>
        <w:rPr>
          <w:rFonts w:ascii="Times New Roman" w:hAnsi="Times New Roman" w:cs="Times New Roman" w:eastAsia="Times New Roman" w:hint="default"/>
        </w:rPr>
        <w:t>2</w:t>
      </w:r>
      <w:r>
        <w:rPr/>
        <w:t>、其他原因的合并范围变动</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spacing w:val="-3"/>
        </w:rPr>
        <w:t>说明其他原因导致的合并范围变动（如，新设子公司、清算子公司等）及其相关情况：</w:t>
      </w:r>
    </w:p>
    <w:p>
      <w:pPr>
        <w:pStyle w:val="BodyText"/>
        <w:spacing w:line="240" w:lineRule="auto" w:before="110"/>
        <w:ind w:right="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3"/>
        </w:rPr>
        <w:t> </w:t>
      </w:r>
      <w:r>
        <w:rPr>
          <w:spacing w:val="-3"/>
        </w:rPr>
        <w:t>合并范围增加</w:t>
      </w:r>
    </w:p>
    <w:p>
      <w:pPr>
        <w:spacing w:line="240" w:lineRule="auto" w:before="13"/>
        <w:rPr>
          <w:rFonts w:ascii="宋体" w:hAnsi="宋体" w:cs="宋体" w:eastAsia="宋体" w:hint="default"/>
          <w:sz w:val="3"/>
          <w:szCs w:val="3"/>
        </w:rPr>
      </w:pPr>
    </w:p>
    <w:tbl>
      <w:tblPr>
        <w:tblW w:w="0" w:type="auto"/>
        <w:jc w:val="left"/>
        <w:tblInd w:w="143" w:type="dxa"/>
        <w:tblLayout w:type="fixed"/>
        <w:tblCellMar>
          <w:top w:w="0" w:type="dxa"/>
          <w:left w:w="0" w:type="dxa"/>
          <w:bottom w:w="0" w:type="dxa"/>
          <w:right w:w="0" w:type="dxa"/>
        </w:tblCellMar>
        <w:tblLook w:val="01E0"/>
      </w:tblPr>
      <w:tblGrid>
        <w:gridCol w:w="1705"/>
        <w:gridCol w:w="1705"/>
        <w:gridCol w:w="1704"/>
        <w:gridCol w:w="1704"/>
        <w:gridCol w:w="1705"/>
      </w:tblGrid>
      <w:tr>
        <w:trPr>
          <w:trHeight w:val="350" w:hRule="exact"/>
        </w:trPr>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53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307" w:right="0"/>
              <w:jc w:val="left"/>
              <w:rPr>
                <w:rFonts w:ascii="宋体" w:hAnsi="宋体" w:cs="宋体" w:eastAsia="宋体" w:hint="default"/>
                <w:sz w:val="18"/>
                <w:szCs w:val="18"/>
              </w:rPr>
            </w:pPr>
            <w:r>
              <w:rPr>
                <w:rFonts w:ascii="宋体" w:hAnsi="宋体" w:cs="宋体" w:eastAsia="宋体" w:hint="default"/>
                <w:sz w:val="18"/>
                <w:szCs w:val="18"/>
              </w:rPr>
              <w:t>股权取得方式</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sz w:val="18"/>
                <w:szCs w:val="18"/>
              </w:rPr>
              <w:t>股权取得时点</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sz w:val="18"/>
                <w:szCs w:val="18"/>
              </w:rPr>
              <w:t>本期出资额</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4" w:right="0"/>
              <w:jc w:val="center"/>
              <w:rPr>
                <w:rFonts w:ascii="宋体" w:hAnsi="宋体" w:cs="宋体" w:eastAsia="宋体" w:hint="default"/>
                <w:sz w:val="18"/>
                <w:szCs w:val="18"/>
              </w:rPr>
            </w:pPr>
            <w:r>
              <w:rPr>
                <w:rFonts w:ascii="宋体" w:hAnsi="宋体" w:cs="宋体" w:eastAsia="宋体" w:hint="default"/>
                <w:sz w:val="18"/>
                <w:szCs w:val="18"/>
              </w:rPr>
              <w:t>出资比例</w:t>
            </w:r>
          </w:p>
        </w:tc>
      </w:tr>
      <w:tr>
        <w:trPr>
          <w:trHeight w:val="346" w:hRule="exact"/>
        </w:trPr>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593"/>
              <w:jc w:val="center"/>
              <w:rPr>
                <w:rFonts w:ascii="宋体" w:hAnsi="宋体" w:cs="宋体" w:eastAsia="宋体" w:hint="default"/>
                <w:sz w:val="18"/>
                <w:szCs w:val="18"/>
              </w:rPr>
            </w:pPr>
            <w:r>
              <w:rPr>
                <w:rFonts w:ascii="宋体" w:hAnsi="宋体" w:cs="宋体" w:eastAsia="宋体" w:hint="default"/>
                <w:spacing w:val="-2"/>
                <w:sz w:val="18"/>
                <w:szCs w:val="18"/>
              </w:rPr>
              <w:t>北京和仁公司</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 w:right="0"/>
              <w:jc w:val="center"/>
              <w:rPr>
                <w:rFonts w:ascii="Times New Roman" w:hAnsi="Times New Roman" w:cs="Times New Roman" w:eastAsia="Times New Roman" w:hint="default"/>
                <w:sz w:val="18"/>
                <w:szCs w:val="18"/>
              </w:rPr>
            </w:pPr>
            <w:r>
              <w:rPr>
                <w:rFonts w:ascii="Times New Roman"/>
                <w:sz w:val="18"/>
              </w:rPr>
              <w:t>1,020,000.00</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2" w:right="0"/>
              <w:jc w:val="center"/>
              <w:rPr>
                <w:rFonts w:ascii="Times New Roman" w:hAnsi="Times New Roman" w:cs="Times New Roman" w:eastAsia="Times New Roman" w:hint="default"/>
                <w:sz w:val="18"/>
                <w:szCs w:val="18"/>
              </w:rPr>
            </w:pPr>
            <w:r>
              <w:rPr>
                <w:rFonts w:ascii="Times New Roman"/>
                <w:sz w:val="18"/>
              </w:rPr>
              <w:t>51.00%</w:t>
            </w:r>
          </w:p>
        </w:tc>
      </w:tr>
    </w:tbl>
    <w:p>
      <w:pPr>
        <w:pStyle w:val="BodyText"/>
        <w:spacing w:line="240" w:lineRule="auto" w:before="11"/>
        <w:ind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3"/>
        </w:rPr>
        <w:t> </w:t>
      </w:r>
      <w:r>
        <w:rPr>
          <w:spacing w:val="-3"/>
        </w:rPr>
        <w:t>合并范围减少</w:t>
      </w:r>
    </w:p>
    <w:p>
      <w:pPr>
        <w:spacing w:line="240" w:lineRule="auto" w:before="13"/>
        <w:rPr>
          <w:rFonts w:ascii="宋体" w:hAnsi="宋体" w:cs="宋体" w:eastAsia="宋体" w:hint="default"/>
          <w:sz w:val="3"/>
          <w:szCs w:val="3"/>
        </w:rPr>
      </w:pPr>
    </w:p>
    <w:tbl>
      <w:tblPr>
        <w:tblW w:w="0" w:type="auto"/>
        <w:jc w:val="left"/>
        <w:tblInd w:w="143" w:type="dxa"/>
        <w:tblLayout w:type="fixed"/>
        <w:tblCellMar>
          <w:top w:w="0" w:type="dxa"/>
          <w:left w:w="0" w:type="dxa"/>
          <w:bottom w:w="0" w:type="dxa"/>
          <w:right w:w="0" w:type="dxa"/>
        </w:tblCellMar>
        <w:tblLook w:val="01E0"/>
      </w:tblPr>
      <w:tblGrid>
        <w:gridCol w:w="1705"/>
        <w:gridCol w:w="1705"/>
        <w:gridCol w:w="1704"/>
      </w:tblGrid>
      <w:tr>
        <w:trPr>
          <w:trHeight w:val="346" w:hRule="exact"/>
        </w:trPr>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15"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07" w:right="0"/>
              <w:jc w:val="left"/>
              <w:rPr>
                <w:rFonts w:ascii="宋体" w:hAnsi="宋体" w:cs="宋体" w:eastAsia="宋体" w:hint="default"/>
                <w:sz w:val="18"/>
                <w:szCs w:val="18"/>
              </w:rPr>
            </w:pPr>
            <w:r>
              <w:rPr>
                <w:rFonts w:ascii="宋体" w:hAnsi="宋体" w:cs="宋体" w:eastAsia="宋体" w:hint="default"/>
                <w:sz w:val="18"/>
                <w:szCs w:val="18"/>
              </w:rPr>
              <w:t>股权处置方式</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股权处置时点</w:t>
            </w:r>
          </w:p>
        </w:tc>
      </w:tr>
      <w:tr>
        <w:trPr>
          <w:trHeight w:val="350" w:hRule="exact"/>
        </w:trPr>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黑龙江和仁公司</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清算子公司</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4"/>
        <w:spacing w:line="240" w:lineRule="auto" w:before="36"/>
        <w:ind w:right="0"/>
        <w:jc w:val="left"/>
        <w:rPr>
          <w:b w:val="0"/>
          <w:bCs w:val="0"/>
        </w:rPr>
      </w:pPr>
      <w:bookmarkStart w:name="3、其他" w:id="359"/>
      <w:bookmarkEnd w:id="359"/>
      <w:r>
        <w:rPr>
          <w:b w:val="0"/>
          <w:bCs w:val="0"/>
        </w:rPr>
      </w:r>
      <w:r>
        <w:rPr>
          <w:rFonts w:ascii="Times New Roman" w:hAnsi="Times New Roman" w:cs="Times New Roman" w:eastAsia="Times New Roman" w:hint="default"/>
        </w:rPr>
        <w:t>3</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9"/>
        <w:rPr>
          <w:rFonts w:ascii="宋体" w:hAnsi="宋体" w:cs="宋体" w:eastAsia="宋体" w:hint="default"/>
          <w:sz w:val="24"/>
          <w:szCs w:val="24"/>
        </w:rPr>
      </w:pPr>
    </w:p>
    <w:p>
      <w:pPr>
        <w:pStyle w:val="Heading2"/>
        <w:spacing w:line="240" w:lineRule="auto"/>
        <w:ind w:right="0"/>
        <w:jc w:val="left"/>
        <w:rPr>
          <w:b w:val="0"/>
          <w:bCs w:val="0"/>
        </w:rPr>
      </w:pPr>
      <w:bookmarkStart w:name="九、在其他主体中的权益" w:id="360"/>
      <w:bookmarkEnd w:id="360"/>
      <w:r>
        <w:rPr>
          <w:b w:val="0"/>
          <w:bCs w:val="0"/>
        </w:rPr>
      </w:r>
      <w:r>
        <w:rPr/>
        <w:t>九、在其他主体中的权益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在子公司中的权益" w:id="361"/>
      <w:bookmarkEnd w:id="361"/>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企业集团的构成" w:id="362"/>
      <w:bookmarkEnd w:id="362"/>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3"/>
        <w:gridCol w:w="1364"/>
        <w:gridCol w:w="1369"/>
        <w:gridCol w:w="1368"/>
        <w:gridCol w:w="1368"/>
        <w:gridCol w:w="1364"/>
        <w:gridCol w:w="1369"/>
      </w:tblGrid>
      <w:tr>
        <w:trPr>
          <w:trHeight w:val="403" w:hRule="exact"/>
        </w:trPr>
        <w:tc>
          <w:tcPr>
            <w:tcW w:w="13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99" w:hRule="exact"/>
        </w:trPr>
        <w:tc>
          <w:tcPr>
            <w:tcW w:w="1373"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和仁湘雅公司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湖南长沙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湖南长沙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68.50%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天津和仁公司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赣州和仁公司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江西赣州</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江西赣州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399"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重庆和仁公司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58.00%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广西和仁公司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广西南宁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广西南宁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51.00%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西安和仁公司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陕西西安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陕西西安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江苏和仁公司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江苏南京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江苏南京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1"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杭州云医公司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浙江杭州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70"/>
              <w:jc w:val="left"/>
              <w:rPr>
                <w:rFonts w:ascii="宋体" w:hAnsi="宋体" w:cs="宋体" w:eastAsia="宋体" w:hint="default"/>
                <w:sz w:val="18"/>
                <w:szCs w:val="18"/>
              </w:rPr>
            </w:pPr>
            <w:r>
              <w:rPr>
                <w:rFonts w:ascii="宋体" w:hAnsi="宋体" w:cs="宋体" w:eastAsia="宋体" w:hint="default"/>
                <w:spacing w:val="-3"/>
                <w:sz w:val="18"/>
                <w:szCs w:val="18"/>
              </w:rPr>
              <w:t>非同一控制下企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业合并</w:t>
            </w:r>
          </w:p>
        </w:tc>
      </w:tr>
      <w:tr>
        <w:trPr>
          <w:trHeight w:val="40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北京和仁公司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51.00%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6"/>
        <w:rPr>
          <w:rFonts w:ascii="宋体" w:hAnsi="宋体" w:cs="宋体" w:eastAsia="宋体" w:hint="default"/>
          <w:b/>
          <w:bCs/>
          <w:sz w:val="26"/>
          <w:szCs w:val="26"/>
        </w:rPr>
      </w:pPr>
    </w:p>
    <w:p>
      <w:pPr>
        <w:pStyle w:val="BodyText"/>
        <w:spacing w:line="352" w:lineRule="auto" w:before="46"/>
        <w:ind w:left="573" w:right="6534"/>
        <w:jc w:val="left"/>
      </w:pPr>
      <w:r>
        <w:rPr>
          <w:spacing w:val="-3"/>
        </w:rPr>
        <w:t>在子公司的持股比例不同于表决权比例的说明：</w:t>
      </w:r>
      <w:r>
        <w:rPr>
          <w:spacing w:val="-27"/>
        </w:rPr>
        <w:t> </w:t>
      </w:r>
      <w:r>
        <w:rPr>
          <w:spacing w:val="-27"/>
        </w:rPr>
      </w:r>
      <w:r>
        <w:rPr/>
        <w:t>不适用</w:t>
      </w:r>
    </w:p>
    <w:p>
      <w:pPr>
        <w:pStyle w:val="BodyText"/>
        <w:spacing w:line="357" w:lineRule="auto" w:before="35"/>
        <w:ind w:left="573" w:right="2463"/>
        <w:jc w:val="left"/>
      </w:pPr>
      <w:r>
        <w:rPr>
          <w:spacing w:val="-3"/>
        </w:rPr>
        <w:t>持有半数或以下表决权但仍控制被投资单位、以及持有半数以上表决权但不控制被投资单位的依据：</w:t>
      </w:r>
      <w:r>
        <w:rPr>
          <w:spacing w:val="37"/>
        </w:rPr>
        <w:t> </w:t>
      </w:r>
      <w:r>
        <w:rPr>
          <w:spacing w:val="37"/>
        </w:rPr>
      </w:r>
      <w:r>
        <w:rPr/>
        <w:t>不适用</w:t>
      </w:r>
    </w:p>
    <w:p>
      <w:pPr>
        <w:pStyle w:val="BodyText"/>
        <w:spacing w:line="357" w:lineRule="auto" w:before="31"/>
        <w:ind w:left="573" w:right="6003"/>
        <w:jc w:val="left"/>
      </w:pPr>
      <w:r>
        <w:rPr>
          <w:spacing w:val="-3"/>
        </w:rPr>
        <w:t>对于纳入合并范围的重要的结构化主体，控制的依据：</w:t>
      </w:r>
      <w:r>
        <w:rPr>
          <w:spacing w:val="-16"/>
        </w:rPr>
        <w:t> </w:t>
      </w:r>
      <w:r>
        <w:rPr>
          <w:spacing w:val="-16"/>
        </w:rPr>
      </w:r>
      <w:r>
        <w:rPr/>
        <w:t>不适用</w:t>
      </w:r>
    </w:p>
    <w:p>
      <w:pPr>
        <w:pStyle w:val="BodyText"/>
        <w:spacing w:line="352" w:lineRule="auto" w:before="31"/>
        <w:ind w:left="573" w:right="7242"/>
        <w:jc w:val="left"/>
      </w:pPr>
      <w:r>
        <w:rPr>
          <w:spacing w:val="-3"/>
        </w:rPr>
        <w:t>确定公司是代理人还是委托人的依据：</w:t>
      </w:r>
      <w:r>
        <w:rPr>
          <w:spacing w:val="-39"/>
        </w:rPr>
        <w:t> </w:t>
      </w:r>
      <w:r>
        <w:rPr>
          <w:spacing w:val="-39"/>
        </w:rPr>
      </w:r>
      <w:r>
        <w:rPr/>
        <w:t>不适用</w:t>
      </w:r>
    </w:p>
    <w:p>
      <w:pPr>
        <w:pStyle w:val="BodyText"/>
        <w:spacing w:line="357" w:lineRule="auto" w:before="35"/>
        <w:ind w:left="573" w:right="9861"/>
        <w:jc w:val="left"/>
      </w:pPr>
      <w:r>
        <w:rPr>
          <w:spacing w:val="-2"/>
        </w:rPr>
        <w:t>其他说明：</w:t>
      </w:r>
      <w:r>
        <w:rPr>
          <w:spacing w:val="-78"/>
        </w:rPr>
        <w:t> </w:t>
      </w:r>
      <w:r>
        <w:rPr>
          <w:spacing w:val="-78"/>
        </w:rPr>
      </w:r>
      <w:r>
        <w:rPr/>
        <w:t>无</w:t>
      </w:r>
    </w:p>
    <w:p>
      <w:pPr>
        <w:spacing w:line="240" w:lineRule="auto" w:before="3"/>
        <w:rPr>
          <w:rFonts w:ascii="宋体" w:hAnsi="宋体" w:cs="宋体" w:eastAsia="宋体" w:hint="default"/>
          <w:sz w:val="20"/>
          <w:szCs w:val="20"/>
        </w:rPr>
      </w:pPr>
    </w:p>
    <w:p>
      <w:pPr>
        <w:pStyle w:val="Heading4"/>
        <w:spacing w:line="240" w:lineRule="auto"/>
        <w:ind w:left="573" w:right="6534"/>
        <w:jc w:val="left"/>
        <w:rPr>
          <w:b w:val="0"/>
          <w:bCs w:val="0"/>
        </w:rPr>
      </w:pPr>
      <w:bookmarkStart w:name="（2）重要的非全资子公司" w:id="363"/>
      <w:bookmarkEnd w:id="363"/>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568" w:type="dxa"/>
        <w:tblLayout w:type="fixed"/>
        <w:tblCellMar>
          <w:top w:w="0" w:type="dxa"/>
          <w:left w:w="0" w:type="dxa"/>
          <w:bottom w:w="0" w:type="dxa"/>
          <w:right w:w="0" w:type="dxa"/>
        </w:tblCellMar>
        <w:tblLook w:val="01E0"/>
      </w:tblPr>
      <w:tblGrid>
        <w:gridCol w:w="1916"/>
        <w:gridCol w:w="1916"/>
        <w:gridCol w:w="1916"/>
        <w:gridCol w:w="1911"/>
        <w:gridCol w:w="1916"/>
      </w:tblGrid>
      <w:tr>
        <w:trPr>
          <w:trHeight w:val="76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773" w:right="46" w:hanging="721"/>
              <w:jc w:val="left"/>
              <w:rPr>
                <w:rFonts w:ascii="宋体" w:hAnsi="宋体" w:cs="宋体" w:eastAsia="宋体" w:hint="default"/>
                <w:sz w:val="18"/>
                <w:szCs w:val="18"/>
              </w:rPr>
            </w:pPr>
            <w:r>
              <w:rPr>
                <w:rFonts w:ascii="宋体" w:hAnsi="宋体" w:cs="宋体" w:eastAsia="宋体" w:hint="default"/>
                <w:spacing w:val="-2"/>
                <w:sz w:val="18"/>
                <w:szCs w:val="18"/>
              </w:rPr>
              <w:t>本期归属于少数股东的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损益</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590" w:right="41" w:hanging="538"/>
              <w:jc w:val="left"/>
              <w:rPr>
                <w:rFonts w:ascii="宋体" w:hAnsi="宋体" w:cs="宋体" w:eastAsia="宋体" w:hint="default"/>
                <w:sz w:val="18"/>
                <w:szCs w:val="18"/>
              </w:rPr>
            </w:pPr>
            <w:r>
              <w:rPr>
                <w:rFonts w:ascii="宋体" w:hAnsi="宋体" w:cs="宋体" w:eastAsia="宋体" w:hint="default"/>
                <w:spacing w:val="-2"/>
                <w:sz w:val="18"/>
                <w:szCs w:val="18"/>
              </w:rPr>
              <w:t>本期向少数股东宣告分</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pacing w:val="-2"/>
                <w:sz w:val="18"/>
                <w:szCs w:val="18"/>
              </w:rPr>
              <w:t>期末少数股东权益余额</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天津和仁公司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36" w:right="0"/>
              <w:jc w:val="left"/>
              <w:rPr>
                <w:rFonts w:ascii="Times New Roman" w:hAnsi="Times New Roman" w:cs="Times New Roman" w:eastAsia="Times New Roman" w:hint="default"/>
                <w:sz w:val="18"/>
                <w:szCs w:val="18"/>
              </w:rPr>
            </w:pPr>
            <w:r>
              <w:rPr>
                <w:rFonts w:ascii="Times New Roman"/>
                <w:sz w:val="18"/>
              </w:rPr>
              <w:t>2,888,168.45</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12,168,460.40</w:t>
            </w:r>
          </w:p>
        </w:tc>
      </w:tr>
    </w:tbl>
    <w:p>
      <w:pPr>
        <w:pStyle w:val="BodyText"/>
        <w:spacing w:line="357" w:lineRule="auto" w:before="54"/>
        <w:ind w:left="573" w:right="6003"/>
        <w:jc w:val="left"/>
      </w:pPr>
      <w:r>
        <w:rPr>
          <w:spacing w:val="-3"/>
        </w:rPr>
        <w:t>子公司少数股东的持股比例不同于表决权比例的说明：</w:t>
      </w:r>
      <w:r>
        <w:rPr>
          <w:spacing w:val="-16"/>
        </w:rPr>
        <w:t> </w:t>
      </w:r>
      <w:r>
        <w:rPr>
          <w:spacing w:val="-16"/>
        </w:rPr>
      </w:r>
      <w:r>
        <w:rPr/>
        <w:t>其他说明：</w:t>
      </w:r>
    </w:p>
    <w:p>
      <w:pPr>
        <w:spacing w:line="240" w:lineRule="auto" w:before="12"/>
        <w:rPr>
          <w:rFonts w:ascii="宋体" w:hAnsi="宋体" w:cs="宋体" w:eastAsia="宋体" w:hint="default"/>
          <w:sz w:val="19"/>
          <w:szCs w:val="19"/>
        </w:rPr>
      </w:pPr>
    </w:p>
    <w:p>
      <w:pPr>
        <w:pStyle w:val="Heading4"/>
        <w:spacing w:line="240" w:lineRule="auto"/>
        <w:ind w:left="573" w:right="6534"/>
        <w:jc w:val="left"/>
        <w:rPr>
          <w:b w:val="0"/>
          <w:bCs w:val="0"/>
        </w:rPr>
      </w:pPr>
      <w:bookmarkStart w:name="（3）重要非全资子公司的主要财务信息" w:id="364"/>
      <w:bookmarkEnd w:id="364"/>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36" w:type="dxa"/>
        <w:tblLayout w:type="fixed"/>
        <w:tblCellMar>
          <w:top w:w="0" w:type="dxa"/>
          <w:left w:w="0" w:type="dxa"/>
          <w:bottom w:w="0" w:type="dxa"/>
          <w:right w:w="0" w:type="dxa"/>
        </w:tblCellMar>
        <w:tblLook w:val="01E0"/>
      </w:tblPr>
      <w:tblGrid>
        <w:gridCol w:w="806"/>
        <w:gridCol w:w="807"/>
        <w:gridCol w:w="806"/>
        <w:gridCol w:w="807"/>
        <w:gridCol w:w="812"/>
        <w:gridCol w:w="806"/>
        <w:gridCol w:w="812"/>
        <w:gridCol w:w="807"/>
        <w:gridCol w:w="806"/>
        <w:gridCol w:w="807"/>
        <w:gridCol w:w="807"/>
        <w:gridCol w:w="811"/>
        <w:gridCol w:w="807"/>
      </w:tblGrid>
      <w:tr>
        <w:trPr>
          <w:trHeight w:val="403" w:hRule="exact"/>
        </w:trPr>
        <w:tc>
          <w:tcPr>
            <w:tcW w:w="8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307" w:right="31" w:hanging="269"/>
              <w:jc w:val="left"/>
              <w:rPr>
                <w:rFonts w:ascii="宋体" w:hAnsi="宋体" w:cs="宋体" w:eastAsia="宋体" w:hint="default"/>
                <w:sz w:val="18"/>
                <w:szCs w:val="18"/>
              </w:rPr>
            </w:pPr>
            <w:r>
              <w:rPr>
                <w:rFonts w:ascii="宋体" w:hAnsi="宋体" w:cs="宋体" w:eastAsia="宋体" w:hint="default"/>
                <w:sz w:val="18"/>
                <w:szCs w:val="18"/>
              </w:rPr>
              <w:t>子公司名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称</w:t>
            </w:r>
          </w:p>
        </w:tc>
        <w:tc>
          <w:tcPr>
            <w:tcW w:w="485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84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0" w:hRule="exact"/>
        </w:trPr>
        <w:tc>
          <w:tcPr>
            <w:tcW w:w="806" w:type="dxa"/>
            <w:vMerge/>
            <w:tcBorders>
              <w:left w:val="single" w:sz="4" w:space="0" w:color="000000"/>
              <w:bottom w:val="single" w:sz="4" w:space="0" w:color="000000"/>
              <w:right w:val="single" w:sz="4" w:space="0" w:color="000000"/>
            </w:tcBorders>
            <w:shd w:val="clear" w:color="auto" w:fill="D2D2D2"/>
          </w:tcPr>
          <w:p>
            <w:pPr/>
          </w:p>
        </w:tc>
        <w:tc>
          <w:tcPr>
            <w:tcW w:w="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07" w:right="31" w:hanging="269"/>
              <w:jc w:val="left"/>
              <w:rPr>
                <w:rFonts w:ascii="宋体" w:hAnsi="宋体" w:cs="宋体" w:eastAsia="宋体" w:hint="default"/>
                <w:sz w:val="18"/>
                <w:szCs w:val="18"/>
              </w:rPr>
            </w:pPr>
            <w:r>
              <w:rPr>
                <w:rFonts w:ascii="宋体" w:hAnsi="宋体" w:cs="宋体" w:eastAsia="宋体" w:hint="default"/>
                <w:sz w:val="18"/>
                <w:szCs w:val="18"/>
              </w:rPr>
              <w:t>非流动资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产</w:t>
            </w:r>
          </w:p>
        </w:tc>
        <w:tc>
          <w:tcPr>
            <w:tcW w:w="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07" w:right="31" w:hanging="269"/>
              <w:jc w:val="left"/>
              <w:rPr>
                <w:rFonts w:ascii="宋体" w:hAnsi="宋体" w:cs="宋体" w:eastAsia="宋体" w:hint="default"/>
                <w:sz w:val="18"/>
                <w:szCs w:val="18"/>
              </w:rPr>
            </w:pPr>
            <w:r>
              <w:rPr>
                <w:rFonts w:ascii="宋体" w:hAnsi="宋体" w:cs="宋体" w:eastAsia="宋体" w:hint="default"/>
                <w:sz w:val="18"/>
                <w:szCs w:val="18"/>
              </w:rPr>
              <w:t>非流动负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债</w:t>
            </w:r>
          </w:p>
        </w:tc>
        <w:tc>
          <w:tcPr>
            <w:tcW w:w="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07" w:right="31" w:hanging="269"/>
              <w:jc w:val="left"/>
              <w:rPr>
                <w:rFonts w:ascii="宋体" w:hAnsi="宋体" w:cs="宋体" w:eastAsia="宋体" w:hint="default"/>
                <w:sz w:val="18"/>
                <w:szCs w:val="18"/>
              </w:rPr>
            </w:pPr>
            <w:r>
              <w:rPr>
                <w:rFonts w:ascii="宋体" w:hAnsi="宋体" w:cs="宋体" w:eastAsia="宋体" w:hint="default"/>
                <w:sz w:val="18"/>
                <w:szCs w:val="18"/>
              </w:rPr>
              <w:t>非流动资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产</w:t>
            </w:r>
          </w:p>
        </w:tc>
        <w:tc>
          <w:tcPr>
            <w:tcW w:w="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11" w:right="36" w:hanging="274"/>
              <w:jc w:val="left"/>
              <w:rPr>
                <w:rFonts w:ascii="宋体" w:hAnsi="宋体" w:cs="宋体" w:eastAsia="宋体" w:hint="default"/>
                <w:sz w:val="18"/>
                <w:szCs w:val="18"/>
              </w:rPr>
            </w:pPr>
            <w:r>
              <w:rPr>
                <w:rFonts w:ascii="宋体" w:hAnsi="宋体" w:cs="宋体" w:eastAsia="宋体" w:hint="default"/>
                <w:sz w:val="18"/>
                <w:szCs w:val="18"/>
              </w:rPr>
              <w:t>非流动负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债</w:t>
            </w:r>
          </w:p>
        </w:tc>
        <w:tc>
          <w:tcPr>
            <w:tcW w:w="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负债合计</w:t>
            </w:r>
          </w:p>
        </w:tc>
      </w:tr>
      <w:tr>
        <w:trPr>
          <w:trHeight w:val="716" w:hRule="exact"/>
        </w:trPr>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45"/>
              <w:jc w:val="left"/>
              <w:rPr>
                <w:rFonts w:ascii="宋体" w:hAnsi="宋体" w:cs="宋体" w:eastAsia="宋体" w:hint="default"/>
                <w:sz w:val="18"/>
                <w:szCs w:val="18"/>
              </w:rPr>
            </w:pPr>
            <w:r>
              <w:rPr>
                <w:rFonts w:ascii="宋体" w:hAnsi="宋体" w:cs="宋体" w:eastAsia="宋体" w:hint="default"/>
                <w:sz w:val="18"/>
                <w:szCs w:val="18"/>
              </w:rPr>
              <w:t>天津和仁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35,264,49</w:t>
            </w:r>
          </w:p>
          <w:p>
            <w:pPr>
              <w:pStyle w:val="TableParagraph"/>
              <w:spacing w:line="240" w:lineRule="auto" w:before="110"/>
              <w:ind w:left="456" w:right="0"/>
              <w:jc w:val="left"/>
              <w:rPr>
                <w:rFonts w:ascii="Times New Roman" w:hAnsi="Times New Roman" w:cs="Times New Roman" w:eastAsia="Times New Roman" w:hint="default"/>
                <w:sz w:val="18"/>
                <w:szCs w:val="18"/>
              </w:rPr>
            </w:pPr>
            <w:r>
              <w:rPr>
                <w:rFonts w:ascii="Times New Roman"/>
                <w:sz w:val="18"/>
              </w:rPr>
              <w:t>9.31</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1,435,699</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.21</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36,700,19</w:t>
            </w:r>
          </w:p>
          <w:p>
            <w:pPr>
              <w:pStyle w:val="TableParagraph"/>
              <w:spacing w:line="240" w:lineRule="auto" w:before="110"/>
              <w:ind w:left="461" w:right="0"/>
              <w:jc w:val="left"/>
              <w:rPr>
                <w:rFonts w:ascii="Times New Roman" w:hAnsi="Times New Roman" w:cs="Times New Roman" w:eastAsia="Times New Roman" w:hint="default"/>
                <w:sz w:val="18"/>
                <w:szCs w:val="18"/>
              </w:rPr>
            </w:pPr>
            <w:r>
              <w:rPr>
                <w:rFonts w:ascii="Times New Roman"/>
                <w:sz w:val="18"/>
              </w:rPr>
              <w:t>8.52</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5,859,771</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.97</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419,275.5</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6,279,047</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.52</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29,497,24</w:t>
            </w:r>
          </w:p>
          <w:p>
            <w:pPr>
              <w:pStyle w:val="TableParagraph"/>
              <w:spacing w:line="240" w:lineRule="auto" w:before="110"/>
              <w:ind w:left="456" w:right="0"/>
              <w:jc w:val="left"/>
              <w:rPr>
                <w:rFonts w:ascii="Times New Roman" w:hAnsi="Times New Roman" w:cs="Times New Roman" w:eastAsia="Times New Roman" w:hint="default"/>
                <w:sz w:val="18"/>
                <w:szCs w:val="18"/>
              </w:rPr>
            </w:pPr>
            <w:r>
              <w:rPr>
                <w:rFonts w:ascii="Times New Roman"/>
                <w:sz w:val="18"/>
              </w:rPr>
              <w:t>9.09</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1,033,494</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.62</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30,530,74</w:t>
            </w:r>
          </w:p>
          <w:p>
            <w:pPr>
              <w:pStyle w:val="TableParagraph"/>
              <w:spacing w:line="240" w:lineRule="auto" w:before="110"/>
              <w:ind w:left="456" w:right="0"/>
              <w:jc w:val="left"/>
              <w:rPr>
                <w:rFonts w:ascii="Times New Roman" w:hAnsi="Times New Roman" w:cs="Times New Roman" w:eastAsia="Times New Roman" w:hint="default"/>
                <w:sz w:val="18"/>
                <w:szCs w:val="18"/>
              </w:rPr>
            </w:pPr>
            <w:r>
              <w:rPr>
                <w:rFonts w:ascii="Times New Roman"/>
                <w:sz w:val="18"/>
              </w:rPr>
              <w:t>3.71</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6,942,544</w:t>
            </w:r>
          </w:p>
          <w:p>
            <w:pPr>
              <w:pStyle w:val="TableParagraph"/>
              <w:spacing w:line="240" w:lineRule="auto" w:before="110"/>
              <w:ind w:right="13"/>
              <w:jc w:val="right"/>
              <w:rPr>
                <w:rFonts w:ascii="Times New Roman" w:hAnsi="Times New Roman" w:cs="Times New Roman" w:eastAsia="Times New Roman" w:hint="default"/>
                <w:sz w:val="18"/>
                <w:szCs w:val="18"/>
              </w:rPr>
            </w:pPr>
            <w:r>
              <w:rPr>
                <w:rFonts w:ascii="Times New Roman"/>
                <w:sz w:val="18"/>
              </w:rPr>
              <w:t>.41</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387,469.4</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7,330,013</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.85</w:t>
            </w:r>
          </w:p>
        </w:tc>
      </w:tr>
    </w:tbl>
    <w:p>
      <w:pPr>
        <w:pStyle w:val="BodyText"/>
        <w:spacing w:line="240" w:lineRule="auto" w:before="53"/>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2" w:type="dxa"/>
        <w:tblLayout w:type="fixed"/>
        <w:tblCellMar>
          <w:top w:w="0" w:type="dxa"/>
          <w:left w:w="0" w:type="dxa"/>
          <w:bottom w:w="0" w:type="dxa"/>
          <w:right w:w="0" w:type="dxa"/>
        </w:tblCellMar>
        <w:tblLook w:val="01E0"/>
      </w:tblPr>
      <w:tblGrid>
        <w:gridCol w:w="1171"/>
        <w:gridCol w:w="1172"/>
        <w:gridCol w:w="1172"/>
        <w:gridCol w:w="1177"/>
        <w:gridCol w:w="1181"/>
        <w:gridCol w:w="1172"/>
        <w:gridCol w:w="1177"/>
        <w:gridCol w:w="1176"/>
        <w:gridCol w:w="1177"/>
      </w:tblGrid>
      <w:tr>
        <w:trPr>
          <w:trHeight w:val="403" w:hRule="exact"/>
        </w:trPr>
        <w:tc>
          <w:tcPr>
            <w:tcW w:w="11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70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70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1" w:hRule="exact"/>
        </w:trPr>
        <w:tc>
          <w:tcPr>
            <w:tcW w:w="1171" w:type="dxa"/>
            <w:vMerge/>
            <w:tcBorders>
              <w:left w:val="single" w:sz="4" w:space="0" w:color="000000"/>
              <w:bottom w:val="single" w:sz="4" w:space="0" w:color="000000"/>
              <w:right w:val="single" w:sz="4" w:space="0" w:color="000000"/>
            </w:tcBorders>
            <w:shd w:val="clear" w:color="auto" w:fill="D2D2D2"/>
          </w:tcPr>
          <w:p>
            <w:pPr/>
          </w:p>
        </w:tc>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6"/>
              <w:jc w:val="right"/>
              <w:rPr>
                <w:rFonts w:ascii="宋体" w:hAnsi="宋体" w:cs="宋体" w:eastAsia="宋体" w:hint="default"/>
                <w:sz w:val="18"/>
                <w:szCs w:val="18"/>
              </w:rPr>
            </w:pPr>
            <w:r>
              <w:rPr>
                <w:rFonts w:ascii="宋体" w:hAnsi="宋体" w:cs="宋体" w:eastAsia="宋体" w:hint="default"/>
                <w:spacing w:val="-2"/>
                <w:sz w:val="18"/>
                <w:szCs w:val="18"/>
              </w:rPr>
              <w:t>综合收益总额</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03" w:right="41" w:hanging="361"/>
              <w:jc w:val="left"/>
              <w:rPr>
                <w:rFonts w:ascii="宋体" w:hAnsi="宋体" w:cs="宋体" w:eastAsia="宋体" w:hint="default"/>
                <w:sz w:val="18"/>
                <w:szCs w:val="18"/>
              </w:rPr>
            </w:pPr>
            <w:r>
              <w:rPr>
                <w:rFonts w:ascii="宋体" w:hAnsi="宋体" w:cs="宋体" w:eastAsia="宋体" w:hint="default"/>
                <w:spacing w:val="-2"/>
                <w:sz w:val="18"/>
                <w:szCs w:val="18"/>
              </w:rPr>
              <w:t>经营活动现金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流量</w:t>
            </w:r>
          </w:p>
        </w:tc>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6"/>
              <w:jc w:val="right"/>
              <w:rPr>
                <w:rFonts w:ascii="宋体" w:hAnsi="宋体" w:cs="宋体" w:eastAsia="宋体" w:hint="default"/>
                <w:sz w:val="18"/>
                <w:szCs w:val="18"/>
              </w:rPr>
            </w:pPr>
            <w:r>
              <w:rPr>
                <w:rFonts w:ascii="宋体" w:hAnsi="宋体" w:cs="宋体" w:eastAsia="宋体" w:hint="default"/>
                <w:spacing w:val="-2"/>
                <w:sz w:val="18"/>
                <w:szCs w:val="18"/>
              </w:rPr>
              <w:t>综合收益总额</w:t>
            </w:r>
          </w:p>
        </w:tc>
        <w:tc>
          <w:tcPr>
            <w:tcW w:w="1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03" w:right="36" w:hanging="360"/>
              <w:jc w:val="left"/>
              <w:rPr>
                <w:rFonts w:ascii="宋体" w:hAnsi="宋体" w:cs="宋体" w:eastAsia="宋体" w:hint="default"/>
                <w:sz w:val="18"/>
                <w:szCs w:val="18"/>
              </w:rPr>
            </w:pPr>
            <w:r>
              <w:rPr>
                <w:rFonts w:ascii="宋体" w:hAnsi="宋体" w:cs="宋体" w:eastAsia="宋体" w:hint="default"/>
                <w:spacing w:val="-2"/>
                <w:sz w:val="18"/>
                <w:szCs w:val="18"/>
              </w:rPr>
              <w:t>经营活动现金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流量</w:t>
            </w:r>
          </w:p>
        </w:tc>
      </w:tr>
      <w:tr>
        <w:trPr>
          <w:trHeight w:val="403"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天津和仁公司</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center"/>
              <w:rPr>
                <w:rFonts w:ascii="Times New Roman" w:hAnsi="Times New Roman" w:cs="Times New Roman" w:eastAsia="Times New Roman" w:hint="default"/>
                <w:sz w:val="18"/>
                <w:szCs w:val="18"/>
              </w:rPr>
            </w:pPr>
            <w:r>
              <w:rPr>
                <w:rFonts w:ascii="Times New Roman"/>
                <w:sz w:val="18"/>
              </w:rPr>
              <w:t>28,780,823.78</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7" w:right="0"/>
              <w:jc w:val="left"/>
              <w:rPr>
                <w:rFonts w:ascii="Times New Roman" w:hAnsi="Times New Roman" w:cs="Times New Roman" w:eastAsia="Times New Roman" w:hint="default"/>
                <w:sz w:val="18"/>
                <w:szCs w:val="18"/>
              </w:rPr>
            </w:pPr>
            <w:r>
              <w:rPr>
                <w:rFonts w:ascii="Times New Roman"/>
                <w:sz w:val="18"/>
              </w:rPr>
              <w:t>7,220,421.14</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7,220,421.14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78" w:right="0"/>
              <w:jc w:val="left"/>
              <w:rPr>
                <w:rFonts w:ascii="Times New Roman" w:hAnsi="Times New Roman" w:cs="Times New Roman" w:eastAsia="Times New Roman" w:hint="default"/>
                <w:sz w:val="18"/>
                <w:szCs w:val="18"/>
              </w:rPr>
            </w:pPr>
            <w:r>
              <w:rPr>
                <w:rFonts w:ascii="Times New Roman"/>
                <w:sz w:val="18"/>
              </w:rPr>
              <w:t>-186,453.19</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0" w:right="0"/>
              <w:jc w:val="center"/>
              <w:rPr>
                <w:rFonts w:ascii="Times New Roman" w:hAnsi="Times New Roman" w:cs="Times New Roman" w:eastAsia="Times New Roman" w:hint="default"/>
                <w:sz w:val="18"/>
                <w:szCs w:val="18"/>
              </w:rPr>
            </w:pPr>
            <w:r>
              <w:rPr>
                <w:rFonts w:ascii="Times New Roman"/>
                <w:sz w:val="18"/>
              </w:rPr>
              <w:t>32,385,963.50</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6" w:right="0"/>
              <w:jc w:val="left"/>
              <w:rPr>
                <w:rFonts w:ascii="Times New Roman" w:hAnsi="Times New Roman" w:cs="Times New Roman" w:eastAsia="Times New Roman" w:hint="default"/>
                <w:sz w:val="18"/>
                <w:szCs w:val="18"/>
              </w:rPr>
            </w:pPr>
            <w:r>
              <w:rPr>
                <w:rFonts w:ascii="Times New Roman"/>
                <w:sz w:val="18"/>
              </w:rPr>
              <w:t>7,077,877.46</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7,077,877.46</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5" w:right="0"/>
              <w:jc w:val="left"/>
              <w:rPr>
                <w:rFonts w:ascii="Times New Roman" w:hAnsi="Times New Roman" w:cs="Times New Roman" w:eastAsia="Times New Roman" w:hint="default"/>
                <w:sz w:val="18"/>
                <w:szCs w:val="18"/>
              </w:rPr>
            </w:pPr>
            <w:r>
              <w:rPr>
                <w:rFonts w:ascii="Times New Roman"/>
                <w:sz w:val="18"/>
              </w:rPr>
              <w:t>332,174.98</w:t>
            </w:r>
          </w:p>
        </w:tc>
      </w:tr>
    </w:tbl>
    <w:p>
      <w:pPr>
        <w:pStyle w:val="BodyText"/>
        <w:spacing w:line="357" w:lineRule="auto" w:before="53"/>
        <w:ind w:left="573" w:right="9861"/>
        <w:jc w:val="left"/>
      </w:pPr>
      <w:r>
        <w:rPr>
          <w:spacing w:val="-2"/>
        </w:rPr>
        <w:t>其他说明：</w:t>
      </w:r>
      <w:r>
        <w:rPr>
          <w:spacing w:val="-78"/>
        </w:rPr>
        <w:t> </w:t>
      </w:r>
      <w:r>
        <w:rPr>
          <w:spacing w:val="-78"/>
        </w:rPr>
      </w:r>
      <w:r>
        <w:rPr/>
        <w:t>无</w:t>
      </w:r>
    </w:p>
    <w:p>
      <w:pPr>
        <w:spacing w:line="240" w:lineRule="auto" w:before="4"/>
        <w:rPr>
          <w:rFonts w:ascii="宋体" w:hAnsi="宋体" w:cs="宋体" w:eastAsia="宋体" w:hint="default"/>
          <w:sz w:val="20"/>
          <w:szCs w:val="20"/>
        </w:rPr>
      </w:pPr>
    </w:p>
    <w:p>
      <w:pPr>
        <w:pStyle w:val="Heading4"/>
        <w:spacing w:line="240" w:lineRule="auto"/>
        <w:ind w:left="573" w:right="2463"/>
        <w:jc w:val="left"/>
        <w:rPr>
          <w:b w:val="0"/>
          <w:bCs w:val="0"/>
        </w:rPr>
      </w:pPr>
      <w:bookmarkStart w:name="（4）使用企业集团资产和清偿企业集团债务的重大限制" w:id="365"/>
      <w:bookmarkEnd w:id="365"/>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73" w:right="6534"/>
        <w:jc w:val="left"/>
      </w:pPr>
      <w:r>
        <w:rPr/>
        <w:t>不适用</w:t>
      </w:r>
    </w:p>
    <w:p>
      <w:pPr>
        <w:spacing w:after="0" w:line="240" w:lineRule="auto"/>
        <w:jc w:val="left"/>
        <w:sectPr>
          <w:pgSz w:w="11910" w:h="16840"/>
          <w:pgMar w:header="741" w:footer="979" w:top="1060" w:bottom="1160" w:left="560" w:right="0"/>
        </w:sectPr>
      </w:pPr>
    </w:p>
    <w:p>
      <w:pPr>
        <w:spacing w:line="240" w:lineRule="auto" w:before="4"/>
        <w:rPr>
          <w:rFonts w:ascii="宋体" w:hAnsi="宋体" w:cs="宋体" w:eastAsia="宋体" w:hint="default"/>
          <w:sz w:val="25"/>
          <w:szCs w:val="25"/>
        </w:rPr>
      </w:pPr>
    </w:p>
    <w:p>
      <w:pPr>
        <w:pStyle w:val="Heading4"/>
        <w:spacing w:line="240" w:lineRule="auto" w:before="36"/>
        <w:ind w:right="0"/>
        <w:jc w:val="left"/>
        <w:rPr>
          <w:b w:val="0"/>
          <w:bCs w:val="0"/>
        </w:rPr>
      </w:pPr>
      <w:bookmarkStart w:name="（5）向纳入合并财务报表范围的结构化主体提供的财务支持或其他支持" w:id="366"/>
      <w:bookmarkEnd w:id="366"/>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9861"/>
        <w:jc w:val="left"/>
      </w:pPr>
      <w:r>
        <w:rPr/>
        <w:t>不适用</w:t>
      </w:r>
      <w:r>
        <w:rPr>
          <w:spacing w:val="-88"/>
        </w:rPr>
        <w:t> </w:t>
      </w:r>
      <w:r>
        <w:rPr>
          <w:spacing w:val="-88"/>
        </w:rPr>
      </w:r>
      <w:r>
        <w:rPr>
          <w:spacing w:val="-2"/>
        </w:rPr>
        <w:t>其他说明：</w:t>
      </w:r>
      <w:r>
        <w:rPr>
          <w:spacing w:val="-78"/>
        </w:rPr>
        <w:t> </w:t>
      </w:r>
      <w:r>
        <w:rPr>
          <w:spacing w:val="-78"/>
        </w:rPr>
      </w:r>
      <w:r>
        <w:rPr/>
        <w:t>无</w:t>
      </w:r>
    </w:p>
    <w:p>
      <w:pPr>
        <w:spacing w:line="240" w:lineRule="auto" w:before="3"/>
        <w:rPr>
          <w:rFonts w:ascii="宋体" w:hAnsi="宋体" w:cs="宋体" w:eastAsia="宋体" w:hint="default"/>
          <w:sz w:val="20"/>
          <w:szCs w:val="20"/>
        </w:rPr>
      </w:pPr>
    </w:p>
    <w:p>
      <w:pPr>
        <w:pStyle w:val="Heading4"/>
        <w:spacing w:line="240" w:lineRule="auto"/>
        <w:ind w:right="0"/>
        <w:jc w:val="left"/>
        <w:rPr>
          <w:b w:val="0"/>
          <w:bCs w:val="0"/>
        </w:rPr>
      </w:pPr>
      <w:bookmarkStart w:name="2、在子公司的所有者权益份额发生变化且仍控制子公司的交易" w:id="367"/>
      <w:bookmarkEnd w:id="367"/>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在子公司所有者权益份额发生变化的情况说明" w:id="368"/>
      <w:bookmarkEnd w:id="368"/>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2）交易对于少数股东权益及归属于母公司所有者权益的影响" w:id="369"/>
      <w:bookmarkEnd w:id="369"/>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w w:val="101"/>
        </w:rPr>
        <w:t>无</w:t>
      </w:r>
      <w:r>
        <w:rPr/>
      </w: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bookmarkStart w:name="3、在合营安排或联营企业中的权益" w:id="370"/>
      <w:bookmarkEnd w:id="370"/>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重要的合营企业或联营企业" w:id="371"/>
      <w:bookmarkEnd w:id="371"/>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3"/>
        <w:gridCol w:w="1364"/>
        <w:gridCol w:w="1369"/>
        <w:gridCol w:w="1368"/>
        <w:gridCol w:w="1368"/>
        <w:gridCol w:w="1364"/>
        <w:gridCol w:w="1369"/>
      </w:tblGrid>
      <w:tr>
        <w:trPr>
          <w:trHeight w:val="403" w:hRule="exact"/>
        </w:trPr>
        <w:tc>
          <w:tcPr>
            <w:tcW w:w="13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9" w:lineRule="auto"/>
              <w:ind w:left="321" w:right="46" w:hanging="269"/>
              <w:jc w:val="left"/>
              <w:rPr>
                <w:rFonts w:ascii="宋体" w:hAnsi="宋体" w:cs="宋体" w:eastAsia="宋体" w:hint="default"/>
                <w:sz w:val="18"/>
                <w:szCs w:val="18"/>
              </w:rPr>
            </w:pPr>
            <w:r>
              <w:rPr>
                <w:rFonts w:ascii="宋体" w:hAnsi="宋体" w:cs="宋体" w:eastAsia="宋体" w:hint="default"/>
                <w:spacing w:val="-3"/>
                <w:sz w:val="18"/>
                <w:szCs w:val="18"/>
              </w:rPr>
              <w:t>合营企业或联营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企业名称</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316"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3"/>
              <w:ind w:left="47" w:right="46"/>
              <w:jc w:val="center"/>
              <w:rPr>
                <w:rFonts w:ascii="宋体" w:hAnsi="宋体" w:cs="宋体" w:eastAsia="宋体" w:hint="default"/>
                <w:sz w:val="18"/>
                <w:szCs w:val="18"/>
              </w:rPr>
            </w:pPr>
            <w:r>
              <w:rPr>
                <w:rFonts w:ascii="宋体" w:hAnsi="宋体" w:cs="宋体" w:eastAsia="宋体" w:hint="default"/>
                <w:spacing w:val="-3"/>
                <w:sz w:val="18"/>
                <w:szCs w:val="18"/>
              </w:rPr>
              <w:t>对合营企业或联</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营企业投资的会</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计处理方法</w:t>
            </w:r>
          </w:p>
        </w:tc>
      </w:tr>
      <w:tr>
        <w:trPr>
          <w:trHeight w:val="624" w:hRule="exact"/>
        </w:trPr>
        <w:tc>
          <w:tcPr>
            <w:tcW w:w="1373"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7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3"/>
        <w:ind w:right="0"/>
        <w:jc w:val="left"/>
      </w:pPr>
      <w:r>
        <w:rPr>
          <w:spacing w:val="-3"/>
        </w:rPr>
        <w:t>在合营企业或联营企业的持股比例不同于表决权比例的说明：</w:t>
      </w:r>
    </w:p>
    <w:p>
      <w:pPr>
        <w:pStyle w:val="BodyText"/>
        <w:spacing w:line="240" w:lineRule="auto" w:before="119"/>
        <w:ind w:right="0"/>
        <w:jc w:val="left"/>
      </w:pPr>
      <w:r>
        <w:rPr/>
        <w:t>持有 </w:t>
      </w:r>
      <w:r>
        <w:rPr>
          <w:rFonts w:ascii="Times New Roman" w:hAnsi="Times New Roman" w:cs="Times New Roman" w:eastAsia="Times New Roman" w:hint="default"/>
          <w:spacing w:val="-3"/>
        </w:rPr>
        <w:t>20%</w:t>
      </w:r>
      <w:r>
        <w:rPr>
          <w:spacing w:val="-3"/>
        </w:rPr>
        <w:t>以下表决权但具有重大影响，或者持有</w:t>
      </w:r>
      <w:r>
        <w:rPr>
          <w:spacing w:val="34"/>
        </w:rPr>
        <w:t> </w:t>
      </w:r>
      <w:r>
        <w:rPr>
          <w:rFonts w:ascii="Times New Roman" w:hAnsi="Times New Roman" w:cs="Times New Roman" w:eastAsia="Times New Roman" w:hint="default"/>
          <w:spacing w:val="-3"/>
        </w:rPr>
        <w:t>20%</w:t>
      </w:r>
      <w:r>
        <w:rPr>
          <w:spacing w:val="-3"/>
        </w:rPr>
        <w:t>或以上表决权但不具有重大影响的依据：</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bookmarkStart w:name="（2）重要合营企业的主要财务信息" w:id="372"/>
      <w:bookmarkEnd w:id="372"/>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9"/>
        <w:gridCol w:w="3193"/>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4"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4"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3"/>
        <w:ind w:right="0"/>
        <w:jc w:val="left"/>
      </w:pPr>
      <w:r>
        <w:rPr/>
        <w:t>其他说明</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3）重要联营企业的主要财务信息" w:id="373"/>
      <w:bookmarkEnd w:id="373"/>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9"/>
        <w:gridCol w:w="3193"/>
      </w:tblGrid>
      <w:tr>
        <w:trPr>
          <w:trHeight w:val="398"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4"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3"/>
        <w:ind w:right="0"/>
        <w:jc w:val="left"/>
      </w:pPr>
      <w:r>
        <w:rPr/>
        <w:t>其他说明</w:t>
      </w: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bookmarkStart w:name="（4）不重要的合营企业和联营企业的汇总财务信息" w:id="374"/>
      <w:bookmarkEnd w:id="374"/>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after="0" w:line="240" w:lineRule="auto"/>
        <w:jc w:val="right"/>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4"/>
        <w:gridCol w:w="3070"/>
        <w:gridCol w:w="3188"/>
      </w:tblGrid>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03"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pacing w:val="-3"/>
                <w:sz w:val="18"/>
                <w:szCs w:val="18"/>
              </w:rPr>
              <w:t>下列各项按持股比例计算的合计数</w:t>
            </w:r>
          </w:p>
        </w:tc>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7"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1,798,119.70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下列各项按持股比例计算的合计数</w:t>
            </w:r>
          </w:p>
        </w:tc>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4"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-1,701,880.30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-1,701,880.30</w:t>
            </w:r>
          </w:p>
        </w:tc>
        <w:tc>
          <w:tcPr>
            <w:tcW w:w="318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38" w:lineRule="auto" w:before="53"/>
        <w:ind w:right="1031"/>
        <w:jc w:val="left"/>
      </w:pPr>
      <w:r>
        <w:rPr/>
        <w:t>其他说明</w:t>
      </w:r>
      <w:r>
        <w:rPr>
          <w:spacing w:val="-86"/>
        </w:rPr>
        <w:t> </w:t>
      </w:r>
      <w:r>
        <w:rPr>
          <w:spacing w:val="-86"/>
        </w:rPr>
      </w:r>
      <w:r>
        <w:rPr>
          <w:spacing w:val="-4"/>
        </w:rPr>
        <w:t>经公司第二届董事会十一次会议审议通过，公司与中原大禹资本控股有限公司、中宏兴（北京）科技投资有限公司及自然人</w:t>
      </w:r>
      <w:r>
        <w:rPr>
          <w:spacing w:val="40"/>
        </w:rPr>
        <w:t> </w:t>
      </w:r>
      <w:r>
        <w:rPr>
          <w:spacing w:val="40"/>
        </w:rPr>
      </w:r>
      <w:r>
        <w:rPr>
          <w:spacing w:val="-3"/>
        </w:rPr>
        <w:t>丁云兰共同投资成立合资公司中原和仁医疗科技有限公司，注册资本为人民币 </w:t>
      </w:r>
      <w:r>
        <w:rPr>
          <w:rFonts w:ascii="Times New Roman" w:hAnsi="Times New Roman" w:cs="Times New Roman" w:eastAsia="Times New Roman" w:hint="default"/>
        </w:rPr>
        <w:t>20,000.00  </w:t>
      </w:r>
      <w:r>
        <w:rPr>
          <w:spacing w:val="-3"/>
        </w:rPr>
        <w:t>万元，本公司认缴  </w:t>
      </w:r>
      <w:r>
        <w:rPr>
          <w:rFonts w:ascii="Times New Roman" w:hAnsi="Times New Roman" w:cs="Times New Roman" w:eastAsia="Times New Roman" w:hint="default"/>
        </w:rPr>
        <w:t>7,000.00 </w:t>
      </w:r>
      <w:r>
        <w:rPr/>
        <w:t>万元，</w:t>
      </w:r>
    </w:p>
    <w:p>
      <w:pPr>
        <w:pStyle w:val="BodyText"/>
        <w:spacing w:line="236" w:lineRule="exact"/>
        <w:ind w:right="0"/>
        <w:jc w:val="left"/>
      </w:pPr>
      <w:r>
        <w:rPr/>
        <w:t>占注册资本的</w:t>
      </w:r>
      <w:r>
        <w:rPr>
          <w:spacing w:val="14"/>
        </w:rPr>
        <w:t> </w:t>
      </w:r>
      <w:r>
        <w:rPr>
          <w:rFonts w:ascii="Times New Roman" w:hAnsi="Times New Roman" w:cs="Times New Roman" w:eastAsia="Times New Roman" w:hint="default"/>
        </w:rPr>
        <w:t>35.00%</w:t>
      </w:r>
      <w:r>
        <w:rPr/>
        <w:t>。该公司已于</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w:t>
      </w:r>
      <w:r>
        <w:rPr>
          <w:spacing w:val="-38"/>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44"/>
        </w:rPr>
        <w:t> </w:t>
      </w:r>
      <w:r>
        <w:rPr>
          <w:rFonts w:ascii="Times New Roman" w:hAnsi="Times New Roman" w:cs="Times New Roman" w:eastAsia="Times New Roman" w:hint="default"/>
        </w:rPr>
        <w:t>25</w:t>
      </w:r>
      <w:r>
        <w:rPr>
          <w:rFonts w:ascii="Times New Roman" w:hAnsi="Times New Roman" w:cs="Times New Roman" w:eastAsia="Times New Roman" w:hint="default"/>
          <w:spacing w:val="7"/>
        </w:rPr>
        <w:t> </w:t>
      </w:r>
      <w:r>
        <w:rPr>
          <w:spacing w:val="-3"/>
        </w:rPr>
        <w:t>日在河南省市场监督管理局登记注册。</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bookmarkStart w:name="（5）合营企业或联营企业向本公司转移资金的能力存在重大限制的说明" w:id="375"/>
      <w:bookmarkEnd w:id="375"/>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6）合营企业或联营企业发生的超额亏损" w:id="376"/>
      <w:bookmarkEnd w:id="376"/>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1"/>
        <w:gridCol w:w="2396"/>
        <w:gridCol w:w="2391"/>
      </w:tblGrid>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pacing w:val="-3"/>
                <w:sz w:val="18"/>
                <w:szCs w:val="18"/>
              </w:rPr>
              <w:t>合营企业或联营企业名称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04" w:right="104" w:hanging="995"/>
              <w:jc w:val="left"/>
              <w:rPr>
                <w:rFonts w:ascii="宋体" w:hAnsi="宋体" w:cs="宋体" w:eastAsia="宋体" w:hint="default"/>
                <w:sz w:val="18"/>
                <w:szCs w:val="18"/>
              </w:rPr>
            </w:pPr>
            <w:r>
              <w:rPr>
                <w:rFonts w:ascii="宋体" w:hAnsi="宋体" w:cs="宋体" w:eastAsia="宋体" w:hint="default"/>
                <w:spacing w:val="-3"/>
                <w:sz w:val="18"/>
                <w:szCs w:val="18"/>
              </w:rPr>
              <w:t>累积未确认前期累计认的损</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失</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652" w:right="17" w:hanging="629"/>
              <w:jc w:val="left"/>
              <w:rPr>
                <w:rFonts w:ascii="宋体" w:hAnsi="宋体" w:cs="宋体" w:eastAsia="宋体" w:hint="default"/>
                <w:sz w:val="18"/>
                <w:szCs w:val="18"/>
              </w:rPr>
            </w:pPr>
            <w:r>
              <w:rPr>
                <w:rFonts w:ascii="宋体" w:hAnsi="宋体" w:cs="宋体" w:eastAsia="宋体" w:hint="default"/>
                <w:spacing w:val="-3"/>
                <w:sz w:val="18"/>
                <w:szCs w:val="18"/>
              </w:rPr>
              <w:t>本期未确认的损失（或本期分</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享的净利润）</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pacing w:val="-3"/>
                <w:sz w:val="18"/>
                <w:szCs w:val="18"/>
              </w:rPr>
              <w:t>本期末累积未确认的损失</w:t>
            </w:r>
          </w:p>
        </w:tc>
      </w:tr>
    </w:tbl>
    <w:p>
      <w:pPr>
        <w:pStyle w:val="BodyText"/>
        <w:spacing w:line="240" w:lineRule="auto" w:before="53"/>
        <w:ind w:right="0"/>
        <w:jc w:val="left"/>
      </w:pPr>
      <w:r>
        <w:rPr/>
        <w:t>其他说明</w:t>
      </w: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bookmarkStart w:name="（7）与合营企业投资相关的未确认承诺" w:id="377"/>
      <w:bookmarkEnd w:id="377"/>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8）与合营企业或联营企业投资相关的或有负债" w:id="378"/>
      <w:bookmarkEnd w:id="378"/>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4、重要的共同经营" w:id="379"/>
      <w:bookmarkEnd w:id="379"/>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403" w:hRule="exact"/>
        </w:trPr>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4"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3" w:hRule="exact"/>
        </w:trPr>
        <w:tc>
          <w:tcPr>
            <w:tcW w:w="1599"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57" w:lineRule="auto" w:before="53"/>
        <w:ind w:right="1828"/>
        <w:jc w:val="left"/>
      </w:pPr>
      <w:r>
        <w:rPr>
          <w:spacing w:val="-3"/>
        </w:rPr>
        <w:t>在共同经营中的持股比例或享有的份额不同于表决权比例的说明：</w:t>
      </w:r>
      <w:r>
        <w:rPr>
          <w:spacing w:val="-4"/>
        </w:rPr>
        <w:t> </w:t>
      </w:r>
      <w:r>
        <w:rPr>
          <w:spacing w:val="-4"/>
        </w:rPr>
      </w:r>
      <w:r>
        <w:rPr>
          <w:spacing w:val="-3"/>
        </w:rPr>
        <w:t>共同经营为单独主体的，分类为共同经营的依据：</w:t>
      </w:r>
    </w:p>
    <w:p>
      <w:pPr>
        <w:pStyle w:val="BodyText"/>
        <w:spacing w:line="240" w:lineRule="auto" w:before="32"/>
        <w:ind w:right="0"/>
        <w:jc w:val="left"/>
      </w:pPr>
      <w:r>
        <w:rPr/>
        <w:t>其他说明</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5、在未纳入合并财务报表范围的结构化主体中的权益" w:id="380"/>
      <w:bookmarkEnd w:id="380"/>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spacing w:val="-3"/>
        </w:rPr>
        <w:t>未纳入合并财务报表范围的结构化主体的相关说明：</w:t>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4"/>
        <w:spacing w:line="240" w:lineRule="auto" w:before="36"/>
        <w:ind w:right="0"/>
        <w:jc w:val="left"/>
        <w:rPr>
          <w:b w:val="0"/>
          <w:bCs w:val="0"/>
        </w:rPr>
      </w:pPr>
      <w:bookmarkStart w:name="6、其他" w:id="381"/>
      <w:bookmarkEnd w:id="381"/>
      <w:r>
        <w:rPr>
          <w:b w:val="0"/>
          <w:bCs w:val="0"/>
        </w:rPr>
      </w:r>
      <w:r>
        <w:rPr>
          <w:rFonts w:ascii="Times New Roman" w:hAnsi="Times New Roman" w:cs="Times New Roman" w:eastAsia="Times New Roman" w:hint="default"/>
        </w:rPr>
        <w:t>6</w:t>
      </w:r>
      <w:r>
        <w:rPr/>
        <w:t>、其他</w:t>
      </w:r>
      <w:r>
        <w:rPr>
          <w:b w:val="0"/>
          <w:bCs w:val="0"/>
        </w:rPr>
      </w:r>
    </w:p>
    <w:p>
      <w:pPr>
        <w:spacing w:line="240" w:lineRule="auto" w:before="6"/>
        <w:rPr>
          <w:rFonts w:ascii="宋体" w:hAnsi="宋体" w:cs="宋体" w:eastAsia="宋体" w:hint="default"/>
          <w:b/>
          <w:bCs/>
          <w:sz w:val="22"/>
          <w:szCs w:val="22"/>
        </w:rPr>
      </w:pPr>
    </w:p>
    <w:p>
      <w:pPr>
        <w:pStyle w:val="Heading2"/>
        <w:spacing w:line="240" w:lineRule="auto"/>
        <w:ind w:right="0"/>
        <w:jc w:val="left"/>
        <w:rPr>
          <w:b w:val="0"/>
          <w:bCs w:val="0"/>
        </w:rPr>
      </w:pPr>
      <w:bookmarkStart w:name="十、与金融工具相关的风险" w:id="382"/>
      <w:bookmarkEnd w:id="382"/>
      <w:r>
        <w:rPr>
          <w:b w:val="0"/>
          <w:bCs w:val="0"/>
        </w:rPr>
      </w:r>
      <w:r>
        <w:rPr/>
        <w:t>十、与金融工具相关的风险</w:t>
      </w:r>
      <w:r>
        <w:rPr>
          <w:b w:val="0"/>
          <w:bCs w:val="0"/>
        </w:rPr>
      </w:r>
    </w:p>
    <w:p>
      <w:pPr>
        <w:spacing w:line="240" w:lineRule="auto" w:before="3"/>
        <w:rPr>
          <w:rFonts w:ascii="宋体" w:hAnsi="宋体" w:cs="宋体" w:eastAsia="宋体" w:hint="default"/>
          <w:b/>
          <w:bCs/>
          <w:sz w:val="27"/>
          <w:szCs w:val="27"/>
        </w:rPr>
      </w:pPr>
    </w:p>
    <w:p>
      <w:pPr>
        <w:pStyle w:val="BodyText"/>
        <w:spacing w:line="316" w:lineRule="auto"/>
        <w:ind w:right="0" w:firstLine="422"/>
        <w:jc w:val="left"/>
      </w:pPr>
      <w:r>
        <w:rPr>
          <w:spacing w:val="-2"/>
        </w:rPr>
        <w:t>本公司从事风险管理的目标是在风险和收益之间取得平衡，将风险对本公司经营业绩的负面影响降至最低水平，使股</w:t>
      </w:r>
      <w:r>
        <w:rPr>
          <w:w w:val="101"/>
        </w:rPr>
        <w:t> </w:t>
      </w:r>
      <w:r>
        <w:rPr>
          <w:spacing w:val="-6"/>
          <w:w w:val="101"/>
        </w:rPr>
        <w:t>东和其他权益投资者的利益最大化。基于该风险管理目标，本公司风险管理的基本策略是确认和分析本公司面临的各种风险，</w:t>
      </w:r>
      <w:r>
        <w:rPr>
          <w:spacing w:val="-66"/>
          <w:w w:val="101"/>
        </w:rPr>
        <w:t> </w:t>
      </w:r>
      <w:r>
        <w:rPr>
          <w:spacing w:val="-66"/>
          <w:w w:val="101"/>
        </w:rPr>
      </w:r>
      <w:r>
        <w:rPr>
          <w:spacing w:val="-3"/>
        </w:rPr>
        <w:t>建立适当的风险承受底线和进行风险管理，并及时可靠地对各种风险进行监督，将风险控制在限定的范围内。</w:t>
      </w:r>
    </w:p>
    <w:p>
      <w:pPr>
        <w:pStyle w:val="BodyText"/>
        <w:spacing w:line="316" w:lineRule="auto" w:before="19"/>
        <w:ind w:right="0" w:firstLine="422"/>
        <w:jc w:val="left"/>
      </w:pPr>
      <w:r>
        <w:rPr>
          <w:spacing w:val="-2"/>
        </w:rPr>
        <w:t>本公司在日常活动中面临各种与金融工具相关的风险，主要包括信用风险、流动性风险及市场风险。管理层已审议并</w:t>
      </w:r>
      <w:r>
        <w:rPr>
          <w:w w:val="101"/>
        </w:rPr>
        <w:t> </w:t>
      </w:r>
      <w:r>
        <w:rPr>
          <w:spacing w:val="-3"/>
        </w:rPr>
        <w:t>批准管理这些风险的政策，概括如下。</w:t>
      </w:r>
    </w:p>
    <w:p>
      <w:pPr>
        <w:pStyle w:val="BodyText"/>
        <w:spacing w:line="316" w:lineRule="auto" w:before="19"/>
        <w:ind w:left="575" w:right="3817"/>
        <w:jc w:val="left"/>
      </w:pPr>
      <w:r>
        <w:rPr>
          <w:rFonts w:ascii="宋体" w:hAnsi="宋体" w:cs="宋体" w:eastAsia="宋体" w:hint="default"/>
        </w:rPr>
        <w:t>(</w:t>
      </w:r>
      <w:r>
        <w:rPr/>
        <w:t>一</w:t>
      </w:r>
      <w:r>
        <w:rPr>
          <w:rFonts w:ascii="宋体" w:hAnsi="宋体" w:cs="宋体" w:eastAsia="宋体" w:hint="default"/>
        </w:rPr>
        <w:t>) </w:t>
      </w:r>
      <w:r>
        <w:rPr/>
        <w:t>信用风险</w:t>
      </w:r>
      <w:r>
        <w:rPr>
          <w:spacing w:val="-85"/>
        </w:rPr>
        <w:t> </w:t>
      </w:r>
      <w:r>
        <w:rPr>
          <w:spacing w:val="-85"/>
        </w:rPr>
      </w:r>
      <w:r>
        <w:rPr>
          <w:spacing w:val="-3"/>
        </w:rPr>
        <w:t>信用风险，是指金融工具的一方不能履行义务，造成另一方发生财务损失的风险。</w:t>
      </w:r>
      <w:r>
        <w:rPr>
          <w:spacing w:val="14"/>
        </w:rPr>
        <w:t> </w:t>
      </w:r>
      <w:r>
        <w:rPr>
          <w:spacing w:val="14"/>
        </w:rPr>
      </w:r>
      <w:r>
        <w:rPr>
          <w:rFonts w:ascii="宋体" w:hAnsi="宋体" w:cs="宋体" w:eastAsia="宋体" w:hint="default"/>
        </w:rPr>
        <w:t>1.</w:t>
      </w:r>
      <w:r>
        <w:rPr>
          <w:rFonts w:ascii="宋体" w:hAnsi="宋体" w:cs="宋体" w:eastAsia="宋体" w:hint="default"/>
          <w:spacing w:val="26"/>
        </w:rPr>
        <w:t> </w:t>
      </w:r>
      <w:r>
        <w:rPr>
          <w:spacing w:val="-3"/>
        </w:rPr>
        <w:t>信用风险管理实务</w:t>
      </w:r>
    </w:p>
    <w:p>
      <w:pPr>
        <w:pStyle w:val="BodyText"/>
        <w:spacing w:line="316" w:lineRule="auto" w:before="19"/>
        <w:ind w:left="575" w:right="0"/>
        <w:jc w:val="left"/>
      </w:pPr>
      <w:r>
        <w:rPr>
          <w:rFonts w:ascii="宋体" w:hAnsi="宋体" w:cs="宋体" w:eastAsia="宋体" w:hint="default"/>
        </w:rPr>
        <w:t>(1) </w:t>
      </w:r>
      <w:r>
        <w:rPr>
          <w:spacing w:val="-3"/>
        </w:rPr>
        <w:t>信用风险的评价方法</w:t>
      </w:r>
      <w:r>
        <w:rPr>
          <w:spacing w:val="-62"/>
        </w:rPr>
        <w:t> </w:t>
      </w:r>
      <w:r>
        <w:rPr>
          <w:spacing w:val="-62"/>
        </w:rPr>
      </w:r>
      <w:r>
        <w:rPr>
          <w:spacing w:val="-2"/>
        </w:rPr>
        <w:t>公司在每个资产负债表日评估相关金融工具的信用风险自初始确认后是否已显著增加。在确定信用风险自初始确认后</w:t>
      </w:r>
    </w:p>
    <w:p>
      <w:pPr>
        <w:pStyle w:val="BodyText"/>
        <w:spacing w:line="316" w:lineRule="auto" w:before="19"/>
        <w:ind w:right="1124"/>
        <w:jc w:val="both"/>
      </w:pPr>
      <w:r>
        <w:rPr>
          <w:spacing w:val="-4"/>
        </w:rPr>
        <w:t>是否显著增加时，公司考虑在无须付出不必要的额外成本或努力即可获得合理且有依据的信息，包括基于历史数据的定性和</w:t>
      </w:r>
      <w:r>
        <w:rPr>
          <w:spacing w:val="43"/>
        </w:rPr>
        <w:t> </w:t>
      </w:r>
      <w:r>
        <w:rPr>
          <w:spacing w:val="43"/>
        </w:rPr>
      </w:r>
      <w:r>
        <w:rPr>
          <w:spacing w:val="-4"/>
        </w:rPr>
        <w:t>定量分析、外部信用风险评级以及前瞻性信息。公司以单项金融工具或者具有相似信用风险特征的金融工具组合为基础，通</w:t>
      </w:r>
      <w:r>
        <w:rPr>
          <w:spacing w:val="43"/>
        </w:rPr>
        <w:t> </w:t>
      </w:r>
      <w:r>
        <w:rPr>
          <w:spacing w:val="43"/>
        </w:rPr>
      </w:r>
      <w:r>
        <w:rPr>
          <w:spacing w:val="-4"/>
          <w:w w:val="101"/>
        </w:rPr>
        <w:t>过比较金融工具在资产负债表日发生违约的风险与在初始确认日发生违约的风险，以确定金融工具预计存续期内发生违约风</w:t>
      </w:r>
      <w:r>
        <w:rPr>
          <w:w w:val="101"/>
        </w:rPr>
        <w:t> </w:t>
      </w:r>
      <w:r>
        <w:rPr>
          <w:spacing w:val="-3"/>
        </w:rPr>
        <w:t>险的变化情况。</w:t>
      </w:r>
    </w:p>
    <w:p>
      <w:pPr>
        <w:pStyle w:val="BodyText"/>
        <w:spacing w:line="316" w:lineRule="auto" w:before="19"/>
        <w:ind w:left="575" w:right="3109"/>
        <w:jc w:val="left"/>
      </w:pPr>
      <w:r>
        <w:rPr>
          <w:spacing w:val="-3"/>
        </w:rPr>
        <w:t>当触发以下一个或多个定量、定性标准时，公司认为金融工具的信用风险已发生显著增加：</w:t>
      </w:r>
      <w:r>
        <w:rPr>
          <w:spacing w:val="25"/>
        </w:rPr>
        <w:t> </w:t>
      </w:r>
      <w:r>
        <w:rPr>
          <w:spacing w:val="25"/>
        </w:rPr>
      </w:r>
      <w:r>
        <w:rPr>
          <w:rFonts w:ascii="宋体" w:hAnsi="宋体" w:cs="宋体" w:eastAsia="宋体" w:hint="default"/>
        </w:rPr>
        <w:t>1) </w:t>
      </w:r>
      <w:r>
        <w:rPr>
          <w:rFonts w:ascii="宋体" w:hAnsi="宋体" w:cs="宋体" w:eastAsia="宋体" w:hint="default"/>
          <w:spacing w:val="23"/>
        </w:rPr>
        <w:t> </w:t>
      </w:r>
      <w:r>
        <w:rPr>
          <w:spacing w:val="-3"/>
        </w:rPr>
        <w:t>定量标准主要为资产负债表日剩余存续期违约概率较初始确认时上升超过一定比例；</w:t>
      </w:r>
    </w:p>
    <w:p>
      <w:pPr>
        <w:pStyle w:val="BodyText"/>
        <w:spacing w:line="316" w:lineRule="auto" w:before="19"/>
        <w:ind w:right="0" w:firstLine="422"/>
        <w:jc w:val="left"/>
      </w:pPr>
      <w:r>
        <w:rPr>
          <w:rFonts w:ascii="宋体" w:hAnsi="宋体" w:cs="宋体" w:eastAsia="宋体" w:hint="default"/>
        </w:rPr>
        <w:t>2)</w:t>
      </w:r>
      <w:r>
        <w:rPr>
          <w:rFonts w:ascii="宋体" w:hAnsi="宋体" w:cs="宋体" w:eastAsia="宋体" w:hint="default"/>
          <w:spacing w:val="34"/>
        </w:rPr>
        <w:t> </w:t>
      </w:r>
      <w:r>
        <w:rPr>
          <w:spacing w:val="-4"/>
        </w:rPr>
        <w:t>定性标准主要为债务人经营或财务情况出现重大不利变化、现存的或预期的技术、市场、经济或法律环境变化并将</w:t>
      </w:r>
      <w:r>
        <w:rPr>
          <w:w w:val="101"/>
        </w:rPr>
        <w:t> </w:t>
      </w:r>
      <w:r>
        <w:rPr>
          <w:spacing w:val="-3"/>
        </w:rPr>
        <w:t>对债务人对公司的还款能力产生重大不利影响等。</w:t>
      </w:r>
    </w:p>
    <w:p>
      <w:pPr>
        <w:pStyle w:val="BodyText"/>
        <w:spacing w:line="316" w:lineRule="auto" w:before="19"/>
        <w:ind w:left="575" w:right="1037"/>
        <w:jc w:val="left"/>
      </w:pPr>
      <w:r>
        <w:rPr>
          <w:rFonts w:ascii="宋体" w:hAnsi="宋体" w:cs="宋体" w:eastAsia="宋体" w:hint="default"/>
        </w:rPr>
        <w:t>(2) </w:t>
      </w:r>
      <w:r>
        <w:rPr>
          <w:spacing w:val="-3"/>
        </w:rPr>
        <w:t>违约和已发生信用减值资产的定义</w:t>
      </w:r>
      <w:r>
        <w:rPr>
          <w:spacing w:val="-45"/>
        </w:rPr>
        <w:t> </w:t>
      </w:r>
      <w:r>
        <w:rPr>
          <w:spacing w:val="-45"/>
        </w:rPr>
      </w:r>
      <w:r>
        <w:rPr>
          <w:spacing w:val="-6"/>
          <w:w w:val="101"/>
        </w:rPr>
        <w:t>当金融工具符合以下一项或多项条件时，公司将该金融资产界定为已发生违约，其标准与已发生信用减值的定义一致：</w:t>
      </w:r>
      <w:r>
        <w:rPr>
          <w:spacing w:val="-51"/>
          <w:w w:val="101"/>
        </w:rPr>
        <w:t> </w:t>
      </w:r>
      <w:r>
        <w:rPr>
          <w:spacing w:val="-51"/>
          <w:w w:val="101"/>
        </w:rPr>
      </w:r>
      <w:r>
        <w:rPr>
          <w:rFonts w:ascii="宋体" w:hAnsi="宋体" w:cs="宋体" w:eastAsia="宋体" w:hint="default"/>
        </w:rPr>
        <w:t>1)</w:t>
      </w:r>
      <w:r>
        <w:rPr>
          <w:rFonts w:ascii="宋体" w:hAnsi="宋体" w:cs="宋体" w:eastAsia="宋体" w:hint="default"/>
          <w:spacing w:val="38"/>
        </w:rPr>
        <w:t> </w:t>
      </w:r>
      <w:r>
        <w:rPr>
          <w:spacing w:val="-3"/>
        </w:rPr>
        <w:t>债务人发生重大财务困难；</w:t>
      </w:r>
    </w:p>
    <w:p>
      <w:pPr>
        <w:pStyle w:val="BodyText"/>
        <w:spacing w:line="240" w:lineRule="auto" w:before="19"/>
        <w:ind w:left="575" w:right="0"/>
        <w:jc w:val="left"/>
      </w:pPr>
      <w:r>
        <w:rPr>
          <w:rFonts w:ascii="宋体" w:hAnsi="宋体" w:cs="宋体" w:eastAsia="宋体" w:hint="default"/>
        </w:rPr>
        <w:t>2)</w:t>
      </w:r>
      <w:r>
        <w:rPr>
          <w:rFonts w:ascii="宋体" w:hAnsi="宋体" w:cs="宋体" w:eastAsia="宋体" w:hint="default"/>
          <w:spacing w:val="55"/>
        </w:rPr>
        <w:t> </w:t>
      </w:r>
      <w:r>
        <w:rPr>
          <w:spacing w:val="-3"/>
        </w:rPr>
        <w:t>债务人违反合同中对债务人的约束条款；</w:t>
      </w:r>
    </w:p>
    <w:p>
      <w:pPr>
        <w:pStyle w:val="BodyText"/>
        <w:spacing w:line="240" w:lineRule="auto" w:before="76"/>
        <w:ind w:left="575" w:right="0"/>
        <w:jc w:val="left"/>
      </w:pPr>
      <w:r>
        <w:rPr>
          <w:rFonts w:ascii="宋体" w:hAnsi="宋体" w:cs="宋体" w:eastAsia="宋体" w:hint="default"/>
        </w:rPr>
        <w:t>3)</w:t>
      </w:r>
      <w:r>
        <w:rPr>
          <w:rFonts w:ascii="宋体" w:hAnsi="宋体" w:cs="宋体" w:eastAsia="宋体" w:hint="default"/>
          <w:spacing w:val="55"/>
        </w:rPr>
        <w:t> </w:t>
      </w:r>
      <w:r>
        <w:rPr>
          <w:spacing w:val="-3"/>
        </w:rPr>
        <w:t>债务人很可能破产或进行其他财务重组；</w:t>
      </w:r>
    </w:p>
    <w:p>
      <w:pPr>
        <w:pStyle w:val="BodyText"/>
        <w:spacing w:line="240" w:lineRule="auto" w:before="76"/>
        <w:ind w:left="575" w:right="0"/>
        <w:jc w:val="left"/>
      </w:pPr>
      <w:r>
        <w:rPr>
          <w:rFonts w:ascii="宋体" w:hAnsi="宋体" w:cs="宋体" w:eastAsia="宋体" w:hint="default"/>
        </w:rPr>
        <w:t>4) </w:t>
      </w:r>
      <w:r>
        <w:rPr>
          <w:rFonts w:ascii="宋体" w:hAnsi="宋体" w:cs="宋体" w:eastAsia="宋体" w:hint="default"/>
          <w:spacing w:val="46"/>
        </w:rPr>
        <w:t> </w:t>
      </w:r>
      <w:r>
        <w:rPr>
          <w:spacing w:val="-3"/>
        </w:rPr>
        <w:t>债权人出于与债务人财务困难有关的经济或合同考虑，给予债务人在任何其他情况下都不会做出的让步。</w:t>
      </w:r>
    </w:p>
    <w:p>
      <w:pPr>
        <w:pStyle w:val="BodyText"/>
        <w:spacing w:line="316" w:lineRule="auto" w:before="76"/>
        <w:ind w:left="575" w:right="0"/>
        <w:jc w:val="left"/>
      </w:pPr>
      <w:r>
        <w:rPr>
          <w:rFonts w:ascii="宋体" w:hAnsi="宋体" w:cs="宋体" w:eastAsia="宋体" w:hint="default"/>
        </w:rPr>
        <w:t>2. </w:t>
      </w:r>
      <w:r>
        <w:rPr>
          <w:spacing w:val="-3"/>
        </w:rPr>
        <w:t>预期信用损失的计量</w:t>
      </w:r>
      <w:r>
        <w:rPr>
          <w:spacing w:val="-58"/>
        </w:rPr>
        <w:t> </w:t>
      </w:r>
      <w:r>
        <w:rPr>
          <w:spacing w:val="-58"/>
        </w:rPr>
      </w:r>
      <w:r>
        <w:rPr>
          <w:spacing w:val="-2"/>
        </w:rPr>
        <w:t>预期信用损失计量的关键参数包括违约概率、违约损失率和违约风险敞口。公司考虑历史统计数据</w:t>
      </w:r>
      <w:r>
        <w:rPr>
          <w:rFonts w:ascii="宋体" w:hAnsi="宋体" w:cs="宋体" w:eastAsia="宋体" w:hint="default"/>
          <w:spacing w:val="-2"/>
        </w:rPr>
        <w:t>(</w:t>
      </w:r>
      <w:r>
        <w:rPr>
          <w:spacing w:val="-2"/>
        </w:rPr>
        <w:t>如交易对手评级、</w:t>
      </w:r>
    </w:p>
    <w:p>
      <w:pPr>
        <w:pStyle w:val="BodyText"/>
        <w:spacing w:line="316" w:lineRule="auto" w:before="19"/>
        <w:ind w:left="575" w:right="1492" w:hanging="423"/>
        <w:jc w:val="left"/>
      </w:pPr>
      <w:r>
        <w:rPr>
          <w:spacing w:val="-3"/>
        </w:rPr>
        <w:t>担保方式及抵质押物类别、还款方式等</w:t>
      </w:r>
      <w:r>
        <w:rPr>
          <w:rFonts w:ascii="宋体" w:hAnsi="宋体" w:cs="宋体" w:eastAsia="宋体" w:hint="default"/>
          <w:spacing w:val="-3"/>
        </w:rPr>
        <w:t>)</w:t>
      </w:r>
      <w:r>
        <w:rPr>
          <w:spacing w:val="-3"/>
        </w:rPr>
        <w:t>的定量分析及前瞻性信息，建立违约概率、违约损失率及违约风险敞口模型。</w:t>
      </w:r>
      <w:r>
        <w:rPr>
          <w:spacing w:val="64"/>
        </w:rPr>
        <w:t> </w:t>
      </w:r>
      <w:r>
        <w:rPr>
          <w:spacing w:val="64"/>
        </w:rPr>
      </w:r>
      <w:r>
        <w:rPr>
          <w:rFonts w:ascii="宋体" w:hAnsi="宋体" w:cs="宋体" w:eastAsia="宋体" w:hint="default"/>
        </w:rPr>
        <w:t>3. </w:t>
      </w:r>
      <w:r>
        <w:rPr>
          <w:rFonts w:ascii="宋体" w:hAnsi="宋体" w:cs="宋体" w:eastAsia="宋体" w:hint="default"/>
          <w:spacing w:val="39"/>
        </w:rPr>
        <w:t> </w:t>
      </w:r>
      <w:r>
        <w:rPr>
          <w:spacing w:val="-3"/>
        </w:rPr>
        <w:t>金融工具损失准备期初余额与期末余额调节表详见本财务报表附注五（二十六）</w:t>
      </w:r>
      <w:r>
        <w:rPr>
          <w:rFonts w:ascii="宋体" w:hAnsi="宋体" w:cs="宋体" w:eastAsia="宋体" w:hint="default"/>
          <w:spacing w:val="-3"/>
        </w:rPr>
        <w:t>2</w:t>
      </w:r>
      <w:r>
        <w:rPr>
          <w:spacing w:val="-3"/>
        </w:rPr>
        <w:t>（</w:t>
      </w:r>
      <w:r>
        <w:rPr>
          <w:rFonts w:ascii="宋体" w:hAnsi="宋体" w:cs="宋体" w:eastAsia="宋体" w:hint="default"/>
          <w:spacing w:val="-3"/>
        </w:rPr>
        <w:t>4</w:t>
      </w:r>
      <w:r>
        <w:rPr>
          <w:spacing w:val="-3"/>
        </w:rPr>
        <w:t>）之说明。</w:t>
      </w:r>
    </w:p>
    <w:p>
      <w:pPr>
        <w:pStyle w:val="BodyText"/>
        <w:spacing w:line="316" w:lineRule="auto" w:before="19"/>
        <w:ind w:left="575" w:right="2295"/>
        <w:jc w:val="left"/>
      </w:pPr>
      <w:r>
        <w:rPr>
          <w:rFonts w:ascii="宋体" w:hAnsi="宋体" w:cs="宋体" w:eastAsia="宋体" w:hint="default"/>
        </w:rPr>
        <w:t>4. </w:t>
      </w:r>
      <w:r>
        <w:rPr>
          <w:spacing w:val="-3"/>
        </w:rPr>
        <w:t>信用风险敞口及信用风险集中度</w:t>
      </w:r>
      <w:r>
        <w:rPr>
          <w:spacing w:val="-46"/>
        </w:rPr>
        <w:t> </w:t>
      </w:r>
      <w:r>
        <w:rPr>
          <w:spacing w:val="-46"/>
        </w:rPr>
      </w:r>
      <w:r>
        <w:rPr>
          <w:spacing w:val="-3"/>
        </w:rPr>
        <w:t>本公司的信用风险主要来自货币资金和应收款项。为控制上述相关风险，本公司分别采取了以下措施。</w:t>
      </w:r>
      <w:r>
        <w:rPr>
          <w:spacing w:val="42"/>
        </w:rPr>
        <w:t> </w:t>
      </w:r>
      <w:r>
        <w:rPr>
          <w:spacing w:val="42"/>
        </w:rPr>
      </w:r>
      <w:r>
        <w:rPr>
          <w:rFonts w:ascii="宋体" w:hAnsi="宋体" w:cs="宋体" w:eastAsia="宋体" w:hint="default"/>
        </w:rPr>
        <w:t>(1) </w:t>
      </w:r>
      <w:r>
        <w:rPr>
          <w:rFonts w:ascii="宋体" w:hAnsi="宋体" w:cs="宋体" w:eastAsia="宋体" w:hint="default"/>
          <w:spacing w:val="40"/>
        </w:rPr>
        <w:t> </w:t>
      </w:r>
      <w:r>
        <w:rPr/>
        <w:t>货币资金</w:t>
      </w:r>
      <w:r>
        <w:rPr>
          <w:w w:val="101"/>
        </w:rPr>
        <w:t> </w:t>
      </w:r>
      <w:r>
        <w:rPr>
          <w:spacing w:val="-3"/>
        </w:rPr>
        <w:t>本公司将银行存款和其他货币资金存放于信用评级较高的金融机构，故其信用风险较低。</w:t>
      </w:r>
    </w:p>
    <w:p>
      <w:pPr>
        <w:pStyle w:val="BodyText"/>
        <w:spacing w:line="316" w:lineRule="auto" w:before="19"/>
        <w:ind w:left="575" w:right="1037"/>
        <w:jc w:val="left"/>
      </w:pPr>
      <w:r>
        <w:rPr>
          <w:rFonts w:ascii="宋体" w:hAnsi="宋体" w:cs="宋体" w:eastAsia="宋体" w:hint="default"/>
        </w:rPr>
        <w:t>(2) </w:t>
      </w:r>
      <w:r>
        <w:rPr/>
        <w:t>应收款项</w:t>
      </w:r>
      <w:r>
        <w:rPr>
          <w:spacing w:val="-86"/>
        </w:rPr>
        <w:t> </w:t>
      </w:r>
      <w:r>
        <w:rPr>
          <w:spacing w:val="-86"/>
        </w:rPr>
      </w:r>
      <w:r>
        <w:rPr>
          <w:spacing w:val="-2"/>
        </w:rPr>
        <w:t>本公司持续对采用信用方式交易的客户进行信用评估。根据信用评估结果，本公司选择与经认可的且信用良好的客户</w:t>
      </w:r>
    </w:p>
    <w:p>
      <w:pPr>
        <w:pStyle w:val="BodyText"/>
        <w:spacing w:line="316" w:lineRule="auto" w:before="19"/>
        <w:ind w:left="575" w:right="0" w:hanging="423"/>
        <w:jc w:val="left"/>
        <w:rPr>
          <w:rFonts w:ascii="宋体" w:hAnsi="宋体" w:cs="宋体" w:eastAsia="宋体" w:hint="default"/>
        </w:rPr>
      </w:pPr>
      <w:r>
        <w:rPr>
          <w:spacing w:val="-3"/>
        </w:rPr>
        <w:t>进行交易，并对其应收款项余额进行监控，以确保本公司不会面临重大坏账风险。</w:t>
      </w:r>
      <w:r>
        <w:rPr>
          <w:spacing w:val="14"/>
        </w:rPr>
        <w:t> </w:t>
      </w:r>
      <w:r>
        <w:rPr>
          <w:spacing w:val="14"/>
        </w:rPr>
      </w:r>
      <w:r>
        <w:rPr>
          <w:spacing w:val="-5"/>
        </w:rPr>
        <w:t>由于本公司仅与经认可的且信用良好的第三方进行交易，所以无需担保物。信用风险集中按照客户进行管理。截至</w:t>
      </w:r>
      <w:r>
        <w:rPr>
          <w:rFonts w:ascii="宋体" w:hAnsi="宋体" w:cs="宋体" w:eastAsia="宋体" w:hint="default"/>
          <w:spacing w:val="-5"/>
        </w:rPr>
        <w:t>2019</w:t>
      </w:r>
    </w:p>
    <w:p>
      <w:pPr>
        <w:pStyle w:val="BodyText"/>
        <w:spacing w:line="319" w:lineRule="auto" w:before="19"/>
        <w:ind w:right="1122"/>
        <w:jc w:val="both"/>
      </w:pPr>
      <w:r>
        <w:rPr>
          <w:spacing w:val="-5"/>
        </w:rPr>
        <w:t>年</w:t>
      </w:r>
      <w:r>
        <w:rPr>
          <w:rFonts w:ascii="宋体" w:hAnsi="宋体" w:cs="宋体" w:eastAsia="宋体" w:hint="default"/>
          <w:spacing w:val="-5"/>
        </w:rPr>
        <w:t>12</w:t>
      </w:r>
      <w:r>
        <w:rPr>
          <w:spacing w:val="-5"/>
        </w:rPr>
        <w:t>月</w:t>
      </w:r>
      <w:r>
        <w:rPr>
          <w:rFonts w:ascii="宋体" w:hAnsi="宋体" w:cs="宋体" w:eastAsia="宋体" w:hint="default"/>
          <w:spacing w:val="-5"/>
        </w:rPr>
        <w:t>31</w:t>
      </w:r>
      <w:r>
        <w:rPr>
          <w:spacing w:val="-5"/>
        </w:rPr>
        <w:t>日，本公司存在一定的信用集中风险，本公司应收账款的</w:t>
      </w:r>
      <w:r>
        <w:rPr>
          <w:rFonts w:ascii="宋体" w:hAnsi="宋体" w:cs="宋体" w:eastAsia="宋体" w:hint="default"/>
          <w:spacing w:val="-5"/>
        </w:rPr>
        <w:t>38.37% </w:t>
      </w:r>
      <w:r>
        <w:rPr>
          <w:rFonts w:ascii="宋体" w:hAnsi="宋体" w:cs="宋体" w:eastAsia="宋体" w:hint="default"/>
          <w:spacing w:val="-4"/>
        </w:rPr>
        <w:t>(2018</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w:t>
      </w:r>
      <w:r>
        <w:rPr>
          <w:rFonts w:ascii="宋体" w:hAnsi="宋体" w:cs="宋体" w:eastAsia="宋体" w:hint="default"/>
          <w:spacing w:val="-4"/>
        </w:rPr>
        <w:t>51.88%)</w:t>
      </w:r>
      <w:r>
        <w:rPr>
          <w:spacing w:val="-4"/>
        </w:rPr>
        <w:t>源于余额前五名客户。</w:t>
      </w:r>
      <w:r>
        <w:rPr>
          <w:spacing w:val="-38"/>
        </w:rPr>
        <w:t> </w:t>
      </w:r>
      <w:r>
        <w:rPr>
          <w:spacing w:val="-38"/>
        </w:rPr>
      </w:r>
      <w:r>
        <w:rPr>
          <w:spacing w:val="-3"/>
        </w:rPr>
        <w:t>本公司对应收账款余额未持有任何担保物或其他信用增级。</w:t>
      </w:r>
    </w:p>
    <w:p>
      <w:pPr>
        <w:pStyle w:val="BodyText"/>
        <w:spacing w:line="316" w:lineRule="auto" w:before="17"/>
        <w:ind w:left="575" w:right="3991"/>
        <w:jc w:val="left"/>
      </w:pPr>
      <w:r>
        <w:rPr>
          <w:spacing w:val="-3"/>
        </w:rPr>
        <w:t>本公司所承受的最大信用风险敞口为资产负债表中每项金融资产的账面价值。</w:t>
      </w:r>
      <w:r>
        <w:rPr>
          <w:spacing w:val="8"/>
        </w:rPr>
        <w:t> </w:t>
      </w:r>
      <w:r>
        <w:rPr>
          <w:spacing w:val="8"/>
        </w:rPr>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流动性风险</w:t>
      </w:r>
    </w:p>
    <w:p>
      <w:pPr>
        <w:spacing w:after="0" w:line="316"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16" w:lineRule="auto" w:before="46"/>
        <w:ind w:right="1122" w:firstLine="422"/>
        <w:jc w:val="both"/>
      </w:pPr>
      <w:r>
        <w:rPr>
          <w:spacing w:val="-2"/>
        </w:rPr>
        <w:t>流动性风险，是指本公司在履行以交付现金或其他金融资产的方式结算的义务时发生资金短缺的风险。流动性风险可</w:t>
      </w:r>
      <w:r>
        <w:rPr>
          <w:w w:val="101"/>
        </w:rPr>
        <w:t> </w:t>
      </w:r>
      <w:r>
        <w:rPr>
          <w:spacing w:val="-4"/>
        </w:rPr>
        <w:t>能源于无法尽快以公允价值售出金融资产；或者源于对方无法偿还其合同债务；或者源于提前到期的债务；或者源于无法产</w:t>
      </w:r>
      <w:r>
        <w:rPr>
          <w:spacing w:val="43"/>
        </w:rPr>
        <w:t> </w:t>
      </w:r>
      <w:r>
        <w:rPr>
          <w:spacing w:val="43"/>
        </w:rPr>
      </w:r>
      <w:r>
        <w:rPr>
          <w:spacing w:val="-3"/>
        </w:rPr>
        <w:t>生预期的现金流量。</w:t>
      </w:r>
    </w:p>
    <w:p>
      <w:pPr>
        <w:pStyle w:val="BodyText"/>
        <w:spacing w:line="316" w:lineRule="auto" w:before="19"/>
        <w:ind w:right="1124" w:firstLine="422"/>
        <w:jc w:val="both"/>
      </w:pPr>
      <w:r>
        <w:rPr>
          <w:spacing w:val="-2"/>
        </w:rPr>
        <w:t>为控制该项风险，本公司综合运用票据结算、银行借款等多种融资手段，并采取长、短期融资方式适当结合，优化融</w:t>
      </w:r>
      <w:r>
        <w:rPr>
          <w:w w:val="101"/>
        </w:rPr>
        <w:t> </w:t>
      </w:r>
      <w:r>
        <w:rPr>
          <w:spacing w:val="-4"/>
        </w:rPr>
        <w:t>资结构的方法，保持融资持续性与灵活性之间的平衡。本公司已从多家商业银行取得银行授信额度以满足营运资金需求和资</w:t>
      </w:r>
      <w:r>
        <w:rPr>
          <w:spacing w:val="39"/>
        </w:rPr>
        <w:t> </w:t>
      </w:r>
      <w:r>
        <w:rPr>
          <w:spacing w:val="39"/>
        </w:rPr>
      </w:r>
      <w:r>
        <w:rPr/>
        <w:t>本开支。</w:t>
      </w:r>
    </w:p>
    <w:p>
      <w:pPr>
        <w:pStyle w:val="BodyText"/>
        <w:spacing w:line="240" w:lineRule="auto" w:before="19"/>
        <w:ind w:left="575" w:right="0"/>
        <w:jc w:val="left"/>
      </w:pPr>
      <w:r>
        <w:rPr>
          <w:spacing w:val="-3"/>
        </w:rPr>
        <w:t>金融负债按剩余到期日分类</w:t>
      </w:r>
    </w:p>
    <w:p>
      <w:pPr>
        <w:spacing w:line="240" w:lineRule="auto" w:before="0"/>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321"/>
        <w:gridCol w:w="1685"/>
        <w:gridCol w:w="1691"/>
        <w:gridCol w:w="1685"/>
        <w:gridCol w:w="922"/>
        <w:gridCol w:w="1066"/>
      </w:tblGrid>
      <w:tr>
        <w:trPr>
          <w:trHeight w:val="341" w:hRule="exact"/>
        </w:trPr>
        <w:tc>
          <w:tcPr>
            <w:tcW w:w="1321" w:type="dxa"/>
            <w:vMerge w:val="restart"/>
            <w:tcBorders>
              <w:top w:val="single" w:sz="4" w:space="0" w:color="000000"/>
              <w:left w:val="single" w:sz="4" w:space="0" w:color="000000"/>
              <w:right w:val="single" w:sz="4" w:space="0" w:color="000000"/>
            </w:tcBorders>
          </w:tcPr>
          <w:p>
            <w:pPr>
              <w:pStyle w:val="TableParagraph"/>
              <w:spacing w:line="240" w:lineRule="auto" w:before="20"/>
              <w:ind w:left="215"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704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41" w:hRule="exact"/>
        </w:trPr>
        <w:tc>
          <w:tcPr>
            <w:tcW w:w="1321" w:type="dxa"/>
            <w:vMerge/>
            <w:tcBorders>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7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11" w:right="0"/>
              <w:jc w:val="left"/>
              <w:rPr>
                <w:rFonts w:ascii="宋体" w:hAnsi="宋体" w:cs="宋体" w:eastAsia="宋体" w:hint="default"/>
                <w:sz w:val="18"/>
                <w:szCs w:val="18"/>
              </w:rPr>
            </w:pPr>
            <w:r>
              <w:rPr>
                <w:rFonts w:ascii="宋体" w:hAnsi="宋体" w:cs="宋体" w:eastAsia="宋体" w:hint="default"/>
                <w:spacing w:val="-3"/>
                <w:sz w:val="18"/>
                <w:szCs w:val="18"/>
              </w:rPr>
              <w:t>未折现合同金额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0"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z w:val="18"/>
                <w:szCs w:val="18"/>
              </w:rPr>
              <w:t>年</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1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年以上</w:t>
            </w:r>
          </w:p>
        </w:tc>
      </w:tr>
      <w:tr>
        <w:trPr>
          <w:trHeight w:val="346" w:hRule="exact"/>
        </w:trPr>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right"/>
              <w:rPr>
                <w:rFonts w:ascii="宋体" w:hAnsi="宋体" w:cs="宋体" w:eastAsia="宋体" w:hint="default"/>
                <w:sz w:val="18"/>
                <w:szCs w:val="18"/>
              </w:rPr>
            </w:pPr>
            <w:r>
              <w:rPr>
                <w:rFonts w:ascii="宋体"/>
                <w:spacing w:val="-1"/>
                <w:sz w:val="18"/>
              </w:rPr>
              <w:t>80,752,591.67</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right"/>
              <w:rPr>
                <w:rFonts w:ascii="宋体" w:hAnsi="宋体" w:cs="宋体" w:eastAsia="宋体" w:hint="default"/>
                <w:sz w:val="18"/>
                <w:szCs w:val="18"/>
              </w:rPr>
            </w:pPr>
            <w:r>
              <w:rPr>
                <w:rFonts w:ascii="宋体"/>
                <w:spacing w:val="-1"/>
                <w:sz w:val="18"/>
              </w:rPr>
              <w:t>80,980,916.67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right"/>
              <w:rPr>
                <w:rFonts w:ascii="宋体" w:hAnsi="宋体" w:cs="宋体" w:eastAsia="宋体" w:hint="default"/>
                <w:sz w:val="18"/>
                <w:szCs w:val="18"/>
              </w:rPr>
            </w:pPr>
            <w:r>
              <w:rPr>
                <w:rFonts w:ascii="宋体"/>
                <w:spacing w:val="-1"/>
                <w:sz w:val="18"/>
              </w:rPr>
              <w:t>80,980,916.67</w:t>
            </w:r>
          </w:p>
        </w:tc>
        <w:tc>
          <w:tcPr>
            <w:tcW w:w="92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10,455,952.40</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10,455,952.40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10,455,952.40</w:t>
            </w:r>
          </w:p>
        </w:tc>
        <w:tc>
          <w:tcPr>
            <w:tcW w:w="92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110,506,365.50</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110,506,365.50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110,506,365.50</w:t>
            </w:r>
          </w:p>
        </w:tc>
        <w:tc>
          <w:tcPr>
            <w:tcW w:w="92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60,058,106.33</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60,058,106.33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60,058,106.33</w:t>
            </w:r>
          </w:p>
        </w:tc>
        <w:tc>
          <w:tcPr>
            <w:tcW w:w="92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15"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right"/>
              <w:rPr>
                <w:rFonts w:ascii="宋体" w:hAnsi="宋体" w:cs="宋体" w:eastAsia="宋体" w:hint="default"/>
                <w:sz w:val="18"/>
                <w:szCs w:val="18"/>
              </w:rPr>
            </w:pPr>
            <w:r>
              <w:rPr>
                <w:rFonts w:ascii="宋体"/>
                <w:spacing w:val="-2"/>
                <w:sz w:val="18"/>
              </w:rPr>
              <w:t>261,773,015.90</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right"/>
              <w:rPr>
                <w:rFonts w:ascii="宋体" w:hAnsi="宋体" w:cs="宋体" w:eastAsia="宋体" w:hint="default"/>
                <w:sz w:val="18"/>
                <w:szCs w:val="18"/>
              </w:rPr>
            </w:pPr>
            <w:r>
              <w:rPr>
                <w:rFonts w:ascii="宋体"/>
                <w:spacing w:val="-2"/>
                <w:sz w:val="18"/>
              </w:rPr>
              <w:t>262,001,340.90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right"/>
              <w:rPr>
                <w:rFonts w:ascii="宋体" w:hAnsi="宋体" w:cs="宋体" w:eastAsia="宋体" w:hint="default"/>
                <w:sz w:val="18"/>
                <w:szCs w:val="18"/>
              </w:rPr>
            </w:pPr>
            <w:r>
              <w:rPr>
                <w:rFonts w:ascii="宋体"/>
                <w:spacing w:val="-2"/>
                <w:sz w:val="18"/>
              </w:rPr>
              <w:t>262,001,340.90</w:t>
            </w:r>
          </w:p>
        </w:tc>
        <w:tc>
          <w:tcPr>
            <w:tcW w:w="92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10"/>
        <w:ind w:left="575" w:right="0"/>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w:t>
      </w:r>
    </w:p>
    <w:p>
      <w:pPr>
        <w:spacing w:line="240" w:lineRule="auto" w:before="0"/>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316"/>
        <w:gridCol w:w="1685"/>
        <w:gridCol w:w="1691"/>
        <w:gridCol w:w="1685"/>
        <w:gridCol w:w="965"/>
        <w:gridCol w:w="1028"/>
      </w:tblGrid>
      <w:tr>
        <w:trPr>
          <w:trHeight w:val="341" w:hRule="exact"/>
        </w:trPr>
        <w:tc>
          <w:tcPr>
            <w:tcW w:w="1316" w:type="dxa"/>
            <w:vMerge w:val="restart"/>
            <w:tcBorders>
              <w:top w:val="single" w:sz="4" w:space="0" w:color="000000"/>
              <w:left w:val="single" w:sz="4" w:space="0" w:color="000000"/>
              <w:right w:val="single" w:sz="4" w:space="0" w:color="000000"/>
            </w:tcBorders>
          </w:tcPr>
          <w:p>
            <w:pPr>
              <w:pStyle w:val="TableParagraph"/>
              <w:spacing w:line="240" w:lineRule="auto" w:before="20"/>
              <w:ind w:left="215"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705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期初数</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w:t>
            </w:r>
          </w:p>
        </w:tc>
      </w:tr>
      <w:tr>
        <w:trPr>
          <w:trHeight w:val="341" w:hRule="exact"/>
        </w:trPr>
        <w:tc>
          <w:tcPr>
            <w:tcW w:w="1316" w:type="dxa"/>
            <w:vMerge/>
            <w:tcBorders>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8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11" w:right="0"/>
              <w:jc w:val="left"/>
              <w:rPr>
                <w:rFonts w:ascii="宋体" w:hAnsi="宋体" w:cs="宋体" w:eastAsia="宋体" w:hint="default"/>
                <w:sz w:val="18"/>
                <w:szCs w:val="18"/>
              </w:rPr>
            </w:pPr>
            <w:r>
              <w:rPr>
                <w:rFonts w:ascii="宋体" w:hAnsi="宋体" w:cs="宋体" w:eastAsia="宋体" w:hint="default"/>
                <w:spacing w:val="-3"/>
                <w:sz w:val="18"/>
                <w:szCs w:val="18"/>
              </w:rPr>
              <w:t>未折现合同金额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9"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z w:val="18"/>
                <w:szCs w:val="18"/>
              </w:rPr>
              <w:t>年</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年以上</w:t>
            </w:r>
          </w:p>
        </w:tc>
      </w:tr>
      <w:tr>
        <w:trPr>
          <w:trHeight w:val="346"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2"/>
                <w:sz w:val="18"/>
              </w:rPr>
              <w:t>105,145,119.44</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107,373,458.19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107,373,458.19</w:t>
            </w:r>
          </w:p>
        </w:tc>
        <w:tc>
          <w:tcPr>
            <w:tcW w:w="965"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1"/>
                <w:sz w:val="18"/>
              </w:rPr>
              <w:t>11,939,914.60</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11,939,914.60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11,939,914.60</w:t>
            </w:r>
          </w:p>
        </w:tc>
        <w:tc>
          <w:tcPr>
            <w:tcW w:w="965"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2"/>
                <w:sz w:val="18"/>
              </w:rPr>
              <w:t>135,976,086.79</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135,976,086.79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135,976,086.79</w:t>
            </w:r>
          </w:p>
        </w:tc>
        <w:tc>
          <w:tcPr>
            <w:tcW w:w="965"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1"/>
                <w:sz w:val="18"/>
              </w:rPr>
              <w:t>55,682,663.17</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55,682,663.17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55,682,663.17</w:t>
            </w:r>
          </w:p>
        </w:tc>
        <w:tc>
          <w:tcPr>
            <w:tcW w:w="965"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15"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right"/>
              <w:rPr>
                <w:rFonts w:ascii="宋体" w:hAnsi="宋体" w:cs="宋体" w:eastAsia="宋体" w:hint="default"/>
                <w:sz w:val="18"/>
                <w:szCs w:val="18"/>
              </w:rPr>
            </w:pPr>
            <w:r>
              <w:rPr>
                <w:rFonts w:ascii="宋体"/>
                <w:spacing w:val="-2"/>
                <w:sz w:val="18"/>
              </w:rPr>
              <w:t>308,743,784.00</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right"/>
              <w:rPr>
                <w:rFonts w:ascii="宋体" w:hAnsi="宋体" w:cs="宋体" w:eastAsia="宋体" w:hint="default"/>
                <w:sz w:val="18"/>
                <w:szCs w:val="18"/>
              </w:rPr>
            </w:pPr>
            <w:r>
              <w:rPr>
                <w:rFonts w:ascii="宋体"/>
                <w:spacing w:val="-2"/>
                <w:sz w:val="18"/>
              </w:rPr>
              <w:t>310,972,122.75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right"/>
              <w:rPr>
                <w:rFonts w:ascii="宋体" w:hAnsi="宋体" w:cs="宋体" w:eastAsia="宋体" w:hint="default"/>
                <w:sz w:val="18"/>
                <w:szCs w:val="18"/>
              </w:rPr>
            </w:pPr>
            <w:r>
              <w:rPr>
                <w:rFonts w:ascii="宋体"/>
                <w:spacing w:val="-2"/>
                <w:sz w:val="18"/>
              </w:rPr>
              <w:t>310,972,122.75</w:t>
            </w:r>
          </w:p>
        </w:tc>
        <w:tc>
          <w:tcPr>
            <w:tcW w:w="965"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19" w:lineRule="auto" w:before="10"/>
        <w:ind w:left="575" w:right="2593"/>
        <w:jc w:val="left"/>
      </w:pPr>
      <w:r>
        <w:rPr>
          <w:rFonts w:ascii="宋体" w:hAnsi="宋体" w:cs="宋体" w:eastAsia="宋体" w:hint="default"/>
          <w:spacing w:val="-3"/>
        </w:rPr>
        <w:t>[</w:t>
      </w:r>
      <w:r>
        <w:rPr>
          <w:spacing w:val="-3"/>
        </w:rPr>
        <w:t>注</w:t>
      </w:r>
      <w:r>
        <w:rPr>
          <w:rFonts w:ascii="宋体" w:hAnsi="宋体" w:cs="宋体" w:eastAsia="宋体" w:hint="default"/>
          <w:spacing w:val="-3"/>
        </w:rPr>
        <w:t>]</w:t>
      </w:r>
      <w:r>
        <w:rPr>
          <w:spacing w:val="-3"/>
        </w:rPr>
        <w:t>：期初数与上年年末数（</w:t>
      </w:r>
      <w:r>
        <w:rPr>
          <w:rFonts w:ascii="宋体" w:hAnsi="宋体" w:cs="宋体" w:eastAsia="宋体" w:hint="default"/>
          <w:spacing w:val="-3"/>
        </w:rPr>
        <w:t>2018</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日）差异详见第十二节财务报告、五、</w:t>
      </w:r>
      <w:r>
        <w:rPr>
          <w:rFonts w:ascii="宋体" w:hAnsi="宋体" w:cs="宋体" w:eastAsia="宋体" w:hint="default"/>
          <w:spacing w:val="-3"/>
        </w:rPr>
        <w:t>27</w:t>
      </w:r>
      <w:r>
        <w:rPr>
          <w:spacing w:val="-3"/>
        </w:rPr>
        <w:t>之说明。。</w:t>
      </w:r>
      <w:r>
        <w:rPr>
          <w:spacing w:val="48"/>
        </w:rPr>
        <w:t> </w:t>
      </w:r>
      <w:r>
        <w:rPr>
          <w:spacing w:val="48"/>
        </w:rPr>
      </w: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5"/>
        </w:rPr>
        <w:t> </w:t>
      </w:r>
      <w:r>
        <w:rPr/>
        <w:t>市场风险</w:t>
      </w:r>
    </w:p>
    <w:p>
      <w:pPr>
        <w:pStyle w:val="BodyText"/>
        <w:spacing w:line="316" w:lineRule="auto" w:before="17"/>
        <w:ind w:right="1037" w:firstLine="422"/>
        <w:jc w:val="left"/>
      </w:pPr>
      <w:r>
        <w:rPr>
          <w:spacing w:val="-2"/>
        </w:rPr>
        <w:t>市场风险，是指金融工具的公允价值或未来现金流量因市场价格变动而发生波动的风险。市场风险主要包括利率风险</w:t>
      </w:r>
      <w:r>
        <w:rPr>
          <w:w w:val="101"/>
        </w:rPr>
        <w:t> </w:t>
      </w:r>
      <w:r>
        <w:rPr/>
        <w:t>和外汇风险。</w:t>
      </w:r>
    </w:p>
    <w:p>
      <w:pPr>
        <w:pStyle w:val="BodyText"/>
        <w:spacing w:line="316" w:lineRule="auto" w:before="19"/>
        <w:ind w:left="575" w:right="1037"/>
        <w:jc w:val="left"/>
      </w:pPr>
      <w:r>
        <w:rPr>
          <w:rFonts w:ascii="宋体" w:hAnsi="宋体" w:cs="宋体" w:eastAsia="宋体" w:hint="default"/>
        </w:rPr>
        <w:t>1. </w:t>
      </w:r>
      <w:r>
        <w:rPr>
          <w:spacing w:val="-3"/>
        </w:rPr>
        <w:t>利率风险</w:t>
      </w:r>
      <w:r>
        <w:rPr>
          <w:spacing w:val="-75"/>
        </w:rPr>
        <w:t> </w:t>
      </w:r>
      <w:r>
        <w:rPr>
          <w:spacing w:val="-75"/>
        </w:rPr>
      </w:r>
      <w:r>
        <w:rPr>
          <w:spacing w:val="-2"/>
        </w:rPr>
        <w:t>利率风险，是指金融工具的公允价值或未来现金流量因市场利率变动而发生波动的风险。固定利率的带息金融工具使</w:t>
      </w:r>
    </w:p>
    <w:p>
      <w:pPr>
        <w:pStyle w:val="BodyText"/>
        <w:spacing w:line="319" w:lineRule="auto" w:before="19"/>
        <w:ind w:right="0"/>
        <w:jc w:val="left"/>
      </w:pPr>
      <w:r>
        <w:rPr>
          <w:spacing w:val="-4"/>
        </w:rPr>
        <w:t>本公司面临公允价值利率风险，浮动利率的带息金融工具使本公司面临现金流量利率风险。本公司根据市场环境来决定固定</w:t>
      </w:r>
      <w:r>
        <w:rPr>
          <w:spacing w:val="43"/>
        </w:rPr>
        <w:t> </w:t>
      </w:r>
      <w:r>
        <w:rPr>
          <w:spacing w:val="43"/>
        </w:rPr>
      </w:r>
      <w:r>
        <w:rPr>
          <w:spacing w:val="-3"/>
        </w:rPr>
        <w:t>利率与浮动利率金融工具的比例，并通过定期审阅与监控维持适当的金融工具组合。</w:t>
      </w:r>
    </w:p>
    <w:p>
      <w:pPr>
        <w:pStyle w:val="BodyText"/>
        <w:spacing w:line="316" w:lineRule="auto" w:before="17"/>
        <w:ind w:right="0" w:firstLine="422"/>
        <w:jc w:val="left"/>
      </w:pPr>
      <w:r>
        <w:rPr>
          <w:rFonts w:ascii="宋体" w:hAnsi="宋体" w:cs="宋体" w:eastAsia="宋体" w:hint="default"/>
        </w:rPr>
        <w:t>2.</w:t>
      </w:r>
      <w:r>
        <w:rPr>
          <w:rFonts w:ascii="宋体" w:hAnsi="宋体" w:cs="宋体" w:eastAsia="宋体" w:hint="default"/>
          <w:spacing w:val="1"/>
        </w:rPr>
        <w:t> </w:t>
      </w:r>
      <w:r>
        <w:rPr>
          <w:spacing w:val="-3"/>
        </w:rPr>
        <w:t>外汇风险</w:t>
      </w:r>
      <w:r>
        <w:rPr>
          <w:w w:val="101"/>
        </w:rPr>
        <w:t> </w:t>
      </w:r>
      <w:r>
        <w:rPr>
          <w:spacing w:val="-4"/>
        </w:rPr>
        <w:t>外汇风险，是指金融工具的公允价值或未来现金流量因外汇汇率变动而发生波动的风险。本公司于中国内地经营，且主要活</w:t>
      </w:r>
      <w:r>
        <w:rPr>
          <w:spacing w:val="43"/>
        </w:rPr>
        <w:t> </w:t>
      </w:r>
      <w:r>
        <w:rPr>
          <w:spacing w:val="43"/>
        </w:rPr>
      </w:r>
      <w:r>
        <w:rPr>
          <w:spacing w:val="-3"/>
        </w:rPr>
        <w:t>动以人民币计价。因此，本公司所承担的外汇变动市场风险不重大。</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十一、关联方及关联交易" w:id="383"/>
      <w:bookmarkEnd w:id="383"/>
      <w:r>
        <w:rPr>
          <w:b w:val="0"/>
          <w:bCs w:val="0"/>
        </w:rPr>
      </w:r>
      <w:r>
        <w:rPr/>
        <w:t>十一、关联方及关联交易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本企业的母公司情况" w:id="384"/>
      <w:bookmarkEnd w:id="384"/>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5"/>
        <w:gridCol w:w="1599"/>
        <w:gridCol w:w="1594"/>
        <w:gridCol w:w="1594"/>
      </w:tblGrid>
      <w:tr>
        <w:trPr>
          <w:trHeight w:val="71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1" w:right="65" w:hanging="360"/>
              <w:jc w:val="left"/>
              <w:rPr>
                <w:rFonts w:ascii="宋体" w:hAnsi="宋体" w:cs="宋体" w:eastAsia="宋体" w:hint="default"/>
                <w:sz w:val="18"/>
                <w:szCs w:val="18"/>
              </w:rPr>
            </w:pPr>
            <w:r>
              <w:rPr>
                <w:rFonts w:ascii="宋体" w:hAnsi="宋体" w:cs="宋体" w:eastAsia="宋体" w:hint="default"/>
                <w:spacing w:val="-2"/>
                <w:sz w:val="18"/>
                <w:szCs w:val="18"/>
              </w:rPr>
              <w:t>母公司对本企业的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持股比例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45" w:right="65" w:hanging="274"/>
              <w:jc w:val="left"/>
              <w:rPr>
                <w:rFonts w:ascii="宋体" w:hAnsi="宋体" w:cs="宋体" w:eastAsia="宋体" w:hint="default"/>
                <w:sz w:val="18"/>
                <w:szCs w:val="18"/>
              </w:rPr>
            </w:pPr>
            <w:r>
              <w:rPr>
                <w:rFonts w:ascii="宋体" w:hAnsi="宋体" w:cs="宋体" w:eastAsia="宋体" w:hint="default"/>
                <w:spacing w:val="-2"/>
                <w:sz w:val="18"/>
                <w:szCs w:val="18"/>
              </w:rPr>
              <w:t>母公司对本企业的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表决权比例</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13"/>
              <w:jc w:val="left"/>
              <w:rPr>
                <w:rFonts w:ascii="宋体" w:hAnsi="宋体" w:cs="宋体" w:eastAsia="宋体" w:hint="default"/>
                <w:sz w:val="18"/>
                <w:szCs w:val="18"/>
              </w:rPr>
            </w:pPr>
            <w:r>
              <w:rPr>
                <w:rFonts w:ascii="宋体" w:hAnsi="宋体" w:cs="宋体" w:eastAsia="宋体" w:hint="default"/>
                <w:spacing w:val="-2"/>
                <w:sz w:val="18"/>
                <w:szCs w:val="18"/>
              </w:rPr>
              <w:t>杭州磐源投资有限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1003" w:right="0"/>
              <w:jc w:val="left"/>
              <w:rPr>
                <w:rFonts w:ascii="Times New Roman" w:hAnsi="Times New Roman" w:cs="Times New Roman" w:eastAsia="Times New Roman" w:hint="default"/>
                <w:sz w:val="18"/>
                <w:szCs w:val="18"/>
              </w:rPr>
            </w:pPr>
            <w:r>
              <w:rPr>
                <w:rFonts w:ascii="Times New Roman"/>
                <w:sz w:val="18"/>
              </w:rPr>
              <w:t>53.74%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53.74%</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6"/>
        <w:rPr>
          <w:rFonts w:ascii="宋体" w:hAnsi="宋体" w:cs="宋体" w:eastAsia="宋体" w:hint="default"/>
          <w:b/>
          <w:bCs/>
          <w:sz w:val="26"/>
          <w:szCs w:val="26"/>
        </w:rPr>
      </w:pPr>
    </w:p>
    <w:p>
      <w:pPr>
        <w:pStyle w:val="BodyText"/>
        <w:spacing w:line="352" w:lineRule="auto" w:before="46"/>
        <w:ind w:left="575" w:right="0" w:hanging="423"/>
        <w:jc w:val="left"/>
      </w:pPr>
      <w:r>
        <w:rPr>
          <w:spacing w:val="-3"/>
        </w:rPr>
        <w:t>本企业的母公司情况的说明</w:t>
      </w:r>
      <w:r>
        <w:rPr>
          <w:spacing w:val="-51"/>
        </w:rPr>
        <w:t> </w:t>
      </w:r>
      <w:r>
        <w:rPr>
          <w:spacing w:val="-51"/>
        </w:rPr>
      </w:r>
      <w:r>
        <w:rPr>
          <w:spacing w:val="-2"/>
        </w:rPr>
        <w:t>本公司实际控制人为杨一兵、杨波兄弟，其通过杭州磐源投资有限公司、杭州磐鸿投资管理合伙企业（有限合伙）分</w:t>
      </w:r>
    </w:p>
    <w:p>
      <w:pPr>
        <w:pStyle w:val="BodyText"/>
        <w:spacing w:line="343" w:lineRule="auto"/>
        <w:ind w:right="0"/>
        <w:jc w:val="left"/>
      </w:pPr>
      <w:r>
        <w:rPr>
          <w:spacing w:val="-2"/>
        </w:rPr>
        <w:t>别间接持有本公司</w:t>
      </w:r>
      <w:r>
        <w:rPr>
          <w:rFonts w:ascii="Times New Roman" w:hAnsi="Times New Roman" w:cs="Times New Roman" w:eastAsia="Times New Roman" w:hint="default"/>
          <w:spacing w:val="-2"/>
        </w:rPr>
        <w:t>48,457,752</w:t>
      </w:r>
      <w:r>
        <w:rPr>
          <w:spacing w:val="-2"/>
        </w:rPr>
        <w:t>股、</w:t>
      </w:r>
      <w:r>
        <w:rPr>
          <w:rFonts w:ascii="Times New Roman" w:hAnsi="Times New Roman" w:cs="Times New Roman" w:eastAsia="Times New Roman" w:hint="default"/>
          <w:spacing w:val="-2"/>
        </w:rPr>
        <w:t>8,069,376</w:t>
      </w:r>
      <w:r>
        <w:rPr>
          <w:spacing w:val="-2"/>
        </w:rPr>
        <w:t>股</w:t>
      </w:r>
      <w:r>
        <w:rPr>
          <w:rFonts w:ascii="Times New Roman" w:hAnsi="Times New Roman" w:cs="Times New Roman" w:eastAsia="Times New Roman" w:hint="default"/>
          <w:spacing w:val="-2"/>
        </w:rPr>
        <w:t>,</w:t>
      </w:r>
      <w:r>
        <w:rPr>
          <w:spacing w:val="-2"/>
        </w:rPr>
        <w:t>合计持有本公司</w:t>
      </w:r>
      <w:r>
        <w:rPr>
          <w:rFonts w:ascii="Times New Roman" w:hAnsi="Times New Roman" w:cs="Times New Roman" w:eastAsia="Times New Roman" w:hint="default"/>
          <w:spacing w:val="-2"/>
        </w:rPr>
        <w:t>56,527,128</w:t>
      </w:r>
      <w:r>
        <w:rPr>
          <w:spacing w:val="-2"/>
        </w:rPr>
        <w:t>股的股权，占本公司注册资本的</w:t>
      </w:r>
      <w:r>
        <w:rPr>
          <w:rFonts w:ascii="Times New Roman" w:hAnsi="Times New Roman" w:cs="Times New Roman" w:eastAsia="Times New Roman" w:hint="default"/>
          <w:spacing w:val="-2"/>
        </w:rPr>
        <w:t>48.19%</w:t>
      </w:r>
      <w:r>
        <w:rPr>
          <w:spacing w:val="-2"/>
        </w:rPr>
        <w:t>。</w:t>
      </w:r>
      <w:r>
        <w:rPr>
          <w:spacing w:val="45"/>
        </w:rPr>
        <w:t> </w:t>
      </w:r>
      <w:r>
        <w:rPr>
          <w:spacing w:val="-3"/>
        </w:rPr>
        <w:t>本企业最终控制方是杨一兵。</w:t>
      </w:r>
    </w:p>
    <w:p>
      <w:pPr>
        <w:pStyle w:val="BodyText"/>
        <w:spacing w:line="240" w:lineRule="auto" w:before="42"/>
        <w:ind w:right="0"/>
        <w:jc w:val="left"/>
      </w:pPr>
      <w:r>
        <w:rPr/>
        <w:t>其他说明：</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2、本企业的子公司情况" w:id="385"/>
      <w:bookmarkEnd w:id="385"/>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spacing w:val="-3"/>
        </w:rPr>
        <w:t>本企业子公司的情况详见附注九。</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bookmarkStart w:name="3、本企业合营和联营企业情况" w:id="386"/>
      <w:bookmarkEnd w:id="386"/>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1"/>
        <w:rPr>
          <w:rFonts w:ascii="宋体" w:hAnsi="宋体" w:cs="宋体" w:eastAsia="宋体" w:hint="default"/>
          <w:b/>
          <w:bCs/>
          <w:sz w:val="27"/>
          <w:szCs w:val="27"/>
        </w:rPr>
      </w:pPr>
    </w:p>
    <w:p>
      <w:pPr>
        <w:pStyle w:val="BodyText"/>
        <w:spacing w:line="357" w:lineRule="auto"/>
        <w:ind w:right="0"/>
        <w:jc w:val="left"/>
      </w:pPr>
      <w:r>
        <w:rPr>
          <w:spacing w:val="-3"/>
        </w:rPr>
        <w:t>本企业重要的合营或联营企业详见附注九。</w:t>
      </w:r>
      <w:r>
        <w:rPr>
          <w:spacing w:val="-33"/>
        </w:rPr>
        <w:t> </w:t>
      </w:r>
      <w:r>
        <w:rPr>
          <w:spacing w:val="-33"/>
        </w:rPr>
      </w:r>
      <w:r>
        <w:rPr>
          <w:spacing w:val="-3"/>
        </w:rPr>
        <w:t>本期与本公司发生关联方交易，或前期与本公司发生关联方交易形成余额的其他合营或联营企业情况如下：</w:t>
      </w: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79" w:right="0"/>
              <w:jc w:val="left"/>
              <w:rPr>
                <w:rFonts w:ascii="宋体" w:hAnsi="宋体" w:cs="宋体" w:eastAsia="宋体" w:hint="default"/>
                <w:sz w:val="18"/>
                <w:szCs w:val="18"/>
              </w:rPr>
            </w:pPr>
            <w:r>
              <w:rPr>
                <w:rFonts w:ascii="宋体" w:hAnsi="宋体" w:cs="宋体" w:eastAsia="宋体" w:hint="default"/>
                <w:spacing w:val="-3"/>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65"/>
        <w:ind w:right="0"/>
        <w:jc w:val="left"/>
      </w:pPr>
      <w:r>
        <w:rPr/>
        <w:t>其他说明</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bookmarkStart w:name="4、其他关联方情况" w:id="387"/>
      <w:bookmarkEnd w:id="387"/>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7" w:right="0"/>
              <w:jc w:val="left"/>
              <w:rPr>
                <w:rFonts w:ascii="宋体" w:hAnsi="宋体" w:cs="宋体" w:eastAsia="宋体" w:hint="default"/>
                <w:sz w:val="18"/>
                <w:szCs w:val="18"/>
              </w:rPr>
            </w:pPr>
            <w:r>
              <w:rPr>
                <w:rFonts w:ascii="宋体" w:hAnsi="宋体" w:cs="宋体" w:eastAsia="宋体" w:hint="default"/>
                <w:spacing w:val="-3"/>
                <w:sz w:val="18"/>
                <w:szCs w:val="18"/>
              </w:rPr>
              <w:t>其他关联方与本企业关系</w:t>
            </w:r>
          </w:p>
        </w:tc>
      </w:tr>
    </w:tbl>
    <w:p>
      <w:pPr>
        <w:pStyle w:val="BodyText"/>
        <w:spacing w:line="240" w:lineRule="auto" w:before="53"/>
        <w:ind w:right="0"/>
        <w:jc w:val="left"/>
      </w:pPr>
      <w:r>
        <w:rPr/>
        <w:t>其他说明</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bookmarkStart w:name="5、关联交易情况" w:id="388"/>
      <w:bookmarkEnd w:id="388"/>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购销商品、提供和接受劳务的关联交易" w:id="389"/>
      <w:bookmarkEnd w:id="389"/>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1"/>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5"/>
        <w:gridCol w:w="1705"/>
        <w:gridCol w:w="1709"/>
        <w:gridCol w:w="1709"/>
      </w:tblGrid>
      <w:tr>
        <w:trPr>
          <w:trHeight w:val="399"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pacing w:val="-3"/>
                <w:sz w:val="18"/>
                <w:szCs w:val="18"/>
              </w:rPr>
              <w:t>获批的交易额度</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3"/>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6"/>
        <w:gridCol w:w="2262"/>
        <w:gridCol w:w="2261"/>
        <w:gridCol w:w="2651"/>
      </w:tblGrid>
      <w:tr>
        <w:trPr>
          <w:trHeight w:val="403"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8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7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7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3"/>
        <w:ind w:right="0"/>
        <w:jc w:val="left"/>
      </w:pPr>
      <w:r>
        <w:rPr>
          <w:spacing w:val="-3"/>
        </w:rPr>
        <w:t>购销商品、提供和接受劳务的关联交易说明</w:t>
      </w: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bookmarkStart w:name="（2）关联受托管理/承包及委托管理/出包情况" w:id="390"/>
      <w:bookmarkEnd w:id="390"/>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1"/>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71"/>
        <w:gridCol w:w="1366"/>
      </w:tblGrid>
      <w:tr>
        <w:trPr>
          <w:trHeight w:val="71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6"/>
              <w:ind w:left="590" w:right="17" w:hanging="567"/>
              <w:jc w:val="left"/>
              <w:rPr>
                <w:rFonts w:ascii="宋体" w:hAnsi="宋体" w:cs="宋体" w:eastAsia="宋体" w:hint="default"/>
                <w:sz w:val="18"/>
                <w:szCs w:val="18"/>
              </w:rPr>
            </w:pPr>
            <w:r>
              <w:rPr>
                <w:rFonts w:ascii="宋体" w:hAnsi="宋体" w:cs="宋体" w:eastAsia="宋体" w:hint="default"/>
                <w:spacing w:val="-2"/>
                <w:sz w:val="18"/>
                <w:szCs w:val="18"/>
              </w:rPr>
              <w:t>委托方</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出包方名</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6"/>
              <w:ind w:left="590" w:right="17" w:hanging="567"/>
              <w:jc w:val="left"/>
              <w:rPr>
                <w:rFonts w:ascii="宋体" w:hAnsi="宋体" w:cs="宋体" w:eastAsia="宋体" w:hint="default"/>
                <w:sz w:val="18"/>
                <w:szCs w:val="18"/>
              </w:rPr>
            </w:pPr>
            <w:r>
              <w:rPr>
                <w:rFonts w:ascii="宋体" w:hAnsi="宋体" w:cs="宋体" w:eastAsia="宋体" w:hint="default"/>
                <w:spacing w:val="-2"/>
                <w:sz w:val="18"/>
                <w:szCs w:val="18"/>
              </w:rPr>
              <w:t>受托方</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承包方名</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6"/>
              <w:ind w:left="591" w:right="17" w:hanging="567"/>
              <w:jc w:val="left"/>
              <w:rPr>
                <w:rFonts w:ascii="宋体" w:hAnsi="宋体" w:cs="宋体" w:eastAsia="宋体" w:hint="default"/>
                <w:sz w:val="18"/>
                <w:szCs w:val="18"/>
              </w:rPr>
            </w:pPr>
            <w:r>
              <w:rPr>
                <w:rFonts w:ascii="宋体" w:hAnsi="宋体" w:cs="宋体" w:eastAsia="宋体" w:hint="default"/>
                <w:spacing w:val="-2"/>
                <w:sz w:val="18"/>
                <w:szCs w:val="18"/>
              </w:rPr>
              <w:t>受托</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承包资产类</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6"/>
              <w:ind w:left="231" w:right="19" w:hanging="207"/>
              <w:jc w:val="left"/>
              <w:rPr>
                <w:rFonts w:ascii="宋体" w:hAnsi="宋体" w:cs="宋体" w:eastAsia="宋体" w:hint="default"/>
                <w:sz w:val="18"/>
                <w:szCs w:val="18"/>
              </w:rPr>
            </w:pPr>
            <w:r>
              <w:rPr>
                <w:rFonts w:ascii="宋体" w:hAnsi="宋体" w:cs="宋体" w:eastAsia="宋体" w:hint="default"/>
                <w:spacing w:val="-2"/>
                <w:sz w:val="18"/>
                <w:szCs w:val="18"/>
              </w:rPr>
              <w:t>托管收益</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承包收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益定价依据</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113" w:right="46" w:hanging="68"/>
              <w:jc w:val="left"/>
              <w:rPr>
                <w:rFonts w:ascii="宋体" w:hAnsi="宋体" w:cs="宋体" w:eastAsia="宋体" w:hint="default"/>
                <w:sz w:val="18"/>
                <w:szCs w:val="18"/>
              </w:rPr>
            </w:pPr>
            <w:r>
              <w:rPr>
                <w:rFonts w:ascii="宋体" w:hAnsi="宋体" w:cs="宋体" w:eastAsia="宋体" w:hint="default"/>
                <w:spacing w:val="-3"/>
                <w:sz w:val="18"/>
                <w:szCs w:val="18"/>
              </w:rPr>
              <w:t>本期确认的托管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pStyle w:val="BodyText"/>
        <w:spacing w:line="240" w:lineRule="auto" w:before="53"/>
        <w:ind w:right="0"/>
        <w:jc w:val="left"/>
      </w:pPr>
      <w:r>
        <w:rPr>
          <w:spacing w:val="-3"/>
        </w:rPr>
        <w:t>关联托管</w:t>
      </w:r>
      <w:r>
        <w:rPr>
          <w:rFonts w:ascii="Times New Roman" w:hAnsi="Times New Roman" w:cs="Times New Roman" w:eastAsia="Times New Roman" w:hint="default"/>
          <w:spacing w:val="-3"/>
        </w:rPr>
        <w:t>/</w:t>
      </w:r>
      <w:r>
        <w:rPr>
          <w:spacing w:val="-3"/>
        </w:rPr>
        <w:t>承包情况说明</w:t>
      </w:r>
    </w:p>
    <w:p>
      <w:pPr>
        <w:spacing w:after="0" w:line="240" w:lineRule="auto"/>
        <w:jc w:val="left"/>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pStyle w:val="BodyText"/>
        <w:spacing w:line="240" w:lineRule="auto" w:before="46"/>
        <w:ind w:right="0"/>
        <w:jc w:val="left"/>
      </w:pPr>
      <w:r>
        <w:rPr/>
        <w:t>本公司委托管理</w:t>
      </w:r>
      <w:r>
        <w:rPr>
          <w:rFonts w:ascii="Times New Roman" w:hAnsi="Times New Roman" w:cs="Times New Roman" w:eastAsia="Times New Roman" w:hint="default"/>
        </w:rPr>
        <w:t>/</w:t>
      </w:r>
      <w:r>
        <w:rPr/>
        <w:t>出包情况表：</w:t>
      </w:r>
    </w:p>
    <w:p>
      <w:pPr>
        <w:pStyle w:val="BodyText"/>
        <w:spacing w:line="240" w:lineRule="auto" w:before="101"/>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71"/>
        <w:gridCol w:w="1366"/>
      </w:tblGrid>
      <w:tr>
        <w:trPr>
          <w:trHeight w:val="711"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590" w:right="17" w:hanging="567"/>
              <w:jc w:val="left"/>
              <w:rPr>
                <w:rFonts w:ascii="宋体" w:hAnsi="宋体" w:cs="宋体" w:eastAsia="宋体" w:hint="default"/>
                <w:sz w:val="18"/>
                <w:szCs w:val="18"/>
              </w:rPr>
            </w:pPr>
            <w:r>
              <w:rPr>
                <w:rFonts w:ascii="宋体" w:hAnsi="宋体" w:cs="宋体" w:eastAsia="宋体" w:hint="default"/>
                <w:spacing w:val="-2"/>
                <w:sz w:val="18"/>
                <w:szCs w:val="18"/>
              </w:rPr>
              <w:t>委托方</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出包方名</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590" w:right="17" w:hanging="567"/>
              <w:jc w:val="left"/>
              <w:rPr>
                <w:rFonts w:ascii="宋体" w:hAnsi="宋体" w:cs="宋体" w:eastAsia="宋体" w:hint="default"/>
                <w:sz w:val="18"/>
                <w:szCs w:val="18"/>
              </w:rPr>
            </w:pPr>
            <w:r>
              <w:rPr>
                <w:rFonts w:ascii="宋体" w:hAnsi="宋体" w:cs="宋体" w:eastAsia="宋体" w:hint="default"/>
                <w:spacing w:val="-2"/>
                <w:sz w:val="18"/>
                <w:szCs w:val="18"/>
              </w:rPr>
              <w:t>受托方</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承包方名</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591" w:right="17" w:hanging="567"/>
              <w:jc w:val="left"/>
              <w:rPr>
                <w:rFonts w:ascii="宋体" w:hAnsi="宋体" w:cs="宋体" w:eastAsia="宋体" w:hint="default"/>
                <w:sz w:val="18"/>
                <w:szCs w:val="18"/>
              </w:rPr>
            </w:pPr>
            <w:r>
              <w:rPr>
                <w:rFonts w:ascii="宋体" w:hAnsi="宋体" w:cs="宋体" w:eastAsia="宋体" w:hint="default"/>
                <w:spacing w:val="-2"/>
                <w:sz w:val="18"/>
                <w:szCs w:val="18"/>
              </w:rPr>
              <w:t>委托</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出包资产类</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408" w:right="19" w:hanging="385"/>
              <w:jc w:val="left"/>
              <w:rPr>
                <w:rFonts w:ascii="宋体" w:hAnsi="宋体" w:cs="宋体" w:eastAsia="宋体" w:hint="default"/>
                <w:sz w:val="18"/>
                <w:szCs w:val="18"/>
              </w:rPr>
            </w:pPr>
            <w:r>
              <w:rPr>
                <w:rFonts w:ascii="宋体" w:hAnsi="宋体" w:cs="宋体" w:eastAsia="宋体" w:hint="default"/>
                <w:spacing w:val="-2"/>
                <w:sz w:val="18"/>
                <w:szCs w:val="18"/>
              </w:rPr>
              <w:t>托管费</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出包费定</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价依据</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90" w:right="46" w:hanging="246"/>
              <w:jc w:val="left"/>
              <w:rPr>
                <w:rFonts w:ascii="宋体" w:hAnsi="宋体" w:cs="宋体" w:eastAsia="宋体" w:hint="default"/>
                <w:sz w:val="18"/>
                <w:szCs w:val="18"/>
              </w:rPr>
            </w:pPr>
            <w:r>
              <w:rPr>
                <w:rFonts w:ascii="宋体" w:hAnsi="宋体" w:cs="宋体" w:eastAsia="宋体" w:hint="default"/>
                <w:spacing w:val="-3"/>
                <w:sz w:val="18"/>
                <w:szCs w:val="18"/>
              </w:rPr>
              <w:t>本期确认的托管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3"/>
        <w:ind w:right="0"/>
        <w:jc w:val="left"/>
      </w:pPr>
      <w:r>
        <w:rPr>
          <w:spacing w:val="-3"/>
        </w:rPr>
        <w:t>关联管理</w:t>
      </w:r>
      <w:r>
        <w:rPr>
          <w:rFonts w:ascii="Times New Roman" w:hAnsi="Times New Roman" w:cs="Times New Roman" w:eastAsia="Times New Roman" w:hint="default"/>
          <w:spacing w:val="-3"/>
        </w:rPr>
        <w:t>/</w:t>
      </w:r>
      <w:r>
        <w:rPr>
          <w:spacing w:val="-3"/>
        </w:rPr>
        <w:t>出包情况说明</w:t>
      </w:r>
    </w:p>
    <w:p>
      <w:pPr>
        <w:spacing w:line="240" w:lineRule="auto" w:before="8"/>
        <w:rPr>
          <w:rFonts w:ascii="宋体" w:hAnsi="宋体" w:cs="宋体" w:eastAsia="宋体" w:hint="default"/>
          <w:sz w:val="25"/>
          <w:szCs w:val="25"/>
        </w:rPr>
      </w:pPr>
    </w:p>
    <w:p>
      <w:pPr>
        <w:pStyle w:val="Heading4"/>
        <w:spacing w:line="240" w:lineRule="auto"/>
        <w:ind w:right="0"/>
        <w:jc w:val="left"/>
        <w:rPr>
          <w:b w:val="0"/>
          <w:bCs w:val="0"/>
        </w:rPr>
      </w:pPr>
      <w:bookmarkStart w:name="（3）关联租赁情况" w:id="391"/>
      <w:bookmarkEnd w:id="391"/>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right="0"/>
        <w:jc w:val="left"/>
      </w:pPr>
      <w:r>
        <w:rPr>
          <w:spacing w:val="-3"/>
        </w:rPr>
        <w:t>本公司作为出租方：</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1"/>
        <w:gridCol w:w="2396"/>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pacing w:val="-3"/>
                <w:sz w:val="18"/>
                <w:szCs w:val="18"/>
              </w:rPr>
              <w:t>本期确认的租赁收入</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上期确认的租赁收入</w:t>
            </w:r>
          </w:p>
        </w:tc>
      </w:tr>
    </w:tbl>
    <w:p>
      <w:pPr>
        <w:pStyle w:val="BodyText"/>
        <w:spacing w:line="240" w:lineRule="auto" w:before="53"/>
        <w:ind w:right="0"/>
        <w:jc w:val="left"/>
      </w:pPr>
      <w:r>
        <w:rPr>
          <w:spacing w:val="-3"/>
        </w:rPr>
        <w:t>本公司作为承租方：</w:t>
      </w:r>
    </w:p>
    <w:p>
      <w:pPr>
        <w:pStyle w:val="BodyText"/>
        <w:spacing w:line="240" w:lineRule="auto" w:before="115"/>
        <w:ind w:left="0" w:right="1122"/>
        <w:jc w:val="right"/>
      </w:pPr>
      <w:r>
        <w:rPr/>
        <w:t>单位：</w:t>
      </w:r>
      <w:r>
        <w:rPr>
          <w:spacing w:val="5"/>
        </w:rPr>
        <w:t> </w:t>
      </w:r>
      <w:r>
        <w:rPr/>
        <w:t>元</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9"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53"/>
        <w:ind w:right="0"/>
        <w:jc w:val="left"/>
      </w:pPr>
      <w:r>
        <w:rPr/>
        <w:t>关联租赁情况说明</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bookmarkStart w:name="（4）关联担保情况" w:id="392"/>
      <w:bookmarkEnd w:id="392"/>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right="0"/>
        <w:jc w:val="left"/>
      </w:pPr>
      <w:r>
        <w:rPr/>
        <w:t>本公司作为担保方</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3"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4"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6"/>
        <w:ind w:right="0"/>
        <w:jc w:val="left"/>
      </w:pPr>
      <w:r>
        <w:rPr>
          <w:spacing w:val="-3"/>
        </w:rPr>
        <w:t>本公司作为被担保方</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398"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3"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4"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杭州磐源投资有限公司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杨一兵</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杨一兵、杨波</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杨一兵、杨波</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pStyle w:val="BodyText"/>
        <w:spacing w:line="240" w:lineRule="auto" w:before="53"/>
        <w:ind w:right="0"/>
        <w:jc w:val="left"/>
      </w:pPr>
      <w:r>
        <w:rPr/>
        <w:t>关联担保情况说明</w:t>
      </w:r>
    </w:p>
    <w:p>
      <w:pPr>
        <w:pStyle w:val="BodyText"/>
        <w:spacing w:line="300" w:lineRule="auto" w:before="115"/>
        <w:ind w:right="1122" w:firstLine="422"/>
        <w:jc w:val="both"/>
      </w:pPr>
      <w:r>
        <w:rPr>
          <w:rFonts w:ascii="Times New Roman" w:hAnsi="Times New Roman" w:cs="Times New Roman" w:eastAsia="Times New Roman" w:hint="default"/>
          <w:spacing w:val="-4"/>
        </w:rPr>
        <w:t>(1)</w:t>
      </w:r>
      <w:r>
        <w:rPr>
          <w:spacing w:val="-4"/>
        </w:rPr>
        <w:t>根据</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9</w:t>
      </w:r>
      <w:r>
        <w:rPr>
          <w:spacing w:val="-4"/>
        </w:rPr>
        <w:t>月杭州磐源投资有限公司与中国银行股份有限公司杭州滨江支行签订的《最高额保证合同》，杭州磐源</w:t>
      </w:r>
      <w:r>
        <w:rPr>
          <w:w w:val="101"/>
        </w:rPr>
        <w:t> </w:t>
      </w:r>
      <w:r>
        <w:rPr>
          <w:spacing w:val="-3"/>
        </w:rPr>
        <w:t>投资有限公司为本公司与该银行签订的期间为</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5</w:t>
      </w:r>
      <w:r>
        <w:rPr>
          <w:spacing w:val="-3"/>
        </w:rPr>
        <w:t>日至</w:t>
      </w:r>
      <w:r>
        <w:rPr>
          <w:rFonts w:ascii="Times New Roman" w:hAnsi="Times New Roman" w:cs="Times New Roman" w:eastAsia="Times New Roman" w:hint="default"/>
          <w:spacing w:val="-3"/>
        </w:rPr>
        <w:t>2021</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3</w:t>
      </w:r>
      <w:r>
        <w:rPr>
          <w:spacing w:val="-3"/>
        </w:rPr>
        <w:t>日的合同提供最高额</w:t>
      </w:r>
      <w:r>
        <w:rPr>
          <w:rFonts w:ascii="Times New Roman" w:hAnsi="Times New Roman" w:cs="Times New Roman" w:eastAsia="Times New Roman" w:hint="default"/>
          <w:spacing w:val="-3"/>
        </w:rPr>
        <w:t>17,000</w:t>
      </w:r>
      <w:r>
        <w:rPr>
          <w:spacing w:val="-3"/>
        </w:rPr>
        <w:t>万元的担保。截至</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23"/>
        </w:rPr>
        <w:t> </w:t>
      </w:r>
      <w:r>
        <w:rPr>
          <w:rFonts w:ascii="Times New Roman" w:hAnsi="Times New Roman" w:cs="Times New Roman" w:eastAsia="Times New Roman" w:hint="default"/>
          <w:spacing w:val="23"/>
        </w:rPr>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日，本公司在该担保项下尚未到期的保函金额</w:t>
      </w:r>
      <w:r>
        <w:rPr>
          <w:rFonts w:ascii="Times New Roman" w:hAnsi="Times New Roman" w:cs="Times New Roman" w:eastAsia="Times New Roman" w:hint="default"/>
          <w:spacing w:val="-4"/>
        </w:rPr>
        <w:t>4,591.60</w:t>
      </w:r>
      <w:r>
        <w:rPr>
          <w:spacing w:val="-4"/>
        </w:rPr>
        <w:t>万元，已到期未退回的保函</w:t>
      </w:r>
      <w:r>
        <w:rPr>
          <w:rFonts w:ascii="Times New Roman" w:hAnsi="Times New Roman" w:cs="Times New Roman" w:eastAsia="Times New Roman" w:hint="default"/>
          <w:spacing w:val="-4"/>
        </w:rPr>
        <w:t>5</w:t>
      </w:r>
      <w:r>
        <w:rPr>
          <w:spacing w:val="-4"/>
        </w:rPr>
        <w:t>万元，该等保函同时由本公司在</w:t>
      </w:r>
      <w:r>
        <w:rPr>
          <w:spacing w:val="71"/>
        </w:rPr>
        <w:t> </w:t>
      </w:r>
      <w:r>
        <w:rPr>
          <w:spacing w:val="71"/>
        </w:rPr>
      </w:r>
      <w:r>
        <w:rPr>
          <w:spacing w:val="-3"/>
        </w:rPr>
        <w:t>该银行缴存</w:t>
      </w:r>
      <w:r>
        <w:rPr>
          <w:rFonts w:ascii="Times New Roman" w:hAnsi="Times New Roman" w:cs="Times New Roman" w:eastAsia="Times New Roman" w:hint="default"/>
          <w:spacing w:val="-3"/>
        </w:rPr>
        <w:t>459.16</w:t>
      </w:r>
      <w:r>
        <w:rPr>
          <w:spacing w:val="-3"/>
        </w:rPr>
        <w:t>万元保函保证金存款。本公司在该担保项下尚未到期的流动资金借款</w:t>
      </w:r>
      <w:r>
        <w:rPr>
          <w:rFonts w:ascii="Times New Roman" w:hAnsi="Times New Roman" w:cs="Times New Roman" w:eastAsia="Times New Roman" w:hint="default"/>
          <w:spacing w:val="-3"/>
        </w:rPr>
        <w:t>3,000</w:t>
      </w:r>
      <w:r>
        <w:rPr>
          <w:spacing w:val="-3"/>
        </w:rPr>
        <w:t>万元。</w:t>
      </w:r>
    </w:p>
    <w:p>
      <w:pPr>
        <w:pStyle w:val="BodyText"/>
        <w:spacing w:line="300" w:lineRule="auto" w:before="13"/>
        <w:ind w:right="1122" w:firstLine="422"/>
        <w:jc w:val="both"/>
      </w:pPr>
      <w:r>
        <w:rPr>
          <w:rFonts w:ascii="Times New Roman" w:hAnsi="Times New Roman" w:cs="Times New Roman" w:eastAsia="Times New Roman" w:hint="default"/>
          <w:spacing w:val="-4"/>
        </w:rPr>
        <w:t>(2)</w:t>
      </w:r>
      <w:r>
        <w:rPr>
          <w:spacing w:val="-4"/>
        </w:rPr>
        <w:t>根据</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w:t>
      </w:r>
      <w:r>
        <w:rPr>
          <w:spacing w:val="-4"/>
        </w:rPr>
        <w:t>月杨一兵与招商银行股份有限公司保俶支行签订的《最高额不可撤销担保书》，杨一兵为本公司与该银</w:t>
      </w:r>
      <w:r>
        <w:rPr>
          <w:w w:val="101"/>
        </w:rPr>
        <w:t> </w:t>
      </w:r>
      <w:r>
        <w:rPr>
          <w:spacing w:val="-2"/>
        </w:rPr>
        <w:t>行签订的期间为</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11</w:t>
      </w:r>
      <w:r>
        <w:rPr>
          <w:spacing w:val="-2"/>
        </w:rPr>
        <w:t>日至</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10</w:t>
      </w:r>
      <w:r>
        <w:rPr>
          <w:spacing w:val="-2"/>
        </w:rPr>
        <w:t>日的合同提供最高额</w:t>
      </w:r>
      <w:r>
        <w:rPr>
          <w:rFonts w:ascii="Times New Roman" w:hAnsi="Times New Roman" w:cs="Times New Roman" w:eastAsia="Times New Roman" w:hint="default"/>
          <w:spacing w:val="-2"/>
        </w:rPr>
        <w:t>9,000</w:t>
      </w:r>
      <w:r>
        <w:rPr>
          <w:spacing w:val="-2"/>
        </w:rPr>
        <w:t>万元的担保。截至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日，本公司在该担</w:t>
      </w:r>
      <w:r>
        <w:rPr>
          <w:spacing w:val="89"/>
        </w:rPr>
        <w:t> </w:t>
      </w:r>
      <w:r>
        <w:rPr>
          <w:spacing w:val="89"/>
        </w:rPr>
      </w:r>
      <w:r>
        <w:rPr>
          <w:spacing w:val="-3"/>
        </w:rPr>
        <w:t>保项下尚未到期的应付票据余额</w:t>
      </w:r>
      <w:r>
        <w:rPr>
          <w:rFonts w:ascii="Times New Roman" w:hAnsi="Times New Roman" w:cs="Times New Roman" w:eastAsia="Times New Roman" w:hint="default"/>
          <w:spacing w:val="-3"/>
        </w:rPr>
        <w:t>956.81</w:t>
      </w:r>
      <w:r>
        <w:rPr>
          <w:spacing w:val="-3"/>
        </w:rPr>
        <w:t>万元，该等票据同时由本公司在该银行缴存</w:t>
      </w:r>
      <w:r>
        <w:rPr>
          <w:rFonts w:ascii="Times New Roman" w:hAnsi="Times New Roman" w:cs="Times New Roman" w:eastAsia="Times New Roman" w:hint="default"/>
          <w:spacing w:val="-3"/>
        </w:rPr>
        <w:t>287.04</w:t>
      </w:r>
      <w:r>
        <w:rPr>
          <w:spacing w:val="-3"/>
        </w:rPr>
        <w:t>万元保证金存款。本公司在该担保</w:t>
      </w:r>
      <w:r>
        <w:rPr>
          <w:spacing w:val="11"/>
        </w:rPr>
        <w:t> </w:t>
      </w:r>
      <w:r>
        <w:rPr>
          <w:spacing w:val="11"/>
        </w:rPr>
      </w:r>
      <w:r>
        <w:rPr>
          <w:spacing w:val="-3"/>
        </w:rPr>
        <w:t>项下尚未到期的流动资金借款</w:t>
      </w:r>
      <w:r>
        <w:rPr>
          <w:rFonts w:ascii="Times New Roman" w:hAnsi="Times New Roman" w:cs="Times New Roman" w:eastAsia="Times New Roman" w:hint="default"/>
          <w:spacing w:val="-3"/>
        </w:rPr>
        <w:t>3,000</w:t>
      </w:r>
      <w:r>
        <w:rPr>
          <w:spacing w:val="-3"/>
        </w:rPr>
        <w:t>万元。</w:t>
      </w:r>
    </w:p>
    <w:p>
      <w:pPr>
        <w:pStyle w:val="BodyText"/>
        <w:spacing w:line="300" w:lineRule="auto" w:before="13"/>
        <w:ind w:right="1124" w:firstLine="422"/>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40"/>
        </w:rPr>
        <w:t> </w:t>
      </w:r>
      <w:r>
        <w:rPr>
          <w:spacing w:val="-2"/>
        </w:rPr>
        <w:t>根据</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月杨一兵、杨波与杭州银行股份有限公司杭州滨江支行签订的《个人最高额保证合同》，杨一兵和杨</w:t>
      </w:r>
      <w:r>
        <w:rPr>
          <w:w w:val="101"/>
        </w:rPr>
        <w:t> </w:t>
      </w:r>
      <w:r>
        <w:rPr>
          <w:spacing w:val="-3"/>
        </w:rPr>
        <w:t>波为本公司与该银行签订的期间为</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24</w:t>
      </w:r>
      <w:r>
        <w:rPr>
          <w:spacing w:val="-3"/>
        </w:rPr>
        <w:t>日至</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23</w:t>
      </w:r>
      <w:r>
        <w:rPr>
          <w:spacing w:val="-3"/>
        </w:rPr>
        <w:t>日的合同提供最高额</w:t>
      </w:r>
      <w:r>
        <w:rPr>
          <w:rFonts w:ascii="Times New Roman" w:hAnsi="Times New Roman" w:cs="Times New Roman" w:eastAsia="Times New Roman" w:hint="default"/>
          <w:spacing w:val="-3"/>
        </w:rPr>
        <w:t>11,000</w:t>
      </w:r>
      <w:r>
        <w:rPr>
          <w:spacing w:val="-3"/>
        </w:rPr>
        <w:t>万元的担保。截至</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rFonts w:ascii="Times New Roman" w:hAnsi="Times New Roman" w:cs="Times New Roman" w:eastAsia="Times New Roman" w:hint="default"/>
          <w:spacing w:val="25"/>
        </w:rPr>
        <w:t> </w:t>
      </w:r>
      <w:r>
        <w:rPr>
          <w:spacing w:val="-3"/>
        </w:rPr>
        <w:t>日，本公司在该担保项下无尚未到期的担保。</w:t>
      </w:r>
    </w:p>
    <w:p>
      <w:pPr>
        <w:spacing w:after="0" w:line="300" w:lineRule="auto"/>
        <w:jc w:val="both"/>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00" w:lineRule="auto" w:before="46"/>
        <w:ind w:right="1122" w:firstLine="422"/>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38"/>
        </w:rPr>
        <w:t> </w:t>
      </w:r>
      <w:r>
        <w:rPr>
          <w:spacing w:val="-2"/>
        </w:rPr>
        <w:t>根据</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月杨一兵、杨波与中国建设银行股份有限公司杭州滨江支行签订的《保证合同（自然人版）》，杨一</w:t>
      </w:r>
      <w:r>
        <w:rPr>
          <w:w w:val="101"/>
        </w:rPr>
        <w:t> </w:t>
      </w:r>
      <w:r>
        <w:rPr>
          <w:spacing w:val="-2"/>
        </w:rPr>
        <w:t>兵和杨波为本公司与该银行签订的期间为</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7</w:t>
      </w:r>
      <w:r>
        <w:rPr>
          <w:spacing w:val="-2"/>
        </w:rPr>
        <w:t>日至</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6</w:t>
      </w:r>
      <w:r>
        <w:rPr>
          <w:spacing w:val="-2"/>
        </w:rPr>
        <w:t>日的合同提供最高额</w:t>
      </w:r>
      <w:r>
        <w:rPr>
          <w:rFonts w:ascii="Times New Roman" w:hAnsi="Times New Roman" w:cs="Times New Roman" w:eastAsia="Times New Roman" w:hint="default"/>
          <w:spacing w:val="-2"/>
        </w:rPr>
        <w:t>2,000</w:t>
      </w:r>
      <w:r>
        <w:rPr>
          <w:spacing w:val="-2"/>
        </w:rPr>
        <w:t>万元的担保。截至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rFonts w:ascii="Times New Roman" w:hAnsi="Times New Roman" w:cs="Times New Roman" w:eastAsia="Times New Roman" w:hint="default"/>
          <w:spacing w:val="3"/>
        </w:rPr>
        <w:t> </w:t>
      </w:r>
      <w:r>
        <w:rPr>
          <w:spacing w:val="-3"/>
        </w:rPr>
        <w:t>月</w:t>
      </w:r>
      <w:r>
        <w:rPr>
          <w:rFonts w:ascii="Times New Roman" w:hAnsi="Times New Roman" w:cs="Times New Roman" w:eastAsia="Times New Roman" w:hint="default"/>
          <w:spacing w:val="-3"/>
        </w:rPr>
        <w:t>31</w:t>
      </w:r>
      <w:r>
        <w:rPr>
          <w:spacing w:val="-3"/>
        </w:rPr>
        <w:t>日，本公司在该担保项下尚未到期的流动资金借款</w:t>
      </w:r>
      <w:r>
        <w:rPr>
          <w:rFonts w:ascii="Times New Roman" w:hAnsi="Times New Roman" w:cs="Times New Roman" w:eastAsia="Times New Roman" w:hint="default"/>
          <w:spacing w:val="-3"/>
        </w:rPr>
        <w:t>2,000</w:t>
      </w:r>
      <w:r>
        <w:rPr>
          <w:spacing w:val="-3"/>
        </w:rPr>
        <w:t>万元。</w:t>
      </w:r>
    </w:p>
    <w:p>
      <w:pPr>
        <w:spacing w:line="240" w:lineRule="auto" w:before="3"/>
        <w:rPr>
          <w:rFonts w:ascii="宋体" w:hAnsi="宋体" w:cs="宋体" w:eastAsia="宋体" w:hint="default"/>
          <w:sz w:val="22"/>
          <w:szCs w:val="22"/>
        </w:rPr>
      </w:pPr>
    </w:p>
    <w:p>
      <w:pPr>
        <w:pStyle w:val="Heading4"/>
        <w:spacing w:line="240" w:lineRule="auto"/>
        <w:ind w:right="0"/>
        <w:jc w:val="left"/>
        <w:rPr>
          <w:b w:val="0"/>
          <w:bCs w:val="0"/>
        </w:rPr>
      </w:pPr>
      <w:bookmarkStart w:name="（5）关联方资金拆借" w:id="393"/>
      <w:bookmarkEnd w:id="393"/>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1"/>
        <w:gridCol w:w="1916"/>
        <w:gridCol w:w="1916"/>
        <w:gridCol w:w="1916"/>
      </w:tblGrid>
      <w:tr>
        <w:trPr>
          <w:trHeight w:val="398"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4" w:hRule="exact"/>
        </w:trPr>
        <w:tc>
          <w:tcPr>
            <w:tcW w:w="957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3" w:hRule="exact"/>
        </w:trPr>
        <w:tc>
          <w:tcPr>
            <w:tcW w:w="957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6）关联方资产转让、债务重组情况" w:id="394"/>
      <w:bookmarkEnd w:id="394"/>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bookmarkStart w:name="（7）关键管理人员报酬" w:id="395"/>
      <w:bookmarkEnd w:id="395"/>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6,293,300.19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4,786,722.50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8）其他关联交易" w:id="396"/>
      <w:bookmarkEnd w:id="396"/>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6、关联方应收应付款项" w:id="397"/>
      <w:bookmarkEnd w:id="397"/>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1）应收项目" w:id="398"/>
      <w:bookmarkEnd w:id="398"/>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399" w:hRule="exact"/>
        </w:trPr>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594"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应付项目" w:id="399"/>
      <w:bookmarkEnd w:id="399"/>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4"/>
        <w:spacing w:line="240" w:lineRule="auto" w:before="36"/>
        <w:ind w:right="0"/>
        <w:jc w:val="left"/>
        <w:rPr>
          <w:b w:val="0"/>
          <w:bCs w:val="0"/>
        </w:rPr>
      </w:pPr>
      <w:bookmarkStart w:name="7、关联方承诺" w:id="400"/>
      <w:bookmarkEnd w:id="400"/>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5"/>
        <w:rPr>
          <w:rFonts w:ascii="宋体" w:hAnsi="宋体" w:cs="宋体" w:eastAsia="宋体" w:hint="default"/>
          <w:b/>
          <w:bCs/>
          <w:sz w:val="24"/>
          <w:szCs w:val="24"/>
        </w:rPr>
      </w:pPr>
    </w:p>
    <w:p>
      <w:pPr>
        <w:spacing w:line="484" w:lineRule="auto" w:before="0"/>
        <w:ind w:left="153" w:right="8748" w:firstLine="0"/>
        <w:jc w:val="left"/>
        <w:rPr>
          <w:rFonts w:ascii="宋体" w:hAnsi="宋体" w:cs="宋体" w:eastAsia="宋体" w:hint="default"/>
          <w:sz w:val="21"/>
          <w:szCs w:val="21"/>
        </w:rPr>
      </w:pPr>
      <w:bookmarkStart w:name="8、其他" w:id="401"/>
      <w:bookmarkEnd w:id="401"/>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二、股份支付" w:id="402"/>
      <w:bookmarkEnd w:id="402"/>
      <w:r>
        <w:rPr>
          <w:rFonts w:ascii="宋体" w:hAnsi="宋体" w:cs="宋体" w:eastAsia="宋体" w:hint="default"/>
          <w:b/>
          <w:bCs/>
          <w:w w:val="100"/>
          <w:sz w:val="21"/>
          <w:szCs w:val="21"/>
        </w:rPr>
      </w:r>
      <w:r>
        <w:rPr>
          <w:rFonts w:ascii="宋体" w:hAnsi="宋体" w:cs="宋体" w:eastAsia="宋体" w:hint="default"/>
          <w:b/>
          <w:bCs/>
          <w:sz w:val="24"/>
          <w:szCs w:val="24"/>
        </w:rPr>
        <w:t>十二、股份支付</w:t>
      </w:r>
      <w:r>
        <w:rPr>
          <w:rFonts w:ascii="宋体" w:hAnsi="宋体" w:cs="宋体" w:eastAsia="宋体" w:hint="default"/>
          <w:b/>
          <w:bCs/>
          <w:w w:val="99"/>
          <w:sz w:val="24"/>
          <w:szCs w:val="24"/>
        </w:rPr>
        <w:t> </w:t>
      </w:r>
      <w:bookmarkStart w:name="1、股份支付总体情况" w:id="403"/>
      <w:bookmarkEnd w:id="40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1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5455"/>
        <w:gridCol w:w="4115"/>
      </w:tblGrid>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公司本期授予的各项权益工具总额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700,000.00</w:t>
            </w:r>
          </w:p>
        </w:tc>
      </w:tr>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公司本期行权的各项权益工具总额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757,500.00</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公司本期失效的各项权益工具总额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r>
      <w:tr>
        <w:trPr>
          <w:trHeight w:val="1340"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公司期末发行在外的其他权益工具行权价格的范围和合同剩余期限</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4"/>
              <w:ind w:left="23"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年度授予的限制性股票授予价</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16.53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股，自</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6"/>
                <w:w w:val="101"/>
                <w:sz w:val="18"/>
                <w:szCs w:val="18"/>
              </w:rPr>
              <w:t>授予的限制性股票登记完成之日起分四年解锁；</w:t>
            </w:r>
            <w:r>
              <w:rPr>
                <w:rFonts w:ascii="Times New Roman" w:hAnsi="Times New Roman" w:cs="Times New Roman" w:eastAsia="Times New Roman" w:hint="default"/>
                <w:spacing w:val="-6"/>
                <w:w w:val="101"/>
                <w:sz w:val="18"/>
                <w:szCs w:val="18"/>
              </w:rPr>
              <w:t>2019</w:t>
            </w:r>
            <w:r>
              <w:rPr>
                <w:rFonts w:ascii="Times New Roman" w:hAnsi="Times New Roman" w:cs="Times New Roman" w:eastAsia="Times New Roman" w:hint="default"/>
                <w:spacing w:val="-32"/>
                <w:w w:val="101"/>
                <w:sz w:val="18"/>
                <w:szCs w:val="18"/>
              </w:rPr>
              <w:t> </w:t>
            </w:r>
            <w:r>
              <w:rPr>
                <w:rFonts w:ascii="Times New Roman" w:hAnsi="Times New Roman" w:cs="Times New Roman" w:eastAsia="Times New Roman" w:hint="default"/>
                <w:spacing w:val="-32"/>
                <w:w w:val="101"/>
                <w:sz w:val="18"/>
                <w:szCs w:val="18"/>
              </w:rPr>
            </w:r>
            <w:r>
              <w:rPr>
                <w:rFonts w:ascii="宋体" w:hAnsi="宋体" w:cs="宋体" w:eastAsia="宋体" w:hint="default"/>
                <w:spacing w:val="-3"/>
                <w:w w:val="101"/>
                <w:sz w:val="18"/>
                <w:szCs w:val="18"/>
              </w:rPr>
              <w:t>年度授予的限制性股票授予价格</w:t>
            </w:r>
            <w:r>
              <w:rPr>
                <w:rFonts w:ascii="宋体" w:hAnsi="宋体" w:cs="宋体" w:eastAsia="宋体" w:hint="default"/>
                <w:spacing w:val="-43"/>
                <w:w w:val="101"/>
                <w:sz w:val="18"/>
                <w:szCs w:val="18"/>
              </w:rPr>
              <w:t> </w:t>
            </w:r>
            <w:r>
              <w:rPr>
                <w:rFonts w:ascii="Times New Roman" w:hAnsi="Times New Roman" w:cs="Times New Roman" w:eastAsia="Times New Roman" w:hint="default"/>
                <w:spacing w:val="-1"/>
                <w:w w:val="101"/>
                <w:sz w:val="18"/>
                <w:szCs w:val="18"/>
              </w:rPr>
              <w:t>24.18</w:t>
            </w:r>
            <w:r>
              <w:rPr>
                <w:rFonts w:ascii="Times New Roman" w:hAnsi="Times New Roman" w:cs="Times New Roman" w:eastAsia="Times New Roman" w:hint="default"/>
                <w:spacing w:val="3"/>
                <w:w w:val="101"/>
                <w:sz w:val="18"/>
                <w:szCs w:val="18"/>
              </w:rPr>
              <w:t> </w:t>
            </w:r>
            <w:r>
              <w:rPr>
                <w:rFonts w:ascii="宋体" w:hAnsi="宋体" w:cs="宋体" w:eastAsia="宋体" w:hint="default"/>
                <w:spacing w:val="-15"/>
                <w:w w:val="101"/>
                <w:sz w:val="18"/>
                <w:szCs w:val="18"/>
              </w:rPr>
              <w:t>元</w:t>
            </w:r>
            <w:r>
              <w:rPr>
                <w:rFonts w:ascii="Times New Roman" w:hAnsi="Times New Roman" w:cs="Times New Roman" w:eastAsia="Times New Roman" w:hint="default"/>
                <w:spacing w:val="-15"/>
                <w:w w:val="101"/>
                <w:sz w:val="18"/>
                <w:szCs w:val="18"/>
              </w:rPr>
              <w:t>/</w:t>
            </w:r>
            <w:r>
              <w:rPr>
                <w:rFonts w:ascii="宋体" w:hAnsi="宋体" w:cs="宋体" w:eastAsia="宋体" w:hint="default"/>
                <w:spacing w:val="-15"/>
                <w:w w:val="101"/>
                <w:sz w:val="18"/>
                <w:szCs w:val="18"/>
              </w:rPr>
              <w:t>股，自授予</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3"/>
                <w:sz w:val="18"/>
                <w:szCs w:val="18"/>
              </w:rPr>
              <w:t>的限制性股票登记完成之日起分四年解锁</w:t>
            </w:r>
          </w:p>
        </w:tc>
      </w:tr>
    </w:tbl>
    <w:p>
      <w:pPr>
        <w:pStyle w:val="BodyText"/>
        <w:spacing w:line="240" w:lineRule="auto" w:before="53"/>
        <w:ind w:right="0"/>
        <w:jc w:val="left"/>
      </w:pPr>
      <w:r>
        <w:rPr/>
        <w:t>其他说明</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2、以权益结算的股份支付情况" w:id="404"/>
      <w:bookmarkEnd w:id="404"/>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984"/>
        <w:gridCol w:w="4585"/>
      </w:tblGrid>
      <w:tr>
        <w:trPr>
          <w:trHeight w:val="1028"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pacing w:val="-3"/>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4" w:right="46"/>
              <w:jc w:val="both"/>
              <w:rPr>
                <w:rFonts w:ascii="宋体" w:hAnsi="宋体" w:cs="宋体" w:eastAsia="宋体" w:hint="default"/>
                <w:sz w:val="18"/>
                <w:szCs w:val="18"/>
              </w:rPr>
            </w:pPr>
            <w:r>
              <w:rPr>
                <w:rFonts w:ascii="宋体" w:hAnsi="宋体" w:cs="宋体" w:eastAsia="宋体" w:hint="default"/>
                <w:spacing w:val="-3"/>
                <w:sz w:val="18"/>
                <w:szCs w:val="18"/>
              </w:rPr>
              <w:t>公司采用授予日市价确定限制性股票的公允价值，限制性</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3"/>
                <w:sz w:val="18"/>
                <w:szCs w:val="18"/>
              </w:rPr>
              <w:t>股票成本由限制性股票公允价值减去限制性股票授予价格</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z w:val="18"/>
                <w:szCs w:val="18"/>
              </w:rPr>
              <w:t>确定</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按各解锁期的业绩条件估计确定</w:t>
            </w:r>
          </w:p>
        </w:tc>
      </w:tr>
      <w:tr>
        <w:trPr>
          <w:trHeight w:val="399"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34,667,083.33</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21,516,199.47</w:t>
            </w:r>
          </w:p>
        </w:tc>
      </w:tr>
    </w:tbl>
    <w:p>
      <w:pPr>
        <w:pStyle w:val="BodyText"/>
        <w:spacing w:line="357" w:lineRule="auto" w:before="53"/>
        <w:ind w:right="10031"/>
        <w:jc w:val="left"/>
      </w:pPr>
      <w:r>
        <w:rPr/>
        <w:t>其他说明</w:t>
      </w:r>
      <w:r>
        <w:rPr>
          <w:spacing w:val="-86"/>
        </w:rPr>
        <w:t> </w:t>
      </w:r>
      <w:r>
        <w:rPr>
          <w:spacing w:val="-86"/>
        </w:rPr>
      </w:r>
      <w:r>
        <w:rPr/>
        <w:t>无</w:t>
      </w:r>
    </w:p>
    <w:p>
      <w:pPr>
        <w:spacing w:line="240" w:lineRule="auto" w:before="3"/>
        <w:rPr>
          <w:rFonts w:ascii="宋体" w:hAnsi="宋体" w:cs="宋体" w:eastAsia="宋体" w:hint="default"/>
          <w:sz w:val="20"/>
          <w:szCs w:val="20"/>
        </w:rPr>
      </w:pPr>
    </w:p>
    <w:p>
      <w:pPr>
        <w:pStyle w:val="Heading4"/>
        <w:spacing w:line="240" w:lineRule="auto"/>
        <w:ind w:right="0"/>
        <w:jc w:val="left"/>
        <w:rPr>
          <w:b w:val="0"/>
          <w:bCs w:val="0"/>
        </w:rPr>
      </w:pPr>
      <w:bookmarkStart w:name="3、以现金结算的股份支付情况" w:id="405"/>
      <w:bookmarkEnd w:id="405"/>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spacing w:line="542" w:lineRule="auto" w:before="0"/>
        <w:ind w:left="153" w:right="790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bookmarkStart w:name="4、股份支付的修改、终止情况" w:id="406"/>
      <w:bookmarkEnd w:id="406"/>
      <w:r>
        <w:rPr>
          <w:rFonts w:ascii="宋体" w:hAnsi="宋体" w:cs="宋体" w:eastAsia="宋体" w:hint="default"/>
          <w:spacing w:val="-78"/>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spacing w:val="-101"/>
          <w:sz w:val="21"/>
          <w:szCs w:val="21"/>
        </w:rPr>
        <w:t> </w:t>
      </w:r>
      <w:r>
        <w:rPr>
          <w:rFonts w:ascii="宋体" w:hAnsi="宋体" w:cs="宋体" w:eastAsia="宋体" w:hint="default"/>
          <w:sz w:val="18"/>
          <w:szCs w:val="18"/>
        </w:rPr>
        <w:t>无</w:t>
      </w:r>
    </w:p>
    <w:p>
      <w:pPr>
        <w:spacing w:after="0" w:line="542"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4"/>
        <w:spacing w:line="240" w:lineRule="auto" w:before="36"/>
        <w:ind w:right="0"/>
        <w:jc w:val="left"/>
        <w:rPr>
          <w:b w:val="0"/>
          <w:bCs w:val="0"/>
        </w:rPr>
      </w:pPr>
      <w:bookmarkStart w:name="5、其他" w:id="407"/>
      <w:bookmarkEnd w:id="407"/>
      <w:r>
        <w:rPr>
          <w:b w:val="0"/>
          <w:bCs w:val="0"/>
        </w:rPr>
      </w:r>
      <w:r>
        <w:rPr>
          <w:rFonts w:ascii="Times New Roman" w:hAnsi="Times New Roman" w:cs="Times New Roman" w:eastAsia="Times New Roman" w:hint="default"/>
        </w:rPr>
        <w:t>5</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10"/>
        <w:rPr>
          <w:rFonts w:ascii="宋体" w:hAnsi="宋体" w:cs="宋体" w:eastAsia="宋体" w:hint="default"/>
          <w:sz w:val="24"/>
          <w:szCs w:val="24"/>
        </w:rPr>
      </w:pPr>
    </w:p>
    <w:p>
      <w:pPr>
        <w:pStyle w:val="Heading2"/>
        <w:spacing w:line="240" w:lineRule="auto"/>
        <w:ind w:right="0"/>
        <w:jc w:val="left"/>
        <w:rPr>
          <w:b w:val="0"/>
          <w:bCs w:val="0"/>
        </w:rPr>
      </w:pPr>
      <w:bookmarkStart w:name="十三、承诺及或有事项" w:id="408"/>
      <w:bookmarkEnd w:id="408"/>
      <w:r>
        <w:rPr>
          <w:b w:val="0"/>
          <w:bCs w:val="0"/>
        </w:rPr>
      </w:r>
      <w:r>
        <w:rPr/>
        <w:t>十三、承诺及或有事项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重要承诺事项" w:id="409"/>
      <w:bookmarkEnd w:id="409"/>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spacing w:val="-3"/>
        </w:rPr>
        <w:t>资产负债表日存在的重要承诺</w:t>
      </w:r>
    </w:p>
    <w:p>
      <w:pPr>
        <w:pStyle w:val="Heading5"/>
        <w:spacing w:line="240" w:lineRule="auto" w:before="85"/>
        <w:ind w:left="575" w:right="0"/>
        <w:jc w:val="left"/>
      </w:pPr>
      <w:r>
        <w:rPr/>
        <w:t>截至资产负债表日，本公司不存在需要披露的重要承诺事项。</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Heading4"/>
        <w:spacing w:line="240" w:lineRule="auto"/>
        <w:ind w:right="0"/>
        <w:jc w:val="left"/>
        <w:rPr>
          <w:b w:val="0"/>
          <w:bCs w:val="0"/>
        </w:rPr>
      </w:pPr>
      <w:bookmarkStart w:name="2、或有事项" w:id="410"/>
      <w:bookmarkEnd w:id="410"/>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5"/>
        <w:rPr>
          <w:rFonts w:ascii="宋体" w:hAnsi="宋体" w:cs="宋体" w:eastAsia="宋体" w:hint="default"/>
          <w:b/>
          <w:bCs/>
          <w:sz w:val="24"/>
          <w:szCs w:val="24"/>
        </w:rPr>
      </w:pPr>
    </w:p>
    <w:p>
      <w:pPr>
        <w:spacing w:line="506" w:lineRule="auto" w:before="0"/>
        <w:ind w:left="575" w:right="1828" w:hanging="423"/>
        <w:jc w:val="left"/>
        <w:rPr>
          <w:rFonts w:ascii="宋体" w:hAnsi="宋体" w:cs="宋体" w:eastAsia="宋体" w:hint="default"/>
          <w:sz w:val="21"/>
          <w:szCs w:val="21"/>
        </w:rPr>
      </w:pPr>
      <w:bookmarkStart w:name="（1）资产负债表日存在的重要或有事项" w:id="411"/>
      <w:bookmarkEnd w:id="41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b/>
          <w:bCs/>
          <w:w w:val="100"/>
          <w:sz w:val="21"/>
          <w:szCs w:val="21"/>
        </w:rPr>
        <w:t> </w:t>
      </w:r>
      <w:r>
        <w:rPr>
          <w:rFonts w:ascii="宋体" w:hAnsi="宋体" w:cs="宋体" w:eastAsia="宋体" w:hint="default"/>
          <w:spacing w:val="-2"/>
          <w:sz w:val="21"/>
          <w:szCs w:val="21"/>
        </w:rPr>
        <w:t>截至资产负债表日，本公司不存在需要披露的重要承诺事项。</w:t>
      </w:r>
    </w:p>
    <w:p>
      <w:pPr>
        <w:spacing w:line="240" w:lineRule="auto" w:before="0"/>
        <w:rPr>
          <w:rFonts w:ascii="宋体" w:hAnsi="宋体" w:cs="宋体" w:eastAsia="宋体" w:hint="default"/>
          <w:sz w:val="20"/>
          <w:szCs w:val="20"/>
        </w:rPr>
      </w:pPr>
    </w:p>
    <w:p>
      <w:pPr>
        <w:pStyle w:val="Heading4"/>
        <w:spacing w:line="240" w:lineRule="auto" w:before="156"/>
        <w:ind w:right="0"/>
        <w:jc w:val="left"/>
        <w:rPr>
          <w:b w:val="0"/>
          <w:bCs w:val="0"/>
        </w:rPr>
      </w:pPr>
      <w:bookmarkStart w:name="（2）公司没有需要披露的重要或有事项，也应予以说明" w:id="412"/>
      <w:bookmarkEnd w:id="412"/>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620" w:lineRule="exact" w:before="63"/>
        <w:ind w:left="153" w:right="7272" w:firstLine="0"/>
        <w:jc w:val="left"/>
        <w:rPr>
          <w:rFonts w:ascii="宋体" w:hAnsi="宋体" w:cs="宋体" w:eastAsia="宋体" w:hint="default"/>
          <w:sz w:val="24"/>
          <w:szCs w:val="24"/>
        </w:rPr>
      </w:pPr>
      <w:r>
        <w:rPr>
          <w:rFonts w:ascii="宋体" w:hAnsi="宋体" w:cs="宋体" w:eastAsia="宋体" w:hint="default"/>
          <w:spacing w:val="-3"/>
          <w:sz w:val="18"/>
          <w:szCs w:val="18"/>
        </w:rPr>
        <w:t>公司不存在需要披露的重要或有事项。</w:t>
      </w:r>
      <w:r>
        <w:rPr>
          <w:rFonts w:ascii="宋体" w:hAnsi="宋体" w:cs="宋体" w:eastAsia="宋体" w:hint="default"/>
          <w:spacing w:val="-39"/>
          <w:sz w:val="18"/>
          <w:szCs w:val="18"/>
        </w:rPr>
        <w:t> </w:t>
      </w:r>
      <w:r>
        <w:rPr>
          <w:rFonts w:ascii="宋体" w:hAnsi="宋体" w:cs="宋体" w:eastAsia="宋体" w:hint="default"/>
          <w:spacing w:val="-39"/>
          <w:sz w:val="18"/>
          <w:szCs w:val="18"/>
        </w:rPr>
      </w:r>
      <w:bookmarkStart w:name="3、其他" w:id="413"/>
      <w:bookmarkEnd w:id="413"/>
      <w:r>
        <w:rPr>
          <w:rFonts w:ascii="宋体" w:hAnsi="宋体" w:cs="宋体" w:eastAsia="宋体" w:hint="default"/>
          <w:spacing w:val="-39"/>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四、资产负债表日后事项" w:id="414"/>
      <w:bookmarkEnd w:id="414"/>
      <w:r>
        <w:rPr>
          <w:rFonts w:ascii="宋体" w:hAnsi="宋体" w:cs="宋体" w:eastAsia="宋体" w:hint="default"/>
          <w:b/>
          <w:bCs/>
          <w:w w:val="100"/>
          <w:sz w:val="21"/>
          <w:szCs w:val="21"/>
        </w:rPr>
      </w:r>
      <w:r>
        <w:rPr>
          <w:rFonts w:ascii="宋体" w:hAnsi="宋体" w:cs="宋体" w:eastAsia="宋体" w:hint="default"/>
          <w:b/>
          <w:bCs/>
          <w:sz w:val="24"/>
          <w:szCs w:val="24"/>
        </w:rPr>
        <w:t>十四、资产负债表日后事项</w:t>
      </w:r>
      <w:r>
        <w:rPr>
          <w:rFonts w:ascii="宋体" w:hAnsi="宋体" w:cs="宋体" w:eastAsia="宋体" w:hint="default"/>
          <w:sz w:val="24"/>
          <w:szCs w:val="24"/>
        </w:rPr>
      </w:r>
    </w:p>
    <w:p>
      <w:pPr>
        <w:spacing w:line="240" w:lineRule="auto" w:before="13"/>
        <w:rPr>
          <w:rFonts w:ascii="宋体" w:hAnsi="宋体" w:cs="宋体" w:eastAsia="宋体" w:hint="default"/>
          <w:b/>
          <w:bCs/>
          <w:sz w:val="17"/>
          <w:szCs w:val="17"/>
        </w:rPr>
      </w:pPr>
    </w:p>
    <w:p>
      <w:pPr>
        <w:pStyle w:val="Heading4"/>
        <w:spacing w:line="240" w:lineRule="auto"/>
        <w:ind w:right="0"/>
        <w:jc w:val="left"/>
        <w:rPr>
          <w:b w:val="0"/>
          <w:bCs w:val="0"/>
        </w:rPr>
      </w:pPr>
      <w:bookmarkStart w:name="1、利润分配情况" w:id="415"/>
      <w:bookmarkEnd w:id="415"/>
      <w:r>
        <w:rPr>
          <w:b w:val="0"/>
          <w:bCs w:val="0"/>
        </w:rPr>
      </w:r>
      <w:r>
        <w:rPr>
          <w:rFonts w:ascii="Times New Roman" w:hAnsi="Times New Roman" w:cs="Times New Roman" w:eastAsia="Times New Roman" w:hint="default"/>
        </w:rPr>
        <w:t>1</w:t>
      </w:r>
      <w:r>
        <w:rPr/>
        <w:t>、利润分配情况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984"/>
        <w:gridCol w:w="4585"/>
      </w:tblGrid>
      <w:tr>
        <w:trPr>
          <w:trHeight w:val="399"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6,445,477.50</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6,445,477.50</w:t>
            </w:r>
          </w:p>
        </w:tc>
      </w:tr>
    </w:tbl>
    <w:p>
      <w:pPr>
        <w:spacing w:line="240" w:lineRule="auto" w:before="3"/>
        <w:rPr>
          <w:rFonts w:ascii="宋体" w:hAnsi="宋体" w:cs="宋体" w:eastAsia="宋体" w:hint="default"/>
          <w:sz w:val="19"/>
          <w:szCs w:val="19"/>
        </w:rPr>
      </w:pPr>
    </w:p>
    <w:p>
      <w:pPr>
        <w:pStyle w:val="Heading4"/>
        <w:spacing w:line="240" w:lineRule="auto" w:before="36"/>
        <w:ind w:right="0"/>
        <w:jc w:val="both"/>
        <w:rPr>
          <w:b w:val="0"/>
          <w:bCs w:val="0"/>
        </w:rPr>
      </w:pPr>
      <w:bookmarkStart w:name="2、其他资产负债表日后事项说明" w:id="416"/>
      <w:bookmarkEnd w:id="416"/>
      <w:r>
        <w:rPr>
          <w:b w:val="0"/>
          <w:bCs w:val="0"/>
        </w:rPr>
      </w:r>
      <w:r>
        <w:rPr>
          <w:rFonts w:ascii="Times New Roman" w:hAnsi="Times New Roman" w:cs="Times New Roman" w:eastAsia="Times New Roman" w:hint="default"/>
        </w:rPr>
        <w:t>2</w:t>
      </w:r>
      <w:r>
        <w:rPr/>
        <w:t>、其他资产负债表日后事项说明</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right="1122"/>
        <w:jc w:val="both"/>
      </w:pPr>
      <w:r>
        <w:rPr>
          <w:spacing w:val="-2"/>
        </w:rPr>
        <w:t>根据公司</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10</w:t>
      </w:r>
      <w:r>
        <w:rPr>
          <w:spacing w:val="-2"/>
        </w:rPr>
        <w:t>日</w:t>
      </w:r>
      <w:r>
        <w:rPr>
          <w:rFonts w:ascii="Times New Roman" w:hAnsi="Times New Roman" w:cs="Times New Roman" w:eastAsia="Times New Roman" w:hint="default"/>
          <w:spacing w:val="-2"/>
        </w:rPr>
        <w:t>2020</w:t>
      </w:r>
      <w:r>
        <w:rPr>
          <w:spacing w:val="-2"/>
        </w:rPr>
        <w:t>年第一次临时股东大会决议，公司拟向中国证券监督管理委员会申请非公开发行</w:t>
      </w:r>
      <w:r>
        <w:rPr>
          <w:rFonts w:ascii="Times New Roman" w:hAnsi="Times New Roman" w:cs="Times New Roman" w:eastAsia="Times New Roman" w:hint="default"/>
          <w:spacing w:val="-2"/>
        </w:rPr>
        <w:t>A</w:t>
      </w:r>
      <w:r>
        <w:rPr>
          <w:spacing w:val="-2"/>
        </w:rPr>
        <w:t>股股票，拟</w:t>
      </w:r>
      <w:r>
        <w:rPr>
          <w:spacing w:val="89"/>
        </w:rPr>
        <w:t> </w:t>
      </w:r>
      <w:r>
        <w:rPr>
          <w:spacing w:val="-4"/>
          <w:w w:val="101"/>
        </w:rPr>
        <w:t>募集资金总额不超过人民币</w:t>
      </w:r>
      <w:r>
        <w:rPr>
          <w:rFonts w:ascii="Times New Roman" w:hAnsi="Times New Roman" w:cs="Times New Roman" w:eastAsia="Times New Roman" w:hint="default"/>
          <w:spacing w:val="-4"/>
          <w:w w:val="101"/>
        </w:rPr>
        <w:t>50,716.50</w:t>
      </w:r>
      <w:r>
        <w:rPr>
          <w:spacing w:val="-4"/>
          <w:w w:val="101"/>
        </w:rPr>
        <w:t>万元，募集资金将用于基于物联网及大数据技术的智慧医院一体化建设项目和补充流动</w:t>
      </w:r>
      <w:r>
        <w:rPr>
          <w:spacing w:val="-74"/>
          <w:w w:val="101"/>
        </w:rPr>
        <w:t> </w:t>
      </w:r>
      <w:r>
        <w:rPr>
          <w:spacing w:val="-74"/>
          <w:w w:val="101"/>
        </w:rPr>
      </w:r>
      <w:r>
        <w:rPr>
          <w:spacing w:val="-3"/>
        </w:rPr>
        <w:t>资金。此次非公开发行股票尚需报经中国证监会审核批准后实施。</w:t>
      </w:r>
    </w:p>
    <w:p>
      <w:pPr>
        <w:spacing w:after="0" w:line="300" w:lineRule="auto"/>
        <w:jc w:val="both"/>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Heading2"/>
        <w:spacing w:line="240" w:lineRule="auto" w:before="26"/>
        <w:ind w:left="973" w:right="0"/>
        <w:jc w:val="left"/>
        <w:rPr>
          <w:b w:val="0"/>
          <w:bCs w:val="0"/>
        </w:rPr>
      </w:pPr>
      <w:bookmarkStart w:name="十五、其他重要事项" w:id="417"/>
      <w:bookmarkEnd w:id="417"/>
      <w:r>
        <w:rPr>
          <w:b w:val="0"/>
          <w:bCs w:val="0"/>
        </w:rPr>
      </w:r>
      <w:r>
        <w:rPr/>
        <w:t>十五、其他重要事项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973" w:right="0"/>
        <w:jc w:val="left"/>
        <w:rPr>
          <w:b w:val="0"/>
          <w:bCs w:val="0"/>
        </w:rPr>
      </w:pPr>
      <w:bookmarkStart w:name="1、分部信息" w:id="418"/>
      <w:bookmarkEnd w:id="418"/>
      <w:r>
        <w:rPr>
          <w:b w:val="0"/>
          <w:bCs w:val="0"/>
        </w:rPr>
      </w:r>
      <w:r>
        <w:rPr>
          <w:rFonts w:ascii="Times New Roman" w:hAnsi="Times New Roman" w:cs="Times New Roman" w:eastAsia="Times New Roman" w:hint="default"/>
        </w:rPr>
        <w:t>1</w:t>
      </w:r>
      <w:r>
        <w:rPr/>
        <w:t>、分部信息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973" w:right="0"/>
        <w:jc w:val="left"/>
        <w:rPr>
          <w:b w:val="0"/>
          <w:bCs w:val="0"/>
        </w:rPr>
      </w:pPr>
      <w:bookmarkStart w:name="（1）报告分部的确定依据与会计政策" w:id="419"/>
      <w:bookmarkEnd w:id="419"/>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left="973" w:right="0"/>
        <w:jc w:val="left"/>
        <w:rPr>
          <w:b w:val="0"/>
          <w:bCs w:val="0"/>
        </w:rPr>
      </w:pPr>
      <w:bookmarkStart w:name="（2）报告分部的财务信息" w:id="420"/>
      <w:bookmarkEnd w:id="420"/>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980" w:type="dxa"/>
        <w:tblLayout w:type="fixed"/>
        <w:tblCellMar>
          <w:top w:w="0" w:type="dxa"/>
          <w:left w:w="0" w:type="dxa"/>
          <w:bottom w:w="0" w:type="dxa"/>
          <w:right w:w="0" w:type="dxa"/>
        </w:tblCellMar>
        <w:tblLook w:val="01E0"/>
      </w:tblPr>
      <w:tblGrid>
        <w:gridCol w:w="1570"/>
        <w:gridCol w:w="1606"/>
        <w:gridCol w:w="1595"/>
        <w:gridCol w:w="1594"/>
      </w:tblGrid>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61" w:right="0"/>
              <w:jc w:val="left"/>
              <w:rPr>
                <w:rFonts w:ascii="宋体" w:hAnsi="宋体" w:cs="宋体" w:eastAsia="宋体" w:hint="default"/>
                <w:sz w:val="18"/>
                <w:szCs w:val="18"/>
              </w:rPr>
            </w:pPr>
            <w:r>
              <w:rPr>
                <w:rFonts w:ascii="宋体" w:hAnsi="宋体" w:cs="宋体" w:eastAsia="宋体" w:hint="default"/>
                <w:sz w:val="18"/>
                <w:szCs w:val="18"/>
              </w:rPr>
              <w:t>医疗信息系统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1"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line="504" w:lineRule="auto" w:before="36"/>
        <w:ind w:left="973" w:right="0" w:firstLine="0"/>
        <w:jc w:val="left"/>
        <w:rPr>
          <w:rFonts w:ascii="宋体" w:hAnsi="宋体" w:cs="宋体" w:eastAsia="宋体" w:hint="default"/>
          <w:sz w:val="21"/>
          <w:szCs w:val="21"/>
        </w:rPr>
      </w:pPr>
      <w:bookmarkStart w:name="（3）公司无报告分部的，或者不能披露各报告分部的资产总额和负债总额的，应说明原因" w:id="421"/>
      <w:bookmarkEnd w:id="421"/>
      <w:r>
        <w:rPr/>
      </w: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）公司无报告分部的，或者不能披露各报告分部的资产总额和负债总额的，应说明原因</w:t>
      </w:r>
      <w:r>
        <w:rPr>
          <w:rFonts w:ascii="宋体" w:hAnsi="宋体" w:cs="宋体" w:eastAsia="宋体" w:hint="default"/>
          <w:b/>
          <w:bCs/>
          <w:spacing w:val="-62"/>
          <w:sz w:val="21"/>
          <w:szCs w:val="21"/>
        </w:rPr>
        <w:t> </w:t>
      </w:r>
      <w:r>
        <w:rPr>
          <w:rFonts w:ascii="宋体" w:hAnsi="宋体" w:cs="宋体" w:eastAsia="宋体" w:hint="default"/>
          <w:b/>
          <w:bCs/>
          <w:spacing w:val="-62"/>
          <w:sz w:val="21"/>
          <w:szCs w:val="21"/>
        </w:rPr>
      </w:r>
      <w:r>
        <w:rPr>
          <w:rFonts w:ascii="宋体" w:hAnsi="宋体" w:cs="宋体" w:eastAsia="宋体" w:hint="default"/>
          <w:sz w:val="21"/>
          <w:szCs w:val="21"/>
        </w:rPr>
        <w:t>本公司不存在多种经营，且于境内经营，故无报告分部。</w:t>
      </w:r>
    </w:p>
    <w:p>
      <w:pPr>
        <w:pStyle w:val="Heading4"/>
        <w:spacing w:line="240" w:lineRule="auto" w:before="108"/>
        <w:ind w:left="973" w:right="0"/>
        <w:jc w:val="left"/>
        <w:rPr>
          <w:b w:val="0"/>
          <w:bCs w:val="0"/>
        </w:rPr>
      </w:pPr>
      <w:bookmarkStart w:name="（4）其他说明" w:id="422"/>
      <w:bookmarkEnd w:id="422"/>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32"/>
          <w:szCs w:val="32"/>
        </w:rPr>
      </w:pPr>
    </w:p>
    <w:p>
      <w:pPr>
        <w:pStyle w:val="BodyText"/>
        <w:spacing w:line="240" w:lineRule="auto"/>
        <w:ind w:left="1333" w:right="0"/>
        <w:jc w:val="left"/>
      </w:pPr>
      <w:r>
        <w:rPr>
          <w:spacing w:val="-3"/>
        </w:rPr>
        <w:t>本公司按主要产品或提供的劳务分类的主营业务收入及主营业务成本明细如下：</w:t>
      </w:r>
    </w:p>
    <w:p>
      <w:pPr>
        <w:spacing w:line="240" w:lineRule="auto" w:before="11"/>
        <w:rPr>
          <w:rFonts w:ascii="宋体" w:hAnsi="宋体" w:cs="宋体" w:eastAsia="宋体" w:hint="default"/>
          <w:sz w:val="13"/>
          <w:szCs w:val="13"/>
        </w:rPr>
      </w:pPr>
    </w:p>
    <w:tbl>
      <w:tblPr>
        <w:tblW w:w="0" w:type="auto"/>
        <w:jc w:val="left"/>
        <w:tblInd w:w="858" w:type="dxa"/>
        <w:tblLayout w:type="fixed"/>
        <w:tblCellMar>
          <w:top w:w="0" w:type="dxa"/>
          <w:left w:w="0" w:type="dxa"/>
          <w:bottom w:w="0" w:type="dxa"/>
          <w:right w:w="0" w:type="dxa"/>
        </w:tblCellMar>
        <w:tblLook w:val="01E0"/>
      </w:tblPr>
      <w:tblGrid>
        <w:gridCol w:w="1930"/>
        <w:gridCol w:w="2435"/>
        <w:gridCol w:w="2089"/>
        <w:gridCol w:w="1925"/>
        <w:gridCol w:w="1998"/>
      </w:tblGrid>
      <w:tr>
        <w:trPr>
          <w:trHeight w:val="557" w:hRule="exact"/>
        </w:trPr>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88"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672" w:right="0"/>
              <w:jc w:val="left"/>
              <w:rPr>
                <w:rFonts w:ascii="宋体" w:hAnsi="宋体" w:cs="宋体" w:eastAsia="宋体" w:hint="default"/>
                <w:sz w:val="18"/>
                <w:szCs w:val="18"/>
              </w:rPr>
            </w:pPr>
            <w:r>
              <w:rPr>
                <w:rFonts w:ascii="宋体" w:hAnsi="宋体" w:cs="宋体" w:eastAsia="宋体" w:hint="default"/>
                <w:sz w:val="18"/>
                <w:szCs w:val="18"/>
              </w:rPr>
              <w:t>医疗信息系统</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413" w:right="0"/>
              <w:jc w:val="left"/>
              <w:rPr>
                <w:rFonts w:ascii="宋体" w:hAnsi="宋体" w:cs="宋体" w:eastAsia="宋体" w:hint="default"/>
                <w:sz w:val="18"/>
                <w:szCs w:val="18"/>
              </w:rPr>
            </w:pPr>
            <w:r>
              <w:rPr>
                <w:rFonts w:ascii="宋体" w:hAnsi="宋体" w:cs="宋体" w:eastAsia="宋体" w:hint="default"/>
                <w:spacing w:val="-3"/>
                <w:sz w:val="18"/>
                <w:szCs w:val="18"/>
              </w:rPr>
              <w:t>数字化场景应用</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41"/>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z w:val="18"/>
                <w:szCs w:val="18"/>
              </w:rPr>
              <w:t>计</w:t>
            </w:r>
          </w:p>
        </w:tc>
      </w:tr>
      <w:tr>
        <w:trPr>
          <w:trHeight w:val="562" w:hRule="exact"/>
        </w:trPr>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94"/>
              <w:jc w:val="right"/>
              <w:rPr>
                <w:rFonts w:ascii="宋体" w:hAnsi="宋体" w:cs="宋体" w:eastAsia="宋体" w:hint="default"/>
                <w:sz w:val="18"/>
                <w:szCs w:val="18"/>
              </w:rPr>
            </w:pPr>
            <w:r>
              <w:rPr>
                <w:rFonts w:ascii="宋体"/>
                <w:spacing w:val="-2"/>
                <w:sz w:val="18"/>
              </w:rPr>
              <w:t>207,398,203.80</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94"/>
              <w:jc w:val="right"/>
              <w:rPr>
                <w:rFonts w:ascii="宋体" w:hAnsi="宋体" w:cs="宋体" w:eastAsia="宋体" w:hint="default"/>
                <w:sz w:val="18"/>
                <w:szCs w:val="18"/>
              </w:rPr>
            </w:pPr>
            <w:r>
              <w:rPr>
                <w:rFonts w:ascii="宋体"/>
                <w:spacing w:val="-2"/>
                <w:sz w:val="18"/>
              </w:rPr>
              <w:t>192,390,893.01</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99"/>
              <w:jc w:val="right"/>
              <w:rPr>
                <w:rFonts w:ascii="宋体" w:hAnsi="宋体" w:cs="宋体" w:eastAsia="宋体" w:hint="default"/>
                <w:sz w:val="18"/>
                <w:szCs w:val="18"/>
              </w:rPr>
            </w:pPr>
            <w:r>
              <w:rPr>
                <w:rFonts w:ascii="宋体"/>
                <w:spacing w:val="-1"/>
                <w:sz w:val="18"/>
              </w:rPr>
              <w:t>30,944,284.21</w:t>
            </w: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94"/>
              <w:jc w:val="right"/>
              <w:rPr>
                <w:rFonts w:ascii="宋体" w:hAnsi="宋体" w:cs="宋体" w:eastAsia="宋体" w:hint="default"/>
                <w:sz w:val="18"/>
                <w:szCs w:val="18"/>
              </w:rPr>
            </w:pPr>
            <w:r>
              <w:rPr>
                <w:rFonts w:ascii="宋体"/>
                <w:spacing w:val="-2"/>
                <w:sz w:val="18"/>
              </w:rPr>
              <w:t>430,733,381.02</w:t>
            </w:r>
          </w:p>
        </w:tc>
      </w:tr>
      <w:tr>
        <w:trPr>
          <w:trHeight w:val="557" w:hRule="exact"/>
        </w:trPr>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2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94"/>
              <w:jc w:val="right"/>
              <w:rPr>
                <w:rFonts w:ascii="宋体" w:hAnsi="宋体" w:cs="宋体" w:eastAsia="宋体" w:hint="default"/>
                <w:sz w:val="18"/>
                <w:szCs w:val="18"/>
              </w:rPr>
            </w:pPr>
            <w:r>
              <w:rPr>
                <w:rFonts w:ascii="宋体"/>
                <w:spacing w:val="-1"/>
                <w:sz w:val="18"/>
              </w:rPr>
              <w:t>82,277,641.08</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94"/>
              <w:jc w:val="right"/>
              <w:rPr>
                <w:rFonts w:ascii="宋体" w:hAnsi="宋体" w:cs="宋体" w:eastAsia="宋体" w:hint="default"/>
                <w:sz w:val="18"/>
                <w:szCs w:val="18"/>
              </w:rPr>
            </w:pPr>
            <w:r>
              <w:rPr>
                <w:rFonts w:ascii="宋体"/>
                <w:spacing w:val="-2"/>
                <w:sz w:val="18"/>
              </w:rPr>
              <w:t>138,253,478.13</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99"/>
              <w:jc w:val="right"/>
              <w:rPr>
                <w:rFonts w:ascii="宋体" w:hAnsi="宋体" w:cs="宋体" w:eastAsia="宋体" w:hint="default"/>
                <w:sz w:val="18"/>
                <w:szCs w:val="18"/>
              </w:rPr>
            </w:pPr>
            <w:r>
              <w:rPr>
                <w:rFonts w:ascii="宋体"/>
                <w:spacing w:val="-1"/>
                <w:sz w:val="18"/>
              </w:rPr>
              <w:t>14,725,709.38</w:t>
            </w:r>
          </w:p>
        </w:tc>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94"/>
              <w:jc w:val="right"/>
              <w:rPr>
                <w:rFonts w:ascii="宋体" w:hAnsi="宋体" w:cs="宋体" w:eastAsia="宋体" w:hint="default"/>
                <w:sz w:val="18"/>
                <w:szCs w:val="18"/>
              </w:rPr>
            </w:pPr>
            <w:r>
              <w:rPr>
                <w:rFonts w:ascii="宋体"/>
                <w:spacing w:val="-2"/>
                <w:sz w:val="18"/>
              </w:rPr>
              <w:t>235,256,828.59</w:t>
            </w:r>
          </w:p>
        </w:tc>
      </w:tr>
    </w:tbl>
    <w:p>
      <w:pPr>
        <w:spacing w:line="240" w:lineRule="auto" w:before="3"/>
        <w:rPr>
          <w:rFonts w:ascii="宋体" w:hAnsi="宋体" w:cs="宋体" w:eastAsia="宋体" w:hint="default"/>
          <w:sz w:val="19"/>
          <w:szCs w:val="19"/>
        </w:rPr>
      </w:pPr>
    </w:p>
    <w:p>
      <w:pPr>
        <w:pStyle w:val="Heading4"/>
        <w:spacing w:line="240" w:lineRule="auto" w:before="36"/>
        <w:ind w:left="973" w:right="0"/>
        <w:jc w:val="left"/>
        <w:rPr>
          <w:b w:val="0"/>
          <w:bCs w:val="0"/>
        </w:rPr>
      </w:pPr>
      <w:bookmarkStart w:name="2、其他对投资者决策有影响的重要交易和事项" w:id="423"/>
      <w:bookmarkEnd w:id="423"/>
      <w:r>
        <w:rPr>
          <w:b w:val="0"/>
          <w:bCs w:val="0"/>
        </w:rPr>
      </w:r>
      <w:r>
        <w:rPr>
          <w:rFonts w:ascii="Times New Roman" w:hAnsi="Times New Roman" w:cs="Times New Roman" w:eastAsia="Times New Roman" w:hint="default"/>
        </w:rPr>
        <w:t>2</w:t>
      </w:r>
      <w:r>
        <w:rPr/>
        <w:t>、其他对投资者决策有影响的重要交易和事项</w:t>
      </w:r>
      <w:r>
        <w:rPr>
          <w:b w:val="0"/>
          <w:bCs w:val="0"/>
        </w:rPr>
      </w:r>
    </w:p>
    <w:p>
      <w:pPr>
        <w:spacing w:line="240" w:lineRule="auto" w:before="1"/>
        <w:rPr>
          <w:rFonts w:ascii="宋体" w:hAnsi="宋体" w:cs="宋体" w:eastAsia="宋体" w:hint="default"/>
          <w:b/>
          <w:bCs/>
          <w:sz w:val="22"/>
          <w:szCs w:val="22"/>
        </w:rPr>
      </w:pPr>
    </w:p>
    <w:p>
      <w:pPr>
        <w:pStyle w:val="Heading2"/>
        <w:spacing w:line="444" w:lineRule="auto"/>
        <w:ind w:left="973" w:right="6896"/>
        <w:jc w:val="left"/>
        <w:rPr>
          <w:b w:val="0"/>
          <w:bCs w:val="0"/>
        </w:rPr>
      </w:pPr>
      <w:bookmarkStart w:name="3、其他" w:id="424"/>
      <w:bookmarkEnd w:id="424"/>
      <w:r>
        <w:rPr>
          <w:b w:val="0"/>
          <w:bCs w:val="0"/>
        </w:rPr>
      </w:r>
      <w:r>
        <w:rPr>
          <w:rFonts w:ascii="Times New Roman" w:hAnsi="Times New Roman" w:cs="Times New Roman" w:eastAsia="Times New Roman" w:hint="default"/>
        </w:rPr>
        <w:t>3</w:t>
      </w:r>
      <w:r>
        <w:rPr/>
        <w:t>、其他</w:t>
      </w:r>
      <w:r>
        <w:rPr>
          <w:w w:val="99"/>
        </w:rPr>
        <w:t> </w:t>
      </w:r>
      <w:bookmarkStart w:name="十六、母公司财务报表主要项目注释" w:id="425"/>
      <w:bookmarkEnd w:id="425"/>
      <w:r>
        <w:rPr/>
        <w:t>十</w:t>
      </w:r>
      <w:r>
        <w:rPr/>
        <w:t>六、母公司财务报表主要项目注释</w:t>
      </w:r>
      <w:r>
        <w:rPr>
          <w:b w:val="0"/>
          <w:bCs w:val="0"/>
        </w:rPr>
      </w:r>
    </w:p>
    <w:p>
      <w:pPr>
        <w:pStyle w:val="Heading4"/>
        <w:spacing w:line="240" w:lineRule="auto" w:before="126"/>
        <w:ind w:left="973" w:right="0"/>
        <w:jc w:val="left"/>
        <w:rPr>
          <w:b w:val="0"/>
          <w:bCs w:val="0"/>
        </w:rPr>
      </w:pPr>
      <w:bookmarkStart w:name="1、应收账款" w:id="426"/>
      <w:bookmarkEnd w:id="426"/>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973" w:right="0"/>
        <w:jc w:val="left"/>
        <w:rPr>
          <w:b w:val="0"/>
          <w:bCs w:val="0"/>
        </w:rPr>
      </w:pPr>
      <w:bookmarkStart w:name="（1）应收账款分类披露" w:id="427"/>
      <w:bookmarkEnd w:id="427"/>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1935"/>
        <w:gridCol w:w="907"/>
        <w:gridCol w:w="903"/>
        <w:gridCol w:w="903"/>
        <w:gridCol w:w="903"/>
        <w:gridCol w:w="936"/>
        <w:gridCol w:w="922"/>
        <w:gridCol w:w="946"/>
        <w:gridCol w:w="941"/>
        <w:gridCol w:w="936"/>
        <w:gridCol w:w="1109"/>
      </w:tblGrid>
      <w:tr>
        <w:trPr>
          <w:trHeight w:val="398" w:hRule="exact"/>
        </w:trPr>
        <w:tc>
          <w:tcPr>
            <w:tcW w:w="19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55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85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1935" w:type="dxa"/>
            <w:vMerge/>
            <w:tcBorders>
              <w:left w:val="single" w:sz="4" w:space="0" w:color="000000"/>
              <w:right w:val="single" w:sz="4" w:space="0" w:color="000000"/>
            </w:tcBorders>
            <w:shd w:val="clear" w:color="auto" w:fill="D2D2D2"/>
          </w:tcPr>
          <w:p>
            <w:pP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0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3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691" w:hRule="exact"/>
        </w:trPr>
        <w:tc>
          <w:tcPr>
            <w:tcW w:w="1935" w:type="dxa"/>
            <w:vMerge/>
            <w:tcBorders>
              <w:left w:val="single" w:sz="4" w:space="0" w:color="000000"/>
              <w:bottom w:val="single" w:sz="4" w:space="0" w:color="000000"/>
              <w:right w:val="single" w:sz="4" w:space="0" w:color="000000"/>
            </w:tcBorders>
            <w:shd w:val="clear" w:color="auto" w:fill="D2D2D2"/>
          </w:tcPr>
          <w:p>
            <w:pPr/>
          </w:p>
        </w:tc>
        <w:tc>
          <w:tcPr>
            <w:tcW w:w="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6" w:type="dxa"/>
            <w:vMerge/>
            <w:tcBorders>
              <w:left w:val="single" w:sz="4" w:space="0" w:color="000000"/>
              <w:bottom w:val="single" w:sz="4" w:space="0" w:color="000000"/>
              <w:right w:val="single" w:sz="4" w:space="0" w:color="000000"/>
            </w:tcBorders>
            <w:shd w:val="clear" w:color="auto" w:fill="D2D2D2"/>
          </w:tcPr>
          <w:p>
            <w:pP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109"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1" w:footer="979" w:top="1060" w:bottom="1160" w:left="160" w:right="0"/>
        </w:sectPr>
      </w:pPr>
    </w:p>
    <w:p>
      <w:pPr>
        <w:spacing w:line="240" w:lineRule="auto" w:before="11"/>
        <w:rPr>
          <w:rFonts w:ascii="宋体" w:hAnsi="宋体" w:cs="宋体" w:eastAsia="宋体" w:hint="default"/>
          <w:sz w:val="28"/>
          <w:szCs w:val="28"/>
        </w:rPr>
      </w:pPr>
    </w:p>
    <w:tbl>
      <w:tblPr>
        <w:tblW w:w="0" w:type="auto"/>
        <w:jc w:val="left"/>
        <w:tblInd w:w="110" w:type="dxa"/>
        <w:tblLayout w:type="fixed"/>
        <w:tblCellMar>
          <w:top w:w="0" w:type="dxa"/>
          <w:left w:w="0" w:type="dxa"/>
          <w:bottom w:w="0" w:type="dxa"/>
          <w:right w:w="0" w:type="dxa"/>
        </w:tblCellMar>
        <w:tblLook w:val="01E0"/>
      </w:tblPr>
      <w:tblGrid>
        <w:gridCol w:w="1914"/>
        <w:gridCol w:w="917"/>
        <w:gridCol w:w="903"/>
        <w:gridCol w:w="903"/>
        <w:gridCol w:w="903"/>
        <w:gridCol w:w="936"/>
        <w:gridCol w:w="922"/>
        <w:gridCol w:w="946"/>
        <w:gridCol w:w="941"/>
        <w:gridCol w:w="936"/>
        <w:gridCol w:w="1109"/>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85"/>
              <w:jc w:val="left"/>
              <w:rPr>
                <w:rFonts w:ascii="宋体" w:hAnsi="宋体" w:cs="宋体" w:eastAsia="宋体" w:hint="default"/>
                <w:sz w:val="18"/>
                <w:szCs w:val="18"/>
              </w:rPr>
            </w:pPr>
            <w:r>
              <w:rPr>
                <w:rFonts w:ascii="宋体" w:hAnsi="宋体" w:cs="宋体" w:eastAsia="宋体" w:hint="default"/>
                <w:spacing w:val="-2"/>
                <w:sz w:val="18"/>
                <w:szCs w:val="18"/>
              </w:rPr>
              <w:t>按组合计提坏账准备的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应收账款</w:t>
            </w:r>
          </w:p>
        </w:tc>
        <w:tc>
          <w:tcPr>
            <w:tcW w:w="9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69" w:right="0"/>
              <w:jc w:val="left"/>
              <w:rPr>
                <w:rFonts w:ascii="Times New Roman" w:hAnsi="Times New Roman" w:cs="Times New Roman" w:eastAsia="Times New Roman" w:hint="default"/>
                <w:sz w:val="18"/>
                <w:szCs w:val="18"/>
              </w:rPr>
            </w:pPr>
            <w:r>
              <w:rPr>
                <w:rFonts w:ascii="Times New Roman"/>
                <w:sz w:val="18"/>
              </w:rPr>
              <w:t>378,639,62</w:t>
            </w:r>
          </w:p>
          <w:p>
            <w:pPr>
              <w:pStyle w:val="TableParagraph"/>
              <w:spacing w:line="240" w:lineRule="auto" w:before="105"/>
              <w:ind w:left="563" w:right="0"/>
              <w:jc w:val="left"/>
              <w:rPr>
                <w:rFonts w:ascii="Times New Roman" w:hAnsi="Times New Roman" w:cs="Times New Roman" w:eastAsia="Times New Roman" w:hint="default"/>
                <w:sz w:val="18"/>
                <w:szCs w:val="18"/>
              </w:rPr>
            </w:pPr>
            <w:r>
              <w:rPr>
                <w:rFonts w:ascii="Times New Roman"/>
                <w:sz w:val="18"/>
              </w:rPr>
              <w:t>2.56</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100.00%</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78,075,271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.93</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20.62%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300,564,35</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0.63</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348,131,96</w:t>
            </w:r>
          </w:p>
          <w:p>
            <w:pPr>
              <w:pStyle w:val="TableParagraph"/>
              <w:spacing w:line="240" w:lineRule="auto" w:before="105"/>
              <w:ind w:left="571" w:right="0"/>
              <w:jc w:val="left"/>
              <w:rPr>
                <w:rFonts w:ascii="Times New Roman" w:hAnsi="Times New Roman" w:cs="Times New Roman" w:eastAsia="Times New Roman" w:hint="default"/>
                <w:sz w:val="18"/>
                <w:szCs w:val="18"/>
              </w:rPr>
            </w:pPr>
            <w:r>
              <w:rPr>
                <w:rFonts w:ascii="Times New Roman"/>
                <w:sz w:val="18"/>
              </w:rPr>
              <w:t>0.89</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100.00%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52,981,426.</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80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15.22%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295,150,534.0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63" w:hRule="exact"/>
        </w:trPr>
        <w:tc>
          <w:tcPr>
            <w:tcW w:w="19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17" w:type="dxa"/>
            <w:vMerge w:val="restart"/>
            <w:tcBorders>
              <w:top w:val="single" w:sz="4" w:space="0" w:color="000000"/>
              <w:left w:val="single" w:sz="10" w:space="0" w:color="D2D2D2"/>
              <w:right w:val="single" w:sz="4" w:space="0" w:color="000000"/>
            </w:tcBorders>
          </w:tcPr>
          <w:p>
            <w:pPr>
              <w:pStyle w:val="TableParagraph"/>
              <w:spacing w:line="240" w:lineRule="auto" w:before="96"/>
              <w:ind w:left="69" w:right="0"/>
              <w:jc w:val="left"/>
              <w:rPr>
                <w:rFonts w:ascii="Times New Roman" w:hAnsi="Times New Roman" w:cs="Times New Roman" w:eastAsia="Times New Roman" w:hint="default"/>
                <w:sz w:val="18"/>
                <w:szCs w:val="18"/>
              </w:rPr>
            </w:pPr>
            <w:r>
              <w:rPr>
                <w:rFonts w:ascii="Times New Roman"/>
                <w:sz w:val="18"/>
              </w:rPr>
              <w:t>378,639,62</w:t>
            </w:r>
          </w:p>
          <w:p>
            <w:pPr>
              <w:pStyle w:val="TableParagraph"/>
              <w:spacing w:line="240" w:lineRule="auto" w:before="110"/>
              <w:ind w:left="563" w:right="0"/>
              <w:jc w:val="left"/>
              <w:rPr>
                <w:rFonts w:ascii="Times New Roman" w:hAnsi="Times New Roman" w:cs="Times New Roman" w:eastAsia="Times New Roman" w:hint="default"/>
                <w:sz w:val="18"/>
                <w:szCs w:val="18"/>
              </w:rPr>
            </w:pPr>
            <w:r>
              <w:rPr>
                <w:rFonts w:ascii="Times New Roman"/>
                <w:sz w:val="18"/>
              </w:rPr>
              <w:t>2.56</w:t>
            </w:r>
          </w:p>
        </w:tc>
        <w:tc>
          <w:tcPr>
            <w:tcW w:w="90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100.00%</w:t>
            </w:r>
          </w:p>
        </w:tc>
        <w:tc>
          <w:tcPr>
            <w:tcW w:w="903" w:type="dxa"/>
            <w:vMerge w:val="restart"/>
            <w:tcBorders>
              <w:top w:val="single" w:sz="4" w:space="0" w:color="000000"/>
              <w:left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78,075,271</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.93</w:t>
            </w:r>
          </w:p>
        </w:tc>
        <w:tc>
          <w:tcPr>
            <w:tcW w:w="90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20.62%</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300,564,35</w:t>
            </w:r>
          </w:p>
          <w:p>
            <w:pPr>
              <w:pStyle w:val="TableParagraph"/>
              <w:spacing w:line="240" w:lineRule="auto" w:before="110"/>
              <w:ind w:left="585" w:right="0"/>
              <w:jc w:val="left"/>
              <w:rPr>
                <w:rFonts w:ascii="Times New Roman" w:hAnsi="Times New Roman" w:cs="Times New Roman" w:eastAsia="Times New Roman" w:hint="default"/>
                <w:sz w:val="18"/>
                <w:szCs w:val="18"/>
              </w:rPr>
            </w:pPr>
            <w:r>
              <w:rPr>
                <w:rFonts w:ascii="Times New Roman"/>
                <w:sz w:val="18"/>
              </w:rPr>
              <w:t>0.63</w:t>
            </w:r>
          </w:p>
        </w:tc>
        <w:tc>
          <w:tcPr>
            <w:tcW w:w="922" w:type="dxa"/>
            <w:vMerge w:val="restart"/>
            <w:tcBorders>
              <w:top w:val="single" w:sz="4" w:space="0" w:color="000000"/>
              <w:left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348,131,96</w:t>
            </w:r>
          </w:p>
          <w:p>
            <w:pPr>
              <w:pStyle w:val="TableParagraph"/>
              <w:spacing w:line="240" w:lineRule="auto" w:before="110"/>
              <w:ind w:left="571" w:right="0"/>
              <w:jc w:val="left"/>
              <w:rPr>
                <w:rFonts w:ascii="Times New Roman" w:hAnsi="Times New Roman" w:cs="Times New Roman" w:eastAsia="Times New Roman" w:hint="default"/>
                <w:sz w:val="18"/>
                <w:szCs w:val="18"/>
              </w:rPr>
            </w:pPr>
            <w:r>
              <w:rPr>
                <w:rFonts w:ascii="Times New Roman"/>
                <w:sz w:val="18"/>
              </w:rPr>
              <w:t>0.89</w:t>
            </w:r>
          </w:p>
        </w:tc>
        <w:tc>
          <w:tcPr>
            <w:tcW w:w="94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100.00%</w:t>
            </w:r>
          </w:p>
        </w:tc>
        <w:tc>
          <w:tcPr>
            <w:tcW w:w="941" w:type="dxa"/>
            <w:vMerge w:val="restart"/>
            <w:tcBorders>
              <w:top w:val="single" w:sz="4" w:space="0" w:color="000000"/>
              <w:left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52,981,426.</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80</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15.22%</w:t>
            </w:r>
          </w:p>
        </w:tc>
        <w:tc>
          <w:tcPr>
            <w:tcW w:w="1109" w:type="dxa"/>
            <w:vMerge w:val="restart"/>
            <w:tcBorders>
              <w:top w:val="single" w:sz="4" w:space="0" w:color="000000"/>
              <w:left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295,150,534.0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r>
      <w:tr>
        <w:trPr>
          <w:trHeight w:val="389" w:hRule="exact"/>
        </w:trPr>
        <w:tc>
          <w:tcPr>
            <w:tcW w:w="19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17" w:type="dxa"/>
            <w:vMerge/>
            <w:tcBorders>
              <w:left w:val="single" w:sz="10" w:space="0" w:color="D2D2D2"/>
              <w:right w:val="single" w:sz="4" w:space="0" w:color="000000"/>
            </w:tcBorders>
          </w:tcPr>
          <w:p>
            <w:pPr/>
          </w:p>
        </w:tc>
        <w:tc>
          <w:tcPr>
            <w:tcW w:w="903" w:type="dxa"/>
            <w:vMerge/>
            <w:tcBorders>
              <w:left w:val="single" w:sz="4" w:space="0" w:color="000000"/>
              <w:right w:val="single" w:sz="4" w:space="0" w:color="000000"/>
            </w:tcBorders>
          </w:tcPr>
          <w:p>
            <w:pPr/>
          </w:p>
        </w:tc>
        <w:tc>
          <w:tcPr>
            <w:tcW w:w="903" w:type="dxa"/>
            <w:vMerge/>
            <w:tcBorders>
              <w:left w:val="single" w:sz="4" w:space="0" w:color="000000"/>
              <w:right w:val="single" w:sz="4" w:space="0" w:color="000000"/>
            </w:tcBorders>
          </w:tcPr>
          <w:p>
            <w:pPr/>
          </w:p>
        </w:tc>
        <w:tc>
          <w:tcPr>
            <w:tcW w:w="903"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22"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163" w:hRule="exact"/>
        </w:trPr>
        <w:tc>
          <w:tcPr>
            <w:tcW w:w="19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17" w:type="dxa"/>
            <w:vMerge/>
            <w:tcBorders>
              <w:left w:val="single" w:sz="10" w:space="0" w:color="D2D2D2"/>
              <w:bottom w:val="single" w:sz="4" w:space="0" w:color="000000"/>
              <w:right w:val="single" w:sz="4" w:space="0" w:color="000000"/>
            </w:tcBorders>
          </w:tcPr>
          <w:p>
            <w:pPr/>
          </w:p>
        </w:tc>
        <w:tc>
          <w:tcPr>
            <w:tcW w:w="903" w:type="dxa"/>
            <w:vMerge/>
            <w:tcBorders>
              <w:left w:val="single" w:sz="4" w:space="0" w:color="000000"/>
              <w:bottom w:val="single" w:sz="4" w:space="0" w:color="000000"/>
              <w:right w:val="single" w:sz="4" w:space="0" w:color="000000"/>
            </w:tcBorders>
          </w:tcPr>
          <w:p>
            <w:pPr/>
          </w:p>
        </w:tc>
        <w:tc>
          <w:tcPr>
            <w:tcW w:w="903" w:type="dxa"/>
            <w:vMerge/>
            <w:tcBorders>
              <w:left w:val="single" w:sz="4" w:space="0" w:color="000000"/>
              <w:bottom w:val="single" w:sz="4" w:space="0" w:color="000000"/>
              <w:right w:val="single" w:sz="4" w:space="0" w:color="000000"/>
            </w:tcBorders>
          </w:tcPr>
          <w:p>
            <w:pPr/>
          </w:p>
        </w:tc>
        <w:tc>
          <w:tcPr>
            <w:tcW w:w="903"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22" w:type="dxa"/>
            <w:vMerge/>
            <w:tcBorders>
              <w:left w:val="single" w:sz="4" w:space="0" w:color="000000"/>
              <w:bottom w:val="single" w:sz="4" w:space="0" w:color="000000"/>
              <w:right w:val="single" w:sz="4" w:space="0" w:color="000000"/>
            </w:tcBorders>
          </w:tcPr>
          <w:p>
            <w:pPr/>
          </w:p>
        </w:tc>
        <w:tc>
          <w:tcPr>
            <w:tcW w:w="946" w:type="dxa"/>
            <w:vMerge/>
            <w:tcBorders>
              <w:left w:val="single" w:sz="4" w:space="0" w:color="000000"/>
              <w:bottom w:val="single" w:sz="4" w:space="0" w:color="000000"/>
              <w:right w:val="single" w:sz="4" w:space="0" w:color="000000"/>
            </w:tcBorders>
          </w:tcPr>
          <w:p>
            <w:pPr/>
          </w:p>
        </w:tc>
        <w:tc>
          <w:tcPr>
            <w:tcW w:w="941"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09" w:type="dxa"/>
            <w:vMerge/>
            <w:tcBorders>
              <w:left w:val="single" w:sz="4" w:space="0" w:color="000000"/>
              <w:bottom w:val="single" w:sz="4" w:space="0" w:color="000000"/>
              <w:right w:val="single" w:sz="4" w:space="0" w:color="000000"/>
            </w:tcBorders>
          </w:tcPr>
          <w:p>
            <w:pPr/>
          </w:p>
        </w:tc>
      </w:tr>
    </w:tbl>
    <w:p>
      <w:pPr>
        <w:pStyle w:val="BodyText"/>
        <w:spacing w:line="240" w:lineRule="auto" w:before="53"/>
        <w:ind w:left="953" w:right="0"/>
        <w:jc w:val="left"/>
      </w:pPr>
      <w:r>
        <w:rPr/>
        <w:t>按单项计提坏账准备：</w:t>
      </w:r>
    </w:p>
    <w:p>
      <w:pPr>
        <w:pStyle w:val="BodyText"/>
        <w:spacing w:line="240" w:lineRule="auto" w:before="120"/>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9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3"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53"/>
        <w:ind w:left="953" w:right="0"/>
        <w:jc w:val="left"/>
      </w:pPr>
      <w:r>
        <w:rPr/>
        <w:t>按组合计提坏账准备：</w:t>
      </w:r>
    </w:p>
    <w:p>
      <w:pPr>
        <w:pStyle w:val="BodyText"/>
        <w:spacing w:line="240" w:lineRule="auto" w:before="115"/>
        <w:ind w:left="0" w:right="1122"/>
        <w:jc w:val="right"/>
      </w:pPr>
      <w:r>
        <w:rPr/>
        <w:t>单位：</w:t>
      </w:r>
      <w:r>
        <w:rPr>
          <w:spacing w:val="5"/>
        </w:rPr>
        <w:t> </w:t>
      </w:r>
      <w:r>
        <w:rPr/>
        <w:t>元</w:t>
      </w:r>
    </w:p>
    <w:p>
      <w:pPr>
        <w:spacing w:line="240" w:lineRule="auto" w:before="0"/>
        <w:rPr>
          <w:rFonts w:ascii="宋体" w:hAnsi="宋体" w:cs="宋体" w:eastAsia="宋体" w:hint="default"/>
          <w:sz w:val="8"/>
          <w:szCs w:val="8"/>
        </w:rPr>
      </w:pPr>
    </w:p>
    <w:tbl>
      <w:tblPr>
        <w:tblW w:w="0" w:type="auto"/>
        <w:jc w:val="left"/>
        <w:tblInd w:w="948" w:type="dxa"/>
        <w:tblLayout w:type="fixed"/>
        <w:tblCellMar>
          <w:top w:w="0" w:type="dxa"/>
          <w:left w:w="0" w:type="dxa"/>
          <w:bottom w:w="0" w:type="dxa"/>
          <w:right w:w="0" w:type="dxa"/>
        </w:tblCellMar>
        <w:tblLook w:val="01E0"/>
      </w:tblPr>
      <w:tblGrid>
        <w:gridCol w:w="2391"/>
        <w:gridCol w:w="2396"/>
        <w:gridCol w:w="2391"/>
        <w:gridCol w:w="2393"/>
      </w:tblGrid>
      <w:tr>
        <w:trPr>
          <w:trHeight w:val="398"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62" w:lineRule="auto" w:before="53"/>
        <w:ind w:left="953" w:right="0"/>
        <w:jc w:val="left"/>
      </w:pPr>
      <w:r>
        <w:rPr>
          <w:spacing w:val="-3"/>
        </w:rPr>
        <w:t>确定该组合依据的说明：</w:t>
      </w:r>
      <w:r>
        <w:rPr>
          <w:spacing w:val="-56"/>
        </w:rPr>
        <w:t> </w:t>
      </w:r>
      <w:r>
        <w:rPr>
          <w:spacing w:val="-56"/>
        </w:rPr>
      </w:r>
      <w:r>
        <w:rPr>
          <w:spacing w:val="-3"/>
        </w:rPr>
        <w:t>如是按照预期信用损失一般模型计提应收账款坏账准备，请参照其他应收款的披露方式披露坏账准备的相关信息：</w:t>
      </w:r>
    </w:p>
    <w:p>
      <w:pPr>
        <w:pStyle w:val="Heading5"/>
        <w:spacing w:line="292" w:lineRule="auto" w:before="23"/>
        <w:ind w:left="953" w:right="0"/>
        <w:jc w:val="left"/>
      </w:pPr>
      <w:r>
        <w:rPr>
          <w:rFonts w:ascii="Times New Roman" w:hAnsi="Times New Roman" w:cs="Times New Roman" w:eastAsia="Times New Roman" w:hint="default"/>
          <w:sz w:val="18"/>
          <w:szCs w:val="18"/>
        </w:rPr>
        <w:t>√ </w:t>
      </w:r>
      <w:r>
        <w:rPr>
          <w:spacing w:val="-3"/>
          <w:sz w:val="18"/>
          <w:szCs w:val="18"/>
        </w:rPr>
        <w:t>适用 </w:t>
      </w:r>
      <w:r>
        <w:rPr>
          <w:rFonts w:ascii="Times New Roman" w:hAnsi="Times New Roman" w:cs="Times New Roman" w:eastAsia="Times New Roman" w:hint="default"/>
          <w:sz w:val="18"/>
          <w:szCs w:val="18"/>
        </w:rPr>
        <w:t>□ </w:t>
      </w:r>
      <w:r>
        <w:rPr>
          <w:sz w:val="18"/>
          <w:szCs w:val="18"/>
        </w:rPr>
        <w:t>不适用</w:t>
      </w:r>
      <w:r>
        <w:rPr>
          <w:spacing w:val="-78"/>
          <w:sz w:val="18"/>
          <w:szCs w:val="18"/>
        </w:rPr>
        <w:t> </w:t>
      </w:r>
      <w:r>
        <w:rPr>
          <w:spacing w:val="-78"/>
          <w:sz w:val="18"/>
          <w:szCs w:val="18"/>
        </w:rPr>
      </w:r>
      <w:r>
        <w:rPr>
          <w:spacing w:val="-2"/>
        </w:rPr>
        <w:t>参考历史信用损失经验，结合当前状况以及对未来经济状况的预测，通过违约风险敞口和整个存续期预期</w:t>
      </w:r>
      <w:r>
        <w:rPr>
          <w:spacing w:val="-33"/>
        </w:rPr>
        <w:t> </w:t>
      </w:r>
      <w:r>
        <w:rPr>
          <w:spacing w:val="-33"/>
        </w:rPr>
      </w:r>
      <w:r>
        <w:rPr>
          <w:spacing w:val="-2"/>
        </w:rPr>
        <w:t>信用损失率，计算预期信用损失。对于应收外部客户账款组合，本公司认为相同账龄的客户具有类似预期</w:t>
      </w:r>
    </w:p>
    <w:p>
      <w:pPr>
        <w:pStyle w:val="Heading5"/>
        <w:spacing w:line="266" w:lineRule="exact"/>
        <w:ind w:left="953" w:right="0"/>
        <w:jc w:val="left"/>
      </w:pPr>
      <w:r>
        <w:rPr/>
        <w:t>损失率。</w:t>
      </w:r>
    </w:p>
    <w:p>
      <w:pPr>
        <w:pStyle w:val="BodyText"/>
        <w:spacing w:line="240" w:lineRule="auto" w:before="106"/>
        <w:ind w:left="953" w:right="0"/>
        <w:jc w:val="left"/>
      </w:pPr>
      <w:r>
        <w:rPr/>
        <w:t>按账龄披露</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960" w:type="dxa"/>
        <w:tblLayout w:type="fixed"/>
        <w:tblCellMar>
          <w:top w:w="0" w:type="dxa"/>
          <w:left w:w="0" w:type="dxa"/>
          <w:bottom w:w="0" w:type="dxa"/>
          <w:right w:w="0" w:type="dxa"/>
        </w:tblCellMar>
        <w:tblLook w:val="01E0"/>
      </w:tblPr>
      <w:tblGrid>
        <w:gridCol w:w="4764"/>
        <w:gridCol w:w="4794"/>
      </w:tblGrid>
      <w:tr>
        <w:trPr>
          <w:trHeight w:val="398"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196,499,848.80</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82,789,472.88</w:t>
            </w:r>
          </w:p>
        </w:tc>
      </w:tr>
      <w:tr>
        <w:trPr>
          <w:trHeight w:val="404"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24,720,893.68</w:t>
            </w:r>
          </w:p>
        </w:tc>
      </w:tr>
      <w:tr>
        <w:trPr>
          <w:trHeight w:val="398"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74,629,407.20</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8,990,916.64</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55,883,992.18</w:t>
            </w:r>
          </w:p>
        </w:tc>
      </w:tr>
      <w:tr>
        <w:trPr>
          <w:trHeight w:val="404"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9,754,498.38</w:t>
            </w:r>
          </w:p>
        </w:tc>
      </w:tr>
      <w:tr>
        <w:trPr>
          <w:trHeight w:val="398"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378,639,622.56</w:t>
            </w:r>
          </w:p>
        </w:tc>
      </w:tr>
    </w:tbl>
    <w:p>
      <w:pPr>
        <w:spacing w:line="240" w:lineRule="auto" w:before="3"/>
        <w:rPr>
          <w:rFonts w:ascii="宋体" w:hAnsi="宋体" w:cs="宋体" w:eastAsia="宋体" w:hint="default"/>
          <w:sz w:val="19"/>
          <w:szCs w:val="19"/>
        </w:rPr>
      </w:pPr>
    </w:p>
    <w:p>
      <w:pPr>
        <w:pStyle w:val="Heading4"/>
        <w:spacing w:line="240" w:lineRule="auto" w:before="36"/>
        <w:ind w:left="953" w:right="0"/>
        <w:jc w:val="left"/>
        <w:rPr>
          <w:b w:val="0"/>
          <w:bCs w:val="0"/>
        </w:rPr>
      </w:pPr>
      <w:bookmarkStart w:name="（2）本期计提、收回或转回的坏账准备情况" w:id="428"/>
      <w:bookmarkEnd w:id="42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953" w:right="0"/>
        <w:jc w:val="left"/>
      </w:pPr>
      <w:r>
        <w:rPr>
          <w:spacing w:val="-3"/>
        </w:rPr>
        <w:t>本期计提坏账准备情况：</w:t>
      </w:r>
    </w:p>
    <w:p>
      <w:pPr>
        <w:pStyle w:val="BodyText"/>
        <w:spacing w:line="240" w:lineRule="auto" w:before="115"/>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948" w:type="dxa"/>
        <w:tblLayout w:type="fixed"/>
        <w:tblCellMar>
          <w:top w:w="0" w:type="dxa"/>
          <w:left w:w="0" w:type="dxa"/>
          <w:bottom w:w="0" w:type="dxa"/>
          <w:right w:w="0" w:type="dxa"/>
        </w:tblCellMar>
        <w:tblLook w:val="01E0"/>
      </w:tblPr>
      <w:tblGrid>
        <w:gridCol w:w="1369"/>
        <w:gridCol w:w="1368"/>
        <w:gridCol w:w="5469"/>
        <w:gridCol w:w="1369"/>
      </w:tblGrid>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1" w:footer="979" w:top="1060" w:bottom="1160" w:left="1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1"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按组合计提坏账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准备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52,981,426.80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26,821,832.44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1,727,987.31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78,075,271.93</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52,981,426.80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26,821,832.44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1,727,987.31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78,075,271.93</w:t>
            </w:r>
          </w:p>
        </w:tc>
      </w:tr>
    </w:tbl>
    <w:p>
      <w:pPr>
        <w:pStyle w:val="BodyText"/>
        <w:spacing w:line="240" w:lineRule="auto" w:before="53"/>
        <w:ind w:right="0"/>
        <w:jc w:val="left"/>
      </w:pPr>
      <w:r>
        <w:rPr>
          <w:spacing w:val="-3"/>
        </w:rPr>
        <w:t>其中本期坏账准备收回或转回金额重要的：</w:t>
      </w:r>
    </w:p>
    <w:p>
      <w:pPr>
        <w:pStyle w:val="BodyText"/>
        <w:spacing w:line="240" w:lineRule="auto" w:before="119"/>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71"/>
        <w:gridCol w:w="3102"/>
        <w:gridCol w:w="3097"/>
      </w:tblGrid>
      <w:tr>
        <w:trPr>
          <w:trHeight w:val="403" w:hRule="exact"/>
        </w:trPr>
        <w:tc>
          <w:tcPr>
            <w:tcW w:w="3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6" w:right="0"/>
              <w:jc w:val="left"/>
              <w:rPr>
                <w:rFonts w:ascii="宋体" w:hAnsi="宋体" w:cs="宋体" w:eastAsia="宋体" w:hint="default"/>
                <w:sz w:val="18"/>
                <w:szCs w:val="18"/>
              </w:rPr>
            </w:pPr>
            <w:r>
              <w:rPr>
                <w:rFonts w:ascii="宋体" w:hAnsi="宋体" w:cs="宋体" w:eastAsia="宋体" w:hint="default"/>
                <w:spacing w:val="-3"/>
                <w:sz w:val="18"/>
                <w:szCs w:val="18"/>
              </w:rPr>
              <w:t>收回或转回金额</w:t>
            </w:r>
          </w:p>
        </w:tc>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3）本期实际核销的应收账款情况" w:id="429"/>
      <w:bookmarkEnd w:id="429"/>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984"/>
        <w:gridCol w:w="4585"/>
      </w:tblGrid>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399"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应收货款</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1,727,987.31</w:t>
            </w:r>
          </w:p>
        </w:tc>
      </w:tr>
    </w:tbl>
    <w:p>
      <w:pPr>
        <w:pStyle w:val="BodyText"/>
        <w:spacing w:line="240" w:lineRule="auto" w:before="53"/>
        <w:ind w:right="0"/>
        <w:jc w:val="left"/>
      </w:pPr>
      <w:r>
        <w:rPr>
          <w:spacing w:val="-3"/>
        </w:rPr>
        <w:t>其中重要的应收账款核销情况：</w:t>
      </w:r>
    </w:p>
    <w:p>
      <w:pPr>
        <w:pStyle w:val="BodyText"/>
        <w:spacing w:line="240" w:lineRule="auto" w:before="119"/>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1"/>
        <w:gridCol w:w="1556"/>
        <w:gridCol w:w="1613"/>
        <w:gridCol w:w="1618"/>
      </w:tblGrid>
      <w:tr>
        <w:trPr>
          <w:trHeight w:val="716"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66"/>
              <w:jc w:val="right"/>
              <w:rPr>
                <w:rFonts w:ascii="宋体" w:hAnsi="宋体" w:cs="宋体" w:eastAsia="宋体" w:hint="default"/>
                <w:sz w:val="18"/>
                <w:szCs w:val="18"/>
              </w:rPr>
            </w:pPr>
            <w:r>
              <w:rPr>
                <w:rFonts w:ascii="宋体" w:hAnsi="宋体" w:cs="宋体" w:eastAsia="宋体" w:hint="default"/>
                <w:spacing w:val="-3"/>
                <w:sz w:val="18"/>
                <w:szCs w:val="18"/>
              </w:rPr>
              <w:t>履行的核销程序</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533" w:right="79" w:hanging="452"/>
              <w:jc w:val="left"/>
              <w:rPr>
                <w:rFonts w:ascii="宋体" w:hAnsi="宋体" w:cs="宋体" w:eastAsia="宋体" w:hint="default"/>
                <w:sz w:val="18"/>
                <w:szCs w:val="18"/>
              </w:rPr>
            </w:pPr>
            <w:r>
              <w:rPr>
                <w:rFonts w:ascii="宋体" w:hAnsi="宋体" w:cs="宋体" w:eastAsia="宋体" w:hint="default"/>
                <w:spacing w:val="-2"/>
                <w:sz w:val="18"/>
                <w:szCs w:val="18"/>
              </w:rPr>
              <w:t>款项是否由关联交</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易产生</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800,000.00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32"/>
              <w:jc w:val="right"/>
              <w:rPr>
                <w:rFonts w:ascii="宋体" w:hAnsi="宋体" w:cs="宋体" w:eastAsia="宋体" w:hint="default"/>
                <w:sz w:val="18"/>
                <w:szCs w:val="18"/>
              </w:rPr>
            </w:pPr>
            <w:r>
              <w:rPr>
                <w:rFonts w:ascii="宋体" w:hAnsi="宋体" w:cs="宋体" w:eastAsia="宋体" w:hint="default"/>
                <w:spacing w:val="-2"/>
                <w:sz w:val="18"/>
                <w:szCs w:val="18"/>
              </w:rPr>
              <w:t>公司内部核销流程</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382,500.00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32"/>
              <w:jc w:val="right"/>
              <w:rPr>
                <w:rFonts w:ascii="宋体" w:hAnsi="宋体" w:cs="宋体" w:eastAsia="宋体" w:hint="default"/>
                <w:sz w:val="18"/>
                <w:szCs w:val="18"/>
              </w:rPr>
            </w:pPr>
            <w:r>
              <w:rPr>
                <w:rFonts w:ascii="宋体" w:hAnsi="宋体" w:cs="宋体" w:eastAsia="宋体" w:hint="default"/>
                <w:spacing w:val="-2"/>
                <w:sz w:val="18"/>
                <w:szCs w:val="18"/>
              </w:rPr>
              <w:t>公司内部核销流程</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259,337.00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32"/>
              <w:jc w:val="right"/>
              <w:rPr>
                <w:rFonts w:ascii="宋体" w:hAnsi="宋体" w:cs="宋体" w:eastAsia="宋体" w:hint="default"/>
                <w:sz w:val="18"/>
                <w:szCs w:val="18"/>
              </w:rPr>
            </w:pPr>
            <w:r>
              <w:rPr>
                <w:rFonts w:ascii="宋体" w:hAnsi="宋体" w:cs="宋体" w:eastAsia="宋体" w:hint="default"/>
                <w:spacing w:val="-2"/>
                <w:sz w:val="18"/>
                <w:szCs w:val="18"/>
              </w:rPr>
              <w:t>公司内部核销流程</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120,960.01</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32"/>
              <w:jc w:val="right"/>
              <w:rPr>
                <w:rFonts w:ascii="宋体" w:hAnsi="宋体" w:cs="宋体" w:eastAsia="宋体" w:hint="default"/>
                <w:sz w:val="18"/>
                <w:szCs w:val="18"/>
              </w:rPr>
            </w:pPr>
            <w:r>
              <w:rPr>
                <w:rFonts w:ascii="宋体" w:hAnsi="宋体" w:cs="宋体" w:eastAsia="宋体" w:hint="default"/>
                <w:spacing w:val="-2"/>
                <w:sz w:val="18"/>
                <w:szCs w:val="18"/>
              </w:rPr>
              <w:t>公司内部核销流程</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1,562,797.01</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0"/>
        <w:jc w:val="left"/>
      </w:pPr>
      <w:r>
        <w:rPr>
          <w:spacing w:val="-3"/>
        </w:rPr>
        <w:t>应收账款核销说明：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3"/>
          <w:szCs w:val="23"/>
        </w:rPr>
      </w:pPr>
    </w:p>
    <w:p>
      <w:pPr>
        <w:pStyle w:val="Heading4"/>
        <w:spacing w:line="240" w:lineRule="auto"/>
        <w:ind w:right="0"/>
        <w:jc w:val="left"/>
        <w:rPr>
          <w:b w:val="0"/>
          <w:bCs w:val="0"/>
        </w:rPr>
      </w:pPr>
      <w:bookmarkStart w:name="（4）按欠款方归集的期末余额前五名的应收账款情况" w:id="430"/>
      <w:bookmarkEnd w:id="430"/>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716"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921" w:right="104" w:hanging="812"/>
              <w:jc w:val="left"/>
              <w:rPr>
                <w:rFonts w:ascii="宋体" w:hAnsi="宋体" w:cs="宋体" w:eastAsia="宋体" w:hint="default"/>
                <w:sz w:val="18"/>
                <w:szCs w:val="18"/>
              </w:rPr>
            </w:pPr>
            <w:r>
              <w:rPr>
                <w:rFonts w:ascii="宋体" w:hAnsi="宋体" w:cs="宋体" w:eastAsia="宋体" w:hint="default"/>
                <w:spacing w:val="-3"/>
                <w:sz w:val="18"/>
                <w:szCs w:val="18"/>
              </w:rPr>
              <w:t>占应收账款期末余额合计数</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的比例</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57,661,284.76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15.23%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42,492,073.05</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27,008,700.00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7.13%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842,010.00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24,691,750.95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6.52%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3,319,740.42</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20,140,047.41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5.32%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604,201.42</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18,867,000.00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4.98%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566,010.00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148,368,783.12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39.18%</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4"/>
        <w:spacing w:line="240" w:lineRule="auto" w:before="36"/>
        <w:ind w:right="0"/>
        <w:jc w:val="left"/>
        <w:rPr>
          <w:b w:val="0"/>
          <w:bCs w:val="0"/>
        </w:rPr>
      </w:pPr>
      <w:bookmarkStart w:name="（5）因金融资产转移而终止确认的应收账款" w:id="431"/>
      <w:bookmarkEnd w:id="431"/>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bookmarkStart w:name="（6）转移应收账款且继续涉入形成的资产、负债金额" w:id="432"/>
      <w:bookmarkEnd w:id="432"/>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9861"/>
        <w:jc w:val="left"/>
      </w:pPr>
      <w:r>
        <w:rPr/>
        <w:t>无</w:t>
      </w:r>
      <w:r>
        <w:rPr>
          <w:spacing w:val="-88"/>
        </w:rPr>
        <w:t> </w:t>
      </w:r>
      <w:r>
        <w:rPr>
          <w:spacing w:val="-2"/>
        </w:rPr>
        <w:t>其他说明：</w:t>
      </w:r>
      <w:r>
        <w:rPr>
          <w:spacing w:val="-78"/>
        </w:rPr>
        <w:t> </w:t>
      </w:r>
      <w:r>
        <w:rPr>
          <w:spacing w:val="-78"/>
        </w:rPr>
      </w:r>
      <w:r>
        <w:rPr/>
        <w:t>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2、其他应收款" w:id="433"/>
      <w:bookmarkEnd w:id="433"/>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29,079,204.44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24,663,853.81</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29,079,204.44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24,663,853.81</w:t>
            </w:r>
          </w:p>
        </w:tc>
      </w:tr>
    </w:tbl>
    <w:p>
      <w:pPr>
        <w:spacing w:line="240" w:lineRule="auto" w:before="3"/>
        <w:rPr>
          <w:rFonts w:ascii="宋体" w:hAnsi="宋体" w:cs="宋体" w:eastAsia="宋体" w:hint="default"/>
          <w:sz w:val="19"/>
          <w:szCs w:val="19"/>
        </w:rPr>
      </w:pPr>
    </w:p>
    <w:p>
      <w:pPr>
        <w:pStyle w:val="Heading4"/>
        <w:spacing w:line="518" w:lineRule="auto" w:before="36"/>
        <w:ind w:right="9170"/>
        <w:jc w:val="left"/>
        <w:rPr>
          <w:rFonts w:ascii="宋体" w:hAnsi="宋体" w:cs="宋体" w:eastAsia="宋体" w:hint="default"/>
          <w:b w:val="0"/>
          <w:bCs w:val="0"/>
          <w:sz w:val="18"/>
          <w:szCs w:val="18"/>
        </w:rPr>
      </w:pPr>
      <w:bookmarkStart w:name="（1）应收利息" w:id="434"/>
      <w:bookmarkEnd w:id="434"/>
      <w:r>
        <w:rPr>
          <w:b w:val="0"/>
          <w:bCs w:val="0"/>
        </w:rPr>
      </w:r>
      <w:r>
        <w:rPr/>
        <w:t>（</w:t>
      </w:r>
      <w:r>
        <w:rPr>
          <w:rFonts w:ascii="Times New Roman" w:hAnsi="Times New Roman" w:cs="Times New Roman" w:eastAsia="Times New Roman" w:hint="default"/>
        </w:rPr>
        <w:t>1</w:t>
      </w:r>
      <w:r>
        <w:rPr/>
        <w:t>）应收利息</w:t>
      </w:r>
      <w:r>
        <w:rPr>
          <w:w w:val="100"/>
        </w:rPr>
        <w:t> </w:t>
      </w:r>
      <w:bookmarkStart w:name="1）应收利息分类" w:id="435"/>
      <w:bookmarkEnd w:id="435"/>
      <w:r>
        <w:rPr>
          <w:w w:val="100"/>
        </w:rPr>
      </w:r>
      <w:r>
        <w:rPr>
          <w:rFonts w:ascii="Times New Roman" w:hAnsi="Times New Roman" w:cs="Times New Roman" w:eastAsia="Times New Roman" w:hint="default"/>
        </w:rPr>
        <w:t>1</w:t>
      </w:r>
      <w:r>
        <w:rPr/>
        <w:t>）应收利息分类</w:t>
      </w:r>
      <w:r>
        <w:rPr>
          <w:spacing w:val="-103"/>
        </w:rPr>
        <w:t> </w:t>
      </w:r>
      <w:r>
        <w:rPr>
          <w:rFonts w:ascii="宋体" w:hAnsi="宋体" w:cs="宋体" w:eastAsia="宋体" w:hint="default"/>
          <w:b w:val="0"/>
          <w:bCs w:val="0"/>
          <w:sz w:val="18"/>
          <w:szCs w:val="18"/>
        </w:rPr>
        <w:t>无</w:t>
      </w:r>
    </w:p>
    <w:p>
      <w:pPr>
        <w:pStyle w:val="Heading4"/>
        <w:spacing w:line="240" w:lineRule="auto" w:before="135"/>
        <w:ind w:right="0"/>
        <w:jc w:val="left"/>
        <w:rPr>
          <w:b w:val="0"/>
          <w:bCs w:val="0"/>
        </w:rPr>
      </w:pPr>
      <w:bookmarkStart w:name="2）重要逾期利息" w:id="436"/>
      <w:bookmarkEnd w:id="436"/>
      <w:r>
        <w:rPr>
          <w:b w:val="0"/>
          <w:bCs w:val="0"/>
        </w:rPr>
      </w:r>
      <w:r>
        <w:rPr>
          <w:rFonts w:ascii="Times New Roman" w:hAnsi="Times New Roman" w:cs="Times New Roman" w:eastAsia="Times New Roman" w:hint="default"/>
        </w:rPr>
        <w:t>2</w:t>
      </w:r>
      <w:r>
        <w:rPr/>
        <w:t>）重要逾期利息</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w w:val="101"/>
        </w:rPr>
        <w:t>无</w:t>
      </w:r>
      <w:r>
        <w:rPr/>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3）坏账准备计提情况" w:id="437"/>
      <w:bookmarkEnd w:id="437"/>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4"/>
        <w:spacing w:line="518" w:lineRule="auto"/>
        <w:ind w:right="9170"/>
        <w:jc w:val="left"/>
        <w:rPr>
          <w:rFonts w:ascii="宋体" w:hAnsi="宋体" w:cs="宋体" w:eastAsia="宋体" w:hint="default"/>
          <w:b w:val="0"/>
          <w:bCs w:val="0"/>
          <w:sz w:val="18"/>
          <w:szCs w:val="18"/>
        </w:rPr>
      </w:pPr>
      <w:bookmarkStart w:name="（2）应收股利" w:id="438"/>
      <w:bookmarkEnd w:id="438"/>
      <w:r>
        <w:rPr>
          <w:b w:val="0"/>
          <w:bCs w:val="0"/>
        </w:rPr>
      </w:r>
      <w:r>
        <w:rPr/>
        <w:t>（</w:t>
      </w:r>
      <w:r>
        <w:rPr>
          <w:rFonts w:ascii="Times New Roman" w:hAnsi="Times New Roman" w:cs="Times New Roman" w:eastAsia="Times New Roman" w:hint="default"/>
        </w:rPr>
        <w:t>2</w:t>
      </w:r>
      <w:r>
        <w:rPr/>
        <w:t>）应收股利</w:t>
      </w:r>
      <w:r>
        <w:rPr>
          <w:w w:val="100"/>
        </w:rPr>
        <w:t> </w:t>
      </w:r>
      <w:bookmarkStart w:name="1）应收股利分类" w:id="439"/>
      <w:bookmarkEnd w:id="439"/>
      <w:r>
        <w:rPr>
          <w:w w:val="100"/>
        </w:rPr>
      </w:r>
      <w:r>
        <w:rPr>
          <w:rFonts w:ascii="Times New Roman" w:hAnsi="Times New Roman" w:cs="Times New Roman" w:eastAsia="Times New Roman" w:hint="default"/>
        </w:rPr>
        <w:t>1</w:t>
      </w:r>
      <w:r>
        <w:rPr/>
        <w:t>）应收股利分类</w:t>
      </w:r>
      <w:r>
        <w:rPr>
          <w:spacing w:val="-103"/>
        </w:rPr>
        <w:t> </w:t>
      </w:r>
      <w:r>
        <w:rPr>
          <w:rFonts w:ascii="宋体" w:hAnsi="宋体" w:cs="宋体" w:eastAsia="宋体" w:hint="default"/>
          <w:b w:val="0"/>
          <w:bCs w:val="0"/>
          <w:sz w:val="18"/>
          <w:szCs w:val="18"/>
        </w:rPr>
        <w:t>无</w:t>
      </w:r>
    </w:p>
    <w:p>
      <w:pPr>
        <w:pStyle w:val="Heading4"/>
        <w:spacing w:line="240" w:lineRule="auto" w:before="140"/>
        <w:ind w:right="0"/>
        <w:jc w:val="left"/>
        <w:rPr>
          <w:b w:val="0"/>
          <w:bCs w:val="0"/>
        </w:rPr>
      </w:pPr>
      <w:bookmarkStart w:name="2）重要的账龄超过1年的应收股利" w:id="440"/>
      <w:bookmarkEnd w:id="440"/>
      <w:r>
        <w:rPr>
          <w:b w:val="0"/>
          <w:bCs w:val="0"/>
        </w:rPr>
      </w:r>
      <w:r>
        <w:rPr>
          <w:rFonts w:ascii="Times New Roman" w:hAnsi="Times New Roman" w:cs="Times New Roman" w:eastAsia="Times New Roman" w:hint="default"/>
        </w:rPr>
        <w:t>2</w:t>
      </w:r>
      <w:r>
        <w:rPr/>
        <w:t>）重要的账龄超过</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w w:val="101"/>
        </w:rPr>
        <w:t>无</w:t>
      </w:r>
      <w:r>
        <w:rPr/>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3）坏账准备计提情况" w:id="441"/>
      <w:bookmarkEnd w:id="441"/>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pStyle w:val="BodyText"/>
        <w:spacing w:line="240" w:lineRule="auto" w:before="46"/>
        <w:ind w:right="0"/>
        <w:jc w:val="left"/>
      </w:pPr>
      <w:r>
        <w:rPr/>
        <w:t>其他说明：</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3）其他应收款" w:id="442"/>
      <w:bookmarkEnd w:id="442"/>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其他应收款按款项性质分类情况" w:id="443"/>
      <w:bookmarkEnd w:id="443"/>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21,292,676.00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18,633,965.30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资金拆借款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5,291,875.00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2,842,538.30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应收增值税退税款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3,504,806.02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4,155,113.92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备用金借款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1,160,071.19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1,198,965.68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2,160,070.15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418,670.15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86,535.36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317,344.65</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33,496,033.72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27,566,598.00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坏账准备计提情况" w:id="444"/>
      <w:bookmarkEnd w:id="444"/>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4"/>
        <w:gridCol w:w="1662"/>
        <w:gridCol w:w="2098"/>
        <w:gridCol w:w="2103"/>
        <w:gridCol w:w="1800"/>
      </w:tblGrid>
      <w:tr>
        <w:trPr>
          <w:trHeight w:val="403" w:hRule="exact"/>
        </w:trPr>
        <w:tc>
          <w:tcPr>
            <w:tcW w:w="18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86"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0" w:hRule="exact"/>
        </w:trPr>
        <w:tc>
          <w:tcPr>
            <w:tcW w:w="18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5"/>
              <w:ind w:left="58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2"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3"/>
              <w:ind w:left="561" w:right="51" w:hanging="500"/>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w:t>
            </w:r>
            <w:r>
              <w:rPr>
                <w:rFonts w:ascii="宋体" w:hAnsi="宋体" w:cs="宋体" w:eastAsia="宋体" w:hint="default"/>
                <w:w w:val="101"/>
                <w:sz w:val="18"/>
                <w:szCs w:val="18"/>
              </w:rPr>
              <w:t> </w:t>
            </w:r>
            <w:r>
              <w:rPr>
                <w:rFonts w:ascii="宋体" w:hAnsi="宋体" w:cs="宋体" w:eastAsia="宋体" w:hint="default"/>
                <w:sz w:val="18"/>
                <w:szCs w:val="18"/>
              </w:rPr>
              <w:t>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76"/>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未发生信用减值</w:t>
            </w:r>
            <w:r>
              <w:rPr>
                <w:rFonts w:ascii="Times New Roman" w:hAnsi="Times New Roman" w:cs="Times New Roman" w:eastAsia="Times New Roman" w:hint="default"/>
                <w:spacing w:val="-3"/>
                <w:sz w:val="18"/>
                <w:szCs w:val="18"/>
              </w:rPr>
              <w:t>)</w:t>
            </w:r>
          </w:p>
        </w:tc>
        <w:tc>
          <w:tcPr>
            <w:tcW w:w="21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76"/>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已发生信用减值</w:t>
            </w:r>
            <w:r>
              <w:rPr>
                <w:rFonts w:ascii="Times New Roman" w:hAnsi="Times New Roman" w:cs="Times New Roman" w:eastAsia="Times New Roman" w:hint="default"/>
                <w:spacing w:val="-3"/>
                <w:sz w:val="18"/>
                <w:szCs w:val="18"/>
              </w:rPr>
              <w:t>)</w:t>
            </w:r>
          </w:p>
        </w:tc>
        <w:tc>
          <w:tcPr>
            <w:tcW w:w="1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5"/>
              <w:ind w:left="715"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5" w:hRule="exact"/>
        </w:trPr>
        <w:tc>
          <w:tcPr>
            <w:tcW w:w="18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2"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3" w:type="dxa"/>
            <w:vMerge/>
            <w:tcBorders>
              <w:left w:val="single" w:sz="4" w:space="0" w:color="000000"/>
              <w:bottom w:val="single" w:sz="4" w:space="0" w:color="000000"/>
              <w:right w:val="single" w:sz="4" w:space="0" w:color="000000"/>
            </w:tcBorders>
            <w:shd w:val="clear" w:color="auto" w:fill="D2D2D2"/>
          </w:tcPr>
          <w:p>
            <w:pPr/>
          </w:p>
        </w:tc>
        <w:tc>
          <w:tcPr>
            <w:tcW w:w="18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9"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318,026.85</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725,360.61</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1,859,356.73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2,902,744.19</w:t>
            </w:r>
          </w:p>
        </w:tc>
      </w:tr>
      <w:tr>
        <w:trPr>
          <w:trHeight w:val="163" w:hRule="exact"/>
        </w:trPr>
        <w:tc>
          <w:tcPr>
            <w:tcW w:w="1894" w:type="dxa"/>
            <w:vMerge w:val="restart"/>
            <w:tcBorders>
              <w:top w:val="single" w:sz="4" w:space="0" w:color="000000"/>
              <w:left w:val="single" w:sz="4" w:space="0" w:color="000000"/>
              <w:right w:val="single" w:sz="4" w:space="0" w:color="000000"/>
            </w:tcBorders>
            <w:shd w:val="clear" w:color="auto" w:fill="D2D2D2"/>
          </w:tcPr>
          <w:p>
            <w:pPr>
              <w:pStyle w:val="TableParagraph"/>
              <w:spacing w:line="304" w:lineRule="auto" w:before="53"/>
              <w:ind w:left="11"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日余额在</w:t>
            </w:r>
            <w:r>
              <w:rPr>
                <w:rFonts w:ascii="宋体" w:hAnsi="宋体" w:cs="宋体" w:eastAsia="宋体" w:hint="default"/>
                <w:w w:val="101"/>
                <w:sz w:val="18"/>
                <w:szCs w:val="18"/>
              </w:rPr>
              <w:t> </w:t>
            </w:r>
            <w:r>
              <w:rPr>
                <w:rFonts w:ascii="宋体" w:hAnsi="宋体" w:cs="宋体" w:eastAsia="宋体" w:hint="default"/>
                <w:sz w:val="18"/>
                <w:szCs w:val="18"/>
              </w:rPr>
              <w:t>本期</w:t>
            </w:r>
          </w:p>
        </w:tc>
        <w:tc>
          <w:tcPr>
            <w:tcW w:w="1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894" w:type="dxa"/>
            <w:vMerge/>
            <w:tcBorders>
              <w:left w:val="single" w:sz="4" w:space="0" w:color="000000"/>
              <w:right w:val="single" w:sz="4" w:space="0" w:color="000000"/>
            </w:tcBorders>
            <w:shd w:val="clear" w:color="auto" w:fill="D2D2D2"/>
          </w:tcPr>
          <w:p>
            <w:pPr/>
          </w:p>
        </w:tc>
        <w:tc>
          <w:tcPr>
            <w:tcW w:w="16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7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58" w:hRule="exact"/>
        </w:trPr>
        <w:tc>
          <w:tcPr>
            <w:tcW w:w="1894" w:type="dxa"/>
            <w:vMerge/>
            <w:tcBorders>
              <w:left w:val="single" w:sz="4" w:space="0" w:color="000000"/>
              <w:bottom w:val="single" w:sz="4" w:space="0" w:color="000000"/>
              <w:right w:val="single" w:sz="4" w:space="0" w:color="000000"/>
            </w:tcBorders>
            <w:shd w:val="clear" w:color="auto" w:fill="D2D2D2"/>
          </w:tcPr>
          <w:p>
            <w:pPr/>
          </w:p>
        </w:tc>
        <w:tc>
          <w:tcPr>
            <w:tcW w:w="1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转入第二阶段</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-200,706.23</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200,706.23</w:t>
            </w: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转入第三阶段</w:t>
            </w:r>
          </w:p>
        </w:tc>
        <w:tc>
          <w:tcPr>
            <w:tcW w:w="1662" w:type="dxa"/>
            <w:tcBorders>
              <w:top w:val="single" w:sz="4" w:space="0" w:color="000000"/>
              <w:left w:val="single" w:sz="8"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-544,553.87</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544,553.87</w:t>
            </w: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312,254.17</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287,507.79</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914,323.13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1,514,085.09</w:t>
            </w:r>
          </w:p>
        </w:tc>
      </w:tr>
      <w:tr>
        <w:trPr>
          <w:trHeight w:val="403"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日余额</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429,574.79</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669,020.76</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3,318,233.73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4,416,829.28</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pStyle w:val="BodyText"/>
        <w:spacing w:line="240" w:lineRule="auto" w:before="53"/>
        <w:ind w:right="0"/>
        <w:jc w:val="left"/>
      </w:pPr>
      <w:r>
        <w:rPr>
          <w:spacing w:val="-3"/>
        </w:rPr>
        <w:t>损失准备本期变动金额重大的账面余额变动情况</w:t>
      </w:r>
    </w:p>
    <w:p>
      <w:pPr>
        <w:pStyle w:val="BodyText"/>
        <w:spacing w:line="338" w:lineRule="auto" w:before="119"/>
        <w:ind w:right="161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w:t>
      </w:r>
      <w:r>
        <w:rPr>
          <w:w w:val="101"/>
        </w:rPr>
        <w:t> </w:t>
      </w:r>
      <w:r>
        <w:rPr/>
        <w:t>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3937" w:space="4894"/>
            <w:col w:w="2099"/>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398"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17,823,965.63</w:t>
            </w:r>
          </w:p>
        </w:tc>
      </w:tr>
      <w:tr>
        <w:trPr>
          <w:trHeight w:val="404"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6,690,207.58</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5,445,538.66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8"/>
        <w:gridCol w:w="4782"/>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3,536,321.85</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892"/>
              <w:jc w:val="righ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2,590,391.70</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3892"/>
              <w:jc w:val="righ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892"/>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885,930.15</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33,496,033.72</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3）本期计提、收回或转回的坏账准备情况" w:id="445"/>
      <w:bookmarkEnd w:id="445"/>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0"/>
        <w:jc w:val="left"/>
      </w:pPr>
      <w:r>
        <w:rPr>
          <w:spacing w:val="-3"/>
        </w:rPr>
        <w:t>本期计提坏账准备情况：</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80"/>
        <w:gridCol w:w="1090"/>
        <w:gridCol w:w="1330"/>
        <w:gridCol w:w="1455"/>
        <w:gridCol w:w="1196"/>
        <w:gridCol w:w="1345"/>
        <w:gridCol w:w="1580"/>
      </w:tblGrid>
      <w:tr>
        <w:trPr>
          <w:trHeight w:val="403" w:hRule="exact"/>
        </w:trPr>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1580" w:type="dxa"/>
            <w:vMerge/>
            <w:tcBorders>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3"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80"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99"/>
              <w:jc w:val="left"/>
              <w:rPr>
                <w:rFonts w:ascii="宋体" w:hAnsi="宋体" w:cs="宋体" w:eastAsia="宋体" w:hint="default"/>
                <w:sz w:val="18"/>
                <w:szCs w:val="18"/>
              </w:rPr>
            </w:pPr>
            <w:r>
              <w:rPr>
                <w:rFonts w:ascii="宋体" w:hAnsi="宋体" w:cs="宋体" w:eastAsia="宋体" w:hint="default"/>
                <w:spacing w:val="-2"/>
                <w:sz w:val="18"/>
                <w:szCs w:val="18"/>
              </w:rPr>
              <w:t>按组合计提坏账准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备的其他应收款</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0" w:right="0"/>
              <w:jc w:val="center"/>
              <w:rPr>
                <w:rFonts w:ascii="Times New Roman" w:hAnsi="Times New Roman" w:cs="Times New Roman" w:eastAsia="Times New Roman" w:hint="default"/>
                <w:sz w:val="18"/>
                <w:szCs w:val="18"/>
              </w:rPr>
            </w:pPr>
            <w:r>
              <w:rPr>
                <w:rFonts w:ascii="Times New Roman"/>
                <w:sz w:val="18"/>
              </w:rPr>
              <w:t>2,902,744.19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1,514,085.09</w:t>
            </w:r>
          </w:p>
        </w:tc>
        <w:tc>
          <w:tcPr>
            <w:tcW w:w="145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4,416,829.28</w:t>
            </w:r>
          </w:p>
        </w:tc>
      </w:tr>
      <w:tr>
        <w:trPr>
          <w:trHeight w:val="403"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90"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85" w:right="0"/>
              <w:jc w:val="center"/>
              <w:rPr>
                <w:rFonts w:ascii="Times New Roman" w:hAnsi="Times New Roman" w:cs="Times New Roman" w:eastAsia="Times New Roman" w:hint="default"/>
                <w:sz w:val="18"/>
                <w:szCs w:val="18"/>
              </w:rPr>
            </w:pPr>
            <w:r>
              <w:rPr>
                <w:rFonts w:ascii="Times New Roman"/>
                <w:sz w:val="18"/>
              </w:rPr>
              <w:t>2,902,744.19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1,514,085.09</w:t>
            </w:r>
          </w:p>
        </w:tc>
        <w:tc>
          <w:tcPr>
            <w:tcW w:w="145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4,416,829.28</w:t>
            </w:r>
          </w:p>
        </w:tc>
      </w:tr>
    </w:tbl>
    <w:p>
      <w:pPr>
        <w:pStyle w:val="BodyText"/>
        <w:spacing w:line="362" w:lineRule="auto" w:before="53"/>
        <w:ind w:right="7272"/>
        <w:jc w:val="left"/>
      </w:pPr>
      <w:r>
        <w:rPr>
          <w:spacing w:val="-3"/>
        </w:rPr>
        <w:t>其中本期坏账准备转回或收回金额重要的：</w:t>
      </w:r>
      <w:r>
        <w:rPr>
          <w:spacing w:val="-33"/>
        </w:rPr>
        <w:t> </w:t>
      </w:r>
      <w:r>
        <w:rPr>
          <w:spacing w:val="-33"/>
        </w:rPr>
      </w:r>
      <w:r>
        <w:rPr/>
        <w:t>无</w:t>
      </w:r>
    </w:p>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bookmarkStart w:name="4）本期实际核销的其他应收款情况" w:id="446"/>
      <w:bookmarkEnd w:id="446"/>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w w:val="101"/>
        </w:rPr>
        <w:t>无</w:t>
      </w:r>
      <w:r>
        <w:rPr/>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5）按欠款方归集的期末余额前五名的其他应收款情况" w:id="447"/>
      <w:bookmarkEnd w:id="447"/>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1"/>
        <w:gridCol w:w="1556"/>
        <w:gridCol w:w="1613"/>
        <w:gridCol w:w="1618"/>
      </w:tblGrid>
      <w:tr>
        <w:trPr>
          <w:trHeight w:val="715"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81" w:right="75"/>
              <w:jc w:val="left"/>
              <w:rPr>
                <w:rFonts w:ascii="宋体" w:hAnsi="宋体" w:cs="宋体" w:eastAsia="宋体" w:hint="default"/>
                <w:sz w:val="18"/>
                <w:szCs w:val="18"/>
              </w:rPr>
            </w:pPr>
            <w:r>
              <w:rPr>
                <w:rFonts w:ascii="宋体" w:hAnsi="宋体" w:cs="宋体" w:eastAsia="宋体" w:hint="default"/>
                <w:spacing w:val="-2"/>
                <w:sz w:val="18"/>
                <w:szCs w:val="18"/>
              </w:rPr>
              <w:t>占其他应收款期末</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余额合计数的比例</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6"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27"/>
              <w:jc w:val="left"/>
              <w:rPr>
                <w:rFonts w:ascii="宋体" w:hAnsi="宋体" w:cs="宋体" w:eastAsia="宋体" w:hint="default"/>
                <w:sz w:val="18"/>
                <w:szCs w:val="18"/>
              </w:rPr>
            </w:pPr>
            <w:r>
              <w:rPr>
                <w:rFonts w:ascii="宋体" w:hAnsi="宋体" w:cs="宋体" w:eastAsia="宋体" w:hint="default"/>
                <w:spacing w:val="-3"/>
                <w:sz w:val="18"/>
                <w:szCs w:val="18"/>
              </w:rPr>
              <w:t>陕西中医药大学第二</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附属医院</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6,958,570.00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20.77%</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208,757.10</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27"/>
              <w:jc w:val="left"/>
              <w:rPr>
                <w:rFonts w:ascii="宋体" w:hAnsi="宋体" w:cs="宋体" w:eastAsia="宋体" w:hint="default"/>
                <w:sz w:val="18"/>
                <w:szCs w:val="18"/>
              </w:rPr>
            </w:pPr>
            <w:r>
              <w:rPr>
                <w:rFonts w:ascii="宋体" w:hAnsi="宋体" w:cs="宋体" w:eastAsia="宋体" w:hint="default"/>
                <w:spacing w:val="-3"/>
                <w:sz w:val="18"/>
                <w:szCs w:val="18"/>
              </w:rPr>
              <w:t>国家税务总局杭州市</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税务局</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应收增值税退税款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3,504,806.02</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10.46%</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27"/>
              <w:jc w:val="left"/>
              <w:rPr>
                <w:rFonts w:ascii="宋体" w:hAnsi="宋体" w:cs="宋体" w:eastAsia="宋体" w:hint="default"/>
                <w:sz w:val="18"/>
                <w:szCs w:val="18"/>
              </w:rPr>
            </w:pPr>
            <w:r>
              <w:rPr>
                <w:rFonts w:ascii="宋体" w:hAnsi="宋体" w:cs="宋体" w:eastAsia="宋体" w:hint="default"/>
                <w:spacing w:val="-3"/>
                <w:sz w:val="18"/>
                <w:szCs w:val="18"/>
              </w:rPr>
              <w:t>广西中医药大学第一</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附属医院</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2,580,602.90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7.70%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507,688.58</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广西和仁公司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资金拆借</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2,500,000.00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7.46%</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145,000.00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和仁湘雅公司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资金拆借</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1,811,875.00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5.41%</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595,475.00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17,355,853.92</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51.80%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1,456,920.68</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4"/>
        <w:rPr>
          <w:rFonts w:ascii="宋体" w:hAnsi="宋体" w:cs="宋体" w:eastAsia="宋体" w:hint="default"/>
          <w:sz w:val="25"/>
          <w:szCs w:val="25"/>
        </w:rPr>
      </w:pPr>
    </w:p>
    <w:p>
      <w:pPr>
        <w:pStyle w:val="Heading4"/>
        <w:spacing w:line="240" w:lineRule="auto" w:before="36"/>
        <w:ind w:right="0"/>
        <w:jc w:val="left"/>
        <w:rPr>
          <w:b w:val="0"/>
          <w:bCs w:val="0"/>
        </w:rPr>
      </w:pPr>
      <w:bookmarkStart w:name="6）涉及政府补助的应收款项" w:id="448"/>
      <w:bookmarkEnd w:id="448"/>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027"/>
        <w:gridCol w:w="1868"/>
        <w:gridCol w:w="1868"/>
        <w:gridCol w:w="1868"/>
        <w:gridCol w:w="1945"/>
      </w:tblGrid>
      <w:tr>
        <w:trPr>
          <w:trHeight w:val="716" w:hRule="exact"/>
        </w:trPr>
        <w:tc>
          <w:tcPr>
            <w:tcW w:w="2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4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696" w:right="60" w:hanging="630"/>
              <w:jc w:val="left"/>
              <w:rPr>
                <w:rFonts w:ascii="宋体" w:hAnsi="宋体" w:cs="宋体" w:eastAsia="宋体" w:hint="default"/>
                <w:sz w:val="18"/>
                <w:szCs w:val="18"/>
              </w:rPr>
            </w:pPr>
            <w:r>
              <w:rPr>
                <w:rFonts w:ascii="宋体" w:hAnsi="宋体" w:cs="宋体" w:eastAsia="宋体" w:hint="default"/>
                <w:spacing w:val="-2"/>
                <w:sz w:val="18"/>
                <w:szCs w:val="18"/>
              </w:rPr>
              <w:t>预计收取的时间、金额</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及依据</w:t>
            </w:r>
          </w:p>
        </w:tc>
      </w:tr>
      <w:tr>
        <w:trPr>
          <w:trHeight w:val="715"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85"/>
              <w:jc w:val="left"/>
              <w:rPr>
                <w:rFonts w:ascii="宋体" w:hAnsi="宋体" w:cs="宋体" w:eastAsia="宋体" w:hint="default"/>
                <w:sz w:val="18"/>
                <w:szCs w:val="18"/>
              </w:rPr>
            </w:pPr>
            <w:r>
              <w:rPr>
                <w:rFonts w:ascii="宋体" w:hAnsi="宋体" w:cs="宋体" w:eastAsia="宋体" w:hint="default"/>
                <w:spacing w:val="-2"/>
                <w:sz w:val="18"/>
                <w:szCs w:val="18"/>
              </w:rPr>
              <w:t>国家税务总局杭州市税</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务局</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27"/>
              <w:jc w:val="left"/>
              <w:rPr>
                <w:rFonts w:ascii="宋体" w:hAnsi="宋体" w:cs="宋体" w:eastAsia="宋体" w:hint="default"/>
                <w:sz w:val="18"/>
                <w:szCs w:val="18"/>
              </w:rPr>
            </w:pPr>
            <w:r>
              <w:rPr>
                <w:rFonts w:ascii="宋体" w:hAnsi="宋体" w:cs="宋体" w:eastAsia="宋体" w:hint="default"/>
                <w:spacing w:val="-2"/>
                <w:sz w:val="18"/>
                <w:szCs w:val="18"/>
              </w:rPr>
              <w:t>软件产品增值税超税负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退税款</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8" w:right="0"/>
              <w:jc w:val="left"/>
              <w:rPr>
                <w:rFonts w:ascii="Times New Roman" w:hAnsi="Times New Roman" w:cs="Times New Roman" w:eastAsia="Times New Roman" w:hint="default"/>
                <w:sz w:val="18"/>
                <w:szCs w:val="18"/>
              </w:rPr>
            </w:pPr>
            <w:r>
              <w:rPr>
                <w:rFonts w:ascii="Times New Roman"/>
                <w:sz w:val="18"/>
              </w:rPr>
              <w:t>3,504,806.02</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日已收到</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7）因金融资产转移而终止确认的其他应收款" w:id="449"/>
      <w:bookmarkEnd w:id="449"/>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bookmarkStart w:name="8）转移其他应收款且继续涉入形成的资产、负债金额" w:id="450"/>
      <w:bookmarkEnd w:id="450"/>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5"/>
        <w:rPr>
          <w:rFonts w:ascii="宋体" w:hAnsi="宋体" w:cs="宋体" w:eastAsia="宋体" w:hint="default"/>
          <w:b/>
          <w:bCs/>
          <w:sz w:val="26"/>
          <w:szCs w:val="26"/>
        </w:rPr>
      </w:pPr>
    </w:p>
    <w:p>
      <w:pPr>
        <w:pStyle w:val="BodyText"/>
        <w:spacing w:line="360" w:lineRule="auto"/>
        <w:ind w:right="9861"/>
        <w:jc w:val="left"/>
      </w:pPr>
      <w:r>
        <w:rPr/>
        <w:t>无</w:t>
      </w:r>
      <w:r>
        <w:rPr>
          <w:spacing w:val="-88"/>
        </w:rPr>
        <w:t> </w:t>
      </w:r>
      <w:r>
        <w:rPr>
          <w:spacing w:val="-2"/>
        </w:rPr>
        <w:t>其他说明：</w:t>
      </w:r>
      <w:r>
        <w:rPr>
          <w:spacing w:val="-78"/>
        </w:rPr>
        <w:t> </w:t>
      </w:r>
      <w:r>
        <w:rPr>
          <w:spacing w:val="-78"/>
        </w:rPr>
      </w:r>
      <w:r>
        <w:rPr/>
        <w:t>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3、长期股权投资" w:id="451"/>
      <w:bookmarkEnd w:id="451"/>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5"/>
        <w:gridCol w:w="1380"/>
        <w:gridCol w:w="1369"/>
        <w:gridCol w:w="1368"/>
        <w:gridCol w:w="1364"/>
        <w:gridCol w:w="1369"/>
        <w:gridCol w:w="1369"/>
      </w:tblGrid>
      <w:tr>
        <w:trPr>
          <w:trHeight w:val="206" w:hRule="exact"/>
        </w:trPr>
        <w:tc>
          <w:tcPr>
            <w:tcW w:w="1345"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7" w:type="dxa"/>
            <w:gridSpan w:val="3"/>
            <w:vMerge/>
            <w:tcBorders>
              <w:left w:val="single" w:sz="4" w:space="0" w:color="000000"/>
              <w:bottom w:val="single" w:sz="4" w:space="0" w:color="000000"/>
              <w:right w:val="single" w:sz="4" w:space="0" w:color="000000"/>
            </w:tcBorders>
            <w:shd w:val="clear" w:color="auto" w:fill="D2D2D2"/>
          </w:tcPr>
          <w:p>
            <w:pPr/>
          </w:p>
        </w:tc>
        <w:tc>
          <w:tcPr>
            <w:tcW w:w="4101"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5" w:type="dxa"/>
            <w:vMerge/>
            <w:tcBorders>
              <w:left w:val="single" w:sz="4" w:space="0" w:color="000000"/>
              <w:bottom w:val="nil" w:sz="6" w:space="0" w:color="auto"/>
              <w:right w:val="single" w:sz="4" w:space="0" w:color="000000"/>
            </w:tcBorders>
            <w:shd w:val="clear" w:color="auto" w:fill="D2D2D2"/>
          </w:tcPr>
          <w:p>
            <w:pPr/>
          </w:p>
        </w:tc>
        <w:tc>
          <w:tcPr>
            <w:tcW w:w="13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2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40,309,793.24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40,309,793.24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34,906,793.24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34,906,793.24</w:t>
            </w:r>
          </w:p>
        </w:tc>
      </w:tr>
      <w:tr>
        <w:trPr>
          <w:trHeight w:val="710"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 w:right="58"/>
              <w:jc w:val="left"/>
              <w:rPr>
                <w:rFonts w:ascii="宋体" w:hAnsi="宋体" w:cs="宋体" w:eastAsia="宋体" w:hint="default"/>
                <w:sz w:val="18"/>
                <w:szCs w:val="18"/>
              </w:rPr>
            </w:pPr>
            <w:r>
              <w:rPr>
                <w:rFonts w:ascii="宋体" w:hAnsi="宋体" w:cs="宋体" w:eastAsia="宋体" w:hint="default"/>
                <w:spacing w:val="-3"/>
                <w:sz w:val="18"/>
                <w:szCs w:val="18"/>
              </w:rPr>
              <w:t>对联营、合营企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业投资</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1,798,119.70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1,798,119.70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42,107,912.94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42,107,912.94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34,906,793.24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34,906,793.24</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1）对子公司投资" w:id="452"/>
      <w:bookmarkEnd w:id="452"/>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68"/>
        <w:gridCol w:w="1167"/>
        <w:gridCol w:w="1167"/>
        <w:gridCol w:w="1167"/>
        <w:gridCol w:w="1167"/>
        <w:gridCol w:w="1210"/>
        <w:gridCol w:w="1215"/>
        <w:gridCol w:w="1215"/>
      </w:tblGrid>
      <w:tr>
        <w:trPr>
          <w:trHeight w:val="403"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304" w:lineRule="auto" w:before="97"/>
              <w:ind w:left="278" w:right="95" w:hanging="183"/>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期初余额</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账</w:t>
            </w:r>
            <w:r>
              <w:rPr>
                <w:rFonts w:ascii="宋体" w:hAnsi="宋体" w:cs="宋体" w:eastAsia="宋体" w:hint="default"/>
                <w:spacing w:val="-75"/>
                <w:sz w:val="18"/>
                <w:szCs w:val="18"/>
              </w:rPr>
              <w:t> </w:t>
            </w:r>
            <w:r>
              <w:rPr>
                <w:rFonts w:ascii="宋体" w:hAnsi="宋体" w:cs="宋体" w:eastAsia="宋体" w:hint="default"/>
                <w:sz w:val="18"/>
                <w:szCs w:val="18"/>
              </w:rPr>
              <w:t>面价值</w:t>
            </w:r>
            <w:r>
              <w:rPr>
                <w:rFonts w:ascii="Times New Roman" w:hAnsi="Times New Roman" w:cs="Times New Roman" w:eastAsia="Times New Roman" w:hint="default"/>
                <w:sz w:val="18"/>
                <w:szCs w:val="18"/>
              </w:rPr>
              <w:t>)</w:t>
            </w:r>
          </w:p>
        </w:tc>
        <w:tc>
          <w:tcPr>
            <w:tcW w:w="471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5" w:type="dxa"/>
            <w:vMerge w:val="restart"/>
            <w:tcBorders>
              <w:top w:val="single" w:sz="4" w:space="0" w:color="000000"/>
              <w:left w:val="single" w:sz="4" w:space="0" w:color="000000"/>
              <w:right w:val="single" w:sz="4" w:space="0" w:color="000000"/>
            </w:tcBorders>
            <w:shd w:val="clear" w:color="auto" w:fill="D2D2D2"/>
          </w:tcPr>
          <w:p>
            <w:pPr>
              <w:pStyle w:val="TableParagraph"/>
              <w:spacing w:line="304" w:lineRule="auto" w:before="97"/>
              <w:ind w:left="393" w:right="33" w:hanging="36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期末余额</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账面</w:t>
            </w:r>
            <w:r>
              <w:rPr>
                <w:rFonts w:ascii="宋体" w:hAnsi="宋体" w:cs="宋体" w:eastAsia="宋体" w:hint="default"/>
                <w:spacing w:val="-73"/>
                <w:sz w:val="18"/>
                <w:szCs w:val="18"/>
              </w:rPr>
              <w:t> </w:t>
            </w:r>
            <w:r>
              <w:rPr>
                <w:rFonts w:ascii="宋体" w:hAnsi="宋体" w:cs="宋体" w:eastAsia="宋体" w:hint="default"/>
                <w:sz w:val="18"/>
                <w:szCs w:val="18"/>
              </w:rPr>
              <w:t>价值</w:t>
            </w:r>
            <w:r>
              <w:rPr>
                <w:rFonts w:ascii="Times New Roman" w:hAnsi="Times New Roman" w:cs="Times New Roman" w:eastAsia="Times New Roman" w:hint="default"/>
                <w:sz w:val="18"/>
                <w:szCs w:val="18"/>
              </w:rPr>
              <w:t>)</w:t>
            </w:r>
          </w:p>
        </w:tc>
        <w:tc>
          <w:tcPr>
            <w:tcW w:w="1215"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7"/>
              <w:ind w:left="422" w:right="55" w:hanging="360"/>
              <w:jc w:val="left"/>
              <w:rPr>
                <w:rFonts w:ascii="宋体" w:hAnsi="宋体" w:cs="宋体" w:eastAsia="宋体" w:hint="default"/>
                <w:sz w:val="18"/>
                <w:szCs w:val="18"/>
              </w:rPr>
            </w:pPr>
            <w:r>
              <w:rPr>
                <w:rFonts w:ascii="宋体" w:hAnsi="宋体" w:cs="宋体" w:eastAsia="宋体" w:hint="default"/>
                <w:spacing w:val="-2"/>
                <w:sz w:val="18"/>
                <w:szCs w:val="18"/>
              </w:rPr>
              <w:t>减值准备期末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r>
      <w:tr>
        <w:trPr>
          <w:trHeight w:val="399"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6"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5"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5" w:type="dxa"/>
            <w:vMerge/>
            <w:tcBorders>
              <w:left w:val="single" w:sz="4" w:space="0" w:color="000000"/>
              <w:bottom w:val="single" w:sz="4" w:space="0" w:color="000000"/>
              <w:right w:val="single" w:sz="4" w:space="0" w:color="000000"/>
            </w:tcBorders>
            <w:shd w:val="clear" w:color="auto" w:fill="D2D2D2"/>
          </w:tcPr>
          <w:p>
            <w:pPr/>
          </w:p>
        </w:tc>
        <w:tc>
          <w:tcPr>
            <w:tcW w:w="121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和仁湘雅公司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3,749,682.00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3,749,682.00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和仁云慧公司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21" w:right="0"/>
              <w:jc w:val="left"/>
              <w:rPr>
                <w:rFonts w:ascii="Times New Roman" w:hAnsi="Times New Roman" w:cs="Times New Roman" w:eastAsia="Times New Roman" w:hint="default"/>
                <w:sz w:val="18"/>
                <w:szCs w:val="18"/>
              </w:rPr>
            </w:pPr>
            <w:r>
              <w:rPr>
                <w:rFonts w:ascii="Times New Roman"/>
                <w:sz w:val="18"/>
              </w:rPr>
              <w:t>750,000.00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7" w:right="0"/>
              <w:jc w:val="left"/>
              <w:rPr>
                <w:rFonts w:ascii="Times New Roman" w:hAnsi="Times New Roman" w:cs="Times New Roman" w:eastAsia="Times New Roman" w:hint="default"/>
                <w:sz w:val="18"/>
                <w:szCs w:val="18"/>
              </w:rPr>
            </w:pPr>
            <w:r>
              <w:rPr>
                <w:rFonts w:ascii="Times New Roman"/>
                <w:sz w:val="18"/>
              </w:rPr>
              <w:t>1,200,000.00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天津和仁公司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赣州和仁公司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重庆和仁公司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1,740,000.00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1,740,000.00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广西和仁公司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153,000.00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153,000.00</w:t>
            </w:r>
          </w:p>
        </w:tc>
        <w:tc>
          <w:tcPr>
            <w:tcW w:w="121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868" w:type="dxa"/>
        <w:tblLayout w:type="fixed"/>
        <w:tblCellMar>
          <w:top w:w="0" w:type="dxa"/>
          <w:left w:w="0" w:type="dxa"/>
          <w:bottom w:w="0" w:type="dxa"/>
          <w:right w:w="0" w:type="dxa"/>
        </w:tblCellMar>
        <w:tblLook w:val="01E0"/>
      </w:tblPr>
      <w:tblGrid>
        <w:gridCol w:w="1268"/>
        <w:gridCol w:w="1167"/>
        <w:gridCol w:w="1167"/>
        <w:gridCol w:w="1167"/>
        <w:gridCol w:w="1167"/>
        <w:gridCol w:w="1210"/>
        <w:gridCol w:w="1215"/>
        <w:gridCol w:w="1215"/>
      </w:tblGrid>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西安和仁公司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9,500,000.00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9,500,000.00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江苏和仁公司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杭州云医公司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3"/>
                <w:sz w:val="18"/>
              </w:rPr>
              <w:t>4,814,111.24</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4,233,000.00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3"/>
                <w:sz w:val="18"/>
              </w:rPr>
              <w:t>9,047,111.24</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北京和仁公司</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1,020,000.00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1,020,000.00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34,906,793.24</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6,603,000.00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7" w:right="0"/>
              <w:jc w:val="left"/>
              <w:rPr>
                <w:rFonts w:ascii="Times New Roman" w:hAnsi="Times New Roman" w:cs="Times New Roman" w:eastAsia="Times New Roman" w:hint="default"/>
                <w:sz w:val="18"/>
                <w:szCs w:val="18"/>
              </w:rPr>
            </w:pPr>
            <w:r>
              <w:rPr>
                <w:rFonts w:ascii="Times New Roman"/>
                <w:sz w:val="18"/>
              </w:rPr>
              <w:t>1,200,000.00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40,309,793.24</w:t>
            </w:r>
          </w:p>
        </w:tc>
        <w:tc>
          <w:tcPr>
            <w:tcW w:w="12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left="873" w:right="0"/>
        <w:jc w:val="left"/>
        <w:rPr>
          <w:b w:val="0"/>
          <w:bCs w:val="0"/>
        </w:rPr>
      </w:pPr>
      <w:bookmarkStart w:name="（2）对联营、合营企业投资" w:id="453"/>
      <w:bookmarkEnd w:id="453"/>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927"/>
        <w:gridCol w:w="629"/>
        <w:gridCol w:w="1224"/>
        <w:gridCol w:w="475"/>
        <w:gridCol w:w="1383"/>
        <w:gridCol w:w="932"/>
        <w:gridCol w:w="926"/>
        <w:gridCol w:w="932"/>
        <w:gridCol w:w="927"/>
        <w:gridCol w:w="932"/>
        <w:gridCol w:w="1201"/>
        <w:gridCol w:w="662"/>
      </w:tblGrid>
      <w:tr>
        <w:trPr>
          <w:trHeight w:val="401" w:hRule="exact"/>
        </w:trPr>
        <w:tc>
          <w:tcPr>
            <w:tcW w:w="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629" w:type="dxa"/>
            <w:vMerge w:val="restart"/>
            <w:tcBorders>
              <w:top w:val="single" w:sz="4" w:space="0" w:color="000000"/>
              <w:left w:val="single" w:sz="4" w:space="0" w:color="000000"/>
              <w:right w:val="single" w:sz="4" w:space="0" w:color="000000"/>
            </w:tcBorders>
            <w:shd w:val="clear" w:color="auto" w:fill="D2D2D2"/>
          </w:tcPr>
          <w:p>
            <w:pPr>
              <w:pStyle w:val="TableParagraph"/>
              <w:spacing w:line="312" w:lineRule="auto" w:before="99"/>
              <w:ind w:left="38" w:right="36"/>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期初余</w:t>
            </w:r>
            <w:r>
              <w:rPr>
                <w:rFonts w:ascii="宋体" w:hAnsi="宋体" w:cs="宋体" w:eastAsia="宋体" w:hint="default"/>
                <w:w w:val="101"/>
                <w:sz w:val="18"/>
                <w:szCs w:val="18"/>
              </w:rPr>
              <w:t> </w:t>
            </w:r>
            <w:r>
              <w:rPr>
                <w:rFonts w:ascii="宋体" w:hAnsi="宋体" w:cs="宋体" w:eastAsia="宋体" w:hint="default"/>
                <w:sz w:val="18"/>
                <w:szCs w:val="18"/>
              </w:rPr>
              <w:t>额</w:t>
            </w:r>
            <w:r>
              <w:rPr>
                <w:rFonts w:ascii="Times New Roman" w:hAnsi="Times New Roman" w:cs="Times New Roman" w:eastAsia="Times New Roman" w:hint="default"/>
                <w:sz w:val="18"/>
                <w:szCs w:val="18"/>
              </w:rPr>
              <w:t>(</w:t>
            </w:r>
            <w:r>
              <w:rPr>
                <w:rFonts w:ascii="宋体" w:hAnsi="宋体" w:cs="宋体" w:eastAsia="宋体" w:hint="default"/>
                <w:sz w:val="18"/>
                <w:szCs w:val="18"/>
              </w:rPr>
              <w:t>账</w:t>
            </w:r>
            <w:r>
              <w:rPr>
                <w:rFonts w:ascii="宋体" w:hAnsi="宋体" w:cs="宋体" w:eastAsia="宋体" w:hint="default"/>
                <w:w w:val="101"/>
                <w:sz w:val="18"/>
                <w:szCs w:val="18"/>
              </w:rPr>
              <w:t> </w:t>
            </w:r>
            <w:r>
              <w:rPr>
                <w:rFonts w:ascii="宋体" w:hAnsi="宋体" w:cs="宋体" w:eastAsia="宋体" w:hint="default"/>
                <w:sz w:val="18"/>
                <w:szCs w:val="18"/>
              </w:rPr>
              <w:t>面价</w:t>
            </w:r>
            <w:r>
              <w:rPr>
                <w:rFonts w:ascii="宋体" w:hAnsi="宋体" w:cs="宋体" w:eastAsia="宋体" w:hint="default"/>
                <w:w w:val="101"/>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773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8"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00" w:lineRule="auto"/>
              <w:ind w:left="383" w:right="27" w:hanging="36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期末余额</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账面</w:t>
            </w:r>
            <w:r>
              <w:rPr>
                <w:rFonts w:ascii="宋体" w:hAnsi="宋体" w:cs="宋体" w:eastAsia="宋体" w:hint="default"/>
                <w:spacing w:val="-73"/>
                <w:sz w:val="18"/>
                <w:szCs w:val="18"/>
              </w:rPr>
              <w:t> </w:t>
            </w:r>
            <w:r>
              <w:rPr>
                <w:rFonts w:ascii="宋体" w:hAnsi="宋体" w:cs="宋体" w:eastAsia="宋体" w:hint="default"/>
                <w:sz w:val="18"/>
                <w:szCs w:val="18"/>
              </w:rPr>
              <w:t>价值</w:t>
            </w:r>
            <w:r>
              <w:rPr>
                <w:rFonts w:ascii="Times New Roman" w:hAnsi="Times New Roman" w:cs="Times New Roman" w:eastAsia="Times New Roman" w:hint="default"/>
                <w:sz w:val="18"/>
                <w:szCs w:val="18"/>
              </w:rPr>
              <w:t>)</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57" w:right="50"/>
              <w:jc w:val="both"/>
              <w:rPr>
                <w:rFonts w:ascii="宋体" w:hAnsi="宋体" w:cs="宋体" w:eastAsia="宋体" w:hint="default"/>
                <w:sz w:val="18"/>
                <w:szCs w:val="18"/>
              </w:rPr>
            </w:pPr>
            <w:r>
              <w:rPr>
                <w:rFonts w:ascii="宋体" w:hAnsi="宋体" w:cs="宋体" w:eastAsia="宋体" w:hint="default"/>
                <w:sz w:val="18"/>
                <w:szCs w:val="18"/>
              </w:rPr>
              <w:t>减值准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备期末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余额</w:t>
            </w:r>
          </w:p>
        </w:tc>
      </w:tr>
      <w:tr>
        <w:trPr>
          <w:trHeight w:val="1028" w:hRule="exact"/>
        </w:trPr>
        <w:tc>
          <w:tcPr>
            <w:tcW w:w="927" w:type="dxa"/>
            <w:vMerge/>
            <w:tcBorders>
              <w:left w:val="single" w:sz="4" w:space="0" w:color="000000"/>
              <w:bottom w:val="single" w:sz="4" w:space="0" w:color="000000"/>
              <w:right w:val="single" w:sz="4" w:space="0" w:color="000000"/>
            </w:tcBorders>
            <w:shd w:val="clear" w:color="auto" w:fill="D2D2D2"/>
          </w:tcPr>
          <w:p>
            <w:pPr/>
          </w:p>
        </w:tc>
        <w:tc>
          <w:tcPr>
            <w:tcW w:w="629" w:type="dxa"/>
            <w:vMerge/>
            <w:tcBorders>
              <w:left w:val="single" w:sz="4" w:space="0" w:color="000000"/>
              <w:bottom w:val="single" w:sz="4" w:space="0" w:color="000000"/>
              <w:right w:val="single" w:sz="4" w:space="0" w:color="000000"/>
            </w:tcBorders>
            <w:shd w:val="clear" w:color="auto" w:fill="D2D2D2"/>
          </w:tcPr>
          <w:p>
            <w:pPr/>
          </w:p>
        </w:tc>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9"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4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52" w:right="47"/>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86"/>
                <w:sz w:val="18"/>
                <w:szCs w:val="18"/>
              </w:rPr>
              <w:t> </w:t>
            </w:r>
            <w:r>
              <w:rPr>
                <w:rFonts w:ascii="宋体" w:hAnsi="宋体" w:cs="宋体" w:eastAsia="宋体" w:hint="default"/>
                <w:sz w:val="18"/>
                <w:szCs w:val="18"/>
              </w:rPr>
              <w:t>投资</w:t>
            </w:r>
          </w:p>
        </w:tc>
        <w:tc>
          <w:tcPr>
            <w:tcW w:w="1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326" w:right="51" w:hanging="269"/>
              <w:jc w:val="left"/>
              <w:rPr>
                <w:rFonts w:ascii="宋体" w:hAnsi="宋体" w:cs="宋体" w:eastAsia="宋体" w:hint="default"/>
                <w:sz w:val="18"/>
                <w:szCs w:val="18"/>
              </w:rPr>
            </w:pPr>
            <w:r>
              <w:rPr>
                <w:rFonts w:ascii="宋体" w:hAnsi="宋体" w:cs="宋体" w:eastAsia="宋体" w:hint="default"/>
                <w:spacing w:val="-3"/>
                <w:sz w:val="18"/>
                <w:szCs w:val="18"/>
              </w:rPr>
              <w:t>权益法下确认的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投资损益</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00" w:right="94"/>
              <w:jc w:val="left"/>
              <w:rPr>
                <w:rFonts w:ascii="宋体" w:hAnsi="宋体" w:cs="宋体" w:eastAsia="宋体" w:hint="default"/>
                <w:sz w:val="18"/>
                <w:szCs w:val="18"/>
              </w:rPr>
            </w:pPr>
            <w:r>
              <w:rPr>
                <w:rFonts w:ascii="宋体" w:hAnsi="宋体" w:cs="宋体" w:eastAsia="宋体" w:hint="default"/>
                <w:sz w:val="18"/>
                <w:szCs w:val="18"/>
              </w:rPr>
              <w:t>其他综合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收益调整</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78" w:right="89" w:hanging="178"/>
              <w:jc w:val="left"/>
              <w:rPr>
                <w:rFonts w:ascii="宋体" w:hAnsi="宋体" w:cs="宋体" w:eastAsia="宋体" w:hint="default"/>
                <w:sz w:val="18"/>
                <w:szCs w:val="18"/>
              </w:rPr>
            </w:pPr>
            <w:r>
              <w:rPr>
                <w:rFonts w:ascii="宋体" w:hAnsi="宋体" w:cs="宋体" w:eastAsia="宋体" w:hint="default"/>
                <w:sz w:val="18"/>
                <w:szCs w:val="18"/>
              </w:rPr>
              <w:t>其他权益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变动</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1" w:right="93"/>
              <w:jc w:val="both"/>
              <w:rPr>
                <w:rFonts w:ascii="宋体" w:hAnsi="宋体" w:cs="宋体" w:eastAsia="宋体" w:hint="default"/>
                <w:sz w:val="18"/>
                <w:szCs w:val="18"/>
              </w:rPr>
            </w:pPr>
            <w:r>
              <w:rPr>
                <w:rFonts w:ascii="宋体" w:hAnsi="宋体" w:cs="宋体" w:eastAsia="宋体" w:hint="default"/>
                <w:sz w:val="18"/>
                <w:szCs w:val="18"/>
              </w:rPr>
              <w:t>宣告发放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现金股利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或利润</w:t>
            </w:r>
          </w:p>
        </w:tc>
        <w:tc>
          <w:tcPr>
            <w:tcW w:w="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78" w:right="89" w:hanging="178"/>
              <w:jc w:val="left"/>
              <w:rPr>
                <w:rFonts w:ascii="宋体" w:hAnsi="宋体" w:cs="宋体" w:eastAsia="宋体" w:hint="default"/>
                <w:sz w:val="18"/>
                <w:szCs w:val="18"/>
              </w:rPr>
            </w:pPr>
            <w:r>
              <w:rPr>
                <w:rFonts w:ascii="宋体" w:hAnsi="宋体" w:cs="宋体" w:eastAsia="宋体" w:hint="default"/>
                <w:sz w:val="18"/>
                <w:szCs w:val="18"/>
              </w:rPr>
              <w:t>计提减值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准备</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01" w:type="dxa"/>
            <w:vMerge/>
            <w:tcBorders>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15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398" w:hRule="exact"/>
        </w:trPr>
        <w:tc>
          <w:tcPr>
            <w:tcW w:w="1115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888" w:hRule="exact"/>
        </w:trPr>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140"/>
              <w:ind w:left="23" w:right="166"/>
              <w:jc w:val="left"/>
              <w:rPr>
                <w:rFonts w:ascii="宋体" w:hAnsi="宋体" w:cs="宋体" w:eastAsia="宋体" w:hint="default"/>
                <w:sz w:val="18"/>
                <w:szCs w:val="18"/>
              </w:rPr>
            </w:pPr>
            <w:r>
              <w:rPr>
                <w:rFonts w:ascii="宋体" w:hAnsi="宋体" w:cs="宋体" w:eastAsia="宋体" w:hint="default"/>
                <w:sz w:val="18"/>
                <w:szCs w:val="18"/>
              </w:rPr>
              <w:t>中原和仁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629"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3,500,000.00</w:t>
            </w:r>
          </w:p>
        </w:tc>
        <w:tc>
          <w:tcPr>
            <w:tcW w:w="475"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-1,701,880.30</w:t>
            </w:r>
          </w:p>
        </w:tc>
        <w:tc>
          <w:tcPr>
            <w:tcW w:w="932"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1,798,119.70</w:t>
            </w: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898" w:hRule="exact"/>
        </w:trPr>
        <w:tc>
          <w:tcPr>
            <w:tcW w:w="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29"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3,500,000.00</w:t>
            </w:r>
          </w:p>
        </w:tc>
        <w:tc>
          <w:tcPr>
            <w:tcW w:w="475"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-1,701,880.30</w:t>
            </w:r>
          </w:p>
        </w:tc>
        <w:tc>
          <w:tcPr>
            <w:tcW w:w="932"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1,798,119.70</w:t>
            </w: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884" w:hRule="exact"/>
        </w:trPr>
        <w:tc>
          <w:tcPr>
            <w:tcW w:w="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29"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3,500,000.00</w:t>
            </w:r>
          </w:p>
        </w:tc>
        <w:tc>
          <w:tcPr>
            <w:tcW w:w="475"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-1,701,880.30</w:t>
            </w:r>
          </w:p>
        </w:tc>
        <w:tc>
          <w:tcPr>
            <w:tcW w:w="932"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1,798,119.70</w:t>
            </w:r>
          </w:p>
        </w:tc>
        <w:tc>
          <w:tcPr>
            <w:tcW w:w="66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left="873" w:right="0"/>
        <w:jc w:val="left"/>
        <w:rPr>
          <w:b w:val="0"/>
          <w:bCs w:val="0"/>
        </w:rPr>
      </w:pPr>
      <w:bookmarkStart w:name="（3）其他说明" w:id="454"/>
      <w:bookmarkEnd w:id="454"/>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873" w:right="0"/>
        <w:jc w:val="left"/>
        <w:rPr>
          <w:b w:val="0"/>
          <w:bCs w:val="0"/>
        </w:rPr>
      </w:pPr>
      <w:bookmarkStart w:name="4、营业收入和营业成本" w:id="455"/>
      <w:bookmarkEnd w:id="455"/>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868" w:type="dxa"/>
        <w:tblLayout w:type="fixed"/>
        <w:tblCellMar>
          <w:top w:w="0" w:type="dxa"/>
          <w:left w:w="0" w:type="dxa"/>
          <w:bottom w:w="0" w:type="dxa"/>
          <w:right w:w="0" w:type="dxa"/>
        </w:tblCellMar>
        <w:tblLook w:val="01E0"/>
      </w:tblPr>
      <w:tblGrid>
        <w:gridCol w:w="1993"/>
        <w:gridCol w:w="1839"/>
        <w:gridCol w:w="1916"/>
        <w:gridCol w:w="1911"/>
        <w:gridCol w:w="1916"/>
      </w:tblGrid>
      <w:tr>
        <w:trPr>
          <w:trHeight w:val="206" w:hRule="exact"/>
        </w:trPr>
        <w:tc>
          <w:tcPr>
            <w:tcW w:w="199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4" w:hRule="exact"/>
        </w:trPr>
        <w:tc>
          <w:tcPr>
            <w:tcW w:w="19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5" w:type="dxa"/>
            <w:gridSpan w:val="2"/>
            <w:vMerge/>
            <w:tcBorders>
              <w:left w:val="single" w:sz="4" w:space="0" w:color="000000"/>
              <w:bottom w:val="single" w:sz="4" w:space="0" w:color="000000"/>
              <w:right w:val="single" w:sz="4" w:space="0" w:color="000000"/>
            </w:tcBorders>
            <w:shd w:val="clear" w:color="auto" w:fill="D2D2D2"/>
          </w:tcPr>
          <w:p>
            <w:pPr/>
          </w:p>
        </w:tc>
        <w:tc>
          <w:tcPr>
            <w:tcW w:w="3827" w:type="dxa"/>
            <w:gridSpan w:val="2"/>
            <w:vMerge/>
            <w:tcBorders>
              <w:left w:val="single" w:sz="4" w:space="0" w:color="000000"/>
              <w:bottom w:val="single" w:sz="4" w:space="0" w:color="000000"/>
              <w:right w:val="single" w:sz="4" w:space="0" w:color="000000"/>
            </w:tcBorders>
            <w:shd w:val="clear" w:color="auto" w:fill="D2D2D2"/>
          </w:tcPr>
          <w:p>
            <w:pPr/>
          </w:p>
        </w:tc>
      </w:tr>
      <w:tr>
        <w:trPr>
          <w:trHeight w:val="194" w:hRule="exact"/>
        </w:trPr>
        <w:tc>
          <w:tcPr>
            <w:tcW w:w="1993" w:type="dxa"/>
            <w:vMerge/>
            <w:tcBorders>
              <w:left w:val="single" w:sz="4" w:space="0" w:color="000000"/>
              <w:bottom w:val="nil" w:sz="6" w:space="0" w:color="auto"/>
              <w:right w:val="single" w:sz="4" w:space="0" w:color="000000"/>
            </w:tcBorders>
            <w:shd w:val="clear" w:color="auto" w:fill="D2D2D2"/>
          </w:tcPr>
          <w:p>
            <w:pPr/>
          </w:p>
        </w:tc>
        <w:tc>
          <w:tcPr>
            <w:tcW w:w="183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9"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409,132,584.37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237,079,449.27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352,818,865.78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192,739,319.10</w:t>
            </w:r>
          </w:p>
        </w:tc>
      </w:tr>
      <w:tr>
        <w:trPr>
          <w:trHeight w:val="403"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10,226,453.76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4,868,298.32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4,304,767.38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3,798,360.10</w:t>
            </w:r>
          </w:p>
        </w:tc>
      </w:tr>
      <w:tr>
        <w:trPr>
          <w:trHeight w:val="403"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419,359,038.13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241,947,747.59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357,123,633.16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196,537,679.20</w:t>
            </w:r>
          </w:p>
        </w:tc>
      </w:tr>
    </w:tbl>
    <w:p>
      <w:pPr>
        <w:pStyle w:val="BodyText"/>
        <w:spacing w:line="240" w:lineRule="auto" w:before="53"/>
        <w:ind w:left="873" w:right="0"/>
        <w:jc w:val="left"/>
      </w:pPr>
      <w:r>
        <w:rPr/>
        <w:t>是否已执行新收入准则</w:t>
      </w:r>
    </w:p>
    <w:p>
      <w:pPr>
        <w:pStyle w:val="BodyText"/>
        <w:spacing w:line="343" w:lineRule="auto" w:before="115"/>
        <w:ind w:left="873" w:right="986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t>否</w:t>
      </w:r>
      <w:r>
        <w:rPr>
          <w:w w:val="101"/>
        </w:rPr>
        <w:t> </w:t>
      </w:r>
      <w:r>
        <w:rPr>
          <w:spacing w:val="-2"/>
        </w:rPr>
        <w:t>其他说明：</w:t>
      </w:r>
    </w:p>
    <w:p>
      <w:pPr>
        <w:spacing w:after="0" w:line="343" w:lineRule="auto"/>
        <w:jc w:val="left"/>
        <w:sectPr>
          <w:pgSz w:w="11910" w:h="16840"/>
          <w:pgMar w:header="741" w:footer="979" w:top="1060" w:bottom="1160" w:left="260" w:right="0"/>
        </w:sectPr>
      </w:pPr>
    </w:p>
    <w:p>
      <w:pPr>
        <w:spacing w:line="240" w:lineRule="auto" w:before="12"/>
        <w:rPr>
          <w:rFonts w:ascii="宋体" w:hAnsi="宋体" w:cs="宋体" w:eastAsia="宋体" w:hint="default"/>
          <w:sz w:val="24"/>
          <w:szCs w:val="24"/>
        </w:rPr>
      </w:pPr>
    </w:p>
    <w:p>
      <w:pPr>
        <w:pStyle w:val="Heading4"/>
        <w:spacing w:line="240" w:lineRule="auto" w:before="36"/>
        <w:ind w:right="0"/>
        <w:jc w:val="left"/>
        <w:rPr>
          <w:b w:val="0"/>
          <w:bCs w:val="0"/>
        </w:rPr>
      </w:pPr>
      <w:bookmarkStart w:name="5、投资收益" w:id="456"/>
      <w:bookmarkEnd w:id="456"/>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8"/>
        <w:gridCol w:w="3058"/>
        <w:gridCol w:w="3188"/>
      </w:tblGrid>
      <w:tr>
        <w:trPr>
          <w:trHeight w:val="40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权益法核算的长期股权投资收益</w:t>
            </w:r>
          </w:p>
        </w:tc>
        <w:tc>
          <w:tcPr>
            <w:tcW w:w="305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-1,701,880.30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处置长期股权投资产生的投资收益</w:t>
            </w:r>
          </w:p>
        </w:tc>
        <w:tc>
          <w:tcPr>
            <w:tcW w:w="305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-451,565.23</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处置可供出售金融资产取得的投资收益</w:t>
            </w:r>
          </w:p>
        </w:tc>
        <w:tc>
          <w:tcPr>
            <w:tcW w:w="3058" w:type="dxa"/>
            <w:tcBorders>
              <w:top w:val="single" w:sz="4" w:space="0" w:color="000000"/>
              <w:left w:val="single" w:sz="13" w:space="0" w:color="D2D2D2"/>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5,694,271.61</w:t>
            </w:r>
          </w:p>
        </w:tc>
      </w:tr>
      <w:tr>
        <w:trPr>
          <w:trHeight w:val="716"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47"/>
              <w:jc w:val="left"/>
              <w:rPr>
                <w:rFonts w:ascii="宋体" w:hAnsi="宋体" w:cs="宋体" w:eastAsia="宋体" w:hint="default"/>
                <w:sz w:val="18"/>
                <w:szCs w:val="18"/>
              </w:rPr>
            </w:pPr>
            <w:r>
              <w:rPr>
                <w:rFonts w:ascii="宋体" w:hAnsi="宋体" w:cs="宋体" w:eastAsia="宋体" w:hint="default"/>
                <w:spacing w:val="-3"/>
                <w:sz w:val="18"/>
                <w:szCs w:val="18"/>
              </w:rPr>
              <w:t>处置分类为以公允价值计量且其变动计入</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当期损益的金融资产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1,131,411.26</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处置以摊余成本计量的金融资产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5,914,458.80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6,543,989.76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5,242,706.38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6、其他" w:id="457"/>
      <w:bookmarkEnd w:id="457"/>
      <w:r>
        <w:rPr>
          <w:b w:val="0"/>
          <w:bCs w:val="0"/>
        </w:rPr>
      </w:r>
      <w:r>
        <w:rPr>
          <w:rFonts w:ascii="Times New Roman" w:hAnsi="Times New Roman" w:cs="Times New Roman" w:eastAsia="Times New Roman" w:hint="default"/>
        </w:rPr>
        <w:t>6</w:t>
      </w:r>
      <w:r>
        <w:rPr/>
        <w:t>、其他</w:t>
      </w:r>
      <w:r>
        <w:rPr>
          <w:b w:val="0"/>
          <w:bCs w:val="0"/>
        </w:rPr>
      </w:r>
    </w:p>
    <w:p>
      <w:pPr>
        <w:spacing w:line="240" w:lineRule="auto" w:before="6"/>
        <w:rPr>
          <w:rFonts w:ascii="宋体" w:hAnsi="宋体" w:cs="宋体" w:eastAsia="宋体" w:hint="default"/>
          <w:b/>
          <w:bCs/>
          <w:sz w:val="22"/>
          <w:szCs w:val="22"/>
        </w:rPr>
      </w:pPr>
    </w:p>
    <w:p>
      <w:pPr>
        <w:pStyle w:val="Heading2"/>
        <w:spacing w:line="240" w:lineRule="auto"/>
        <w:ind w:right="0"/>
        <w:jc w:val="left"/>
        <w:rPr>
          <w:b w:val="0"/>
          <w:bCs w:val="0"/>
        </w:rPr>
      </w:pPr>
      <w:bookmarkStart w:name="十七、补充资料" w:id="458"/>
      <w:bookmarkEnd w:id="458"/>
      <w:r>
        <w:rPr>
          <w:b w:val="0"/>
          <w:bCs w:val="0"/>
        </w:rPr>
      </w:r>
      <w:r>
        <w:rPr/>
        <w:t>十七、补充资料</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当期非经常性损益明细表" w:id="459"/>
      <w:bookmarkEnd w:id="459"/>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4"/>
        <w:gridCol w:w="3070"/>
        <w:gridCol w:w="3188"/>
      </w:tblGrid>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98"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405,474.43</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11" w:right="35"/>
              <w:jc w:val="both"/>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切相关，按照国家统一标准定额或定量享</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受的政府补助除外）</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4,989,150.77</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委托他人投资或管理资产的损益</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7,286,027.70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除上述各项之外的其他营业外收入和支出</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-1,192,468.96</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其他符合非经常性损益定义的损益项目</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39,432.31</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1,627,476.91</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少数股东权益影响额</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857,486.52</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0"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6"/>
              <w:ind w:right="5"/>
              <w:jc w:val="right"/>
              <w:rPr>
                <w:rFonts w:ascii="Times New Roman" w:hAnsi="Times New Roman" w:cs="Times New Roman" w:eastAsia="Times New Roman" w:hint="default"/>
                <w:sz w:val="18"/>
                <w:szCs w:val="18"/>
              </w:rPr>
            </w:pPr>
            <w:r>
              <w:rPr>
                <w:rFonts w:ascii="Times New Roman"/>
                <w:spacing w:val="-1"/>
                <w:sz w:val="18"/>
              </w:rPr>
              <w:t>9,042,652.82</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0"/>
        <w:jc w:val="left"/>
      </w:pPr>
      <w:r>
        <w:rPr>
          <w:w w:val="101"/>
        </w:rPr>
        <w:t>对</w:t>
      </w:r>
      <w:r>
        <w:rPr>
          <w:spacing w:val="-5"/>
          <w:w w:val="101"/>
        </w:rPr>
        <w:t>公</w:t>
      </w:r>
      <w:r>
        <w:rPr>
          <w:w w:val="101"/>
        </w:rPr>
        <w:t>司</w:t>
      </w:r>
      <w:r>
        <w:rPr>
          <w:spacing w:val="-5"/>
          <w:w w:val="101"/>
        </w:rPr>
        <w:t>根</w:t>
      </w:r>
      <w:r>
        <w:rPr>
          <w:spacing w:val="-68"/>
          <w:w w:val="101"/>
        </w:rPr>
        <w:t>据</w:t>
      </w:r>
      <w:r>
        <w:rPr>
          <w:w w:val="101"/>
        </w:rPr>
        <w:t>《</w:t>
      </w:r>
      <w:r>
        <w:rPr>
          <w:spacing w:val="-5"/>
          <w:w w:val="101"/>
        </w:rPr>
        <w:t>公</w:t>
      </w:r>
      <w:r>
        <w:rPr>
          <w:w w:val="101"/>
        </w:rPr>
        <w:t>开</w:t>
      </w:r>
      <w:r>
        <w:rPr>
          <w:spacing w:val="-5"/>
          <w:w w:val="101"/>
        </w:rPr>
        <w:t>发</w:t>
      </w:r>
      <w:r>
        <w:rPr>
          <w:w w:val="101"/>
        </w:rPr>
        <w:t>行</w:t>
      </w:r>
      <w:r>
        <w:rPr>
          <w:spacing w:val="-5"/>
          <w:w w:val="101"/>
        </w:rPr>
        <w:t>证</w:t>
      </w:r>
      <w:r>
        <w:rPr>
          <w:w w:val="101"/>
        </w:rPr>
        <w:t>券</w:t>
      </w:r>
      <w:r>
        <w:rPr>
          <w:spacing w:val="-5"/>
          <w:w w:val="101"/>
        </w:rPr>
        <w:t>的</w:t>
      </w:r>
      <w:r>
        <w:rPr>
          <w:w w:val="101"/>
        </w:rPr>
        <w:t>公</w:t>
      </w:r>
      <w:r>
        <w:rPr>
          <w:spacing w:val="-5"/>
          <w:w w:val="101"/>
        </w:rPr>
        <w:t>司</w:t>
      </w:r>
      <w:r>
        <w:rPr>
          <w:w w:val="101"/>
        </w:rPr>
        <w:t>信</w:t>
      </w:r>
      <w:r>
        <w:rPr>
          <w:spacing w:val="-5"/>
          <w:w w:val="101"/>
        </w:rPr>
        <w:t>息</w:t>
      </w:r>
      <w:r>
        <w:rPr>
          <w:w w:val="101"/>
        </w:rPr>
        <w:t>披</w:t>
      </w:r>
      <w:r>
        <w:rPr>
          <w:spacing w:val="-5"/>
          <w:w w:val="101"/>
        </w:rPr>
        <w:t>露</w:t>
      </w:r>
      <w:r>
        <w:rPr>
          <w:w w:val="101"/>
        </w:rPr>
        <w:t>解</w:t>
      </w:r>
      <w:r>
        <w:rPr>
          <w:spacing w:val="-5"/>
          <w:w w:val="101"/>
        </w:rPr>
        <w:t>释</w:t>
      </w:r>
      <w:r>
        <w:rPr>
          <w:w w:val="101"/>
        </w:rPr>
        <w:t>性</w:t>
      </w:r>
      <w:r>
        <w:rPr>
          <w:spacing w:val="-5"/>
          <w:w w:val="101"/>
        </w:rPr>
        <w:t>公</w:t>
      </w:r>
      <w:r>
        <w:rPr>
          <w:w w:val="101"/>
        </w:rPr>
        <w:t>告第</w:t>
      </w:r>
      <w:r>
        <w:rPr>
          <w:spacing w:val="-46"/>
        </w:rPr>
        <w:t> </w:t>
      </w:r>
      <w:r>
        <w:rPr>
          <w:rFonts w:ascii="Times New Roman" w:hAnsi="Times New Roman" w:cs="Times New Roman" w:eastAsia="Times New Roman" w:hint="default"/>
          <w:w w:val="101"/>
        </w:rPr>
        <w:t>1</w:t>
      </w:r>
      <w:r>
        <w:rPr>
          <w:rFonts w:ascii="Times New Roman" w:hAnsi="Times New Roman" w:cs="Times New Roman" w:eastAsia="Times New Roman" w:hint="default"/>
          <w:spacing w:val="-2"/>
        </w:rPr>
        <w:t> </w:t>
      </w:r>
      <w:r>
        <w:rPr>
          <w:spacing w:val="-5"/>
          <w:w w:val="101"/>
        </w:rPr>
        <w:t>号</w:t>
      </w:r>
      <w:r>
        <w:rPr>
          <w:rFonts w:ascii="Times New Roman" w:hAnsi="Times New Roman" w:cs="Times New Roman" w:eastAsia="Times New Roman" w:hint="default"/>
          <w:w w:val="101"/>
        </w:rPr>
        <w:t>—</w:t>
      </w:r>
      <w:r>
        <w:rPr>
          <w:rFonts w:ascii="Times New Roman" w:hAnsi="Times New Roman" w:cs="Times New Roman" w:eastAsia="Times New Roman" w:hint="default"/>
          <w:spacing w:val="-5"/>
          <w:w w:val="101"/>
        </w:rPr>
        <w:t>—</w:t>
      </w:r>
      <w:r>
        <w:rPr>
          <w:w w:val="101"/>
        </w:rPr>
        <w:t>非</w:t>
      </w:r>
      <w:r>
        <w:rPr>
          <w:spacing w:val="-5"/>
          <w:w w:val="101"/>
        </w:rPr>
        <w:t>经</w:t>
      </w:r>
      <w:r>
        <w:rPr>
          <w:w w:val="101"/>
        </w:rPr>
        <w:t>常</w:t>
      </w:r>
      <w:r>
        <w:rPr>
          <w:spacing w:val="-5"/>
          <w:w w:val="101"/>
        </w:rPr>
        <w:t>性</w:t>
      </w:r>
      <w:r>
        <w:rPr>
          <w:w w:val="101"/>
        </w:rPr>
        <w:t>损益</w:t>
      </w:r>
      <w:r>
        <w:rPr>
          <w:spacing w:val="-73"/>
          <w:w w:val="101"/>
        </w:rPr>
        <w:t>》</w:t>
      </w:r>
      <w:r>
        <w:rPr>
          <w:w w:val="101"/>
        </w:rPr>
        <w:t>定</w:t>
      </w:r>
      <w:r>
        <w:rPr>
          <w:spacing w:val="-5"/>
          <w:w w:val="101"/>
        </w:rPr>
        <w:t>义</w:t>
      </w:r>
      <w:r>
        <w:rPr>
          <w:w w:val="101"/>
        </w:rPr>
        <w:t>界</w:t>
      </w:r>
      <w:r>
        <w:rPr>
          <w:spacing w:val="-5"/>
          <w:w w:val="101"/>
        </w:rPr>
        <w:t>定</w:t>
      </w:r>
      <w:r>
        <w:rPr>
          <w:w w:val="101"/>
        </w:rPr>
        <w:t>的</w:t>
      </w:r>
      <w:r>
        <w:rPr>
          <w:spacing w:val="-5"/>
          <w:w w:val="101"/>
        </w:rPr>
        <w:t>非</w:t>
      </w:r>
      <w:r>
        <w:rPr>
          <w:w w:val="101"/>
        </w:rPr>
        <w:t>经</w:t>
      </w:r>
      <w:r>
        <w:rPr>
          <w:spacing w:val="-5"/>
          <w:w w:val="101"/>
        </w:rPr>
        <w:t>常</w:t>
      </w:r>
      <w:r>
        <w:rPr>
          <w:w w:val="101"/>
        </w:rPr>
        <w:t>性</w:t>
      </w:r>
      <w:r>
        <w:rPr>
          <w:spacing w:val="-5"/>
          <w:w w:val="101"/>
        </w:rPr>
        <w:t>损</w:t>
      </w:r>
      <w:r>
        <w:rPr>
          <w:w w:val="101"/>
        </w:rPr>
        <w:t>益</w:t>
      </w:r>
      <w:r>
        <w:rPr>
          <w:spacing w:val="-5"/>
          <w:w w:val="101"/>
        </w:rPr>
        <w:t>项</w:t>
      </w:r>
      <w:r>
        <w:rPr>
          <w:w w:val="101"/>
        </w:rPr>
        <w:t>目</w:t>
      </w:r>
      <w:r>
        <w:rPr>
          <w:spacing w:val="-68"/>
          <w:w w:val="101"/>
        </w:rPr>
        <w:t>，</w:t>
      </w:r>
      <w:r>
        <w:rPr>
          <w:spacing w:val="-5"/>
          <w:w w:val="101"/>
        </w:rPr>
        <w:t>以</w:t>
      </w:r>
      <w:r>
        <w:rPr>
          <w:w w:val="101"/>
        </w:rPr>
        <w:t>及</w:t>
      </w:r>
      <w:r>
        <w:rPr>
          <w:spacing w:val="-73"/>
          <w:w w:val="101"/>
        </w:rPr>
        <w:t>把</w:t>
      </w:r>
      <w:r>
        <w:rPr>
          <w:w w:val="101"/>
        </w:rPr>
        <w:t>《公</w:t>
      </w:r>
      <w:r>
        <w:rPr/>
      </w:r>
    </w:p>
    <w:p>
      <w:pPr>
        <w:pStyle w:val="BodyText"/>
        <w:spacing w:line="304" w:lineRule="auto" w:before="58"/>
        <w:ind w:right="1037"/>
        <w:jc w:val="left"/>
      </w:pPr>
      <w:r>
        <w:rPr>
          <w:spacing w:val="-3"/>
        </w:rPr>
        <w:t>开发行证券的公司信息披露解释性公告第 </w:t>
      </w:r>
      <w:r>
        <w:rPr>
          <w:rFonts w:ascii="Times New Roman" w:hAnsi="Times New Roman" w:cs="Times New Roman" w:eastAsia="Times New Roman" w:hint="default"/>
        </w:rPr>
        <w:t>1 </w:t>
      </w:r>
      <w:r>
        <w:rPr>
          <w:spacing w:val="-5"/>
        </w:rPr>
        <w:t>号</w:t>
      </w:r>
      <w:r>
        <w:rPr>
          <w:rFonts w:ascii="Times New Roman" w:hAnsi="Times New Roman" w:cs="Times New Roman" w:eastAsia="Times New Roman" w:hint="default"/>
          <w:spacing w:val="-5"/>
        </w:rPr>
        <w:t>——</w:t>
      </w:r>
      <w:r>
        <w:rPr>
          <w:spacing w:val="-5"/>
        </w:rPr>
        <w:t>非经常性损益》中列举的非经常性损益项目界定为经常性损益的项目，应</w:t>
      </w:r>
      <w:r>
        <w:rPr>
          <w:spacing w:val="-35"/>
        </w:rPr>
        <w:t> </w:t>
      </w:r>
      <w:r>
        <w:rPr>
          <w:spacing w:val="-35"/>
        </w:rPr>
      </w:r>
      <w:r>
        <w:rPr/>
        <w:t>说明原因。</w:t>
      </w:r>
    </w:p>
    <w:p>
      <w:pPr>
        <w:pStyle w:val="BodyText"/>
        <w:spacing w:line="240" w:lineRule="auto" w:before="6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4"/>
        <w:spacing w:line="240" w:lineRule="auto"/>
        <w:ind w:right="0"/>
        <w:jc w:val="left"/>
        <w:rPr>
          <w:b w:val="0"/>
          <w:bCs w:val="0"/>
        </w:rPr>
      </w:pPr>
      <w:bookmarkStart w:name="2、净资产收益率及每股收益" w:id="460"/>
      <w:bookmarkEnd w:id="460"/>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5"/>
        <w:gridCol w:w="3078"/>
        <w:gridCol w:w="3827"/>
      </w:tblGrid>
      <w:tr>
        <w:trPr>
          <w:trHeight w:val="401"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78"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b/>
          <w:bCs/>
          <w:sz w:val="28"/>
          <w:szCs w:val="28"/>
        </w:rPr>
      </w:pPr>
    </w:p>
    <w:tbl>
      <w:tblPr>
        <w:tblW w:w="0" w:type="auto"/>
        <w:jc w:val="left"/>
        <w:tblInd w:w="160" w:type="dxa"/>
        <w:tblLayout w:type="fixed"/>
        <w:tblCellMar>
          <w:top w:w="0" w:type="dxa"/>
          <w:left w:w="0" w:type="dxa"/>
          <w:bottom w:w="0" w:type="dxa"/>
          <w:right w:w="0" w:type="dxa"/>
        </w:tblCellMar>
        <w:tblLook w:val="01E0"/>
      </w:tblPr>
      <w:tblGrid>
        <w:gridCol w:w="2641"/>
        <w:gridCol w:w="3090"/>
        <w:gridCol w:w="1916"/>
        <w:gridCol w:w="1911"/>
      </w:tblGrid>
      <w:tr>
        <w:trPr>
          <w:trHeight w:val="403" w:hRule="exact"/>
        </w:trPr>
        <w:tc>
          <w:tcPr>
            <w:tcW w:w="26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6"/>
              <w:jc w:val="right"/>
              <w:rPr>
                <w:rFonts w:ascii="宋体" w:hAnsi="宋体" w:cs="宋体" w:eastAsia="宋体" w:hint="default"/>
                <w:sz w:val="18"/>
                <w:szCs w:val="18"/>
              </w:rPr>
            </w:pPr>
            <w:r>
              <w:rPr>
                <w:rFonts w:ascii="宋体" w:hAnsi="宋体" w:cs="宋体" w:eastAsia="宋体" w:hint="default"/>
                <w:spacing w:val="-3"/>
                <w:sz w:val="18"/>
                <w:szCs w:val="18"/>
              </w:rPr>
              <w:t>基本每股收益（元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3"/>
              <w:jc w:val="right"/>
              <w:rPr>
                <w:rFonts w:ascii="宋体" w:hAnsi="宋体" w:cs="宋体" w:eastAsia="宋体" w:hint="default"/>
                <w:sz w:val="18"/>
                <w:szCs w:val="18"/>
              </w:rPr>
            </w:pPr>
            <w:r>
              <w:rPr>
                <w:rFonts w:ascii="宋体" w:hAnsi="宋体" w:cs="宋体" w:eastAsia="宋体" w:hint="default"/>
                <w:spacing w:val="-3"/>
                <w:sz w:val="18"/>
                <w:szCs w:val="18"/>
              </w:rPr>
              <w:t>稀释每股收益（元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r>
      <w:tr>
        <w:trPr>
          <w:trHeight w:val="398" w:hRule="exact"/>
        </w:trPr>
        <w:tc>
          <w:tcPr>
            <w:tcW w:w="2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归属于公司普通股股东的净利润</w:t>
            </w:r>
          </w:p>
        </w:tc>
        <w:tc>
          <w:tcPr>
            <w:tcW w:w="30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7.07%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0.36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0.36</w:t>
            </w:r>
          </w:p>
        </w:tc>
      </w:tr>
      <w:tr>
        <w:trPr>
          <w:trHeight w:val="716" w:hRule="exact"/>
        </w:trPr>
        <w:tc>
          <w:tcPr>
            <w:tcW w:w="2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1" w:right="92"/>
              <w:jc w:val="left"/>
              <w:rPr>
                <w:rFonts w:ascii="宋体" w:hAnsi="宋体" w:cs="宋体" w:eastAsia="宋体" w:hint="default"/>
                <w:sz w:val="18"/>
                <w:szCs w:val="18"/>
              </w:rPr>
            </w:pPr>
            <w:r>
              <w:rPr>
                <w:rFonts w:ascii="宋体" w:hAnsi="宋体" w:cs="宋体" w:eastAsia="宋体" w:hint="default"/>
                <w:spacing w:val="-3"/>
                <w:sz w:val="18"/>
                <w:szCs w:val="18"/>
              </w:rPr>
              <w:t>扣除非经常性损益后归属于公司</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普通股股东的净利润</w:t>
            </w:r>
          </w:p>
        </w:tc>
        <w:tc>
          <w:tcPr>
            <w:tcW w:w="30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0.28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0.28</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bookmarkStart w:name="3、境内外会计准则下会计数据差异" w:id="461"/>
      <w:bookmarkEnd w:id="461"/>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同时按照国际会计准则与按中国会计准则披露的财务报告中净利润和净资产差异情况" w:id="462"/>
      <w:bookmarkEnd w:id="462"/>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4"/>
        <w:spacing w:line="240" w:lineRule="auto"/>
        <w:ind w:right="0"/>
        <w:jc w:val="left"/>
        <w:rPr>
          <w:b w:val="0"/>
          <w:bCs w:val="0"/>
        </w:rPr>
      </w:pPr>
      <w:bookmarkStart w:name="（2）同时按照境外会计准则与按中国会计准则披露的财务报告中净利润和净资产差异情况" w:id="463"/>
      <w:bookmarkEnd w:id="463"/>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4"/>
        <w:spacing w:line="254" w:lineRule="auto"/>
        <w:ind w:right="0"/>
        <w:jc w:val="left"/>
        <w:rPr>
          <w:b w:val="0"/>
          <w:bCs w:val="0"/>
        </w:rPr>
      </w:pPr>
      <w:bookmarkStart w:name="（3）境内外会计准则下会计数据差异原因说明，对已经境外审计机构审计的数据进行差异" w:id="464"/>
      <w:bookmarkEnd w:id="464"/>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6"/>
        </w:rPr>
        <w:t> </w:t>
      </w:r>
      <w:r>
        <w:rPr>
          <w:spacing w:val="-66"/>
        </w:rPr>
      </w:r>
      <w:r>
        <w:rPr/>
        <w:t>明该境外机构的名称</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bookmarkStart w:name="4、其他" w:id="465"/>
      <w:bookmarkEnd w:id="465"/>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footerReference w:type="default" r:id="rId16"/>
          <w:pgSz w:w="11910" w:h="16840"/>
          <w:pgMar w:footer="979" w:header="741" w:top="1060" w:bottom="1160" w:left="980" w:right="0"/>
        </w:sect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0"/>
          <w:szCs w:val="20"/>
        </w:rPr>
      </w:pPr>
    </w:p>
    <w:p>
      <w:pPr>
        <w:pStyle w:val="Heading1"/>
        <w:spacing w:line="240" w:lineRule="auto"/>
        <w:ind w:left="3365" w:right="0"/>
        <w:jc w:val="left"/>
        <w:rPr>
          <w:b w:val="0"/>
          <w:bCs w:val="0"/>
        </w:rPr>
      </w:pPr>
      <w:bookmarkStart w:name="第十三节备查文件目录" w:id="466"/>
      <w:bookmarkEnd w:id="466"/>
      <w:r>
        <w:rPr>
          <w:b w:val="0"/>
          <w:bCs w:val="0"/>
        </w:rPr>
      </w:r>
      <w:r>
        <w:rPr/>
        <w:t>第十三节备查文件目录</w:t>
      </w:r>
      <w:r>
        <w:rPr>
          <w:b w:val="0"/>
          <w:bCs w:val="0"/>
        </w:rPr>
      </w:r>
    </w:p>
    <w:p>
      <w:pPr>
        <w:spacing w:line="240" w:lineRule="auto" w:before="12"/>
        <w:rPr>
          <w:rFonts w:ascii="宋体" w:hAnsi="宋体" w:cs="宋体" w:eastAsia="宋体" w:hint="default"/>
          <w:b/>
          <w:bCs/>
          <w:sz w:val="42"/>
          <w:szCs w:val="42"/>
        </w:rPr>
      </w:pPr>
    </w:p>
    <w:p>
      <w:pPr>
        <w:pStyle w:val="BodyText"/>
        <w:spacing w:line="352" w:lineRule="auto"/>
        <w:ind w:right="2295"/>
        <w:jc w:val="left"/>
      </w:pPr>
      <w:r>
        <w:rPr>
          <w:spacing w:val="-3"/>
        </w:rPr>
        <w:t>一、载有公司法定代表人签名、公司盖章的</w:t>
      </w:r>
      <w:r>
        <w:rPr>
          <w:rFonts w:ascii="Times New Roman" w:hAnsi="Times New Roman" w:cs="Times New Roman" w:eastAsia="Times New Roman" w:hint="default"/>
          <w:spacing w:val="-3"/>
        </w:rPr>
        <w:t>2019</w:t>
      </w:r>
      <w:r>
        <w:rPr>
          <w:spacing w:val="-3"/>
        </w:rPr>
        <w:t>年年度报告全文及摘要文本；</w:t>
      </w:r>
      <w:r>
        <w:rPr>
          <w:spacing w:val="14"/>
        </w:rPr>
        <w:t> </w:t>
      </w:r>
      <w:r>
        <w:rPr>
          <w:spacing w:val="14"/>
        </w:rPr>
      </w:r>
      <w:r>
        <w:rPr>
          <w:spacing w:val="-3"/>
        </w:rPr>
        <w:t>二、载有法定代表人、主管会计工作负责人、会计机构负责人签名、盖章的财务报表；</w:t>
      </w:r>
      <w:r>
        <w:rPr>
          <w:spacing w:val="20"/>
        </w:rPr>
        <w:t> </w:t>
      </w:r>
      <w:r>
        <w:rPr>
          <w:spacing w:val="20"/>
        </w:rPr>
      </w:r>
      <w:r>
        <w:rPr>
          <w:spacing w:val="-3"/>
        </w:rPr>
        <w:t>三、载有天健会计师事务所（特殊普通合伙）注册会计师签名、会计师事务所盖章的审计报告原件；</w:t>
      </w:r>
      <w:r>
        <w:rPr>
          <w:spacing w:val="37"/>
        </w:rPr>
        <w:t> </w:t>
      </w:r>
      <w:r>
        <w:rPr>
          <w:spacing w:val="37"/>
        </w:rPr>
      </w:r>
      <w:r>
        <w:rPr>
          <w:spacing w:val="-3"/>
        </w:rPr>
        <w:t>四、报告期内在中国证监会指定报纸上公开披露过的所有公司文件的正本及公告的原稿；</w:t>
      </w:r>
      <w:r>
        <w:rPr>
          <w:spacing w:val="25"/>
        </w:rPr>
        <w:t> </w:t>
      </w:r>
      <w:r>
        <w:rPr>
          <w:spacing w:val="25"/>
        </w:rPr>
      </w:r>
      <w:r>
        <w:rPr>
          <w:spacing w:val="-3"/>
        </w:rPr>
        <w:t>五、其他有关资料；</w:t>
      </w:r>
    </w:p>
    <w:p>
      <w:pPr>
        <w:pStyle w:val="BodyText"/>
        <w:spacing w:line="240" w:lineRule="auto" w:before="30"/>
        <w:ind w:right="0"/>
        <w:jc w:val="left"/>
      </w:pPr>
      <w:r>
        <w:rPr>
          <w:spacing w:val="-3"/>
        </w:rPr>
        <w:t>六、以上备查文件的备置地点：浙江和仁科技股份有限公司董事会办公室</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388" w:lineRule="auto" w:before="139"/>
        <w:ind w:left="6914" w:right="1110" w:firstLine="268"/>
        <w:jc w:val="left"/>
      </w:pPr>
      <w:r>
        <w:rPr/>
        <w:t>法定代表人：杨一兵 浙江和仁科技股份有限公司</w:t>
      </w:r>
    </w:p>
    <w:p>
      <w:pPr>
        <w:pStyle w:val="Heading3"/>
        <w:spacing w:line="240" w:lineRule="auto" w:before="46"/>
        <w:ind w:left="0" w:right="1127"/>
        <w:jc w:val="right"/>
      </w:pP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24</w:t>
      </w:r>
      <w:r>
        <w:rPr/>
        <w:t>日</w:t>
      </w:r>
    </w:p>
    <w:sectPr>
      <w:footerReference w:type="default" r:id="rId17"/>
      <w:pgSz w:w="11910" w:h="16840"/>
      <w:pgMar w:footer="979" w:header="741"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等线">
    <w:altName w:val="等线"/>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11000" type="#_x0000_t75" stroked="false">
          <v:imagedata r:id="rId1" o:title=""/>
        </v:shape>
      </w:pict>
    </w:r>
    <w:r>
      <w:rPr/>
      <w:pict>
        <v:shape style="position:absolute;margin-left:533.190002pt;margin-top:795.661377pt;width:6.6pt;height:11.15pt;mso-position-horizontal-relative:page;mso-position-vertical-relative:page;z-index:-1110976" type="#_x0000_t202" filled="false" stroked="false">
          <v:textbox inset="0,0,0,0">
            <w:txbxContent>
              <w:p>
                <w:pPr>
                  <w:pStyle w:val="BodyText"/>
                  <w:spacing w:line="206" w:lineRule="exact"/>
                  <w:ind w:left="20" w:right="0"/>
                  <w:jc w:val="left"/>
                  <w:rPr>
                    <w:rFonts w:ascii="Times New Roman" w:hAnsi="Times New Roman" w:cs="Times New Roman" w:eastAsia="Times New Roman" w:hint="default"/>
                  </w:rPr>
                </w:pPr>
                <w:r>
                  <w:rPr>
                    <w:rFonts w:ascii="Times New Roman"/>
                    <w:w w:val="101"/>
                  </w:rPr>
                  <w:t>1</w:t>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10952" type="#_x0000_t75" stroked="false">
          <v:imagedata r:id="rId1" o:title=""/>
        </v:shape>
      </w:pict>
    </w:r>
    <w:r>
      <w:rPr/>
      <w:pict>
        <v:shape style="position:absolute;margin-left:527.869995pt;margin-top:781.957336pt;width:13.15pt;height:11.15pt;mso-position-horizontal-relative:page;mso-position-vertical-relative:page;z-index:-1110928"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10904" type="#_x0000_t75" stroked="false">
          <v:imagedata r:id="rId1" o:title=""/>
        </v:shape>
      </w:pict>
    </w:r>
    <w:r>
      <w:rPr/>
      <w:pict>
        <v:shape style="position:absolute;margin-left:527.869995pt;margin-top:781.957336pt;width:13.15pt;height:11.15pt;mso-position-horizontal-relative:page;mso-position-vertical-relative:page;z-index:-1110880"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77</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10856" type="#_x0000_t75" stroked="false">
          <v:imagedata r:id="rId1" o:title=""/>
        </v:shape>
      </w:pict>
    </w:r>
    <w:r>
      <w:rPr/>
      <w:pict>
        <v:shape style="position:absolute;margin-left:524.309998pt;margin-top:781.957336pt;width:15.7pt;height:11.15pt;mso-position-horizontal-relative:page;mso-position-vertical-relative:page;z-index:-1110832" type="#_x0000_t202" filled="false" stroked="false">
          <v:textbox inset="0,0,0,0">
            <w:txbxContent>
              <w:p>
                <w:pPr>
                  <w:pStyle w:val="BodyText"/>
                  <w:spacing w:line="206"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10808" type="#_x0000_t75" stroked="false">
          <v:imagedata r:id="rId1" o:title=""/>
        </v:shape>
      </w:pict>
    </w:r>
    <w:r>
      <w:rPr/>
      <w:pict>
        <v:shape style="position:absolute;margin-left:523.309998pt;margin-top:781.957336pt;width:17.7pt;height:11.15pt;mso-position-horizontal-relative:page;mso-position-vertical-relative:page;z-index:-1110784"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10760" type="#_x0000_t75" stroked="false">
          <v:imagedata r:id="rId1" o:title=""/>
        </v:shape>
      </w:pict>
    </w:r>
    <w:r>
      <w:rPr/>
      <w:pict>
        <v:shape style="position:absolute;margin-left:524.309998pt;margin-top:781.957336pt;width:15.7pt;height:11.15pt;mso-position-horizontal-relative:page;mso-position-vertical-relative:page;z-index:-1110736" type="#_x0000_t202" filled="false" stroked="false">
          <v:textbox inset="0,0,0,0">
            <w:txbxContent>
              <w:p>
                <w:pPr>
                  <w:pStyle w:val="BodyText"/>
                  <w:spacing w:line="206"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10712" type="#_x0000_t75" stroked="false">
          <v:imagedata r:id="rId1" o:title=""/>
        </v:shape>
      </w:pict>
    </w:r>
    <w:r>
      <w:rPr/>
      <w:pict>
        <v:shape style="position:absolute;margin-left:524.309998pt;margin-top:781.957336pt;width:15.7pt;height:11.15pt;mso-position-horizontal-relative:page;mso-position-vertical-relative:page;z-index:-1110688" type="#_x0000_t202" filled="false" stroked="false">
          <v:textbox inset="0,0,0,0">
            <w:txbxContent>
              <w:p>
                <w:pPr>
                  <w:pStyle w:val="BodyText"/>
                  <w:spacing w:line="206" w:lineRule="exact"/>
                  <w:ind w:left="20" w:right="0"/>
                  <w:jc w:val="left"/>
                  <w:rPr>
                    <w:rFonts w:ascii="Times New Roman" w:hAnsi="Times New Roman" w:cs="Times New Roman" w:eastAsia="Times New Roman" w:hint="default"/>
                  </w:rPr>
                </w:pPr>
                <w:r>
                  <w:rPr>
                    <w:rFonts w:ascii="Times New Roman"/>
                  </w:rPr>
                  <w:t>201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3999pt;margin-top:36.062485pt;width:195.8pt;height:11.65pt;mso-position-horizontal-relative:page;mso-position-vertical-relative:page;z-index:-1111024" type="#_x0000_t202" filled="false" stroked="false">
          <v:textbox inset="0,0,0,0">
            <w:txbxContent>
              <w:p>
                <w:pPr>
                  <w:pStyle w:val="BodyText"/>
                  <w:spacing w:line="216" w:lineRule="exact"/>
                  <w:ind w:left="20" w:right="0"/>
                  <w:jc w:val="left"/>
                </w:pPr>
                <w:r>
                  <w:rPr>
                    <w:spacing w:val="-3"/>
                  </w:rPr>
                  <w:t>浙江和仁科技股份有限公司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16"/>
                  </w:rPr>
                  <w:t> </w:t>
                </w:r>
                <w:r>
                  <w:rPr>
                    <w:spacing w:val="-3"/>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62"/>
      <w:ind w:left="153"/>
    </w:pPr>
    <w:rPr>
      <w:rFonts w:ascii="宋体" w:hAnsi="宋体" w:eastAsia="宋体"/>
      <w:b/>
      <w:bCs/>
      <w:sz w:val="24"/>
      <w:szCs w:val="24"/>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spacing w:before="2"/>
      <w:ind w:left="2783"/>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sz w:val="24"/>
      <w:szCs w:val="24"/>
    </w:rPr>
  </w:style>
  <w:style w:styleId="Heading4" w:type="paragraph">
    <w:name w:val="Heading 4"/>
    <w:basedOn w:val="Normal"/>
    <w:uiPriority w:val="1"/>
    <w:qFormat/>
    <w:pPr>
      <w:ind w:left="153"/>
      <w:outlineLvl w:val="4"/>
    </w:pPr>
    <w:rPr>
      <w:rFonts w:ascii="宋体" w:hAnsi="宋体" w:eastAsia="宋体"/>
      <w:b/>
      <w:bCs/>
      <w:sz w:val="21"/>
      <w:szCs w:val="21"/>
    </w:rPr>
  </w:style>
  <w:style w:styleId="Heading5" w:type="paragraph">
    <w:name w:val="Heading 5"/>
    <w:basedOn w:val="Normal"/>
    <w:uiPriority w:val="1"/>
    <w:qFormat/>
    <w:pPr>
      <w:ind w:left="153"/>
      <w:outlineLvl w:val="5"/>
    </w:pPr>
    <w:rPr>
      <w:rFonts w:ascii="宋体" w:hAnsi="宋体" w:eastAsia="宋体"/>
      <w:sz w:val="21"/>
      <w:szCs w:val="21"/>
    </w:rPr>
  </w:style>
  <w:style w:styleId="Heading6" w:type="paragraph">
    <w:name w:val="Heading 6"/>
    <w:basedOn w:val="Normal"/>
    <w:uiPriority w:val="1"/>
    <w:qFormat/>
    <w:pPr>
      <w:spacing w:before="5"/>
      <w:ind w:left="518"/>
      <w:outlineLvl w:val="6"/>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herenit.com/" TargetMode="External"/><Relationship Id="rId10" Type="http://schemas.openxmlformats.org/officeDocument/2006/relationships/hyperlink" Target="mailto:contact@herenit.com" TargetMode="External"/><Relationship Id="rId11" Type="http://schemas.openxmlformats.org/officeDocument/2006/relationships/hyperlink" Target="http://www.cninfo.com.cn/" TargetMode="External"/><Relationship Id="rId12" Type="http://schemas.openxmlformats.org/officeDocument/2006/relationships/footer" Target="footer3.xml"/><Relationship Id="rId13" Type="http://schemas.openxmlformats.org/officeDocument/2006/relationships/image" Target="media/image3.jpeg"/><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oter" Target="footer7.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浙江和仁科技股份有限公司</dc:creator>
  <dc:title>浙江和仁科技股份有限公司2019年年度报告全文</dc:title>
  <dcterms:created xsi:type="dcterms:W3CDTF">2020-05-19T07:25:27Z</dcterms:created>
  <dcterms:modified xsi:type="dcterms:W3CDTF">2020-05-19T07:25:27Z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2020-04-24T00:00:00Z</vt:filetime>
  </property>
  <property fmtid="{D5CDD505-2E9C-101B-9397-08002B2CF9AE}" pid="3" name="Creator">
    <vt:lpwstr>Microsoft® Office Word 2007</vt:lpwstr>
  </property>
  <property fmtid="{D5CDD505-2E9C-101B-9397-08002B2CF9AE}" pid="4" name="LastSaved">
    <vt:filetime>2020-05-18T00:00:00Z</vt:filetime>
  </property>
</Properties>
</file>