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680" w:after="480" w:line="240" w:lineRule="auto"/>
        <w:ind w:left="0" w:right="0" w:firstLine="0"/>
        <w:jc w:val="center"/>
        <w:rPr>
          <w:sz w:val="36"/>
          <w:szCs w:val="36"/>
        </w:rPr>
      </w:pPr>
      <w:r>
        <w:rPr>
          <w:b/>
          <w:bCs/>
          <w:color w:val="000000"/>
          <w:spacing w:val="0"/>
          <w:w w:val="100"/>
          <w:position w:val="0"/>
          <w:sz w:val="36"/>
          <w:szCs w:val="36"/>
        </w:rPr>
        <w:t>浙江和仁科技股份有限公司</w:t>
      </w:r>
    </w:p>
    <w:p>
      <w:pPr>
        <w:pStyle w:val="Style2"/>
        <w:keepNext w:val="0"/>
        <w:keepLines w:val="0"/>
        <w:widowControl w:val="0"/>
        <w:shd w:val="clear" w:color="auto" w:fill="auto"/>
        <w:bidi w:val="0"/>
        <w:spacing w:before="0" w:after="3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3820" w:right="0" w:firstLine="0"/>
        <w:jc w:val="left"/>
        <w:rPr>
          <w:sz w:val="160"/>
          <w:szCs w:val="160"/>
        </w:rPr>
      </w:pPr>
      <w:r>
        <w:rPr>
          <w:rFonts w:ascii="Arial" w:eastAsia="Arial" w:hAnsi="Arial" w:cs="Arial"/>
          <w:color w:val="1AA3A3"/>
          <w:spacing w:val="0"/>
          <w:w w:val="100"/>
          <w:position w:val="0"/>
          <w:sz w:val="160"/>
          <w:szCs w:val="160"/>
        </w:rPr>
        <w:t>H+-</w:t>
      </w:r>
    </w:p>
    <w:p>
      <w:pPr>
        <w:pStyle w:val="Style2"/>
        <w:keepNext w:val="0"/>
        <w:keepLines w:val="0"/>
        <w:widowControl w:val="0"/>
        <w:shd w:val="clear" w:color="auto" w:fill="auto"/>
        <w:bidi w:val="0"/>
        <w:spacing w:before="0" w:after="900" w:line="206" w:lineRule="auto"/>
        <w:ind w:left="0" w:right="0" w:firstLine="0"/>
        <w:jc w:val="center"/>
        <w:rPr>
          <w:sz w:val="32"/>
          <w:szCs w:val="32"/>
        </w:rPr>
      </w:pPr>
      <w:r>
        <w:rPr>
          <w:rFonts w:ascii="Arial" w:eastAsia="Arial" w:hAnsi="Arial" w:cs="Arial"/>
          <w:b/>
          <w:bCs/>
          <w:color w:val="3A3937"/>
          <w:spacing w:val="0"/>
          <w:w w:val="100"/>
          <w:position w:val="0"/>
          <w:sz w:val="32"/>
          <w:szCs w:val="32"/>
        </w:rPr>
        <w:t>Heren Health</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2022-012</w:t>
      </w:r>
    </w:p>
    <w:p>
      <w:pPr>
        <w:pStyle w:val="Style2"/>
        <w:keepNext w:val="0"/>
        <w:keepLines w:val="0"/>
        <w:widowControl w:val="0"/>
        <w:shd w:val="clear" w:color="auto" w:fill="auto"/>
        <w:bidi w:val="0"/>
        <w:spacing w:before="0" w:after="68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9"/>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after="8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1"/>
        <w:keepNext w:val="0"/>
        <w:keepLines w:val="0"/>
        <w:widowControl w:val="0"/>
        <w:shd w:val="clear" w:color="auto" w:fill="auto"/>
        <w:bidi w:val="0"/>
        <w:spacing w:before="0" w:after="80" w:line="629" w:lineRule="exact"/>
        <w:ind w:left="0" w:right="0"/>
        <w:jc w:val="both"/>
      </w:pPr>
      <w:r>
        <w:rPr>
          <w:color w:val="000000"/>
          <w:spacing w:val="0"/>
          <w:w w:val="100"/>
          <w:position w:val="0"/>
        </w:rPr>
        <w:t>公司负责人杨一兵、主管会计工作负责人张雪峰及会计机构负责人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刘双双声明：保证本年度报告中财务报告的真实、准确、完整。</w:t>
      </w:r>
    </w:p>
    <w:p>
      <w:pPr>
        <w:pStyle w:val="Style11"/>
        <w:keepNext w:val="0"/>
        <w:keepLines w:val="0"/>
        <w:widowControl w:val="0"/>
        <w:shd w:val="clear" w:color="auto" w:fill="auto"/>
        <w:bidi w:val="0"/>
        <w:spacing w:before="0" w:after="80" w:line="623" w:lineRule="exact"/>
        <w:ind w:left="0" w:right="0"/>
        <w:jc w:val="both"/>
      </w:pPr>
      <w:r>
        <w:rPr>
          <w:color w:val="000000"/>
          <w:spacing w:val="0"/>
          <w:w w:val="100"/>
          <w:position w:val="0"/>
        </w:rPr>
        <w:t>所有董事均已出席了审议本报告的董事会会议。</w:t>
      </w:r>
    </w:p>
    <w:p>
      <w:pPr>
        <w:pStyle w:val="Style11"/>
        <w:keepNext w:val="0"/>
        <w:keepLines w:val="0"/>
        <w:widowControl w:val="0"/>
        <w:shd w:val="clear" w:color="auto" w:fill="auto"/>
        <w:bidi w:val="0"/>
        <w:spacing w:before="0" w:after="120" w:line="619" w:lineRule="exact"/>
        <w:ind w:left="0" w:right="0"/>
        <w:jc w:val="both"/>
      </w:pPr>
      <w:r>
        <w:rPr>
          <w:color w:val="000000"/>
          <w:spacing w:val="0"/>
          <w:w w:val="100"/>
          <w:position w:val="0"/>
        </w:rPr>
        <w:t>年度报告中所涉及的未来经营计划和目标等前瞻性描述，并不代表公司的 盈利预测，也不构成公司对投资者的实质承诺，能否实现取决于市场变化等多 种影响因素，公司在发展过程中面临着宏观经济周期波动的风险、医疗信息行 业调控政策变化的风险、应收账款回收风险等，请投资者注意投资风险。</w:t>
      </w:r>
    </w:p>
    <w:p>
      <w:pPr>
        <w:pStyle w:val="Style11"/>
        <w:keepNext w:val="0"/>
        <w:keepLines w:val="0"/>
        <w:widowControl w:val="0"/>
        <w:shd w:val="clear" w:color="auto" w:fill="auto"/>
        <w:bidi w:val="0"/>
        <w:spacing w:before="0" w:after="80" w:line="623" w:lineRule="exact"/>
        <w:ind w:left="0" w:right="0"/>
        <w:jc w:val="both"/>
      </w:pPr>
      <w:bookmarkStart w:id="4" w:name="bookmark4"/>
      <w:r>
        <w:rPr>
          <w:rFonts w:ascii="Times New Roman" w:eastAsia="Times New Roman" w:hAnsi="Times New Roman" w:cs="Times New Roman"/>
          <w:color w:val="000000"/>
          <w:spacing w:val="0"/>
          <w:w w:val="100"/>
          <w:position w:val="0"/>
          <w:sz w:val="28"/>
          <w:szCs w:val="28"/>
        </w:rPr>
        <w:t>1</w:t>
      </w:r>
      <w:bookmarkEnd w:id="4"/>
      <w:r>
        <w:rPr>
          <w:color w:val="000000"/>
          <w:spacing w:val="0"/>
          <w:w w:val="100"/>
          <w:position w:val="0"/>
        </w:rPr>
        <w:t>、大型系统解决方案实施风险及应对措施</w:t>
      </w:r>
    </w:p>
    <w:p>
      <w:pPr>
        <w:pStyle w:val="Style11"/>
        <w:keepNext w:val="0"/>
        <w:keepLines w:val="0"/>
        <w:widowControl w:val="0"/>
        <w:shd w:val="clear" w:color="auto" w:fill="auto"/>
        <w:bidi w:val="0"/>
        <w:spacing w:before="0" w:after="80" w:line="623" w:lineRule="exact"/>
        <w:ind w:left="0" w:right="0"/>
        <w:jc w:val="both"/>
      </w:pPr>
      <w:r>
        <w:rPr>
          <w:color w:val="000000"/>
          <w:spacing w:val="0"/>
          <w:w w:val="100"/>
          <w:position w:val="0"/>
        </w:rPr>
        <w:t>公司定位于基于核心软件系统的数字化医院解决方案提供商。随着公司业 务的不断发展，公司逐步形成了涵盖信息系统蓝图规划、基础信息设施建设、 个性化软件开发、软硬件系统集成在内的较为完备的数字化医院整体解决方案。 然而，完备的整体解决方案同时意味着更为复杂的系统架构、更多环节的流程 优化、更大规模的信息交互、更长的实施周期以及更大的项目实施不确定性。 在相对较长的实施周期中，公司始终面临重大项目因规划设计缺陷、关键技术 开发失败、客户需求变更等原因而无法如期完成的风险。公司目前业务规模较 小，如果某个或多个重大项目出现实施风险，将会对公司当期经营业绩产生重</w:t>
      </w:r>
    </w:p>
    <w:p>
      <w:pPr>
        <w:pStyle w:val="Style11"/>
        <w:keepNext w:val="0"/>
        <w:keepLines w:val="0"/>
        <w:widowControl w:val="0"/>
        <w:shd w:val="clear" w:color="auto" w:fill="auto"/>
        <w:bidi w:val="0"/>
        <w:spacing w:before="0" w:line="619" w:lineRule="exact"/>
        <w:ind w:left="0" w:right="0" w:firstLine="0"/>
        <w:jc w:val="both"/>
      </w:pPr>
      <w:r>
        <w:rPr>
          <w:color w:val="000000"/>
          <w:spacing w:val="0"/>
          <w:w w:val="100"/>
          <w:position w:val="0"/>
        </w:rPr>
        <w:t>大不利影响。公司将不断增强研发和技术优势，坚持以产品适应项目需求为导 向的研究策略，提升应对项目实施风险的灵活度。</w:t>
      </w:r>
    </w:p>
    <w:p>
      <w:pPr>
        <w:pStyle w:val="Style11"/>
        <w:keepNext w:val="0"/>
        <w:keepLines w:val="0"/>
        <w:widowControl w:val="0"/>
        <w:shd w:val="clear" w:color="auto" w:fill="auto"/>
        <w:tabs>
          <w:tab w:pos="993" w:val="left"/>
        </w:tabs>
        <w:bidi w:val="0"/>
        <w:spacing w:before="0" w:after="0" w:line="463" w:lineRule="auto"/>
        <w:ind w:left="0" w:right="0"/>
        <w:jc w:val="left"/>
      </w:pPr>
      <w:bookmarkStart w:id="5" w:name="bookmark5"/>
      <w:r>
        <w:rPr>
          <w:rFonts w:ascii="Times New Roman" w:eastAsia="Times New Roman" w:hAnsi="Times New Roman" w:cs="Times New Roman"/>
          <w:color w:val="000000"/>
          <w:spacing w:val="0"/>
          <w:w w:val="100"/>
          <w:position w:val="0"/>
          <w:sz w:val="28"/>
          <w:szCs w:val="28"/>
        </w:rPr>
        <w:t>2</w:t>
      </w:r>
      <w:bookmarkEnd w:id="5"/>
      <w:r>
        <w:rPr>
          <w:color w:val="000000"/>
          <w:spacing w:val="0"/>
          <w:w w:val="100"/>
          <w:position w:val="0"/>
        </w:rPr>
        <w:t>、</w:t>
        <w:tab/>
        <w:t>主要客户流失风险及应对措施</w:t>
      </w:r>
    </w:p>
    <w:p>
      <w:pPr>
        <w:pStyle w:val="Style11"/>
        <w:keepNext w:val="0"/>
        <w:keepLines w:val="0"/>
        <w:widowControl w:val="0"/>
        <w:shd w:val="clear" w:color="auto" w:fill="auto"/>
        <w:bidi w:val="0"/>
        <w:spacing w:before="0" w:line="625" w:lineRule="exact"/>
        <w:ind w:left="0" w:right="0"/>
        <w:jc w:val="both"/>
      </w:pPr>
      <w:r>
        <w:rPr>
          <w:color w:val="000000"/>
          <w:spacing w:val="0"/>
          <w:w w:val="100"/>
          <w:position w:val="0"/>
        </w:rPr>
        <w:t>公司致力于围绕临床诊疗信息应用，构建基于医疗机构信息应用需求的数 字化医院整体解决方案，并不断满足医疗机构的信息应用需求。因此，公司最 终客户以大中型医疗机构为主，集中度较高。公司的技术路线立足于大型医疗 机构的临床医疗信息应用需求，作为公司最终客户的医疗机构如果决定终止与 公司的合作关系不仅意味着公司失去了当前的业务机会，更会导致公司基于医 疗信息平台实现业务延伸的经营策略失去基础，对公司的可持续发展产生重大 不利影响。公司将提高服务意识和服务质量，坚持以市场为导向，以适应客户 需求为目标，从维护现有客户和开拓新客户资源两个维度保证客户群体稳定。</w:t>
      </w:r>
    </w:p>
    <w:p>
      <w:pPr>
        <w:pStyle w:val="Style11"/>
        <w:keepNext w:val="0"/>
        <w:keepLines w:val="0"/>
        <w:widowControl w:val="0"/>
        <w:shd w:val="clear" w:color="auto" w:fill="auto"/>
        <w:tabs>
          <w:tab w:pos="993" w:val="left"/>
        </w:tabs>
        <w:bidi w:val="0"/>
        <w:spacing w:before="0" w:after="0" w:line="463" w:lineRule="auto"/>
        <w:ind w:left="0" w:right="0"/>
        <w:jc w:val="both"/>
      </w:pPr>
      <w:bookmarkStart w:id="6" w:name="bookmark6"/>
      <w:r>
        <w:rPr>
          <w:rFonts w:ascii="Times New Roman" w:eastAsia="Times New Roman" w:hAnsi="Times New Roman" w:cs="Times New Roman"/>
          <w:color w:val="000000"/>
          <w:spacing w:val="0"/>
          <w:w w:val="100"/>
          <w:position w:val="0"/>
          <w:sz w:val="28"/>
          <w:szCs w:val="28"/>
        </w:rPr>
        <w:t>3</w:t>
      </w:r>
      <w:bookmarkEnd w:id="6"/>
      <w:r>
        <w:rPr>
          <w:color w:val="000000"/>
          <w:spacing w:val="0"/>
          <w:w w:val="100"/>
          <w:position w:val="0"/>
        </w:rPr>
        <w:t>、</w:t>
        <w:tab/>
        <w:t>业务内容不断丰富带来的管理控制与毛利率波动风险及应对措施</w:t>
      </w:r>
    </w:p>
    <w:p>
      <w:pPr>
        <w:pStyle w:val="Style11"/>
        <w:keepNext w:val="0"/>
        <w:keepLines w:val="0"/>
        <w:widowControl w:val="0"/>
        <w:shd w:val="clear" w:color="auto" w:fill="auto"/>
        <w:bidi w:val="0"/>
        <w:spacing w:before="0" w:line="620" w:lineRule="exact"/>
        <w:ind w:left="0" w:right="0"/>
        <w:jc w:val="both"/>
      </w:pPr>
      <w:r>
        <w:rPr>
          <w:color w:val="000000"/>
          <w:spacing w:val="0"/>
          <w:w w:val="100"/>
          <w:position w:val="0"/>
        </w:rPr>
        <w:t xml:space="preserve">随着公司技术水平的不断提高，数字化医院整体解决方案趋于完善，公司 业务结构逐步由以电子病历为代表的临床医疗信息管理系统发展到包括临床医 疗管理信息系统和数字化场景应用方案的整体解决方案。业务的内涵和外延均 有大幅提升。业务内容的不断丰富对公司管理控制提出了更高要求，特别是数 字化医院整体解决方案业务需借助预算管理、成本管理、现场管理、进度管理 等多种控制手段，管理控制难度较高。而公司目前规模较小，上述各项管理制 度还在不断完善中，执行相对不足，临床医疗管理信息系统业务又相对依赖于 项目现场实施团队的自我管理，公司适合大型项目的系统管理控制规范、预算 及成本管理等仍在不断改进。如果无法在短期内建立起完善的项目管理控制制 </w:t>
      </w:r>
      <w:r>
        <w:rPr>
          <w:color w:val="000000"/>
          <w:spacing w:val="0"/>
          <w:w w:val="100"/>
          <w:position w:val="0"/>
        </w:rPr>
        <w:t>度，并有效执行，公司可能面临项目管理控制不力的风险，导致项目执行出现 困难，进而影响公司经营业绩。随着公司整体解决方案业务的不断增加，公司 综合毛利率可能出现下降，从而影响公司的盈利能力。公司将建立健全内部控 制和运营体系，积极探寻适合公司发展模式的治理结构，采取更加灵活地市场 竞争策略，提高市场竞争力。</w:t>
      </w:r>
    </w:p>
    <w:p>
      <w:pPr>
        <w:pStyle w:val="Style11"/>
        <w:keepNext w:val="0"/>
        <w:keepLines w:val="0"/>
        <w:widowControl w:val="0"/>
        <w:shd w:val="clear" w:color="auto" w:fill="auto"/>
        <w:tabs>
          <w:tab w:pos="998" w:val="left"/>
        </w:tabs>
        <w:bidi w:val="0"/>
        <w:spacing w:before="0" w:after="0" w:line="466" w:lineRule="auto"/>
        <w:ind w:left="0" w:right="0"/>
        <w:jc w:val="both"/>
      </w:pPr>
      <w:bookmarkStart w:id="7" w:name="bookmark7"/>
      <w:r>
        <w:rPr>
          <w:rFonts w:ascii="Times New Roman" w:eastAsia="Times New Roman" w:hAnsi="Times New Roman" w:cs="Times New Roman"/>
          <w:color w:val="000000"/>
          <w:spacing w:val="0"/>
          <w:w w:val="100"/>
          <w:position w:val="0"/>
          <w:sz w:val="28"/>
          <w:szCs w:val="28"/>
        </w:rPr>
        <w:t>4</w:t>
      </w:r>
      <w:bookmarkEnd w:id="7"/>
      <w:r>
        <w:rPr>
          <w:color w:val="000000"/>
          <w:spacing w:val="0"/>
          <w:w w:val="100"/>
          <w:position w:val="0"/>
        </w:rPr>
        <w:t>、</w:t>
        <w:tab/>
        <w:t>技术与人才流失风险及应对措施</w:t>
      </w:r>
    </w:p>
    <w:p>
      <w:pPr>
        <w:pStyle w:val="Style11"/>
        <w:keepNext w:val="0"/>
        <w:keepLines w:val="0"/>
        <w:widowControl w:val="0"/>
        <w:shd w:val="clear" w:color="auto" w:fill="auto"/>
        <w:bidi w:val="0"/>
        <w:spacing w:before="0" w:line="624" w:lineRule="exact"/>
        <w:ind w:left="0" w:right="0"/>
        <w:jc w:val="both"/>
      </w:pPr>
      <w:r>
        <w:rPr>
          <w:color w:val="000000"/>
          <w:spacing w:val="0"/>
          <w:w w:val="100"/>
          <w:position w:val="0"/>
        </w:rPr>
        <w:t>软件行业为技术密集型产业，技术领先为核心竞争力之一，稳定、高素质 的人才团队对公司的发展壮大至关重要。然而，相对于有形的硬件，软件技术 保密难度较大，同时，由于我国知识产权保护体系尚不完善，使得软件行业技 术流失风险较大。当前，软件行业因技术团队离职而造成的技术流失情况较多。 如果公司未来不能在发展前景、薪酬、福利、工作环境等方面持续提供具有竞 争力的待遇并建立良好的激励机制，可能会造成骨干技术团队流失，不仅影响 公司的后续技术开发能力，也会造成公司核心技术泄露的风险，从而对公司的 持续发展造成负面影响。公司将通过对核心团队人员的持续培训来提升现有人 员的管理水平，并且根据经营发展需要引进多方面人才。同时完善公司薪酬和 考核激励体系，维持核心技术团队的稳定并提升公司对优秀人才的吸引力。</w:t>
      </w:r>
    </w:p>
    <w:p>
      <w:pPr>
        <w:pStyle w:val="Style11"/>
        <w:keepNext w:val="0"/>
        <w:keepLines w:val="0"/>
        <w:widowControl w:val="0"/>
        <w:shd w:val="clear" w:color="auto" w:fill="auto"/>
        <w:tabs>
          <w:tab w:pos="998" w:val="left"/>
        </w:tabs>
        <w:bidi w:val="0"/>
        <w:spacing w:before="0" w:after="0" w:line="466" w:lineRule="auto"/>
        <w:ind w:left="0" w:right="0"/>
        <w:jc w:val="both"/>
      </w:pPr>
      <w:bookmarkStart w:id="8" w:name="bookmark8"/>
      <w:r>
        <w:rPr>
          <w:rFonts w:ascii="Times New Roman" w:eastAsia="Times New Roman" w:hAnsi="Times New Roman" w:cs="Times New Roman"/>
          <w:color w:val="000000"/>
          <w:spacing w:val="0"/>
          <w:w w:val="100"/>
          <w:position w:val="0"/>
          <w:sz w:val="28"/>
          <w:szCs w:val="28"/>
        </w:rPr>
        <w:t>5</w:t>
      </w:r>
      <w:bookmarkEnd w:id="8"/>
      <w:r>
        <w:rPr>
          <w:color w:val="000000"/>
          <w:spacing w:val="0"/>
          <w:w w:val="100"/>
          <w:position w:val="0"/>
        </w:rPr>
        <w:t>、</w:t>
        <w:tab/>
        <w:t>其他突发性风险及应对措施</w:t>
      </w:r>
    </w:p>
    <w:p>
      <w:pPr>
        <w:pStyle w:val="Style11"/>
        <w:keepNext w:val="0"/>
        <w:keepLines w:val="0"/>
        <w:widowControl w:val="0"/>
        <w:shd w:val="clear" w:color="auto" w:fill="auto"/>
        <w:bidi w:val="0"/>
        <w:spacing w:before="0"/>
        <w:ind w:left="0" w:right="0"/>
        <w:jc w:val="both"/>
      </w:pPr>
      <w:r>
        <w:rPr>
          <w:color w:val="000000"/>
          <w:spacing w:val="0"/>
          <w:w w:val="100"/>
          <w:position w:val="0"/>
        </w:rPr>
        <w:t>受疫情影响，部分项目的交付周期延长，行业内客户应收账款回款周期延 长、供应商付款账期变短、原材料成本增加、订单履行成本上升等一系列对企 业发展的延迟效果陆续体现。</w:t>
      </w:r>
    </w:p>
    <w:p>
      <w:pPr>
        <w:pStyle w:val="Style11"/>
        <w:keepNext w:val="0"/>
        <w:keepLines w:val="0"/>
        <w:widowControl w:val="0"/>
        <w:shd w:val="clear" w:color="auto" w:fill="auto"/>
        <w:bidi w:val="0"/>
        <w:spacing w:before="0" w:after="800" w:line="240" w:lineRule="auto"/>
        <w:ind w:left="0" w:right="0"/>
        <w:jc w:val="both"/>
      </w:pPr>
      <w:r>
        <w:rPr>
          <w:color w:val="000000"/>
          <w:spacing w:val="0"/>
          <w:w w:val="100"/>
          <w:position w:val="0"/>
        </w:rPr>
        <w:t xml:space="preserve">公司日常经营面临国家政策变化、重大突发事件等多种宏观不可抗风险， </w:t>
      </w:r>
      <w:r>
        <w:rPr>
          <w:color w:val="000000"/>
          <w:spacing w:val="0"/>
          <w:w w:val="100"/>
          <w:position w:val="0"/>
        </w:rPr>
        <w:t>公司作为智慧医疗领域的科技型企业，一方面提升项目方案规划及风险规避预 案的顶层设计，同时持续强化公司在项目快速交付、实施方面的专业能力；另 一方面通过完善成本控制等方面举措提高公司的抗风险能力、财务安全水平及 灵活性，为公司进一步发展提供资金保障，从而提升公司竞争力及持续盈利能 力。</w:t>
      </w:r>
    </w:p>
    <w:p>
      <w:pPr>
        <w:pStyle w:val="Style11"/>
        <w:keepNext w:val="0"/>
        <w:keepLines w:val="0"/>
        <w:widowControl w:val="0"/>
        <w:shd w:val="clear" w:color="auto" w:fill="auto"/>
        <w:bidi w:val="0"/>
        <w:spacing w:before="0" w:after="0" w:line="627" w:lineRule="exact"/>
        <w:ind w:left="0" w:right="0"/>
        <w:jc w:val="both"/>
        <w:sectPr>
          <w:footnotePr>
            <w:pos w:val="pageBottom"/>
            <w:numFmt w:val="decimal"/>
            <w:numRestart w:val="continuous"/>
          </w:footnotePr>
          <w:pgSz w:w="11900" w:h="16840"/>
          <w:pgMar w:top="1266" w:right="972" w:bottom="1783" w:left="1098" w:header="0" w:footer="3" w:gutter="0"/>
          <w:cols w:space="720"/>
          <w:noEndnote/>
          <w:rtlGutter w:val="0"/>
          <w:docGrid w:linePitch="360"/>
        </w:sectPr>
      </w:pPr>
      <w:r>
        <w:rPr>
          <w:color w:val="000000"/>
          <w:spacing w:val="0"/>
          <w:w w:val="100"/>
          <w:position w:val="0"/>
        </w:rPr>
        <w:t>公司经本次董事会审议通过的利润分配预案为：以未来实施</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年年度权 益分配方案时股权登记日享有利润分配、公积金转增股本权利的总股本为基数，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0.20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股（含税），不以资 本公积金转增股本。</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b/>
          <w:bCs/>
          <w:color w:val="000000"/>
          <w:spacing w:val="0"/>
          <w:w w:val="100"/>
          <w:position w:val="0"/>
          <w:sz w:val="36"/>
          <w:szCs w:val="36"/>
        </w:rPr>
        <w:t>目录</w:t>
      </w:r>
    </w:p>
    <w:p>
      <w:pPr>
        <w:pStyle w:val="Style14"/>
        <w:keepNext w:val="0"/>
        <w:keepLines w:val="0"/>
        <w:widowControl w:val="0"/>
        <w:shd w:val="clear" w:color="auto" w:fill="auto"/>
        <w:tabs>
          <w:tab w:leader="dot" w:pos="9613"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color w:val="000000"/>
            <w:spacing w:val="0"/>
            <w:w w:val="100"/>
            <w:position w:val="0"/>
            <w:sz w:val="24"/>
            <w:szCs w:val="24"/>
          </w:rPr>
          <w:t>2</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16"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color w:val="000000"/>
            <w:spacing w:val="0"/>
            <w:w w:val="100"/>
            <w:position w:val="0"/>
            <w:sz w:val="24"/>
            <w:szCs w:val="24"/>
          </w:rPr>
          <w:t>10</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0" w:tooltip="Current Document">
        <w:r>
          <w:rPr>
            <w:color w:val="000000"/>
            <w:spacing w:val="0"/>
            <w:w w:val="100"/>
            <w:position w:val="0"/>
            <w:sz w:val="22"/>
            <w:szCs w:val="22"/>
          </w:rPr>
          <w:t>第三节管理层讨论与分析</w:t>
        </w:r>
        <w:r>
          <w:rPr>
            <w:color w:val="000000"/>
            <w:spacing w:val="0"/>
            <w:w w:val="100"/>
            <w:position w:val="0"/>
            <w:sz w:val="22"/>
            <w:szCs w:val="22"/>
          </w:rPr>
          <w:tab/>
        </w:r>
        <w:r>
          <w:rPr>
            <w:color w:val="000000"/>
            <w:spacing w:val="0"/>
            <w:w w:val="100"/>
            <w:position w:val="0"/>
            <w:sz w:val="24"/>
            <w:szCs w:val="24"/>
          </w:rPr>
          <w:t>14</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259" w:tooltip="Current Document">
        <w:r>
          <w:rPr>
            <w:color w:val="000000"/>
            <w:spacing w:val="0"/>
            <w:w w:val="100"/>
            <w:position w:val="0"/>
            <w:sz w:val="22"/>
            <w:szCs w:val="22"/>
          </w:rPr>
          <w:t>第四节公司治理</w:t>
        </w:r>
        <w:r>
          <w:rPr>
            <w:color w:val="000000"/>
            <w:spacing w:val="0"/>
            <w:w w:val="100"/>
            <w:position w:val="0"/>
            <w:sz w:val="22"/>
            <w:szCs w:val="22"/>
          </w:rPr>
          <w:tab/>
        </w:r>
        <w:r>
          <w:rPr>
            <w:color w:val="000000"/>
            <w:spacing w:val="0"/>
            <w:w w:val="100"/>
            <w:position w:val="0"/>
            <w:sz w:val="24"/>
            <w:szCs w:val="24"/>
          </w:rPr>
          <w:t>42</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17" w:tooltip="Current Document">
        <w:r>
          <w:rPr>
            <w:color w:val="000000"/>
            <w:spacing w:val="0"/>
            <w:w w:val="100"/>
            <w:position w:val="0"/>
            <w:sz w:val="22"/>
            <w:szCs w:val="22"/>
          </w:rPr>
          <w:t>第五节环境和社会责任</w:t>
        </w:r>
        <w:r>
          <w:rPr>
            <w:color w:val="000000"/>
            <w:spacing w:val="0"/>
            <w:w w:val="100"/>
            <w:position w:val="0"/>
            <w:sz w:val="22"/>
            <w:szCs w:val="22"/>
          </w:rPr>
          <w:tab/>
        </w:r>
        <w:r>
          <w:rPr>
            <w:color w:val="000000"/>
            <w:spacing w:val="0"/>
            <w:w w:val="100"/>
            <w:position w:val="0"/>
            <w:sz w:val="24"/>
            <w:szCs w:val="24"/>
          </w:rPr>
          <w:t>59</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36" w:tooltip="Current Document">
        <w:r>
          <w:rPr>
            <w:color w:val="000000"/>
            <w:spacing w:val="0"/>
            <w:w w:val="100"/>
            <w:position w:val="0"/>
            <w:sz w:val="22"/>
            <w:szCs w:val="22"/>
          </w:rPr>
          <w:t>第六节重要事项</w:t>
        </w:r>
        <w:r>
          <w:rPr>
            <w:color w:val="000000"/>
            <w:spacing w:val="0"/>
            <w:w w:val="100"/>
            <w:position w:val="0"/>
            <w:sz w:val="22"/>
            <w:szCs w:val="22"/>
          </w:rPr>
          <w:tab/>
        </w:r>
        <w:r>
          <w:rPr>
            <w:color w:val="000000"/>
            <w:spacing w:val="0"/>
            <w:w w:val="100"/>
            <w:position w:val="0"/>
            <w:sz w:val="24"/>
            <w:szCs w:val="24"/>
          </w:rPr>
          <w:t>61</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81"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color w:val="000000"/>
            <w:spacing w:val="0"/>
            <w:w w:val="100"/>
            <w:position w:val="0"/>
            <w:sz w:val="24"/>
            <w:szCs w:val="24"/>
          </w:rPr>
          <w:t>88</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04" w:tooltip="Current Document">
        <w:r>
          <w:rPr>
            <w:color w:val="000000"/>
            <w:spacing w:val="0"/>
            <w:w w:val="100"/>
            <w:position w:val="0"/>
            <w:sz w:val="22"/>
            <w:szCs w:val="22"/>
          </w:rPr>
          <w:t>第八节优先股相关情况</w:t>
        </w:r>
        <w:r>
          <w:rPr>
            <w:color w:val="000000"/>
            <w:spacing w:val="0"/>
            <w:w w:val="100"/>
            <w:position w:val="0"/>
            <w:sz w:val="22"/>
            <w:szCs w:val="22"/>
          </w:rPr>
          <w:tab/>
        </w:r>
        <w:r>
          <w:rPr>
            <w:color w:val="000000"/>
            <w:spacing w:val="0"/>
            <w:w w:val="100"/>
            <w:position w:val="0"/>
            <w:sz w:val="24"/>
            <w:szCs w:val="24"/>
          </w:rPr>
          <w:t>100</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63" w:tooltip="Current Document">
        <w:r>
          <w:rPr>
            <w:color w:val="000000"/>
            <w:spacing w:val="0"/>
            <w:w w:val="100"/>
            <w:position w:val="0"/>
            <w:sz w:val="22"/>
            <w:szCs w:val="22"/>
          </w:rPr>
          <w:t>第九节债券相关情况</w:t>
        </w:r>
        <w:r>
          <w:rPr>
            <w:color w:val="000000"/>
            <w:spacing w:val="0"/>
            <w:w w:val="100"/>
            <w:position w:val="0"/>
            <w:sz w:val="22"/>
            <w:szCs w:val="22"/>
          </w:rPr>
          <w:tab/>
        </w:r>
        <w:r>
          <w:rPr>
            <w:color w:val="000000"/>
            <w:spacing w:val="0"/>
            <w:w w:val="100"/>
            <w:position w:val="0"/>
            <w:sz w:val="24"/>
            <w:szCs w:val="24"/>
          </w:rPr>
          <w:t>101</w:t>
        </w:r>
      </w:hyperlink>
    </w:p>
    <w:p>
      <w:pPr>
        <w:pStyle w:val="Style14"/>
        <w:keepNext w:val="0"/>
        <w:keepLines w:val="0"/>
        <w:widowControl w:val="0"/>
        <w:shd w:val="clear" w:color="auto" w:fill="auto"/>
        <w:tabs>
          <w:tab w:leader="dot" w:pos="9613"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62" w:right="1118" w:bottom="2862" w:left="1104" w:header="0" w:footer="3" w:gutter="0"/>
          <w:cols w:space="720"/>
          <w:noEndnote/>
          <w:rtlGutter w:val="0"/>
          <w:docGrid w:linePitch="360"/>
        </w:sectPr>
      </w:pPr>
      <w:hyperlink w:anchor="bookmark666" w:tooltip="Current Document">
        <w:r>
          <w:rPr>
            <w:color w:val="000000"/>
            <w:spacing w:val="0"/>
            <w:w w:val="100"/>
            <w:position w:val="0"/>
            <w:sz w:val="22"/>
            <w:szCs w:val="22"/>
          </w:rPr>
          <w:t>第十节财务报告</w:t>
        </w:r>
        <w:r>
          <w:rPr>
            <w:color w:val="000000"/>
            <w:spacing w:val="0"/>
            <w:w w:val="100"/>
            <w:position w:val="0"/>
            <w:sz w:val="22"/>
            <w:szCs w:val="22"/>
          </w:rPr>
          <w:tab/>
        </w:r>
        <w:r>
          <w:rPr>
            <w:color w:val="000000"/>
            <w:spacing w:val="0"/>
            <w:w w:val="100"/>
            <w:position w:val="0"/>
            <w:sz w:val="24"/>
            <w:szCs w:val="24"/>
          </w:rPr>
          <w:t>102</w:t>
        </w:r>
      </w:hyperlink>
      <w:r>
        <w:fldChar w:fldCharType="end"/>
      </w:r>
    </w:p>
    <w:p>
      <w:pPr>
        <w:pStyle w:val="Style2"/>
        <w:keepNext w:val="0"/>
        <w:keepLines w:val="0"/>
        <w:widowControl w:val="0"/>
        <w:shd w:val="clear" w:color="auto" w:fill="auto"/>
        <w:bidi w:val="0"/>
        <w:spacing w:before="70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7"/>
        <w:keepNext w:val="0"/>
        <w:keepLines w:val="0"/>
        <w:widowControl w:val="0"/>
        <w:shd w:val="clear" w:color="auto" w:fill="auto"/>
        <w:tabs>
          <w:tab w:pos="430" w:val="left"/>
        </w:tabs>
        <w:bidi w:val="0"/>
        <w:spacing w:before="0" w:after="140" w:line="240" w:lineRule="auto"/>
        <w:ind w:left="0" w:right="0" w:firstLine="0"/>
        <w:jc w:val="left"/>
      </w:pPr>
      <w:bookmarkStart w:id="9" w:name="bookmark9"/>
      <w:r>
        <w:rPr>
          <w:color w:val="000000"/>
          <w:spacing w:val="0"/>
          <w:w w:val="100"/>
          <w:position w:val="0"/>
        </w:rPr>
        <w:t>一</w:t>
      </w:r>
      <w:bookmarkEnd w:id="9"/>
      <w:r>
        <w:rPr>
          <w:color w:val="000000"/>
          <w:spacing w:val="0"/>
          <w:w w:val="100"/>
          <w:position w:val="0"/>
        </w:rPr>
        <w:t>、</w:t>
        <w:tab/>
        <w:t>载有公司法定代表人签名、公司盖章的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年年度报告全文及摘要文本；</w:t>
      </w:r>
    </w:p>
    <w:p>
      <w:pPr>
        <w:pStyle w:val="Style17"/>
        <w:keepNext w:val="0"/>
        <w:keepLines w:val="0"/>
        <w:widowControl w:val="0"/>
        <w:shd w:val="clear" w:color="auto" w:fill="auto"/>
        <w:tabs>
          <w:tab w:pos="430" w:val="left"/>
        </w:tabs>
        <w:bidi w:val="0"/>
        <w:spacing w:before="0" w:after="140" w:line="240" w:lineRule="auto"/>
        <w:ind w:left="0" w:right="0" w:firstLine="0"/>
        <w:jc w:val="left"/>
      </w:pPr>
      <w:bookmarkStart w:id="10" w:name="bookmark10"/>
      <w:r>
        <w:rPr>
          <w:color w:val="000000"/>
          <w:spacing w:val="0"/>
          <w:w w:val="100"/>
          <w:position w:val="0"/>
        </w:rPr>
        <w:t>二</w:t>
      </w:r>
      <w:bookmarkEnd w:id="10"/>
      <w:r>
        <w:rPr>
          <w:color w:val="000000"/>
          <w:spacing w:val="0"/>
          <w:w w:val="100"/>
          <w:position w:val="0"/>
        </w:rPr>
        <w:t>、</w:t>
        <w:tab/>
        <w:t>载有法定代表人、主管会计工作负责人、会计机构负责人签名、盖章的财务报表；</w:t>
      </w:r>
    </w:p>
    <w:p>
      <w:pPr>
        <w:pStyle w:val="Style17"/>
        <w:keepNext w:val="0"/>
        <w:keepLines w:val="0"/>
        <w:widowControl w:val="0"/>
        <w:shd w:val="clear" w:color="auto" w:fill="auto"/>
        <w:tabs>
          <w:tab w:pos="430" w:val="left"/>
        </w:tabs>
        <w:bidi w:val="0"/>
        <w:spacing w:before="0" w:after="140" w:line="240" w:lineRule="auto"/>
        <w:ind w:left="0" w:right="0" w:firstLine="0"/>
        <w:jc w:val="left"/>
      </w:pPr>
      <w:bookmarkStart w:id="11" w:name="bookmark11"/>
      <w:r>
        <w:rPr>
          <w:color w:val="000000"/>
          <w:spacing w:val="0"/>
          <w:w w:val="100"/>
          <w:position w:val="0"/>
        </w:rPr>
        <w:t>三</w:t>
      </w:r>
      <w:bookmarkEnd w:id="11"/>
      <w:r>
        <w:rPr>
          <w:color w:val="000000"/>
          <w:spacing w:val="0"/>
          <w:w w:val="100"/>
          <w:position w:val="0"/>
        </w:rPr>
        <w:t>、</w:t>
        <w:tab/>
        <w:t>载有天健会计师事务所（特殊普通合伙）注册会计师签名、会计师事务所盖章的审计报告原件;</w:t>
      </w:r>
    </w:p>
    <w:p>
      <w:pPr>
        <w:pStyle w:val="Style17"/>
        <w:keepNext w:val="0"/>
        <w:keepLines w:val="0"/>
        <w:widowControl w:val="0"/>
        <w:shd w:val="clear" w:color="auto" w:fill="auto"/>
        <w:tabs>
          <w:tab w:pos="430" w:val="left"/>
        </w:tabs>
        <w:bidi w:val="0"/>
        <w:spacing w:before="0" w:after="140" w:line="240" w:lineRule="auto"/>
        <w:ind w:left="0" w:right="0" w:firstLine="0"/>
        <w:jc w:val="left"/>
      </w:pPr>
      <w:bookmarkStart w:id="12" w:name="bookmark12"/>
      <w:r>
        <w:rPr>
          <w:color w:val="000000"/>
          <w:spacing w:val="0"/>
          <w:w w:val="100"/>
          <w:position w:val="0"/>
        </w:rPr>
        <w:t>四</w:t>
      </w:r>
      <w:bookmarkEnd w:id="12"/>
      <w:r>
        <w:rPr>
          <w:color w:val="000000"/>
          <w:spacing w:val="0"/>
          <w:w w:val="100"/>
          <w:position w:val="0"/>
        </w:rPr>
        <w:t>、</w:t>
        <w:tab/>
        <w:t>报告期内在中国证监会指定报纸上公开披露过的所有公司文件的正本及公告的原稿；</w:t>
      </w:r>
    </w:p>
    <w:p>
      <w:pPr>
        <w:pStyle w:val="Style17"/>
        <w:keepNext w:val="0"/>
        <w:keepLines w:val="0"/>
        <w:widowControl w:val="0"/>
        <w:shd w:val="clear" w:color="auto" w:fill="auto"/>
        <w:tabs>
          <w:tab w:pos="430" w:val="left"/>
        </w:tabs>
        <w:bidi w:val="0"/>
        <w:spacing w:before="0" w:after="140" w:line="240" w:lineRule="auto"/>
        <w:ind w:left="0" w:right="0" w:firstLine="0"/>
        <w:jc w:val="left"/>
      </w:pPr>
      <w:bookmarkStart w:id="13" w:name="bookmark13"/>
      <w:r>
        <w:rPr>
          <w:color w:val="000000"/>
          <w:spacing w:val="0"/>
          <w:w w:val="100"/>
          <w:position w:val="0"/>
        </w:rPr>
        <w:t>五</w:t>
      </w:r>
      <w:bookmarkEnd w:id="13"/>
      <w:r>
        <w:rPr>
          <w:color w:val="000000"/>
          <w:spacing w:val="0"/>
          <w:w w:val="100"/>
          <w:position w:val="0"/>
        </w:rPr>
        <w:t>、</w:t>
        <w:tab/>
        <w:t>其他有关资料；</w:t>
      </w:r>
    </w:p>
    <w:p>
      <w:pPr>
        <w:pStyle w:val="Style17"/>
        <w:keepNext w:val="0"/>
        <w:keepLines w:val="0"/>
        <w:widowControl w:val="0"/>
        <w:shd w:val="clear" w:color="auto" w:fill="auto"/>
        <w:tabs>
          <w:tab w:pos="430" w:val="left"/>
        </w:tabs>
        <w:bidi w:val="0"/>
        <w:spacing w:before="0" w:after="140" w:line="240" w:lineRule="auto"/>
        <w:ind w:left="0" w:right="0" w:firstLine="0"/>
        <w:jc w:val="left"/>
      </w:pPr>
      <w:bookmarkStart w:id="14" w:name="bookmark14"/>
      <w:r>
        <w:rPr>
          <w:color w:val="000000"/>
          <w:spacing w:val="0"/>
          <w:w w:val="100"/>
          <w:position w:val="0"/>
        </w:rPr>
        <w:t>六</w:t>
      </w:r>
      <w:bookmarkEnd w:id="14"/>
      <w:r>
        <w:rPr>
          <w:color w:val="000000"/>
          <w:spacing w:val="0"/>
          <w:w w:val="100"/>
          <w:position w:val="0"/>
        </w:rPr>
        <w:t>、</w:t>
        <w:tab/>
        <w:t>以上备查文件的备置地点：浙江和仁科技股份有限公司董事会办公室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浙江和仁科技股份有限公司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和仁湘雅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湖南和仁湘雅数字医疗技术有限公司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和仁（天津）科技有限公司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赣州和仁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赣州和仁信息服务有限公司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江苏和仁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江苏和仁泰颐智能科技有限公司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西安和仁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西安和仁汇达信息科技有限公司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和仁科技北京分公司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浙江和仁科技股份有限公司北京分公司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中原和仁公司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中原和仁医疗科技有限公司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中锦保理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商业保理有限公司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和仁智慧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和仁智慧健康科技有限公司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磐源投资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杭州磐源投资有限公司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磐鸿投资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杭州磐鸿投资管理合伙企业（有限合伙）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复贞投资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杭州复贞投资管理有限公司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云骥投资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杭州云骥投资管理有限公司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杭州云医健康服务有限公司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浙江和仁科技有限公司</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通过计算机技术、网络通信技术及数据库技术，为医疗机构提供诊疗 信息和管理信息的收集、存储、处理、提取和数据交换，并满足授权 用户的功能需求。</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医院管理信息系统（</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以收费为中心，将门诊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急诊挂号、核价、收费、配药和住院登记、收 费，以及医疗机构人、财、物等资源调配信息，借助信息网络技术进 行管理，并采集整合各节点信息，供相关人员查询、分析和决策。</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临床医疗管理信息系统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CIS</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以患者为中心，以医生临床诊疗行为为导向，借助多种软件应用系统 整合患者临床诊疗数据，完成电子化汇总、集成、共享，医务人员通 过信息终端浏览辅助诊疗路径、发送医嘱、接受诊疗结果、完成分析， 实现全院级别的诊疗信息与管理信息集成，并在此基础上，不断延伸 出各类信息应用系统。</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区域公共医疗管理信息系统（</w:t>
            </w:r>
            <w:r>
              <w:rPr>
                <w:rFonts w:ascii="Times New Roman" w:eastAsia="Times New Roman" w:hAnsi="Times New Roman" w:cs="Times New Roman"/>
                <w:color w:val="000000"/>
                <w:spacing w:val="0"/>
                <w:w w:val="100"/>
                <w:position w:val="0"/>
                <w:sz w:val="18"/>
                <w:szCs w:val="18"/>
              </w:rPr>
              <w:t>GMIS</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将一定区域内的所有医疗机构诊疗业务和管理信息集成整合，将医疗 保险、社区医疗、远程医疗、卫生管理机构、药品及医疗器械供应商 等相关主体连接为一个用于汇总处理卫生行业数据的信息平台，从而 实现区域医疗资源智能管理和信息共享，提高区域医疗服务水平、医</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疗卫生体系运转效率以及卫生行政管理科学性。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医疗管理应用系统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以企业管理的视角，将商业分析（</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w:t>
            </w:r>
            <w:r>
              <w:rPr>
                <w:color w:val="000000"/>
                <w:spacing w:val="0"/>
                <w:w w:val="100"/>
                <w:position w:val="0"/>
              </w:rPr>
              <w:t>企业资源计划（</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w:t>
            </w:r>
            <w:r>
              <w:rPr>
                <w:color w:val="000000"/>
                <w:spacing w:val="0"/>
                <w:w w:val="100"/>
                <w:position w:val="0"/>
              </w:rPr>
              <w:t>客户 关系管理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w:t>
            </w:r>
            <w:r>
              <w:rPr>
                <w:color w:val="000000"/>
                <w:spacing w:val="0"/>
                <w:w w:val="100"/>
                <w:position w:val="0"/>
              </w:rPr>
              <w:t>等企业经营管理理念运用于医疗机构日常运营，其 最终实现需以医疗机构临床业务信息为基础，因此，将其归为临床医 疗管理信息系统的分支之一。</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数字化场景应用方案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以信息设备为基础，借助信息技术、网络技术、数据库技术、流媒体 技术，通过系统集成实现医疗机构具体运营场景的信息化管理，包括 一体化手术室系统、远程协同医疗系统、医疗机构运营控制系统、病 房管理系统、环境监测系统、安防监控系统等。</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数字化医院整体解决方案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以数字化场景应用方案、管理信息系统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w:t>
            </w:r>
            <w:r>
              <w:rPr>
                <w:color w:val="000000"/>
                <w:spacing w:val="0"/>
                <w:w w:val="100"/>
                <w:position w:val="0"/>
              </w:rPr>
              <w:t>、临床医疗管理信息系 统（</w:t>
            </w:r>
            <w:r>
              <w:rPr>
                <w:rFonts w:ascii="Times New Roman" w:eastAsia="Times New Roman" w:hAnsi="Times New Roman" w:cs="Times New Roman"/>
                <w:color w:val="000000"/>
                <w:spacing w:val="0"/>
                <w:w w:val="100"/>
                <w:position w:val="0"/>
                <w:sz w:val="18"/>
                <w:szCs w:val="18"/>
              </w:rPr>
              <w:t>CIS</w:t>
            </w:r>
            <w:r>
              <w:rPr>
                <w:color w:val="000000"/>
                <w:spacing w:val="0"/>
                <w:w w:val="100"/>
                <w:position w:val="0"/>
              </w:rPr>
              <w:t>）</w:t>
            </w:r>
            <w:r>
              <w:rPr>
                <w:color w:val="000000"/>
                <w:spacing w:val="0"/>
                <w:w w:val="100"/>
                <w:position w:val="0"/>
              </w:rPr>
              <w:t>为基础，包括医疗机构信息化蓝图规划、软硬件配置，实 施定制开发、系统集成、流程优化、数据融合，上线调试、业务培训 等工作内容在内的全套医疗信息化业务，具有系统实施、整体交付、 一体化服务等特点。</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电子病历（</w:t>
            </w:r>
            <w:r>
              <w:rPr>
                <w:rFonts w:ascii="Times New Roman" w:eastAsia="Times New Roman" w:hAnsi="Times New Roman" w:cs="Times New Roman"/>
                <w:color w:val="000000"/>
                <w:spacing w:val="0"/>
                <w:w w:val="100"/>
                <w:position w:val="0"/>
                <w:sz w:val="18"/>
                <w:szCs w:val="18"/>
              </w:rPr>
              <w:t>EMR</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医务人员在医疗活动过程中，通过医院信息系统生成的文字、符号、 图表、图形、数据、影像等数字化信息，并能实现存储、管理、传输 和重现的医疗记录。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电子病历系统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医疗机构内部支持电子病历信息的采集、存储和访问，并围绕提高医 疗质量、保障医疗安全、提高医疗效率而提供信息处理和智能化服务 功能的计算机信息系统，既包括应用于门（急）诊、病房的临床信息 系统，也包括医技科室的信息系统，其产出物为电子病历。电子病历 系统是一个动态的系统，它的数据和信息来源于多个临床部门，所以 电子病历系统需要与其他各种系统集成以获取信息；同时电子病历系 统也是临床路径管理和未来区域医疗信息管理的基础。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bl>
    <w:p>
      <w:pPr>
        <w:spacing w:lineRule="exact" w:line="1"/>
        <w:rPr>
          <w:sz w:val="2"/>
          <w:szCs w:val="2"/>
        </w:rPr>
      </w:pPr>
      <w:r>
        <w:br w:type="page"/>
      </w:r>
    </w:p>
    <w:p>
      <w:pPr>
        <w:pStyle w:val="Style9"/>
        <w:keepNext/>
        <w:keepLines/>
        <w:widowControl w:val="0"/>
        <w:shd w:val="clear" w:color="auto" w:fill="auto"/>
        <w:bidi w:val="0"/>
        <w:spacing w:before="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21"/>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bookmarkStart w:id="22" w:name="bookmark22"/>
      <w:r>
        <w:rPr>
          <w:color w:val="000000"/>
          <w:spacing w:val="0"/>
          <w:w w:val="100"/>
          <w:position w:val="0"/>
        </w:rPr>
        <w:t>一</w:t>
      </w:r>
      <w:bookmarkEnd w:id="21"/>
      <w:r>
        <w:rPr>
          <w:color w:val="000000"/>
          <w:spacing w:val="0"/>
          <w:w w:val="100"/>
          <w:position w:val="0"/>
        </w:rPr>
        <w:t>、公司信息</w:t>
      </w:r>
      <w:bookmarkEnd w:id="19"/>
      <w:bookmarkEnd w:id="20"/>
      <w:bookmarkEnd w:id="22"/>
      <w:bookmarkEnd w:id="18"/>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浙江和仁科技股份有限公司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浙江和仁科技股份有限公司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Heren Health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Heren Health</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浙江省杭州市滨江区西兴街道新联路</w:t>
            </w: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310051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月公司注册地址由杭州市滨江区滨安路</w:t>
            </w:r>
            <w:r>
              <w:rPr>
                <w:rFonts w:ascii="Times New Roman" w:eastAsia="Times New Roman" w:hAnsi="Times New Roman" w:cs="Times New Roman"/>
                <w:color w:val="000000"/>
                <w:spacing w:val="0"/>
                <w:w w:val="100"/>
                <w:position w:val="0"/>
                <w:sz w:val="18"/>
                <w:szCs w:val="18"/>
              </w:rPr>
              <w:t>1197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226</w:t>
            </w:r>
            <w:r>
              <w:rPr>
                <w:color w:val="000000"/>
                <w:spacing w:val="0"/>
                <w:w w:val="100"/>
                <w:position w:val="0"/>
              </w:rPr>
              <w:t>室变更为杭州市东信大 道</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月公司注册地址由杭州市东信大道</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室变更为浙 江省杭州市滨江区西兴街道新联路</w:t>
            </w: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浙江省杭州市滨江区西兴街道新联路</w:t>
            </w: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"http://www.herenit.com" </w:instrText>
            </w:r>
            <w:r>
              <w:fldChar w:fldCharType="separate"/>
            </w:r>
            <w:r>
              <w:rPr>
                <w:rFonts w:ascii="Times New Roman" w:eastAsia="Times New Roman" w:hAnsi="Times New Roman" w:cs="Times New Roman"/>
                <w:color w:val="000000"/>
                <w:spacing w:val="0"/>
                <w:w w:val="100"/>
                <w:position w:val="0"/>
                <w:sz w:val="18"/>
                <w:szCs w:val="18"/>
              </w:rPr>
              <w:t>www.herenit.com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contact@herenit. com</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二</w:t>
      </w:r>
      <w:bookmarkEnd w:id="25"/>
      <w:r>
        <w:rPr>
          <w:color w:val="000000"/>
          <w:spacing w:val="0"/>
          <w:w w:val="100"/>
          <w:position w:val="0"/>
        </w:rPr>
        <w:t>、联系人和联系方式</w:t>
      </w:r>
      <w:bookmarkEnd w:id="23"/>
      <w:bookmarkEnd w:id="24"/>
      <w:bookmarkEnd w:id="2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屈鑫</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浙江省杭州市滨江区西兴街道新联路</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浙江省杭州市滨江区西兴街道新联路</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0571-81397006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0571-81397006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0571-81397100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0571-81397100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contact@herenit.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"mailto:contact@herenit.com" </w:instrText>
            </w:r>
            <w:r>
              <w:fldChar w:fldCharType="separate"/>
            </w:r>
            <w:r>
              <w:rPr>
                <w:rFonts w:ascii="Times New Roman" w:eastAsia="Times New Roman" w:hAnsi="Times New Roman" w:cs="Times New Roman"/>
                <w:color w:val="000000"/>
                <w:spacing w:val="0"/>
                <w:w w:val="100"/>
                <w:position w:val="0"/>
                <w:sz w:val="18"/>
                <w:szCs w:val="18"/>
              </w:rPr>
              <w:t>contact@herenit.com</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三</w:t>
      </w:r>
      <w:bookmarkEnd w:id="29"/>
      <w:r>
        <w:rPr>
          <w:color w:val="000000"/>
          <w:spacing w:val="0"/>
          <w:w w:val="100"/>
          <w:position w:val="0"/>
        </w:rPr>
        <w:t>、信息披露及备置地点</w:t>
      </w:r>
      <w:bookmarkEnd w:id="27"/>
      <w:bookmarkEnd w:id="28"/>
      <w:bookmarkEnd w:id="30"/>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浙江省杭州市滨江区西兴街道新联路</w:t>
            </w: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号和仁科技董事会办公室</w:t>
            </w:r>
          </w:p>
        </w:tc>
      </w:tr>
    </w:tbl>
    <w:p>
      <w:pPr>
        <w:spacing w:lineRule="exact" w:line="1"/>
        <w:rPr>
          <w:sz w:val="2"/>
          <w:szCs w:val="2"/>
        </w:rPr>
      </w:pPr>
      <w:r>
        <w:br w:type="page"/>
      </w:r>
    </w:p>
    <w:p>
      <w:pPr>
        <w:pStyle w:val="Style21"/>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四</w:t>
      </w:r>
      <w:bookmarkEnd w:id="33"/>
      <w:r>
        <w:rPr>
          <w:color w:val="000000"/>
          <w:spacing w:val="0"/>
          <w:w w:val="100"/>
          <w:position w:val="0"/>
        </w:rPr>
        <w:t>、其他有关资料</w:t>
      </w:r>
      <w:bookmarkEnd w:id="31"/>
      <w:bookmarkEnd w:id="32"/>
      <w:bookmarkEnd w:id="34"/>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浙江省杭州市钱江路</w:t>
            </w:r>
            <w:r>
              <w:rPr>
                <w:rFonts w:ascii="Times New Roman" w:eastAsia="Times New Roman" w:hAnsi="Times New Roman" w:cs="Times New Roman"/>
                <w:color w:val="000000"/>
                <w:spacing w:val="0"/>
                <w:w w:val="100"/>
                <w:position w:val="0"/>
                <w:sz w:val="18"/>
                <w:szCs w:val="18"/>
              </w:rPr>
              <w:t>1366</w:t>
            </w:r>
            <w:r>
              <w:rPr>
                <w:color w:val="000000"/>
                <w:spacing w:val="0"/>
                <w:w w:val="100"/>
                <w:position w:val="0"/>
              </w:rPr>
              <w:t>号华润大厦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郑俭、吴传淼</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上海市广东路</w:t>
            </w:r>
            <w:r>
              <w:rPr>
                <w:rFonts w:ascii="Times New Roman" w:eastAsia="Times New Roman" w:hAnsi="Times New Roman" w:cs="Times New Roman"/>
                <w:color w:val="000000"/>
                <w:spacing w:val="0"/>
                <w:w w:val="100"/>
                <w:position w:val="0"/>
                <w:sz w:val="18"/>
                <w:szCs w:val="18"/>
              </w:rPr>
              <w:t>689</w:t>
            </w:r>
            <w:r>
              <w:rPr>
                <w:color w:val="000000"/>
                <w:spacing w:val="0"/>
                <w:w w:val="100"/>
                <w:position w:val="0"/>
              </w:rPr>
              <w:t>号海通证券 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郑光炼、林剑辉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五</w:t>
      </w:r>
      <w:bookmarkEnd w:id="37"/>
      <w:r>
        <w:rPr>
          <w:color w:val="000000"/>
          <w:spacing w:val="0"/>
          <w:w w:val="100"/>
          <w:position w:val="0"/>
        </w:rPr>
        <w:t>、主要会计数据和财务指标</w:t>
      </w:r>
      <w:bookmarkEnd w:id="35"/>
      <w:bookmarkEnd w:id="36"/>
      <w:bookmarkEnd w:id="38"/>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464,199,738.03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454,738,265.15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440,959,834.78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34,807,299.27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43,142,792.75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41,234,827.65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27,098,850.87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32,034,191.63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32,192,174.83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-17,830,829.38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-67,562,479.64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41,415,638.33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1,520,388,099.55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1,562,326,060.38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953,077,638.81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1,131,721,980.14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1,095,082,733.06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618,277,579.88</w:t>
            </w:r>
          </w:p>
        </w:tc>
      </w:tr>
    </w:tbl>
    <w:p>
      <w:pPr>
        <w:pStyle w:val="Style1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7"/>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17"/>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公司报告期末至年度报告披露日股本是否因发行新股、增发、配股、股权激励行权、回购等原因发生变化且影响所有者权益 金额</w:t>
      </w:r>
    </w:p>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0.1314</w:t>
            </w: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rPr>
        <w:t>六</w:t>
      </w:r>
      <w:bookmarkEnd w:id="41"/>
      <w:r>
        <w:rPr>
          <w:color w:val="000000"/>
          <w:spacing w:val="0"/>
          <w:w w:val="100"/>
          <w:position w:val="0"/>
        </w:rPr>
        <w:t>、分季度主要财务指标</w:t>
      </w:r>
      <w:bookmarkEnd w:id="39"/>
      <w:bookmarkEnd w:id="40"/>
      <w:bookmarkEnd w:id="4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79,315,197.27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112,452,044.40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114,151,786.04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158,280,710.32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5,397,500.52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13,759,038.83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16,103,037.67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-452,277.75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2,807,253.21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12,254,190.66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14,353,317.61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-2,315,910.61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-39,788,389.80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-26,235,309.34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1,410,534.51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46,782,335.25</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tabs>
          <w:tab w:pos="522" w:val="left"/>
        </w:tabs>
        <w:bidi w:val="0"/>
        <w:spacing w:before="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rPr>
        <w:t>七</w:t>
      </w:r>
      <w:bookmarkEnd w:id="45"/>
      <w:r>
        <w:rPr>
          <w:color w:val="000000"/>
          <w:spacing w:val="0"/>
          <w:w w:val="100"/>
          <w:position w:val="0"/>
        </w:rPr>
        <w:t>、</w:t>
        <w:tab/>
        <w:t>境内外会计准则下会计数据差异</w:t>
      </w:r>
      <w:bookmarkEnd w:id="43"/>
      <w:bookmarkEnd w:id="44"/>
      <w:bookmarkEnd w:id="46"/>
    </w:p>
    <w:p>
      <w:pPr>
        <w:pStyle w:val="Style26"/>
        <w:keepNext/>
        <w:keepLines/>
        <w:widowControl w:val="0"/>
        <w:shd w:val="clear" w:color="auto" w:fill="auto"/>
        <w:tabs>
          <w:tab w:pos="403" w:val="left"/>
        </w:tabs>
        <w:bidi w:val="0"/>
        <w:spacing w:before="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1</w:t>
      </w:r>
      <w:bookmarkEnd w:id="49"/>
      <w:r>
        <w:rPr>
          <w:color w:val="000000"/>
          <w:spacing w:val="0"/>
          <w:w w:val="100"/>
          <w:position w:val="0"/>
        </w:rPr>
        <w:t>、</w:t>
        <w:tab/>
        <w:t>同时按照国际会计准则与按照中国会计准则披露的财务报告中净利润和净资产差异情况</w:t>
      </w:r>
      <w:bookmarkEnd w:id="47"/>
      <w:bookmarkEnd w:id="48"/>
      <w:bookmarkEnd w:id="50"/>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6"/>
        <w:keepNext/>
        <w:keepLines/>
        <w:widowControl w:val="0"/>
        <w:shd w:val="clear" w:color="auto" w:fill="auto"/>
        <w:tabs>
          <w:tab w:pos="403" w:val="left"/>
        </w:tabs>
        <w:bidi w:val="0"/>
        <w:spacing w:before="0" w:line="240" w:lineRule="auto"/>
        <w:ind w:left="0" w:right="0" w:firstLine="0"/>
        <w:jc w:val="both"/>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2</w:t>
      </w:r>
      <w:bookmarkEnd w:id="53"/>
      <w:r>
        <w:rPr>
          <w:color w:val="000000"/>
          <w:spacing w:val="0"/>
          <w:w w:val="100"/>
          <w:position w:val="0"/>
        </w:rPr>
        <w:t>、</w:t>
        <w:tab/>
        <w:t>同时按照境外会计准则与按照中国会计准则披露的财务报告中净利润和净资产差异情况</w:t>
      </w:r>
      <w:bookmarkEnd w:id="51"/>
      <w:bookmarkEnd w:id="52"/>
      <w:bookmarkEnd w:id="54"/>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rPr>
        <w:t>八</w:t>
      </w:r>
      <w:bookmarkEnd w:id="57"/>
      <w:r>
        <w:rPr>
          <w:color w:val="000000"/>
          <w:spacing w:val="0"/>
          <w:w w:val="100"/>
          <w:position w:val="0"/>
        </w:rPr>
        <w:t>、</w:t>
        <w:tab/>
        <w:t>非经常性损益项目及金额</w:t>
      </w:r>
      <w:bookmarkEnd w:id="55"/>
      <w:bookmarkEnd w:id="56"/>
      <w:bookmarkEnd w:id="58"/>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-120,671.91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-476,839.98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405,474.43</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 营业务密切相关，符合国家政策规定、按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524,044.60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8,503,947.16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4,989,150.77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421,613.16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8,114,476.52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5,363,380.89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7,286,027.70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-1,192,468.96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142,335.61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890,158.87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890,189.31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1,627,476.91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85,960.70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1,385,893.92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857,486.52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7,708,448.40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11,108,601.12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9,042,652.82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17"/>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312" w:lineRule="exact"/>
        <w:ind w:left="0" w:right="0" w:firstLine="0"/>
        <w:jc w:val="both"/>
        <w:sectPr>
          <w:footnotePr>
            <w:pos w:val="pageBottom"/>
            <w:numFmt w:val="decimal"/>
            <w:numRestart w:val="continuous"/>
          </w:footnotePr>
          <w:pgSz w:w="11900" w:h="16840"/>
          <w:pgMar w:top="1378" w:right="1128" w:bottom="1522" w:left="1091"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9"/>
        <w:keepNext/>
        <w:keepLines/>
        <w:widowControl w:val="0"/>
        <w:shd w:val="clear" w:color="auto" w:fill="auto"/>
        <w:bidi w:val="0"/>
        <w:spacing w:before="540" w:line="240" w:lineRule="auto"/>
        <w:ind w:left="0" w:right="0" w:firstLine="0"/>
        <w:jc w:val="center"/>
      </w:pPr>
      <w:bookmarkStart w:id="59" w:name="bookmark59"/>
      <w:bookmarkStart w:id="60" w:name="bookmark60"/>
      <w:bookmarkStart w:id="61" w:name="bookmark61"/>
      <w:r>
        <w:rPr>
          <w:color w:val="000000"/>
          <w:spacing w:val="0"/>
          <w:w w:val="100"/>
          <w:position w:val="0"/>
        </w:rPr>
        <w:t>第三节管理层讨论与分析</w:t>
      </w:r>
      <w:bookmarkEnd w:id="59"/>
      <w:bookmarkEnd w:id="60"/>
      <w:bookmarkEnd w:id="61"/>
    </w:p>
    <w:p>
      <w:pPr>
        <w:pStyle w:val="Style21"/>
        <w:keepNext/>
        <w:keepLines/>
        <w:widowControl w:val="0"/>
        <w:shd w:val="clear" w:color="auto" w:fill="auto"/>
        <w:bidi w:val="0"/>
        <w:spacing w:before="0" w:after="240" w:line="240" w:lineRule="auto"/>
        <w:ind w:left="0" w:right="0" w:firstLine="0"/>
        <w:jc w:val="both"/>
      </w:pPr>
      <w:bookmarkStart w:id="62" w:name="bookmark62"/>
      <w:bookmarkStart w:id="63" w:name="bookmark63"/>
      <w:bookmarkStart w:id="64" w:name="bookmark64"/>
      <w:bookmarkStart w:id="65" w:name="bookmark65"/>
      <w:bookmarkStart w:id="66" w:name="bookmark66"/>
      <w:r>
        <w:rPr>
          <w:color w:val="000000"/>
          <w:spacing w:val="0"/>
          <w:w w:val="100"/>
          <w:position w:val="0"/>
        </w:rPr>
        <w:t>一</w:t>
      </w:r>
      <w:bookmarkEnd w:id="65"/>
      <w:r>
        <w:rPr>
          <w:color w:val="000000"/>
          <w:spacing w:val="0"/>
          <w:w w:val="100"/>
          <w:position w:val="0"/>
        </w:rPr>
        <w:t>、报告期内公司所处行业情况</w:t>
      </w:r>
      <w:bookmarkEnd w:id="63"/>
      <w:bookmarkEnd w:id="64"/>
      <w:bookmarkEnd w:id="66"/>
      <w:bookmarkEnd w:id="62"/>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7"/>
        <w:keepNext w:val="0"/>
        <w:keepLines w:val="0"/>
        <w:widowControl w:val="0"/>
        <w:shd w:val="clear" w:color="auto" w:fill="auto"/>
        <w:tabs>
          <w:tab w:pos="851" w:val="left"/>
        </w:tabs>
        <w:bidi w:val="0"/>
        <w:spacing w:before="0" w:after="0" w:line="312" w:lineRule="exact"/>
        <w:ind w:left="0" w:right="0" w:firstLine="380"/>
        <w:jc w:val="both"/>
      </w:pPr>
      <w:bookmarkStart w:id="67" w:name="bookmark67"/>
      <w:r>
        <w:rPr>
          <w:color w:val="000000"/>
          <w:spacing w:val="0"/>
          <w:w w:val="100"/>
          <w:position w:val="0"/>
        </w:rPr>
        <w:t>（</w:t>
      </w:r>
      <w:bookmarkEnd w:id="67"/>
      <w:r>
        <w:rPr>
          <w:color w:val="000000"/>
          <w:spacing w:val="0"/>
          <w:w w:val="100"/>
          <w:position w:val="0"/>
        </w:rPr>
        <w:t>一）</w:t>
        <w:tab/>
        <w:t>行业基本情况、发展阶段及周期性特点</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公司自成立至今一直耕耘于医疗健康行业，为各级医疗卫生机构和卫生监管及协作机构提供信息技术服务，从而使其业 务服务能力更高效、患者就医更便捷、临床医疗更安全、政府管理更精细。各级医疗卫生机构和卫生监管部门及协作机构作 为医疗服务和管理的主体，是公司的主要目标市场主体。</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九十年代开始，随着信息技术的发展，医疗健康行业开始出现了信息化建设的需求。早期的医院信息化建设主要是医院 信息系统</w:t>
      </w:r>
      <w:r>
        <w:rPr>
          <w:color w:val="000000"/>
          <w:spacing w:val="0"/>
          <w:w w:val="100"/>
          <w:position w:val="0"/>
          <w:sz w:val="18"/>
          <w:szCs w:val="18"/>
        </w:rPr>
        <w:t>（HIS）</w:t>
      </w:r>
      <w:r>
        <w:rPr>
          <w:color w:val="000000"/>
          <w:spacing w:val="0"/>
          <w:w w:val="100"/>
          <w:position w:val="0"/>
          <w:sz w:val="18"/>
          <w:szCs w:val="18"/>
        </w:rPr>
        <w:t>，</w:t>
      </w:r>
      <w:r>
        <w:rPr>
          <w:color w:val="000000"/>
          <w:spacing w:val="0"/>
          <w:w w:val="100"/>
          <w:position w:val="0"/>
        </w:rPr>
        <w:t>功能是财务记账和收费，其核心是财务信息。</w:t>
      </w:r>
      <w:r>
        <w:rPr>
          <w:color w:val="000000"/>
          <w:spacing w:val="0"/>
          <w:w w:val="100"/>
          <w:position w:val="0"/>
          <w:sz w:val="18"/>
          <w:szCs w:val="18"/>
        </w:rPr>
        <w:t>HIS</w:t>
      </w:r>
      <w:r>
        <w:rPr>
          <w:color w:val="000000"/>
          <w:spacing w:val="0"/>
          <w:w w:val="100"/>
          <w:position w:val="0"/>
        </w:rPr>
        <w:t>系统不断扩充药品信息，建立了医生工作站，通过医嘱 驱动收费业务和药品库存业务，成为了当时医院的主要信息系统。</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随着医技部门的发展和医技设备的普及，逐步发展了医技科室使用的临床信息系统，如影像存档传输系统</w:t>
      </w:r>
      <w:r>
        <w:rPr>
          <w:color w:val="000000"/>
          <w:spacing w:val="0"/>
          <w:w w:val="100"/>
          <w:position w:val="0"/>
          <w:sz w:val="18"/>
          <w:szCs w:val="18"/>
        </w:rPr>
        <w:t>（PACS）</w:t>
      </w:r>
      <w:r>
        <w:rPr>
          <w:color w:val="000000"/>
          <w:spacing w:val="0"/>
          <w:w w:val="100"/>
          <w:position w:val="0"/>
        </w:rPr>
        <w:t>、放 射信息系统</w:t>
      </w:r>
      <w:r>
        <w:rPr>
          <w:color w:val="000000"/>
          <w:spacing w:val="0"/>
          <w:w w:val="100"/>
          <w:position w:val="0"/>
          <w:sz w:val="18"/>
          <w:szCs w:val="18"/>
        </w:rPr>
        <w:t>（RIS）</w:t>
      </w:r>
      <w:r>
        <w:rPr>
          <w:color w:val="000000"/>
          <w:spacing w:val="0"/>
          <w:w w:val="100"/>
          <w:position w:val="0"/>
        </w:rPr>
        <w:t>、检验信息系统</w:t>
      </w:r>
      <w:r>
        <w:rPr>
          <w:color w:val="000000"/>
          <w:spacing w:val="0"/>
          <w:w w:val="100"/>
          <w:position w:val="0"/>
          <w:sz w:val="18"/>
          <w:szCs w:val="18"/>
        </w:rPr>
        <w:t>（LIS）</w:t>
      </w:r>
      <w:r>
        <w:rPr>
          <w:color w:val="000000"/>
          <w:spacing w:val="0"/>
          <w:w w:val="100"/>
          <w:position w:val="0"/>
        </w:rPr>
        <w:t>、超声信息系统</w:t>
      </w:r>
      <w:r>
        <w:rPr>
          <w:color w:val="000000"/>
          <w:spacing w:val="0"/>
          <w:w w:val="100"/>
          <w:position w:val="0"/>
          <w:sz w:val="18"/>
          <w:szCs w:val="18"/>
        </w:rPr>
        <w:t>（UIS</w:t>
      </w:r>
      <w:r>
        <w:rPr>
          <w:color w:val="000000"/>
          <w:spacing w:val="0"/>
          <w:w w:val="100"/>
          <w:position w:val="0"/>
        </w:rPr>
        <w:t>）等。患者的数据分散在这些不同科室的系统内，检查检 验结果需要患者进行收集后提供给医生进行诊断。随着医院各类信息系统不断增加，信息孤岛越来越多，数据共享程度低， 系统难以有效地按业务流程进行协作，不能体现以患者为中心的“数据一元化”管理。另一方面，对医护人员的临床业务支 撑能力不足，医护人员急需能够帮助他们提升临床服务水平、减少临床差错、提高工作效率的信息化工具。因此电子病历、 集成平台和临床数据中心应运而生，成为医疗信息化的重要内容。</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随着国家医疗体制改革的深化和信息技术的持续发展，医疗信息系统逐步衍生出互联网医院、医院集团解决方案、区域 医疗中心、医联体和医共体解决方案，同时行业开始探索基于“互联网+”和“大数据”的临床和管理应用。</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医疗健康行业属于典型的弱周期行业。作为服务于医疗机构和管理部门的医疗-卫生-健康信息化行业，其发展受国家医 疗体制改革政策、医疗卫生事业发展规划、医疗机构信息化支出水平的影响，整体呈弱周期性特征。近年来，随着健康中国、 疫情、数字中国和数字城市、国家和省市十四五规划的推动，医疗-卫生-健康信息化被前所未有的重视，国家、医院、市场 都较以前加大了投入，逐步出现高速、持续发展状态。</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医疗健康行业的发展需要得到信息技术发展的推动。近年来，各市场主体大力发展的互联网、云平台、大数据、人工智 能、物联网、</w:t>
      </w:r>
      <w:r>
        <w:rPr>
          <w:color w:val="000000"/>
          <w:spacing w:val="0"/>
          <w:w w:val="100"/>
          <w:position w:val="0"/>
          <w:sz w:val="18"/>
          <w:szCs w:val="18"/>
        </w:rPr>
        <w:t>5G</w:t>
      </w:r>
      <w:r>
        <w:rPr>
          <w:color w:val="000000"/>
          <w:spacing w:val="0"/>
          <w:w w:val="100"/>
          <w:position w:val="0"/>
        </w:rPr>
        <w:t>等新兴技术和服务模式，对行业起到了极大推动作用，并且拓展服务内容和服务模式。</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医疗卫生领域内的采购工作大多执行预算管理制度，预算审批集中于当年上半年，采购招标则集中于年中完成，下半年 进入项目执行期。因此，上半年订单相对较少，当年新增项目实施在下半年相对集中，销售回款在年末或次年初较为集中， 使得本行业具有一定的季节性特征。公司的订单金额相对于公司的年度收入规模来说金额较大，公司业务的季节性特征可能 受大金额项目的签约、实施节奏影响。</w:t>
      </w:r>
    </w:p>
    <w:p>
      <w:pPr>
        <w:pStyle w:val="Style17"/>
        <w:keepNext w:val="0"/>
        <w:keepLines w:val="0"/>
        <w:widowControl w:val="0"/>
        <w:shd w:val="clear" w:color="auto" w:fill="auto"/>
        <w:tabs>
          <w:tab w:pos="851" w:val="left"/>
        </w:tabs>
        <w:bidi w:val="0"/>
        <w:spacing w:before="0" w:after="0" w:line="312" w:lineRule="exact"/>
        <w:ind w:left="0" w:right="0" w:firstLine="380"/>
        <w:jc w:val="both"/>
      </w:pPr>
      <w:bookmarkStart w:id="68" w:name="bookmark68"/>
      <w:r>
        <w:rPr>
          <w:color w:val="000000"/>
          <w:spacing w:val="0"/>
          <w:w w:val="100"/>
          <w:position w:val="0"/>
        </w:rPr>
        <w:t>（</w:t>
      </w:r>
      <w:bookmarkEnd w:id="68"/>
      <w:r>
        <w:rPr>
          <w:color w:val="000000"/>
          <w:spacing w:val="0"/>
          <w:w w:val="100"/>
          <w:position w:val="0"/>
        </w:rPr>
        <w:t>二）</w:t>
        <w:tab/>
        <w:t>客户所处行业情况</w:t>
      </w:r>
    </w:p>
    <w:p>
      <w:pPr>
        <w:pStyle w:val="Style17"/>
        <w:keepNext w:val="0"/>
        <w:keepLines w:val="0"/>
        <w:widowControl w:val="0"/>
        <w:shd w:val="clear" w:color="auto" w:fill="auto"/>
        <w:bidi w:val="0"/>
        <w:spacing w:before="0" w:after="0" w:line="312" w:lineRule="exact"/>
        <w:ind w:left="0" w:right="0" w:firstLine="380"/>
        <w:jc w:val="both"/>
      </w:pPr>
      <w:bookmarkStart w:id="69" w:name="bookmark69"/>
      <w:r>
        <w:rPr>
          <w:color w:val="000000"/>
          <w:spacing w:val="0"/>
          <w:w w:val="100"/>
          <w:position w:val="0"/>
          <w:sz w:val="18"/>
          <w:szCs w:val="18"/>
        </w:rPr>
        <w:t>1</w:t>
      </w:r>
      <w:bookmarkEnd w:id="69"/>
      <w:r>
        <w:rPr>
          <w:color w:val="000000"/>
          <w:spacing w:val="0"/>
          <w:w w:val="100"/>
          <w:position w:val="0"/>
        </w:rPr>
        <w:t>、报告期内发生的重大变化</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报告期内，中国国内和全球疫情多次反复，进入常态化防控阶段，对于医院等医疗机构的日常运营产生了直接影响。在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03</w:t>
      </w:r>
      <w:r>
        <w:rPr>
          <w:color w:val="000000"/>
          <w:spacing w:val="0"/>
          <w:w w:val="100"/>
          <w:position w:val="0"/>
        </w:rPr>
        <w:t>月发布了《中华人民共和国国民经济和社会发展第十四个五年规划和</w:t>
      </w:r>
      <w:r>
        <w:rPr>
          <w:color w:val="000000"/>
          <w:spacing w:val="0"/>
          <w:w w:val="100"/>
          <w:position w:val="0"/>
          <w:sz w:val="18"/>
          <w:szCs w:val="18"/>
        </w:rPr>
        <w:t>2035</w:t>
      </w:r>
      <w:r>
        <w:rPr>
          <w:color w:val="000000"/>
          <w:spacing w:val="0"/>
          <w:w w:val="100"/>
          <w:position w:val="0"/>
        </w:rPr>
        <w:t>年远景目标纲要》</w:t>
      </w:r>
      <w:r>
        <w:rPr>
          <w:color w:val="000000"/>
          <w:spacing w:val="0"/>
          <w:w w:val="100"/>
          <w:position w:val="0"/>
          <w:sz w:val="18"/>
          <w:szCs w:val="18"/>
        </w:rPr>
        <w:t>，</w:t>
      </w:r>
      <w:r>
        <w:rPr>
          <w:color w:val="000000"/>
          <w:spacing w:val="0"/>
          <w:w w:val="100"/>
          <w:position w:val="0"/>
        </w:rPr>
        <w:t>提出全面推进健康中 国建设和实施积极应对人口老龄化国家战略。在这样的背景下，“健康中国”战略稳步推进，围绕公立医院高质量发展、深 化医改（三明模式）、医防融合、“互联网+医疗健康”、“五个一”服务行动、互联网+医保等重点工作，党和国家、国家 卫健委、国家医保局出台了一系列的政策和文件，来推动和落实；同时各级政府大力推动数字化转型，数字空间成为城市新 的数字基础设施，数据成为基础资源，推动各个行业，包括医疗卫生健康行业的服务内容和服务模式创新。</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月，国家卫健委正式发布了《医院智慧管理分级评估标准体系（试行）》，至此智慧医院三大评级标准体系， 《电子病历系统功能应用水平分级评价方法及标准》、《医院智慧服务分级评估标准体系（试行）》、《医院智慧管理分级评 估标准体系（试行）》，正式落地，为智慧医院建设提供具体指引。《智慧管理标准体系》把医院智慧管理分级评估项目划 分为医疗护理管理、人力资源管理、财务资产管理、设备设施管理、药品耗材管理、运营管理、运行保障管理、教学科研管 </w:t>
      </w:r>
      <w:r>
        <w:rPr>
          <w:color w:val="000000"/>
          <w:spacing w:val="0"/>
          <w:w w:val="100"/>
          <w:position w:val="0"/>
        </w:rPr>
        <w:t>理、办公管理及基础与安全</w:t>
      </w:r>
      <w:r>
        <w:rPr>
          <w:color w:val="000000"/>
          <w:spacing w:val="0"/>
          <w:w w:val="100"/>
          <w:position w:val="0"/>
          <w:sz w:val="18"/>
          <w:szCs w:val="18"/>
        </w:rPr>
        <w:t>10</w:t>
      </w:r>
      <w:r>
        <w:rPr>
          <w:color w:val="000000"/>
          <w:spacing w:val="0"/>
          <w:w w:val="100"/>
          <w:position w:val="0"/>
        </w:rPr>
        <w:t>个工作角色，每个工作角色逐个细分共计</w:t>
      </w:r>
      <w:r>
        <w:rPr>
          <w:color w:val="000000"/>
          <w:spacing w:val="0"/>
          <w:w w:val="100"/>
          <w:position w:val="0"/>
          <w:sz w:val="18"/>
          <w:szCs w:val="18"/>
        </w:rPr>
        <w:t>33</w:t>
      </w:r>
      <w:r>
        <w:rPr>
          <w:color w:val="000000"/>
          <w:spacing w:val="0"/>
          <w:w w:val="100"/>
          <w:position w:val="0"/>
        </w:rPr>
        <w:t>个业务项目。《标准体系》从智慧管理的功能和效 果两个方面进行评估，评估结果分为</w:t>
      </w:r>
      <w:r>
        <w:rPr>
          <w:color w:val="000000"/>
          <w:spacing w:val="0"/>
          <w:w w:val="100"/>
          <w:position w:val="0"/>
          <w:sz w:val="18"/>
          <w:szCs w:val="18"/>
        </w:rPr>
        <w:t>0</w:t>
      </w:r>
      <w:r>
        <w:rPr>
          <w:color w:val="000000"/>
          <w:spacing w:val="0"/>
          <w:w w:val="100"/>
          <w:position w:val="0"/>
        </w:rPr>
        <w:t>级至</w:t>
      </w:r>
      <w:r>
        <w:rPr>
          <w:color w:val="000000"/>
          <w:spacing w:val="0"/>
          <w:w w:val="100"/>
          <w:position w:val="0"/>
          <w:sz w:val="18"/>
          <w:szCs w:val="18"/>
        </w:rPr>
        <w:t>5</w:t>
      </w:r>
      <w:r>
        <w:rPr>
          <w:color w:val="000000"/>
          <w:spacing w:val="0"/>
          <w:w w:val="100"/>
          <w:position w:val="0"/>
        </w:rPr>
        <w:t>级。</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月，国务院办公厅发布《关于推动公立医院高质量发展的意见》（国办发〔</w:t>
      </w:r>
      <w:r>
        <w:rPr>
          <w:color w:val="000000"/>
          <w:spacing w:val="0"/>
          <w:w w:val="100"/>
          <w:position w:val="0"/>
          <w:sz w:val="18"/>
          <w:szCs w:val="18"/>
        </w:rPr>
        <w:t>2021</w:t>
      </w:r>
      <w:r>
        <w:rPr>
          <w:color w:val="000000"/>
          <w:spacing w:val="0"/>
          <w:w w:val="100"/>
          <w:position w:val="0"/>
        </w:rPr>
        <w:t>〕</w:t>
      </w:r>
      <w:r>
        <w:rPr>
          <w:color w:val="000000"/>
          <w:spacing w:val="0"/>
          <w:w w:val="100"/>
          <w:position w:val="0"/>
          <w:sz w:val="18"/>
          <w:szCs w:val="18"/>
        </w:rPr>
        <w:t>18</w:t>
      </w:r>
      <w:r>
        <w:rPr>
          <w:color w:val="000000"/>
          <w:spacing w:val="0"/>
          <w:w w:val="100"/>
          <w:position w:val="0"/>
        </w:rPr>
        <w:t>号），推动国家医学中心 和区域医疗中心发展，推进“智慧医院”建设。其中包括三个转变：从规模扩张转向提质增效、运行模式从粗放管理转向精 细化管理、资源配置从注重物质要素转向更加注重人才技术要素。公立医院高质量发展重点推进</w:t>
      </w:r>
      <w:r>
        <w:rPr>
          <w:color w:val="000000"/>
          <w:spacing w:val="0"/>
          <w:w w:val="100"/>
          <w:position w:val="0"/>
          <w:sz w:val="18"/>
          <w:szCs w:val="18"/>
        </w:rPr>
        <w:t>6</w:t>
      </w:r>
      <w:r>
        <w:rPr>
          <w:color w:val="000000"/>
          <w:spacing w:val="0"/>
          <w:w w:val="100"/>
          <w:position w:val="0"/>
        </w:rPr>
        <w:t>个方面工作：一是构建新 体系：建设国家医学中心和区域医疗中心、省级高水平医院、紧密型城市医疗集团和县域医共体。二是引领新趋势：加强临 床专科建设，建设智慧医院，发展远程医疗和互联网诊疗，推广多学科诊疗、日间手术等服务模式。三是提升新效能：健全 以经济管理为重点的科学化、规范化、精细化运营管理体系，提高资源配置和使用效率。四是激活新动力：落实政府投入责 任，持续深化医疗服务价格、医保支付方式、人事编制、薪酬制度、培养评价制度等重点领域改革，激发创新创造活力。五 是建设新文化：大力弘扬伟大抗疫精神和崇高职业精神，凝聚广大医务人员对工作极端负责、对人民极端热忱、对技术精益 求精的精神力量。六是坚持和加强党对公立医院的全面领导：全面执行和落实党委领导下的院长负责制。</w:t>
      </w:r>
    </w:p>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月，国务院副总理孙春兰在福建厦门、三明调研医改工作，要求各地坚持大卫生大健康理念，从以治病为中心 转向以人民健康为中心，围绕解决看病难、看病贵问题，深化“三医”联动改革，因地制宜学习借鉴三明医改经验，大力推 进药品带量采购、医疗服务价格、人事薪酬、医保支付等综合改革。各地要完善领导推进机制，创造性地把三明医改经验与 本地实际结合起来，完善分级诊疗体系，优化医疗资源配置，推进县域医共体建设，发展“互联网+医疗”，多措并举提升 县域医疗服务水平。</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月，为贯彻落实《国务院办公厅关于推动公立医院高质量发展的意见》要求，巩固“进一步改善医疗服务行动 计划”积极成果，国家卫健委联合国家中医药管理局发布《公立医院高质量发展促进行动</w:t>
      </w:r>
      <w:r>
        <w:rPr>
          <w:color w:val="000000"/>
          <w:spacing w:val="0"/>
          <w:w w:val="100"/>
          <w:position w:val="0"/>
          <w:sz w:val="18"/>
          <w:szCs w:val="18"/>
        </w:rPr>
        <w:t>（2021-2025</w:t>
      </w:r>
      <w:r>
        <w:rPr>
          <w:color w:val="000000"/>
          <w:spacing w:val="0"/>
          <w:w w:val="100"/>
          <w:position w:val="0"/>
        </w:rPr>
        <w:t>年）》，以便为实现 公立医院高质量发展提供持续动力，充分发挥公立医院在保障和改善民生中的重要作用。</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国家和政府高度重视数字中国建设，深刻洞悉数字化发展所带来的生产方式转型、经济结构重构、生活方式变迁和治理 方式变革的历史趋势，在实施国家大数据发展、数字经济发展、建设网络强国等一系列重大战略部署的基础上，明确提出了 数字中国战略。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月，中央网信办、国家发展改革委员会会同有关部门编制了《“十四五”国家信息规划》。同期， 国务院印发关于《“十四五”数字经济发展规划的通知》。通知指出，数字经济是继农业经济、工业经济之后的主要经济形 态，是促进公平与效率更加统一的新经济形态。在数字中国和数字城市的建设和转型中，数字健康是数字民生的重要内容， 数字健康城市是数字城市和数字政府的有机组成部分，各地正蓬勃开展建设和探索。</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这些政策的发布和各地的实践，进一步明确了 “健康中国”和“健康城市”的要求，推动医院高质量发展和三医联动建 设要求，细化了医疗-卫生-健康信息化的具体要求，推升医疗信息化投资需求；通过智慧医院和区域医疗中心建设，拓展医 院的服务空间和内容；通过城市医疗集团、县域医共体为核心的分级诊疗体系，落实优质医疗资源的多样化下沉；通过数字 健康城市的建设和创新服务，提高服务效率和资源效率，满足人民群众日益增长的医疗卫生健康需求。</w:t>
      </w:r>
    </w:p>
    <w:p>
      <w:pPr>
        <w:pStyle w:val="Style17"/>
        <w:keepNext w:val="0"/>
        <w:keepLines w:val="0"/>
        <w:widowControl w:val="0"/>
        <w:shd w:val="clear" w:color="auto" w:fill="auto"/>
        <w:tabs>
          <w:tab w:pos="664" w:val="left"/>
        </w:tabs>
        <w:bidi w:val="0"/>
        <w:spacing w:before="0" w:after="0" w:line="313" w:lineRule="exact"/>
        <w:ind w:left="0" w:right="0" w:firstLine="380"/>
        <w:jc w:val="both"/>
      </w:pPr>
      <w:bookmarkStart w:id="70" w:name="bookmark70"/>
      <w:r>
        <w:rPr>
          <w:color w:val="000000"/>
          <w:spacing w:val="0"/>
          <w:w w:val="100"/>
          <w:position w:val="0"/>
          <w:sz w:val="18"/>
          <w:szCs w:val="18"/>
        </w:rPr>
        <w:t>2</w:t>
      </w:r>
      <w:bookmarkEnd w:id="70"/>
      <w:r>
        <w:rPr>
          <w:color w:val="000000"/>
          <w:spacing w:val="0"/>
          <w:w w:val="100"/>
          <w:position w:val="0"/>
        </w:rPr>
        <w:t>、</w:t>
        <w:tab/>
        <w:t>客户的以上情况变化对公司当期以及未来发展的影响</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在健康中国建设、深化医疗改革的背景下，人民群众多层次多样化的健康需求不断增长，智慧医院和分级诊疗发展不断 明晰和规范，市场建设需求将持续稳定增长。同时，在疫情常态化防控和数字化转型背景下，医疗服务、健康服务、数字治 理将产生新的变化，比如：基于云平台的服务内容和服务模式的加速、医防融合、基层能力提升、城市一体化建设等。基于 公司的核心价值和深厚的行业积累，公司在医疗信息化市场及相关领域的创新业务方面将迎来更大的发展空间和机遇。</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此外，报告期内的疫情反复情况对于公司的当期业务产生了不利影响，具体体现为</w:t>
      </w:r>
      <w:r>
        <w:rPr>
          <w:color w:val="000000"/>
          <w:spacing w:val="0"/>
          <w:w w:val="100"/>
          <w:position w:val="0"/>
          <w:sz w:val="18"/>
          <w:szCs w:val="18"/>
        </w:rPr>
        <w:t>：（1）</w:t>
      </w:r>
      <w:r>
        <w:rPr>
          <w:color w:val="000000"/>
          <w:spacing w:val="0"/>
          <w:w w:val="100"/>
          <w:position w:val="0"/>
        </w:rPr>
        <w:t>因为疫情原因导致了部分客 户预算调整、医院防疫工作要求增加影响商业活动安排和人员流动，进而对新签合同进度产生了不利影响；</w:t>
      </w:r>
      <w:r>
        <w:rPr>
          <w:color w:val="000000"/>
          <w:spacing w:val="0"/>
          <w:w w:val="100"/>
          <w:position w:val="0"/>
          <w:sz w:val="18"/>
          <w:szCs w:val="18"/>
        </w:rPr>
        <w:t>（2）</w:t>
      </w:r>
      <w:r>
        <w:rPr>
          <w:color w:val="000000"/>
          <w:spacing w:val="0"/>
          <w:w w:val="100"/>
          <w:position w:val="0"/>
        </w:rPr>
        <w:t>建设中的 项目因为疫情反复导致了公司项目现场人员进场实施受到影响，报告期内公司有超过</w:t>
      </w:r>
      <w:r>
        <w:rPr>
          <w:color w:val="000000"/>
          <w:spacing w:val="0"/>
          <w:w w:val="100"/>
          <w:position w:val="0"/>
          <w:sz w:val="18"/>
          <w:szCs w:val="18"/>
        </w:rPr>
        <w:t>300</w:t>
      </w:r>
      <w:r>
        <w:rPr>
          <w:color w:val="000000"/>
          <w:spacing w:val="0"/>
          <w:w w:val="100"/>
          <w:position w:val="0"/>
        </w:rPr>
        <w:t>人次的项目交付相关人员受不同程 度隔离措施要求进行了</w:t>
      </w:r>
      <w:r>
        <w:rPr>
          <w:color w:val="000000"/>
          <w:spacing w:val="0"/>
          <w:w w:val="100"/>
          <w:position w:val="0"/>
          <w:sz w:val="18"/>
          <w:szCs w:val="18"/>
        </w:rPr>
        <w:t>7-14</w:t>
      </w:r>
      <w:r>
        <w:rPr>
          <w:color w:val="000000"/>
          <w:spacing w:val="0"/>
          <w:w w:val="100"/>
          <w:position w:val="0"/>
        </w:rPr>
        <w:t>天不等的隔离，导致部分项目交付周期延长、人员成本及差旅成本增加；</w:t>
      </w:r>
      <w:r>
        <w:rPr>
          <w:color w:val="000000"/>
          <w:spacing w:val="0"/>
          <w:w w:val="100"/>
          <w:position w:val="0"/>
          <w:sz w:val="18"/>
          <w:szCs w:val="18"/>
        </w:rPr>
        <w:t>（3）</w:t>
      </w:r>
      <w:r>
        <w:rPr>
          <w:color w:val="000000"/>
          <w:spacing w:val="0"/>
          <w:w w:val="100"/>
          <w:position w:val="0"/>
        </w:rPr>
        <w:t>医院客户因疫情 防控要求派出大量医护人员支援一线疫情防控，部分科室和业务部门常规工作受到较大影响，导致项目实施过程中的需求沟 通、事项确认、系统培训等环节延长进而影响交付效率。</w:t>
      </w:r>
    </w:p>
    <w:p>
      <w:pPr>
        <w:pStyle w:val="Style17"/>
        <w:keepNext w:val="0"/>
        <w:keepLines w:val="0"/>
        <w:widowControl w:val="0"/>
        <w:shd w:val="clear" w:color="auto" w:fill="auto"/>
        <w:tabs>
          <w:tab w:pos="664" w:val="left"/>
        </w:tabs>
        <w:bidi w:val="0"/>
        <w:spacing w:before="0" w:after="0" w:line="313" w:lineRule="exact"/>
        <w:ind w:left="0" w:right="0" w:firstLine="380"/>
        <w:jc w:val="both"/>
      </w:pPr>
      <w:bookmarkStart w:id="71" w:name="bookmark71"/>
      <w:r>
        <w:rPr>
          <w:color w:val="000000"/>
          <w:spacing w:val="0"/>
          <w:w w:val="100"/>
          <w:position w:val="0"/>
          <w:sz w:val="18"/>
          <w:szCs w:val="18"/>
        </w:rPr>
        <w:t>3</w:t>
      </w:r>
      <w:bookmarkEnd w:id="71"/>
      <w:r>
        <w:rPr>
          <w:color w:val="000000"/>
          <w:spacing w:val="0"/>
          <w:w w:val="100"/>
          <w:position w:val="0"/>
        </w:rPr>
        <w:t>、</w:t>
        <w:tab/>
        <w:t>公司针对上述影响所采取的措施</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针对上述影响，公司将在“智慧医院”领域和“城市级智慧医疗”领域，推出基于数字基础设施的新产品、新服务，将 更多产品和服务向线上及远程方式迁移，以更灵活的方式提供服务。公司计划积极研发符合未来智慧医院、医联体、医共体、 未来社区等新理念的整体解决方案，从产品和服务的综合方案提供方进一步向综合服务整合及运营方进化，提升医疗、卫生、 </w:t>
      </w:r>
      <w:r>
        <w:rPr>
          <w:color w:val="000000"/>
          <w:spacing w:val="0"/>
          <w:w w:val="100"/>
          <w:position w:val="0"/>
        </w:rPr>
        <w:t>健康服务效率，在合法合规的前提下充分挖掘数据价值，助力健康服务生态圈，以合作共赢方式实现商业模式的创新和盈利 能力的提升。</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针对疫情反复的情况对业务开展产生的不利影响，公司积极应对，主动调整，力争将疫情对于业务的不利影响控制在最 小范围，具体的举措包括：</w:t>
      </w:r>
      <w:r>
        <w:rPr>
          <w:color w:val="000000"/>
          <w:spacing w:val="0"/>
          <w:w w:val="100"/>
          <w:position w:val="0"/>
          <w:sz w:val="18"/>
          <w:szCs w:val="18"/>
        </w:rPr>
        <w:t>（1）</w:t>
      </w:r>
      <w:r>
        <w:rPr>
          <w:color w:val="000000"/>
          <w:spacing w:val="0"/>
          <w:w w:val="100"/>
          <w:position w:val="0"/>
        </w:rPr>
        <w:t>在政府要求的疫情防控政策基础上进一步强化公司内部的疫情防控要求和举措，报告期内 公司全员没有出现一例阳性确诊；</w:t>
      </w:r>
      <w:r>
        <w:rPr>
          <w:color w:val="000000"/>
          <w:spacing w:val="0"/>
          <w:w w:val="100"/>
          <w:position w:val="0"/>
          <w:sz w:val="18"/>
          <w:szCs w:val="18"/>
        </w:rPr>
        <w:t>（2）</w:t>
      </w:r>
      <w:r>
        <w:rPr>
          <w:color w:val="000000"/>
          <w:spacing w:val="0"/>
          <w:w w:val="100"/>
          <w:position w:val="0"/>
        </w:rPr>
        <w:t>对于意向客户的合同签订进度进行专班跟进，积极采用远程、线上方式组织业务开 展，同时积极探索客户因疫情原因导致预算调整的应对方案及创新模式；</w:t>
      </w:r>
      <w:r>
        <w:rPr>
          <w:color w:val="000000"/>
          <w:spacing w:val="0"/>
          <w:w w:val="100"/>
          <w:position w:val="0"/>
          <w:sz w:val="18"/>
          <w:szCs w:val="18"/>
        </w:rPr>
        <w:t>（3）</w:t>
      </w:r>
      <w:r>
        <w:rPr>
          <w:color w:val="000000"/>
          <w:spacing w:val="0"/>
          <w:w w:val="100"/>
          <w:position w:val="0"/>
        </w:rPr>
        <w:t>进一步优化及梳理项目交付过程中有关现场 交付和远程交付的内容边界，同时动态调整交付计划以应对人员被隔离或者无法现场交付的情况，将疫情防控对项目交付进 度的不利影响降到最低。</w:t>
      </w:r>
    </w:p>
    <w:p>
      <w:pPr>
        <w:pStyle w:val="Style17"/>
        <w:keepNext w:val="0"/>
        <w:keepLines w:val="0"/>
        <w:widowControl w:val="0"/>
        <w:shd w:val="clear" w:color="auto" w:fill="auto"/>
        <w:bidi w:val="0"/>
        <w:spacing w:before="0" w:after="0" w:line="312" w:lineRule="exact"/>
        <w:ind w:left="0" w:right="0" w:firstLine="380"/>
        <w:jc w:val="both"/>
      </w:pPr>
      <w:bookmarkStart w:id="72" w:name="bookmark72"/>
      <w:r>
        <w:rPr>
          <w:color w:val="000000"/>
          <w:spacing w:val="0"/>
          <w:w w:val="100"/>
          <w:position w:val="0"/>
        </w:rPr>
        <w:t>（</w:t>
      </w:r>
      <w:bookmarkEnd w:id="72"/>
      <w:r>
        <w:rPr>
          <w:color w:val="000000"/>
          <w:spacing w:val="0"/>
          <w:w w:val="100"/>
          <w:position w:val="0"/>
        </w:rPr>
        <w:t>三）公司所处行业地位</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公司是国内较早进入临床医疗信息化的产品服务商之一，成立至今一直专注于医疗卫生信息化领域，目前拥有领先的技 术体系、较强的自主研发能力、优势的产品服务，丰富的总体解决方案和大型项目实施交付经验，能够满足大型医疗机构客 户的建设需求，在医疗卫生信息化行业跻身前列。自成立以来，公司凭借良好的行业口碑，发展了一批以</w:t>
      </w:r>
      <w:r>
        <w:rPr>
          <w:color w:val="000000"/>
          <w:spacing w:val="0"/>
          <w:w w:val="100"/>
          <w:position w:val="0"/>
          <w:sz w:val="18"/>
          <w:szCs w:val="18"/>
        </w:rPr>
        <w:t>301</w:t>
      </w:r>
      <w:r>
        <w:rPr>
          <w:color w:val="000000"/>
          <w:spacing w:val="0"/>
          <w:w w:val="100"/>
          <w:position w:val="0"/>
        </w:rPr>
        <w:t>医院、西京医 院、同济医院、华西医院、湘雅医院、湘雅二院、浙医二院等国内</w:t>
      </w:r>
      <w:r>
        <w:rPr>
          <w:color w:val="000000"/>
          <w:spacing w:val="0"/>
          <w:w w:val="100"/>
          <w:position w:val="0"/>
          <w:sz w:val="18"/>
          <w:szCs w:val="18"/>
        </w:rPr>
        <w:t xml:space="preserve">T OP2 </w:t>
      </w:r>
      <w:r>
        <w:rPr>
          <w:color w:val="000000"/>
          <w:spacing w:val="0"/>
          <w:w w:val="100"/>
          <w:position w:val="0"/>
          <w:sz w:val="18"/>
          <w:szCs w:val="18"/>
        </w:rPr>
        <w:t>0</w:t>
      </w:r>
      <w:r>
        <w:rPr>
          <w:color w:val="000000"/>
          <w:spacing w:val="0"/>
          <w:w w:val="100"/>
          <w:position w:val="0"/>
        </w:rPr>
        <w:t>的一流知名医院为代表的标杆客户，体现了公司解 决方案在行业内的领先优势。</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公司拥有一支由博士领衔，由管理专家、信息技术专家、医疗业务专家等共同组成的精英团队。公司注重产学研合作和 国际技术交流，通过持续的开拓创新，技术理念和技术成果居于行业领先地位。公司是浙江省重点企业研究院、浙江省高新 技术企业研发中心、浙江省级企业技术中心、浙江省博士后科研工作站。并拥有</w:t>
      </w:r>
      <w:r>
        <w:rPr>
          <w:color w:val="000000"/>
          <w:spacing w:val="0"/>
          <w:w w:val="100"/>
          <w:position w:val="0"/>
          <w:sz w:val="18"/>
          <w:szCs w:val="18"/>
        </w:rPr>
        <w:t>CMMI5</w:t>
      </w:r>
      <w:r>
        <w:rPr>
          <w:color w:val="000000"/>
          <w:spacing w:val="0"/>
          <w:w w:val="100"/>
          <w:position w:val="0"/>
        </w:rPr>
        <w:t>、</w:t>
      </w:r>
      <w:r>
        <w:rPr>
          <w:color w:val="000000"/>
          <w:spacing w:val="0"/>
          <w:w w:val="100"/>
          <w:position w:val="0"/>
          <w:sz w:val="18"/>
          <w:szCs w:val="18"/>
        </w:rPr>
        <w:t>ITSS</w:t>
      </w:r>
      <w:r>
        <w:rPr>
          <w:color w:val="000000"/>
          <w:spacing w:val="0"/>
          <w:w w:val="100"/>
          <w:position w:val="0"/>
          <w:sz w:val="18"/>
          <w:szCs w:val="18"/>
        </w:rPr>
        <w:t>（</w:t>
      </w:r>
      <w:r>
        <w:rPr>
          <w:color w:val="000000"/>
          <w:spacing w:val="0"/>
          <w:w w:val="100"/>
          <w:position w:val="0"/>
        </w:rPr>
        <w:t>云服务一级）、</w:t>
      </w:r>
      <w:r>
        <w:rPr>
          <w:color w:val="000000"/>
          <w:spacing w:val="0"/>
          <w:w w:val="100"/>
          <w:position w:val="0"/>
          <w:sz w:val="18"/>
          <w:szCs w:val="18"/>
        </w:rPr>
        <w:t>ITSS</w:t>
      </w:r>
      <w:r>
        <w:rPr>
          <w:color w:val="000000"/>
          <w:spacing w:val="0"/>
          <w:w w:val="100"/>
          <w:position w:val="0"/>
          <w:sz w:val="18"/>
          <w:szCs w:val="18"/>
        </w:rPr>
        <w:t>（</w:t>
      </w:r>
      <w:r>
        <w:rPr>
          <w:color w:val="000000"/>
          <w:spacing w:val="0"/>
          <w:w w:val="100"/>
          <w:position w:val="0"/>
        </w:rPr>
        <w:t>运行 维护服务二级）、安防工程企业设计施工能力证书（壹级）、建筑智能化工程设计与施工资质（壹级）等资质认定及技术评 级。</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公司凭借技术、产品、解决方案和服务能力的综合优势，公司在智慧医疗大型项目拓展上表现良好，报告期内先后中标 并着手建设山西省运城市中心医院“互联网+”智慧医院建设项目、大连医科大学附属第三医院智慧医院软件系统项目、广 西医科大学附属肿瘤医院</w:t>
      </w:r>
      <w:r>
        <w:rPr>
          <w:color w:val="000000"/>
          <w:spacing w:val="0"/>
          <w:w w:val="100"/>
          <w:position w:val="0"/>
          <w:sz w:val="18"/>
          <w:szCs w:val="18"/>
        </w:rPr>
        <w:t>HIS+EMR</w:t>
      </w:r>
      <w:r>
        <w:rPr>
          <w:color w:val="000000"/>
          <w:spacing w:val="0"/>
          <w:w w:val="100"/>
          <w:position w:val="0"/>
        </w:rPr>
        <w:t>等医疗信息系统项目、绍兴市人民医院数字化医院建设综合采购项目、毕节市第一人民医 院智慧医院建设项目等一批单体金额超两千万元级别的项目。</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同时，围绕电子病历应用水平分级评价和国家医疗健康信息互联互通标准化成熟度评测方面，报告期内公司也成功帮助 客户取得良好成绩，如：浙江大学医学院附属第二医院通过电子病例五级评级、浙江大学医学院附属第四医院通过互联互通 五级乙等评级，浙江省人民医院通过电子病历五级评级及互联互通五级乙等评级，江西省妇幼保健院、临夏回族自治州人民 医院通过互联互通四级甲等评级等。</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目前，公司的杭州市富阳区智慧医疗区域云平台项目已上线运营</w:t>
      </w:r>
      <w:r>
        <w:rPr>
          <w:color w:val="000000"/>
          <w:spacing w:val="0"/>
          <w:w w:val="100"/>
          <w:position w:val="0"/>
          <w:sz w:val="18"/>
          <w:szCs w:val="18"/>
        </w:rPr>
        <w:t>9</w:t>
      </w:r>
      <w:r>
        <w:rPr>
          <w:color w:val="000000"/>
          <w:spacing w:val="0"/>
          <w:w w:val="100"/>
          <w:position w:val="0"/>
        </w:rPr>
        <w:t>年，服务覆盖富阳全区</w:t>
      </w:r>
      <w:r>
        <w:rPr>
          <w:color w:val="000000"/>
          <w:spacing w:val="0"/>
          <w:w w:val="100"/>
          <w:position w:val="0"/>
          <w:sz w:val="18"/>
          <w:szCs w:val="18"/>
        </w:rPr>
        <w:t>99%</w:t>
      </w:r>
      <w:r>
        <w:rPr>
          <w:color w:val="000000"/>
          <w:spacing w:val="0"/>
          <w:w w:val="100"/>
          <w:position w:val="0"/>
        </w:rPr>
        <w:t>的人口。</w:t>
      </w:r>
      <w:r>
        <w:rPr>
          <w:color w:val="000000"/>
          <w:spacing w:val="0"/>
          <w:w w:val="100"/>
          <w:position w:val="0"/>
          <w:sz w:val="18"/>
          <w:szCs w:val="18"/>
        </w:rPr>
        <w:t>2018</w:t>
      </w:r>
      <w:r>
        <w:rPr>
          <w:color w:val="000000"/>
          <w:spacing w:val="0"/>
          <w:w w:val="100"/>
          <w:position w:val="0"/>
        </w:rPr>
        <w:t>开始，富阳智 慧云医疗平台融入并承担杭州城市大脑“舒心就医”的建设和运营，</w:t>
      </w:r>
      <w:r>
        <w:rPr>
          <w:color w:val="000000"/>
          <w:spacing w:val="0"/>
          <w:w w:val="100"/>
          <w:position w:val="0"/>
          <w:sz w:val="18"/>
          <w:szCs w:val="18"/>
        </w:rPr>
        <w:t>2021</w:t>
      </w:r>
      <w:r>
        <w:rPr>
          <w:color w:val="000000"/>
          <w:spacing w:val="0"/>
          <w:w w:val="100"/>
          <w:position w:val="0"/>
        </w:rPr>
        <w:t>年已经覆盖杭州市所有区县的</w:t>
      </w:r>
      <w:r>
        <w:rPr>
          <w:color w:val="000000"/>
          <w:spacing w:val="0"/>
          <w:w w:val="100"/>
          <w:position w:val="0"/>
          <w:sz w:val="18"/>
          <w:szCs w:val="18"/>
        </w:rPr>
        <w:t>343</w:t>
      </w:r>
      <w:r>
        <w:rPr>
          <w:color w:val="000000"/>
          <w:spacing w:val="0"/>
          <w:w w:val="100"/>
          <w:position w:val="0"/>
        </w:rPr>
        <w:t>家医疗机构，包 括：</w:t>
      </w:r>
      <w:r>
        <w:rPr>
          <w:color w:val="000000"/>
          <w:spacing w:val="0"/>
          <w:w w:val="100"/>
          <w:position w:val="0"/>
          <w:sz w:val="18"/>
          <w:szCs w:val="18"/>
        </w:rPr>
        <w:t>19</w:t>
      </w:r>
      <w:r>
        <w:rPr>
          <w:color w:val="000000"/>
          <w:spacing w:val="0"/>
          <w:w w:val="100"/>
          <w:position w:val="0"/>
        </w:rPr>
        <w:t>家省级医院、</w:t>
      </w:r>
      <w:r>
        <w:rPr>
          <w:color w:val="000000"/>
          <w:spacing w:val="0"/>
          <w:w w:val="100"/>
          <w:position w:val="0"/>
          <w:sz w:val="18"/>
          <w:szCs w:val="18"/>
        </w:rPr>
        <w:t>13</w:t>
      </w:r>
      <w:r>
        <w:rPr>
          <w:color w:val="000000"/>
          <w:spacing w:val="0"/>
          <w:w w:val="100"/>
          <w:position w:val="0"/>
        </w:rPr>
        <w:t>家市级医院、区县级医疗机构</w:t>
      </w:r>
      <w:r>
        <w:rPr>
          <w:color w:val="000000"/>
          <w:spacing w:val="0"/>
          <w:w w:val="100"/>
          <w:position w:val="0"/>
          <w:sz w:val="18"/>
          <w:szCs w:val="18"/>
        </w:rPr>
        <w:t>44</w:t>
      </w:r>
      <w:r>
        <w:rPr>
          <w:color w:val="000000"/>
          <w:spacing w:val="0"/>
          <w:w w:val="100"/>
          <w:position w:val="0"/>
        </w:rPr>
        <w:t>家，基层医疗机构</w:t>
      </w:r>
      <w:r>
        <w:rPr>
          <w:color w:val="000000"/>
          <w:spacing w:val="0"/>
          <w:w w:val="100"/>
          <w:position w:val="0"/>
          <w:sz w:val="18"/>
          <w:szCs w:val="18"/>
        </w:rPr>
        <w:t>267</w:t>
      </w:r>
      <w:r>
        <w:rPr>
          <w:color w:val="000000"/>
          <w:spacing w:val="0"/>
          <w:w w:val="100"/>
          <w:position w:val="0"/>
        </w:rPr>
        <w:t>家，以及众多的社区卫生服务站。</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 杭州“城市大脑</w:t>
      </w:r>
      <w:r>
        <w:rPr>
          <w:color w:val="000000"/>
          <w:spacing w:val="0"/>
          <w:w w:val="100"/>
          <w:position w:val="0"/>
          <w:sz w:val="18"/>
          <w:szCs w:val="18"/>
        </w:rPr>
        <w:t>•</w:t>
      </w:r>
      <w:r>
        <w:rPr>
          <w:color w:val="000000"/>
          <w:spacing w:val="0"/>
          <w:w w:val="100"/>
          <w:position w:val="0"/>
        </w:rPr>
        <w:t>舒心就医”项目荣获</w:t>
      </w:r>
      <w:r>
        <w:rPr>
          <w:color w:val="000000"/>
          <w:spacing w:val="0"/>
          <w:w w:val="100"/>
          <w:position w:val="0"/>
          <w:sz w:val="18"/>
          <w:szCs w:val="18"/>
        </w:rPr>
        <w:t>“2019</w:t>
      </w:r>
      <w:r>
        <w:rPr>
          <w:color w:val="000000"/>
          <w:spacing w:val="0"/>
          <w:w w:val="100"/>
          <w:position w:val="0"/>
        </w:rPr>
        <w:t>年度浙江省数字化赋能智慧城市发展优秀成果奖”。</w:t>
      </w:r>
    </w:p>
    <w:p>
      <w:pPr>
        <w:pStyle w:val="Style17"/>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公司的“云药房”、“云病历”、“云公卫”三大应用方案，将有助于健康城市项目得以深入实施“互联网+医疗服务”、 “互联网+健康保障”、“互联网+公共卫生”、“互联网+综合监管”等领域信息化建设，打通全市医疗数据资源，重建医 疗服务机制，创新就医服务模式。此外，公司作为国内智慧医疗的创新案例，成功入选《</w:t>
      </w:r>
      <w:r>
        <w:rPr>
          <w:color w:val="000000"/>
          <w:spacing w:val="0"/>
          <w:w w:val="100"/>
          <w:position w:val="0"/>
          <w:sz w:val="18"/>
          <w:szCs w:val="18"/>
        </w:rPr>
        <w:t>2020</w:t>
      </w:r>
      <w:r>
        <w:rPr>
          <w:color w:val="000000"/>
          <w:spacing w:val="0"/>
          <w:w w:val="100"/>
          <w:position w:val="0"/>
        </w:rPr>
        <w:t>长三角商业创新样本》。</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5</w:t>
      </w:r>
      <w:r>
        <w:rPr>
          <w:color w:val="000000"/>
          <w:spacing w:val="0"/>
          <w:w w:val="100"/>
          <w:position w:val="0"/>
        </w:rPr>
        <w:t>月，“云药房”、“云病历”、“云公卫”等首批应用发布并取得良好的反响。</w:t>
      </w:r>
    </w:p>
    <w:p>
      <w:pPr>
        <w:pStyle w:val="Style21"/>
        <w:keepNext/>
        <w:keepLines/>
        <w:widowControl w:val="0"/>
        <w:shd w:val="clear" w:color="auto" w:fill="auto"/>
        <w:bidi w:val="0"/>
        <w:spacing w:before="0" w:after="58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rPr>
        <w:t>二</w:t>
      </w:r>
      <w:bookmarkEnd w:id="75"/>
      <w:r>
        <w:rPr>
          <w:color w:val="000000"/>
          <w:spacing w:val="0"/>
          <w:w w:val="100"/>
          <w:position w:val="0"/>
        </w:rPr>
        <w:t>、报告期内公司从事的主要业务</w:t>
      </w:r>
      <w:bookmarkEnd w:id="73"/>
      <w:bookmarkEnd w:id="74"/>
      <w:bookmarkEnd w:id="76"/>
    </w:p>
    <w:p>
      <w:pPr>
        <w:pStyle w:val="Style17"/>
        <w:keepNext w:val="0"/>
        <w:keepLines w:val="0"/>
        <w:widowControl w:val="0"/>
        <w:shd w:val="clear" w:color="auto" w:fill="auto"/>
        <w:bidi w:val="0"/>
        <w:spacing w:before="0" w:after="0" w:line="312" w:lineRule="exact"/>
        <w:ind w:left="0" w:right="0" w:firstLine="380"/>
        <w:jc w:val="both"/>
      </w:pPr>
      <w:bookmarkStart w:id="77" w:name="bookmark77"/>
      <w:r>
        <w:rPr>
          <w:color w:val="000000"/>
          <w:spacing w:val="0"/>
          <w:w w:val="100"/>
          <w:position w:val="0"/>
        </w:rPr>
        <w:t>（</w:t>
      </w:r>
      <w:bookmarkEnd w:id="77"/>
      <w:r>
        <w:rPr>
          <w:color w:val="000000"/>
          <w:spacing w:val="0"/>
          <w:w w:val="100"/>
          <w:position w:val="0"/>
        </w:rPr>
        <w:t>一）公司的主要业务</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公司是以医疗信息系统及数字化场景应用系统的研发销售、实施集成、服务支持为主营业务的总体解决方案服务商。从 流程、系统、数据的角度，公司为医疗机构与医疗卫生管理及协作机构的数据采集、融合、处理、存储、传输、共享和应用 提出基于自有核心系统的整体解决方案。公司的主要业务可以分为医疗信息系统和数字化场景应用系统两大部分，报告期内 </w:t>
      </w:r>
      <w:r>
        <w:rPr>
          <w:color w:val="000000"/>
          <w:spacing w:val="0"/>
          <w:w w:val="100"/>
          <w:position w:val="0"/>
        </w:rPr>
        <w:t>公司主要业务未发生重大变化。</w:t>
      </w:r>
    </w:p>
    <w:p>
      <w:pPr>
        <w:pStyle w:val="Style17"/>
        <w:keepNext w:val="0"/>
        <w:keepLines w:val="0"/>
        <w:widowControl w:val="0"/>
        <w:shd w:val="clear" w:color="auto" w:fill="auto"/>
        <w:tabs>
          <w:tab w:pos="674" w:val="left"/>
        </w:tabs>
        <w:bidi w:val="0"/>
        <w:spacing w:before="0" w:after="0" w:line="312" w:lineRule="exact"/>
        <w:ind w:left="0" w:right="0" w:firstLine="380"/>
        <w:jc w:val="both"/>
      </w:pPr>
      <w:bookmarkStart w:id="78" w:name="bookmark78"/>
      <w:r>
        <w:rPr>
          <w:color w:val="000000"/>
          <w:spacing w:val="0"/>
          <w:w w:val="100"/>
          <w:position w:val="0"/>
          <w:sz w:val="18"/>
          <w:szCs w:val="18"/>
        </w:rPr>
        <w:t>1</w:t>
      </w:r>
      <w:bookmarkEnd w:id="78"/>
      <w:r>
        <w:rPr>
          <w:color w:val="000000"/>
          <w:spacing w:val="0"/>
          <w:w w:val="100"/>
          <w:position w:val="0"/>
        </w:rPr>
        <w:t>、</w:t>
        <w:tab/>
        <w:t>医疗信息系统</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智慧医疗信息系统是根据医疗机构和医疗卫生管理及协作机构的具体业务流程和数据管理需求，构建相应系统和底层数 据架构，最终实现医疗行为流程的应用服务、系统管理、数据融合。智慧医疗信息系统可以具体分为医院临床信息系统、城 市级智慧医疗（数字健康城市）解决方案两个板块：</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医院临床信息系统以电子病历为核心实现临床医疗行为的完整纪录，包括数据的不错、不漏和实时互联互通。该系统主 要包括高端结构化电子病历系统、一体化医护工作站、医疗信息集成平台、临床数据中心、临床路径和辅助决策系统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CDSS</w:t>
      </w:r>
      <w:r>
        <w:rPr>
          <w:color w:val="000000"/>
          <w:spacing w:val="0"/>
          <w:w w:val="100"/>
          <w:position w:val="0"/>
        </w:rPr>
        <w:t xml:space="preserve">） </w:t>
      </w:r>
      <w:r>
        <w:rPr>
          <w:color w:val="000000"/>
          <w:spacing w:val="0"/>
          <w:w w:val="100"/>
          <w:position w:val="0"/>
        </w:rPr>
        <w:t>等电子病历及临床应用系统和将商业分析（</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w:t>
      </w:r>
      <w:r>
        <w:rPr>
          <w:color w:val="000000"/>
          <w:spacing w:val="0"/>
          <w:w w:val="100"/>
          <w:position w:val="0"/>
        </w:rPr>
        <w:t>企业资源管理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HRP</w:t>
      </w:r>
      <w:r>
        <w:rPr>
          <w:color w:val="000000"/>
          <w:spacing w:val="0"/>
          <w:w w:val="100"/>
          <w:position w:val="0"/>
        </w:rPr>
        <w:t>）、</w:t>
      </w:r>
      <w:r>
        <w:rPr>
          <w:color w:val="000000"/>
          <w:spacing w:val="0"/>
          <w:w w:val="100"/>
          <w:position w:val="0"/>
        </w:rPr>
        <w:t>客户关系管理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w:t>
      </w:r>
      <w:r>
        <w:rPr>
          <w:color w:val="000000"/>
          <w:spacing w:val="0"/>
          <w:w w:val="100"/>
          <w:position w:val="0"/>
        </w:rPr>
        <w:t>等企业经营管理理念运 用于医疗机构日常运营的管理应用系统。医院临床信息系统覆盖和支撑医院线下业务、线上互联网医疗业务，以及医院集团 和区域医疗中心业务。</w:t>
      </w:r>
    </w:p>
    <w:p>
      <w:pPr>
        <w:pStyle w:val="Style17"/>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城市级智慧医疗（数字健康城市）解决方案是城市范围内基于医疗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健康数据的互联互通，实现机构间业务流程协 同和患者全程服务的整体解决方案，是院内业务协同与数据互联互通在区域范围的延伸和拓展。该方案立足于大医疗、大卫 生、大健康和大服务的角度，实现跨机构的业务协同和可能的业务创新，提供检查检验结果共享互认、在线支付、区域版电 子病历、医生移动助手，与健康档案融合并提供实时在线查询、信用就医等惠民便民的医疗健康服务；实现智慧医院、医院 集团、医联体、医共体等医疗健康服务机构的业务协作、分级诊疗、慢病和健康管理等业务协作；同时辅助医院和管理部门 实现业务的有效监管、质量控制、综合控费、辅助决策、应急防疫等数字治理和实时服务需求；通过搭建基于云架构的综合 服务平台，可对接数字城市平台（城市大脑），满足城市数字化转型中医疗健康的业务与数据的深度应用和跨界场景需求， 支撑健康产业和数字经济发展。</w:t>
      </w:r>
    </w:p>
    <w:p>
      <w:pPr>
        <w:pStyle w:val="Style17"/>
        <w:keepNext w:val="0"/>
        <w:keepLines w:val="0"/>
        <w:widowControl w:val="0"/>
        <w:shd w:val="clear" w:color="auto" w:fill="auto"/>
        <w:tabs>
          <w:tab w:pos="674" w:val="left"/>
        </w:tabs>
        <w:bidi w:val="0"/>
        <w:spacing w:before="0" w:after="0" w:line="360" w:lineRule="auto"/>
        <w:ind w:left="0" w:right="0" w:firstLine="380"/>
        <w:jc w:val="both"/>
      </w:pPr>
      <w:bookmarkStart w:id="79" w:name="bookmark79"/>
      <w:r>
        <w:rPr>
          <w:rFonts w:ascii="Times New Roman" w:eastAsia="Times New Roman" w:hAnsi="Times New Roman" w:cs="Times New Roman"/>
          <w:color w:val="000000"/>
          <w:spacing w:val="0"/>
          <w:w w:val="100"/>
          <w:position w:val="0"/>
          <w:sz w:val="18"/>
          <w:szCs w:val="18"/>
        </w:rPr>
        <w:t>2</w:t>
      </w:r>
      <w:bookmarkEnd w:id="79"/>
      <w:r>
        <w:rPr>
          <w:color w:val="000000"/>
          <w:spacing w:val="0"/>
          <w:w w:val="100"/>
          <w:position w:val="0"/>
          <w:sz w:val="20"/>
          <w:szCs w:val="20"/>
        </w:rPr>
        <w:t>、</w:t>
        <w:tab/>
      </w:r>
      <w:r>
        <w:rPr>
          <w:color w:val="000000"/>
          <w:spacing w:val="0"/>
          <w:w w:val="100"/>
          <w:position w:val="0"/>
        </w:rPr>
        <w:t>数字化场景应用系统</w:t>
      </w:r>
    </w:p>
    <w:p>
      <w:pPr>
        <w:pStyle w:val="Style17"/>
        <w:keepNext w:val="0"/>
        <w:keepLines w:val="0"/>
        <w:widowControl w:val="0"/>
        <w:shd w:val="clear" w:color="auto" w:fill="auto"/>
        <w:bidi w:val="0"/>
        <w:spacing w:before="0" w:after="320" w:line="307" w:lineRule="exact"/>
        <w:ind w:left="0" w:right="0" w:firstLine="380"/>
        <w:jc w:val="both"/>
      </w:pPr>
      <w:r>
        <w:rPr>
          <w:color w:val="000000"/>
          <w:spacing w:val="0"/>
          <w:w w:val="100"/>
          <w:position w:val="0"/>
        </w:rPr>
        <w:t>数字化场景应用系统是公司临床信息系统在不同医疗服务场景下的延续应用。该系统以各场景内的业务需求为导向，借 助无线网络、物联网等通讯技术整合临床医疗信息系统、运营管理信息系统及该场景内其他设备、仪器等的数据，进行该特 定应用场景下的业务支撑和医疗及管理数据分析、挖掘和应用。该系统主要包括智慧门诊、智慧住院、智慧医技、智慧手术、 智慧重症监护、智慧后勤、智慧机房综合运维平台、综合运营和管理中心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HCC</w:t>
      </w:r>
      <w:r>
        <w:rPr>
          <w:color w:val="000000"/>
          <w:spacing w:val="0"/>
          <w:w w:val="100"/>
          <w:position w:val="0"/>
        </w:rPr>
        <w:t>）</w:t>
      </w:r>
      <w:r>
        <w:rPr>
          <w:color w:val="000000"/>
          <w:spacing w:val="0"/>
          <w:w w:val="100"/>
          <w:position w:val="0"/>
        </w:rPr>
        <w:t>等。</w:t>
      </w:r>
    </w:p>
    <w:p>
      <w:pPr>
        <w:pStyle w:val="Style17"/>
        <w:keepNext w:val="0"/>
        <w:keepLines w:val="0"/>
        <w:widowControl w:val="0"/>
        <w:shd w:val="clear" w:color="auto" w:fill="auto"/>
        <w:bidi w:val="0"/>
        <w:spacing w:before="0" w:after="0" w:line="313" w:lineRule="exact"/>
        <w:ind w:left="0" w:right="0" w:firstLine="380"/>
        <w:jc w:val="both"/>
      </w:pPr>
      <w:bookmarkStart w:id="80" w:name="bookmark80"/>
      <w:r>
        <w:rPr>
          <w:color w:val="000000"/>
          <w:spacing w:val="0"/>
          <w:w w:val="100"/>
          <w:position w:val="0"/>
        </w:rPr>
        <w:t>（</w:t>
      </w:r>
      <w:bookmarkEnd w:id="80"/>
      <w:r>
        <w:rPr>
          <w:color w:val="000000"/>
          <w:spacing w:val="0"/>
          <w:w w:val="100"/>
          <w:position w:val="0"/>
        </w:rPr>
        <w:t>二）公司产品竞争优势</w:t>
      </w:r>
    </w:p>
    <w:p>
      <w:pPr>
        <w:pStyle w:val="Style1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随着公司在行业及市场的不断投入、持续研发及产品的更新迭代，公司产品在市场应用方面具备以下特色及优势：</w:t>
      </w:r>
    </w:p>
    <w:p>
      <w:pPr>
        <w:pStyle w:val="Style17"/>
        <w:keepNext w:val="0"/>
        <w:keepLines w:val="0"/>
        <w:widowControl w:val="0"/>
        <w:shd w:val="clear" w:color="auto" w:fill="auto"/>
        <w:tabs>
          <w:tab w:pos="674" w:val="left"/>
        </w:tabs>
        <w:bidi w:val="0"/>
        <w:spacing w:before="0" w:after="0" w:line="313" w:lineRule="exact"/>
        <w:ind w:left="0" w:right="0" w:firstLine="380"/>
        <w:jc w:val="both"/>
      </w:pPr>
      <w:bookmarkStart w:id="81" w:name="bookmark81"/>
      <w:r>
        <w:rPr>
          <w:rFonts w:ascii="Times New Roman" w:eastAsia="Times New Roman" w:hAnsi="Times New Roman" w:cs="Times New Roman"/>
          <w:color w:val="000000"/>
          <w:spacing w:val="0"/>
          <w:w w:val="100"/>
          <w:position w:val="0"/>
          <w:sz w:val="18"/>
          <w:szCs w:val="18"/>
        </w:rPr>
        <w:t>1</w:t>
      </w:r>
      <w:bookmarkEnd w:id="81"/>
      <w:r>
        <w:rPr>
          <w:color w:val="000000"/>
          <w:spacing w:val="0"/>
          <w:w w:val="100"/>
          <w:position w:val="0"/>
        </w:rPr>
        <w:t>、</w:t>
        <w:tab/>
        <w:t>支持国产化操作系统和数据库</w:t>
      </w:r>
    </w:p>
    <w:p>
      <w:pPr>
        <w:pStyle w:val="Style1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公司核心产品可以支持多种操作系统（包括国产化操作系统），数据库服务器和应用服务器采用</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开源操作系统， 客户端可以支持各种国产化操作系统、</w:t>
      </w:r>
      <w:r>
        <w:rPr>
          <w:rFonts w:ascii="Times New Roman" w:eastAsia="Times New Roman" w:hAnsi="Times New Roman" w:cs="Times New Roman"/>
          <w:color w:val="000000"/>
          <w:spacing w:val="0"/>
          <w:w w:val="100"/>
          <w:position w:val="0"/>
          <w:sz w:val="18"/>
          <w:szCs w:val="18"/>
        </w:rPr>
        <w:t>Windows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MacOS</w:t>
      </w:r>
      <w:r>
        <w:rPr>
          <w:color w:val="000000"/>
          <w:spacing w:val="0"/>
          <w:w w:val="100"/>
          <w:position w:val="0"/>
        </w:rPr>
        <w:t>等计算机操作系统，也可以运行在平板、</w:t>
      </w:r>
      <w:r>
        <w:rPr>
          <w:rFonts w:ascii="Times New Roman" w:eastAsia="Times New Roman" w:hAnsi="Times New Roman" w:cs="Times New Roman"/>
          <w:color w:val="000000"/>
          <w:spacing w:val="0"/>
          <w:w w:val="100"/>
          <w:position w:val="0"/>
          <w:sz w:val="18"/>
          <w:szCs w:val="18"/>
        </w:rPr>
        <w:t>PDA</w:t>
      </w:r>
      <w:r>
        <w:rPr>
          <w:color w:val="000000"/>
          <w:spacing w:val="0"/>
          <w:w w:val="100"/>
          <w:position w:val="0"/>
        </w:rPr>
        <w:t>、</w:t>
      </w:r>
      <w:r>
        <w:rPr>
          <w:color w:val="000000"/>
          <w:spacing w:val="0"/>
          <w:w w:val="100"/>
          <w:position w:val="0"/>
        </w:rPr>
        <w:t>手机等多种类型的 终端上；公司核心产品可以支持国产化分布式关系型数据库，可支持超大规模集团医院或城市平台的业务，具备很好的水平 扩容能力，支撑快速增长的数据量；新一代医院信息系统也已主体实现国产化支持。</w:t>
      </w:r>
    </w:p>
    <w:p>
      <w:pPr>
        <w:pStyle w:val="Style17"/>
        <w:keepNext w:val="0"/>
        <w:keepLines w:val="0"/>
        <w:widowControl w:val="0"/>
        <w:shd w:val="clear" w:color="auto" w:fill="auto"/>
        <w:tabs>
          <w:tab w:pos="674" w:val="left"/>
        </w:tabs>
        <w:bidi w:val="0"/>
        <w:spacing w:before="0" w:after="0" w:line="360" w:lineRule="auto"/>
        <w:ind w:left="0" w:right="0" w:firstLine="380"/>
        <w:jc w:val="both"/>
      </w:pPr>
      <w:bookmarkStart w:id="82" w:name="bookmark82"/>
      <w:r>
        <w:rPr>
          <w:rFonts w:ascii="Times New Roman" w:eastAsia="Times New Roman" w:hAnsi="Times New Roman" w:cs="Times New Roman"/>
          <w:color w:val="000000"/>
          <w:spacing w:val="0"/>
          <w:w w:val="100"/>
          <w:position w:val="0"/>
          <w:sz w:val="18"/>
          <w:szCs w:val="18"/>
        </w:rPr>
        <w:t>2</w:t>
      </w:r>
      <w:bookmarkEnd w:id="82"/>
      <w:r>
        <w:rPr>
          <w:color w:val="000000"/>
          <w:spacing w:val="0"/>
          <w:w w:val="100"/>
          <w:position w:val="0"/>
        </w:rPr>
        <w:t>、</w:t>
        <w:tab/>
        <w:t>积木式组装能力</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公司自研支持组件化方式组装业务工作站的基础框架，基于之上研发的公司核心产品（如新一代医院信息系统、数字健 康城市平台等）让交付团队能完成系统的定制组装，实现了研发和交付的相对分离，既可以提高医院信息系统的产品化水平， 同时也能满足医疗机构的个性化需求。具体分工上，研发团队负责完成最小功能组件的开发，交付团队负责根据用户实际需 求组合这些最小功能组件，形成面向各类角色、科室的业务工作站，能够极大降低个性化开发成本，避免版本的碎片化，同 时也可以缩短上线周期。</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例如，江苏省中医院（注：该院是中国首批成立的省级中医院，拥有超过</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张床位和超</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名医护教职人员；连续</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年名列江苏省门诊业务量第一；在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艾力彼中医医院</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强中排名全国第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。）选用公司新一代医院信息化系统整体服务， 从交付团队进场到完成整体切换上线（包括：门诊、急诊、住院全线业务系统；集成平台；数据中心；互联网医院等）仅用 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个多月。</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医院信息化系统优势（以新一代医院信息系统为例）</w:t>
      </w:r>
    </w:p>
    <w:tbl>
      <w:tblPr>
        <w:tblOverlap w:val="never"/>
        <w:jc w:val="center"/>
        <w:tblLayout w:type="fixed"/>
      </w:tblPr>
      <w:tblGrid>
        <w:gridCol w:w="1243"/>
        <w:gridCol w:w="7411"/>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全新设计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以临床为核心全新设计底层信息模型，让信息化覆盖医院核心业务功能、流程，符合最新国家</w:t>
            </w:r>
          </w:p>
        </w:tc>
      </w:tr>
    </w:tbl>
    <w:p>
      <w:pPr>
        <w:spacing w:lineRule="exact" w:line="1"/>
        <w:rPr>
          <w:sz w:val="2"/>
          <w:szCs w:val="2"/>
        </w:rPr>
      </w:pPr>
      <w:r>
        <w:br w:type="page"/>
      </w:r>
    </w:p>
    <w:tbl>
      <w:tblPr>
        <w:tblOverlap w:val="never"/>
        <w:jc w:val="center"/>
        <w:tblLayout w:type="fixed"/>
      </w:tblPr>
      <w:tblGrid>
        <w:gridCol w:w="1243"/>
        <w:gridCol w:w="7411"/>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建设标准和规范</w:t>
            </w:r>
          </w:p>
        </w:tc>
      </w:tr>
      <w:tr>
        <w:trPr>
          <w:trHeight w:val="15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全新技术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采用企业级互联网系统技术框架，采用标准开放的微服务架构和功能组件，可支持超大规模集 团医院一体化部署，实现业务和数据无缝协同。在系统部署方面，支持高效、经济、安全的混 合云部署模式（院内私有云核心系统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公有云灾备系统），充分利用公有云资源按需使用的特 性，减少医院硬件资源的投入，可灵活满足集团化医院和医共体的平稳延伸需求，在当下政策 大力推进医疗资源结构均衡化、医联体、医共体大发展的背景下，具有明显优势和市场竞争力</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一体化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实现了</w:t>
            </w:r>
            <w:r>
              <w:rPr>
                <w:rFonts w:ascii="Times New Roman" w:eastAsia="Times New Roman" w:hAnsi="Times New Roman" w:cs="Times New Roman"/>
                <w:color w:val="000000"/>
                <w:spacing w:val="0"/>
                <w:w w:val="100"/>
                <w:position w:val="0"/>
                <w:sz w:val="18"/>
                <w:szCs w:val="18"/>
              </w:rPr>
              <w:t>HIS+EMR</w:t>
            </w:r>
            <w:r>
              <w:rPr>
                <w:color w:val="000000"/>
                <w:spacing w:val="0"/>
                <w:w w:val="100"/>
                <w:position w:val="0"/>
              </w:rPr>
              <w:t>一体化、门急诊住院一体化、院内院外一体化、线上线下一体化、固定移动一 体化、多院区一体化</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智慧化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将智能医疗质量管理与控制和临床辅助决策支持深度融合到核心业务场景中，内置了大量的医 疗规则和预警机制，通过事中提醒或拦截通知医护人员，有助于提升医疗安全</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闭环化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药疗、检查、检验、手术、用血、治疗等核心业务流程形成闭环管理，可以有效解决业务环节 缺失的问题，做到所有业务点可回溯，并规范了医疗行为，推动临床医疗质量的持续改进</w:t>
            </w:r>
          </w:p>
        </w:tc>
      </w:tr>
      <w:tr>
        <w:trPr>
          <w:trHeight w:val="12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移动化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满足移动医疗场景需求，通过平板、</w:t>
            </w:r>
            <w:r>
              <w:rPr>
                <w:rFonts w:ascii="Times New Roman" w:eastAsia="Times New Roman" w:hAnsi="Times New Roman" w:cs="Times New Roman"/>
                <w:color w:val="000000"/>
                <w:spacing w:val="0"/>
                <w:w w:val="100"/>
                <w:position w:val="0"/>
                <w:sz w:val="18"/>
                <w:szCs w:val="18"/>
              </w:rPr>
              <w:t>PDA</w:t>
            </w:r>
            <w:r>
              <w:rPr>
                <w:color w:val="000000"/>
                <w:spacing w:val="0"/>
                <w:w w:val="100"/>
                <w:position w:val="0"/>
              </w:rPr>
              <w:t>和智能手机等移动终端随时随地为医生、护士提供实 时的线上线下联动的医疗数据和业务功能，实现医院核心医疗业务的移动化，让医护人员与临 床信息零距离，有效提高临床医护人员和管理人员的工作效率，越来越多的医护人员将其作为 日常工作场景的生产工具</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开放性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系统内置开放共创平台赋能合作伙伴，便于合作伙伴参与共创，实现安全机制、用户体系、业 务数据、业务功能的开放和融合，让系统功能不再受限，让用户感受到统一的用户体验</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城市级智慧医疗（数字健康城市）解决方案优势</w:t>
      </w:r>
    </w:p>
    <w:tbl>
      <w:tblPr>
        <w:tblOverlap w:val="never"/>
        <w:jc w:val="center"/>
        <w:tblLayout w:type="fixed"/>
      </w:tblPr>
      <w:tblGrid>
        <w:gridCol w:w="1104"/>
        <w:gridCol w:w="7526"/>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数据标准可扩 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平台基于国际标准进行数据建模，可复用、可扩展、易维护。服务平台具有技术先进性和可扩展 性，支持资源池化、弹性扩展、智能运维，实现离在线数据的一体化</w:t>
            </w:r>
          </w:p>
        </w:tc>
      </w:tr>
      <w:tr>
        <w:trPr>
          <w:trHeight w:val="15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实时数据驱动 管理重塑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通过对海量的医疗、健康、医保等数据的整合、关联、挖掘和分析，建立实时的数字健康城市平 台，以数据大集中推进业务大协同，数据驱动管理重塑，为城市运行管理提供更科学的监测分析 和预警决策能力，更高水平的智能化执行能力，更协调的跨部门、多层级和异地合作能力，推动 城市管理行为向跨条线、跨部门协同模式转变，逐步建立起了以信息为核心、以事件为驱动的新 型城市智慧管理中心，以新理念打造宜居健康城市</w:t>
            </w:r>
          </w:p>
        </w:tc>
      </w:tr>
      <w:tr>
        <w:trPr>
          <w:trHeight w:val="9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实时在线的云 病历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建成伴随一生的实时、在线、全程、全域的个人健康活档案，提高群众就医满意度，实现居民医 疗健康信息顺畅流转，赋能医疗信息查询、疾病风险评估、家医签约、在线问诊，提升医护人员 和医院的医疗服务能力</w:t>
            </w:r>
          </w:p>
        </w:tc>
      </w:tr>
    </w:tbl>
    <w:p>
      <w:pPr>
        <w:widowControl w:val="0"/>
        <w:spacing w:after="359" w:line="1" w:lineRule="exact"/>
      </w:pPr>
    </w:p>
    <w:p>
      <w:pPr>
        <w:pStyle w:val="Style17"/>
        <w:keepNext w:val="0"/>
        <w:keepLines w:val="0"/>
        <w:widowControl w:val="0"/>
        <w:shd w:val="clear" w:color="auto" w:fill="auto"/>
        <w:bidi w:val="0"/>
        <w:spacing w:before="0" w:after="100" w:line="240" w:lineRule="auto"/>
        <w:ind w:left="0" w:right="0"/>
        <w:jc w:val="left"/>
      </w:pPr>
      <w:bookmarkStart w:id="83" w:name="bookmark83"/>
      <w:r>
        <w:rPr>
          <w:color w:val="000000"/>
          <w:spacing w:val="0"/>
          <w:w w:val="100"/>
          <w:position w:val="0"/>
        </w:rPr>
        <w:t>（</w:t>
      </w:r>
      <w:bookmarkEnd w:id="83"/>
      <w:r>
        <w:rPr>
          <w:color w:val="000000"/>
          <w:spacing w:val="0"/>
          <w:w w:val="100"/>
          <w:position w:val="0"/>
        </w:rPr>
        <w:t>三）主要业绩驱动因素</w:t>
      </w:r>
    </w:p>
    <w:p>
      <w:pPr>
        <w:pStyle w:val="Style17"/>
        <w:keepNext w:val="0"/>
        <w:keepLines w:val="0"/>
        <w:widowControl w:val="0"/>
        <w:shd w:val="clear" w:color="auto" w:fill="auto"/>
        <w:tabs>
          <w:tab w:pos="694" w:val="left"/>
        </w:tabs>
        <w:bidi w:val="0"/>
        <w:spacing w:before="0" w:after="100" w:line="240" w:lineRule="auto"/>
        <w:ind w:left="0" w:right="0"/>
        <w:jc w:val="left"/>
      </w:pPr>
      <w:bookmarkStart w:id="84" w:name="bookmark84"/>
      <w:r>
        <w:rPr>
          <w:rFonts w:ascii="Times New Roman" w:eastAsia="Times New Roman" w:hAnsi="Times New Roman" w:cs="Times New Roman"/>
          <w:color w:val="000000"/>
          <w:spacing w:val="0"/>
          <w:w w:val="100"/>
          <w:position w:val="0"/>
          <w:sz w:val="18"/>
          <w:szCs w:val="18"/>
        </w:rPr>
        <w:t>1</w:t>
      </w:r>
      <w:bookmarkEnd w:id="84"/>
      <w:r>
        <w:rPr>
          <w:color w:val="000000"/>
          <w:spacing w:val="0"/>
          <w:w w:val="100"/>
          <w:position w:val="0"/>
        </w:rPr>
        <w:t>、</w:t>
        <w:tab/>
        <w:t>客户需求的持续提升是推动行业快速发展的根本因素。</w:t>
      </w:r>
    </w:p>
    <w:p>
      <w:pPr>
        <w:pStyle w:val="Style17"/>
        <w:keepNext w:val="0"/>
        <w:keepLines w:val="0"/>
        <w:widowControl w:val="0"/>
        <w:shd w:val="clear" w:color="auto" w:fill="auto"/>
        <w:tabs>
          <w:tab w:pos="714" w:val="left"/>
        </w:tabs>
        <w:bidi w:val="0"/>
        <w:spacing w:before="0" w:after="100" w:line="240" w:lineRule="auto"/>
        <w:ind w:left="0" w:right="0"/>
        <w:jc w:val="left"/>
      </w:pPr>
      <w:bookmarkStart w:id="85" w:name="bookmark85"/>
      <w:r>
        <w:rPr>
          <w:rFonts w:ascii="Times New Roman" w:eastAsia="Times New Roman" w:hAnsi="Times New Roman" w:cs="Times New Roman"/>
          <w:color w:val="000000"/>
          <w:spacing w:val="0"/>
          <w:w w:val="100"/>
          <w:position w:val="0"/>
          <w:sz w:val="18"/>
          <w:szCs w:val="18"/>
        </w:rPr>
        <w:t>2</w:t>
      </w:r>
      <w:bookmarkEnd w:id="85"/>
      <w:r>
        <w:rPr>
          <w:color w:val="000000"/>
          <w:spacing w:val="0"/>
          <w:w w:val="100"/>
          <w:position w:val="0"/>
        </w:rPr>
        <w:t>、</w:t>
        <w:tab/>
        <w:t>国家政策支持以及行业标准体系陆续出台（智慧医院三大评级标准）是促进行业发展的重要因素。</w:t>
      </w:r>
    </w:p>
    <w:p>
      <w:pPr>
        <w:pStyle w:val="Style17"/>
        <w:keepNext w:val="0"/>
        <w:keepLines w:val="0"/>
        <w:widowControl w:val="0"/>
        <w:shd w:val="clear" w:color="auto" w:fill="auto"/>
        <w:tabs>
          <w:tab w:pos="714" w:val="left"/>
        </w:tabs>
        <w:bidi w:val="0"/>
        <w:spacing w:before="0" w:after="700" w:line="240" w:lineRule="auto"/>
        <w:ind w:left="0" w:right="0"/>
        <w:jc w:val="left"/>
      </w:pPr>
      <w:bookmarkStart w:id="86" w:name="bookmark86"/>
      <w:r>
        <w:rPr>
          <w:rFonts w:ascii="Times New Roman" w:eastAsia="Times New Roman" w:hAnsi="Times New Roman" w:cs="Times New Roman"/>
          <w:color w:val="000000"/>
          <w:spacing w:val="0"/>
          <w:w w:val="100"/>
          <w:position w:val="0"/>
          <w:sz w:val="18"/>
          <w:szCs w:val="18"/>
        </w:rPr>
        <w:t>3</w:t>
      </w:r>
      <w:bookmarkEnd w:id="86"/>
      <w:r>
        <w:rPr>
          <w:color w:val="000000"/>
          <w:spacing w:val="0"/>
          <w:w w:val="100"/>
          <w:position w:val="0"/>
        </w:rPr>
        <w:t>、</w:t>
        <w:tab/>
        <w:t>新场景以及信息技术在医疗健康行业的创新应用不断发展革新推动行业发展。</w:t>
      </w:r>
    </w:p>
    <w:p>
      <w:pPr>
        <w:pStyle w:val="Style21"/>
        <w:keepNext/>
        <w:keepLines/>
        <w:widowControl w:val="0"/>
        <w:shd w:val="clear" w:color="auto" w:fill="auto"/>
        <w:bidi w:val="0"/>
        <w:spacing w:before="0" w:after="26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rPr>
        <w:t>三</w:t>
      </w:r>
      <w:bookmarkEnd w:id="89"/>
      <w:r>
        <w:rPr>
          <w:color w:val="000000"/>
          <w:spacing w:val="0"/>
          <w:w w:val="100"/>
          <w:position w:val="0"/>
        </w:rPr>
        <w:t>、核心竞争力分析</w:t>
      </w:r>
      <w:bookmarkEnd w:id="87"/>
      <w:bookmarkEnd w:id="88"/>
      <w:bookmarkEnd w:id="90"/>
    </w:p>
    <w:p>
      <w:pPr>
        <w:pStyle w:val="Style17"/>
        <w:keepNext w:val="0"/>
        <w:keepLines w:val="0"/>
        <w:widowControl w:val="0"/>
        <w:shd w:val="clear" w:color="auto" w:fill="auto"/>
        <w:bidi w:val="0"/>
        <w:spacing w:before="0" w:after="0" w:line="312" w:lineRule="exact"/>
        <w:ind w:left="0" w:right="0"/>
        <w:jc w:val="left"/>
      </w:pPr>
      <w:bookmarkStart w:id="91" w:name="bookmark91"/>
      <w:r>
        <w:rPr>
          <w:color w:val="000000"/>
          <w:spacing w:val="0"/>
          <w:w w:val="100"/>
          <w:position w:val="0"/>
        </w:rPr>
        <w:t>（</w:t>
      </w:r>
      <w:bookmarkEnd w:id="91"/>
      <w:r>
        <w:rPr>
          <w:color w:val="000000"/>
          <w:spacing w:val="0"/>
          <w:w w:val="100"/>
          <w:position w:val="0"/>
        </w:rPr>
        <w:t>一）基于临床核心产品的整体解决方案能力</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公司基于对医疗机构的业务流程、组织编制、管理模式、技术环境和操作习惯等应用场景和业务的深刻理解，以临床数 据的互联互通为核心，根据数据采集、融合、应用的思路，为医疗机构提供具有顶层设计的全院级别智慧医院整体解决方案。</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首先，基于公司顾问式的咨询服务能力，整体解决方案的顶层设计思路使得公司与医院之间不仅是简单的产品销售关系， 而是包括需求分析、流程优化、方案设计、定制化开发、系统实施、总体运维等环节在内的全方位合作。公司整体解决方案 </w:t>
      </w:r>
      <w:r>
        <w:rPr>
          <w:color w:val="000000"/>
          <w:spacing w:val="0"/>
          <w:w w:val="100"/>
          <w:position w:val="0"/>
        </w:rPr>
        <w:t>定位于大型医院全院级别信息应用的系统工程，充分考虑了大型医院全科室、大门诊量、应用软件繁杂等业务特征，以电子 病历为核心，结合定制化需求开发，构建临床医疗管理信息平台。</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其次，凭借以自有临床产品为核心的整体解决方案，公司占据了医疗信息化建设的核心位置。临床数据处理是医院信息 系统的核心，公司的高端结构化电子病历系统是医院医护人员的临床业务操作系统，是医护一体化的业务管理平台，是完整 纪录临床行为、完整采集并融合临床数据的医院核心业务系统。公司通过集成平台与</w:t>
      </w:r>
      <w:r>
        <w:rPr>
          <w:rFonts w:ascii="Times New Roman" w:eastAsia="Times New Roman" w:hAnsi="Times New Roman" w:cs="Times New Roman"/>
          <w:color w:val="000000"/>
          <w:spacing w:val="0"/>
          <w:w w:val="100"/>
          <w:position w:val="0"/>
          <w:sz w:val="18"/>
          <w:szCs w:val="18"/>
        </w:rPr>
        <w:t xml:space="preserve">HIS </w:t>
      </w:r>
      <w:r>
        <w:rPr>
          <w:color w:val="000000"/>
          <w:spacing w:val="0"/>
          <w:w w:val="100"/>
          <w:position w:val="0"/>
        </w:rPr>
        <w:t>（医院信息系统）、</w:t>
      </w:r>
      <w:r>
        <w:rPr>
          <w:rFonts w:ascii="Times New Roman" w:eastAsia="Times New Roman" w:hAnsi="Times New Roman" w:cs="Times New Roman"/>
          <w:color w:val="000000"/>
          <w:spacing w:val="0"/>
          <w:w w:val="100"/>
          <w:position w:val="0"/>
          <w:sz w:val="18"/>
          <w:szCs w:val="18"/>
        </w:rPr>
        <w:t xml:space="preserve">PACS </w:t>
      </w:r>
      <w:r>
        <w:rPr>
          <w:color w:val="000000"/>
          <w:spacing w:val="0"/>
          <w:w w:val="100"/>
          <w:position w:val="0"/>
        </w:rPr>
        <w:t>（影像 存档传输系统）、</w:t>
      </w:r>
      <w:r>
        <w:rPr>
          <w:rFonts w:ascii="Times New Roman" w:eastAsia="Times New Roman" w:hAnsi="Times New Roman" w:cs="Times New Roman"/>
          <w:color w:val="000000"/>
          <w:spacing w:val="0"/>
          <w:w w:val="100"/>
          <w:position w:val="0"/>
          <w:sz w:val="18"/>
          <w:szCs w:val="18"/>
        </w:rPr>
        <w:t xml:space="preserve">RIS </w:t>
      </w:r>
      <w:r>
        <w:rPr>
          <w:color w:val="000000"/>
          <w:spacing w:val="0"/>
          <w:w w:val="100"/>
          <w:position w:val="0"/>
        </w:rPr>
        <w:t>（放射信息系统）、</w:t>
      </w:r>
      <w:r>
        <w:rPr>
          <w:rFonts w:ascii="Times New Roman" w:eastAsia="Times New Roman" w:hAnsi="Times New Roman" w:cs="Times New Roman"/>
          <w:color w:val="000000"/>
          <w:spacing w:val="0"/>
          <w:w w:val="100"/>
          <w:position w:val="0"/>
          <w:sz w:val="18"/>
          <w:szCs w:val="18"/>
        </w:rPr>
        <w:t xml:space="preserve">LIS </w:t>
      </w:r>
      <w:r>
        <w:rPr>
          <w:color w:val="000000"/>
          <w:spacing w:val="0"/>
          <w:w w:val="100"/>
          <w:position w:val="0"/>
        </w:rPr>
        <w:t>（检验信息系统）等众多医院其他信息系统进行数据的实时、双向的互联互 通；将病人分散在各个系统中的数据按照一元化、标准化、结构化的原则进行数据的采集、融合，形成院级临床数据中心， 并统一从数据中心支撑各项数据应用。</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公司紧跟互联网技术发展与应用，结合医疗机构的业务需求，将医院的院内诊疗服务延伸至线上和院外。公司的云医院 解决方案将通过互联网工具向患者提供分时段预约挂号、排队叫号、就诊导航、报告查询、历次电子病历查询、在线综合支 付、随访及满意度点评、医患互动等各种惠民就医服务，帮助医院提高患者服务能力和服务水平。随着医疗机构的集团化发 展的趋势与政府监管的新变化新要求，公司发展了集团化医院、医联体、医共体、城市级智慧医疗等多种业务形态的解决方 案，将公司在院内的流程、系统、数据的服务能力延伸至院间和区域。</w:t>
      </w:r>
    </w:p>
    <w:p>
      <w:pPr>
        <w:pStyle w:val="Style17"/>
        <w:keepNext w:val="0"/>
        <w:keepLines w:val="0"/>
        <w:widowControl w:val="0"/>
        <w:shd w:val="clear" w:color="auto" w:fill="auto"/>
        <w:tabs>
          <w:tab w:pos="831" w:val="left"/>
        </w:tabs>
        <w:bidi w:val="0"/>
        <w:spacing w:before="0" w:after="0" w:line="312" w:lineRule="exact"/>
        <w:ind w:left="0" w:right="0"/>
        <w:jc w:val="both"/>
      </w:pPr>
      <w:bookmarkStart w:id="92" w:name="bookmark92"/>
      <w:r>
        <w:rPr>
          <w:color w:val="000000"/>
          <w:spacing w:val="0"/>
          <w:w w:val="100"/>
          <w:position w:val="0"/>
        </w:rPr>
        <w:t>（</w:t>
      </w:r>
      <w:bookmarkEnd w:id="92"/>
      <w:r>
        <w:rPr>
          <w:color w:val="000000"/>
          <w:spacing w:val="0"/>
          <w:w w:val="100"/>
          <w:position w:val="0"/>
        </w:rPr>
        <w:t>二）</w:t>
        <w:tab/>
        <w:t>先进的技术水平与持续的创新能力</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不同于标准化产品起步的软件产品公司技术路线，公司产品在研发设计之初即以医院客户的临床需求为导向，以一流医 院客户为产品迭代成熟环境，以医护人员的实际业务操作效果为检验，公司的产品及方案的应用水平和适配性在行业中处于 前列。公司电子病历系统参照原卫生部电子病历评级规范的最高级要求进行设计、开发，拥有独立的医疗数据中心和信息集 成平台，符合国际规范的统一数据标准，实现完全结构化的医疗文档管理系统，便于临床信息的浏览和处理，适应标准更新 和流程变化的可扩展性，能够实现多种临床功能和医嘱闭环管理，支持区域医疗信息平台扩展。</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同时，公司在与国内顶尖大型三甲医院的合作过程中，加强了对医院的医疗信息化需求的把握和对临床业务流程的理解， 能够借助丰富的医疗专家资源与珍贵的临床试验机会有效降低公司的研发风险，大幅提高了公司的研发效率与产品适用性。 公司基于原有电子病历系统开发的</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医院信息系统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和电子病历系统一体化的新一代医院信息系统，是国内目前规模最大 的基于</w:t>
      </w:r>
      <w:r>
        <w:rPr>
          <w:rFonts w:ascii="Times New Roman" w:eastAsia="Times New Roman" w:hAnsi="Times New Roman" w:cs="Times New Roman"/>
          <w:color w:val="000000"/>
          <w:spacing w:val="0"/>
          <w:w w:val="100"/>
          <w:position w:val="0"/>
          <w:sz w:val="18"/>
          <w:szCs w:val="18"/>
        </w:rPr>
        <w:t>HTML5</w:t>
      </w:r>
      <w:r>
        <w:rPr>
          <w:color w:val="000000"/>
          <w:spacing w:val="0"/>
          <w:w w:val="100"/>
          <w:position w:val="0"/>
        </w:rPr>
        <w:t>和云计算技术的新一代医院核心业务系统，支持云部署、集团化医院和医联体的应用。同时，该系统将急诊 系统、分诊、移动医疗、临床路径、</w:t>
      </w:r>
      <w:r>
        <w:rPr>
          <w:rFonts w:ascii="Times New Roman" w:eastAsia="Times New Roman" w:hAnsi="Times New Roman" w:cs="Times New Roman"/>
          <w:color w:val="000000"/>
          <w:spacing w:val="0"/>
          <w:w w:val="100"/>
          <w:position w:val="0"/>
          <w:sz w:val="18"/>
          <w:szCs w:val="18"/>
        </w:rPr>
        <w:t xml:space="preserve">HRP </w:t>
      </w:r>
      <w:r>
        <w:rPr>
          <w:color w:val="000000"/>
          <w:spacing w:val="0"/>
          <w:w w:val="100"/>
          <w:position w:val="0"/>
        </w:rPr>
        <w:t>（医院资源管理系统）、感染监控等业务系统整体纳入一体化系统的业务管理范围， 形成了医院核心业务的一体化管理系统。</w:t>
      </w:r>
    </w:p>
    <w:p>
      <w:pPr>
        <w:pStyle w:val="Style17"/>
        <w:keepNext w:val="0"/>
        <w:keepLines w:val="0"/>
        <w:widowControl w:val="0"/>
        <w:shd w:val="clear" w:color="auto" w:fill="auto"/>
        <w:tabs>
          <w:tab w:pos="831" w:val="left"/>
        </w:tabs>
        <w:bidi w:val="0"/>
        <w:spacing w:before="0" w:after="0" w:line="312" w:lineRule="exact"/>
        <w:ind w:left="0" w:right="0"/>
        <w:jc w:val="both"/>
      </w:pPr>
      <w:bookmarkStart w:id="93" w:name="bookmark93"/>
      <w:r>
        <w:rPr>
          <w:color w:val="000000"/>
          <w:spacing w:val="0"/>
          <w:w w:val="100"/>
          <w:position w:val="0"/>
        </w:rPr>
        <w:t>（</w:t>
      </w:r>
      <w:bookmarkEnd w:id="93"/>
      <w:r>
        <w:rPr>
          <w:color w:val="000000"/>
          <w:spacing w:val="0"/>
          <w:w w:val="100"/>
          <w:position w:val="0"/>
        </w:rPr>
        <w:t>三）</w:t>
        <w:tab/>
        <w:t>全生命周期的管家式服务水平</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公司基于对客户需求的实时响应，为客户提供全生命周期的管家式服务，形成咨询、建设、优化、运维、升级的闭环。 公司建立了成熟规范的市场化运作机制，在合作关系建立、客户需求调查、技术预研、项目实施、现场运维响应和技术服务 等环节均能较高效率的开展相关工作，满足了客户在服务效率等方面的要求。此外，公司依托项目开发和运维服务，全面及 时的收集了客户需求信息，通过深入分析有预见性地实施技术研发、针对性地开展技术攻关，提升了技术服务水平和客户满 意度。公司的服务质量取得了多家客户的好评，具备较为明显的服务优势。</w:t>
      </w:r>
    </w:p>
    <w:p>
      <w:pPr>
        <w:pStyle w:val="Style17"/>
        <w:keepNext w:val="0"/>
        <w:keepLines w:val="0"/>
        <w:widowControl w:val="0"/>
        <w:shd w:val="clear" w:color="auto" w:fill="auto"/>
        <w:tabs>
          <w:tab w:pos="831" w:val="left"/>
        </w:tabs>
        <w:bidi w:val="0"/>
        <w:spacing w:before="0" w:after="0" w:line="312" w:lineRule="exact"/>
        <w:ind w:left="0" w:right="0"/>
        <w:jc w:val="both"/>
      </w:pPr>
      <w:bookmarkStart w:id="94" w:name="bookmark94"/>
      <w:r>
        <w:rPr>
          <w:color w:val="000000"/>
          <w:spacing w:val="0"/>
          <w:w w:val="100"/>
          <w:position w:val="0"/>
        </w:rPr>
        <w:t>（</w:t>
      </w:r>
      <w:bookmarkEnd w:id="94"/>
      <w:r>
        <w:rPr>
          <w:color w:val="000000"/>
          <w:spacing w:val="0"/>
          <w:w w:val="100"/>
          <w:position w:val="0"/>
        </w:rPr>
        <w:t>四）</w:t>
        <w:tab/>
        <w:t>具有优质客户资源与良好品牌形象</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经过多年的市场开拓和业务经营，公司已与浙江、江苏、湖南、天津、湖北、陕西、广西、山西等地方的国内一流大型 医疗机构建立了长期广泛的业务合作关系。公司在临床信息化领域技术储备丰富，在大型医疗机构中，公司已积累了较多的 成功案例，积累了成熟的实施管理经验，树立了良好的品牌形象。公司通过对大型医疗机构的需求进行持续跟踪、针对性地 实施产品开发、提供高质量的技术服务，与其保持了稳定的合作关系。通过长期稳定的合作关系，公司也较早的深度挖掘了 大型医疗机构的前沿需求，针对共性需求进行新产品新业务的研发，从而保障了公司业务的持续发展和持续领先性。</w:t>
      </w:r>
    </w:p>
    <w:p>
      <w:pPr>
        <w:pStyle w:val="Style17"/>
        <w:keepNext w:val="0"/>
        <w:keepLines w:val="0"/>
        <w:widowControl w:val="0"/>
        <w:shd w:val="clear" w:color="auto" w:fill="auto"/>
        <w:tabs>
          <w:tab w:pos="831" w:val="left"/>
        </w:tabs>
        <w:bidi w:val="0"/>
        <w:spacing w:before="0" w:after="0" w:line="312" w:lineRule="exact"/>
        <w:ind w:left="0" w:right="0"/>
        <w:jc w:val="both"/>
      </w:pPr>
      <w:bookmarkStart w:id="95" w:name="bookmark95"/>
      <w:r>
        <w:rPr>
          <w:color w:val="000000"/>
          <w:spacing w:val="0"/>
          <w:w w:val="100"/>
          <w:position w:val="0"/>
        </w:rPr>
        <w:t>（</w:t>
      </w:r>
      <w:bookmarkEnd w:id="95"/>
      <w:r>
        <w:rPr>
          <w:color w:val="000000"/>
          <w:spacing w:val="0"/>
          <w:w w:val="100"/>
          <w:position w:val="0"/>
        </w:rPr>
        <w:t>五）</w:t>
        <w:tab/>
        <w:t>稳定的管理团队与高素质人才优势</w:t>
      </w:r>
    </w:p>
    <w:p>
      <w:pPr>
        <w:pStyle w:val="Style17"/>
        <w:keepNext w:val="0"/>
        <w:keepLines w:val="0"/>
        <w:widowControl w:val="0"/>
        <w:shd w:val="clear" w:color="auto" w:fill="auto"/>
        <w:bidi w:val="0"/>
        <w:spacing w:before="0" w:after="0" w:line="312" w:lineRule="exact"/>
        <w:ind w:left="0" w:right="0"/>
        <w:jc w:val="both"/>
        <w:sectPr>
          <w:footnotePr>
            <w:pos w:val="pageBottom"/>
            <w:numFmt w:val="decimal"/>
            <w:numRestart w:val="continuous"/>
          </w:footnotePr>
          <w:pgSz w:w="11900" w:h="16840"/>
          <w:pgMar w:top="1374" w:right="1023" w:bottom="1547" w:left="1105" w:header="0" w:footer="3" w:gutter="0"/>
          <w:cols w:space="720"/>
          <w:noEndnote/>
          <w:rtlGutter w:val="0"/>
          <w:docGrid w:linePitch="360"/>
        </w:sectPr>
      </w:pPr>
      <w:r>
        <w:rPr>
          <w:color w:val="000000"/>
          <w:spacing w:val="0"/>
          <w:w w:val="100"/>
          <w:position w:val="0"/>
        </w:rPr>
        <w:t>公司管理团队有较高学历背景，行业经验丰富，团队稳定，战略规划清晰，规范意识较强。同时，医疗信息化业务需要 兼具信息技术和医疗业务的复合型人才，项目管理人员需具备丰富的大中型项目管理经验、较高的执行效率，能有效组织、 部署和开展项目工作；技术人员需要熟悉行业内的多种系统协议、标准和规范，熟练应用多种系统开发技术，对医疗机构的 信息化现状、业务流程、管理模式和使用习惯有清晰的了解；业务人员需要具备较强的沟通能力、文档交付能力和快速反应 能力，能够准确把握和深入挖掘客户信息化需求。公司经过多年的经验积累，现已构建了具有丰富项目实施经验和复合专业 背景的产品研发团队、解决方案咨询团队和现场实施团队，保证了公司项目销售、实施和产品研发的高效。</w:t>
      </w:r>
    </w:p>
    <w:p>
      <w:pPr>
        <w:pStyle w:val="Style21"/>
        <w:keepNext/>
        <w:keepLines/>
        <w:widowControl w:val="0"/>
        <w:shd w:val="clear" w:color="auto" w:fill="auto"/>
        <w:bidi w:val="0"/>
        <w:spacing w:before="700" w:line="240" w:lineRule="auto"/>
        <w:ind w:left="0" w:right="0" w:firstLine="840"/>
        <w:jc w:val="both"/>
      </w:pPr>
      <w:bookmarkStart w:id="96" w:name="bookmark96"/>
      <w:bookmarkStart w:id="97" w:name="bookmark97"/>
      <w:bookmarkStart w:id="98" w:name="bookmark98"/>
      <w:bookmarkStart w:id="99" w:name="bookmark99"/>
      <w:r>
        <w:rPr>
          <w:color w:val="000000"/>
          <w:spacing w:val="0"/>
          <w:w w:val="100"/>
          <w:position w:val="0"/>
        </w:rPr>
        <w:t>四</w:t>
      </w:r>
      <w:bookmarkEnd w:id="98"/>
      <w:r>
        <w:rPr>
          <w:color w:val="000000"/>
          <w:spacing w:val="0"/>
          <w:w w:val="100"/>
          <w:position w:val="0"/>
        </w:rPr>
        <w:t>、主营业务分析</w:t>
      </w:r>
      <w:bookmarkEnd w:id="96"/>
      <w:bookmarkEnd w:id="97"/>
      <w:bookmarkEnd w:id="99"/>
    </w:p>
    <w:p>
      <w:pPr>
        <w:pStyle w:val="Style26"/>
        <w:keepNext/>
        <w:keepLines/>
        <w:widowControl w:val="0"/>
        <w:shd w:val="clear" w:color="auto" w:fill="auto"/>
        <w:bidi w:val="0"/>
        <w:spacing w:before="0" w:after="260" w:line="240" w:lineRule="auto"/>
        <w:ind w:left="0" w:right="0" w:firstLine="84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、概述</w:t>
      </w:r>
      <w:bookmarkEnd w:id="100"/>
      <w:bookmarkEnd w:id="101"/>
      <w:bookmarkEnd w:id="103"/>
    </w:p>
    <w:p>
      <w:pPr>
        <w:pStyle w:val="Style2"/>
        <w:keepNext w:val="0"/>
        <w:keepLines w:val="0"/>
        <w:widowControl w:val="0"/>
        <w:shd w:val="clear" w:color="auto" w:fill="auto"/>
        <w:bidi w:val="0"/>
        <w:spacing w:before="0" w:after="0" w:line="312" w:lineRule="exact"/>
        <w:ind w:left="84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sz w:val="18"/>
          <w:szCs w:val="18"/>
        </w:rPr>
        <w:t>464,199,738.03</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2.08%</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34,807,299.27</w:t>
      </w:r>
      <w:r>
        <w:rPr>
          <w:color w:val="000000"/>
          <w:spacing w:val="0"/>
          <w:w w:val="100"/>
          <w:position w:val="0"/>
        </w:rPr>
        <w:t>元， 较上年同期下降</w:t>
      </w:r>
      <w:r>
        <w:rPr>
          <w:rFonts w:ascii="Times New Roman" w:eastAsia="Times New Roman" w:hAnsi="Times New Roman" w:cs="Times New Roman"/>
          <w:color w:val="000000"/>
          <w:spacing w:val="0"/>
          <w:w w:val="100"/>
          <w:position w:val="0"/>
          <w:sz w:val="18"/>
          <w:szCs w:val="18"/>
        </w:rPr>
        <w:t>19.32%</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日，资产总额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,520,388,099.55</w:t>
      </w:r>
      <w:r>
        <w:rPr>
          <w:color w:val="000000"/>
          <w:spacing w:val="0"/>
          <w:w w:val="100"/>
          <w:position w:val="0"/>
        </w:rPr>
        <w:t>元，较上年同期下降</w:t>
      </w:r>
      <w:r>
        <w:rPr>
          <w:rFonts w:ascii="Times New Roman" w:eastAsia="Times New Roman" w:hAnsi="Times New Roman" w:cs="Times New Roman"/>
          <w:color w:val="000000"/>
          <w:spacing w:val="0"/>
          <w:w w:val="100"/>
          <w:position w:val="0"/>
          <w:sz w:val="18"/>
          <w:szCs w:val="18"/>
        </w:rPr>
        <w:t>2.68%</w:t>
      </w:r>
      <w:r>
        <w:rPr>
          <w:color w:val="000000"/>
          <w:spacing w:val="0"/>
          <w:w w:val="100"/>
          <w:position w:val="0"/>
        </w:rPr>
        <w:t>；归属于上市公司股东 的净资产</w:t>
      </w:r>
      <w:r>
        <w:rPr>
          <w:rFonts w:ascii="Times New Roman" w:eastAsia="Times New Roman" w:hAnsi="Times New Roman" w:cs="Times New Roman"/>
          <w:color w:val="000000"/>
          <w:spacing w:val="0"/>
          <w:w w:val="100"/>
          <w:position w:val="0"/>
          <w:sz w:val="18"/>
          <w:szCs w:val="18"/>
        </w:rPr>
        <w:t>1,131,721,980.14</w:t>
      </w:r>
      <w:r>
        <w:rPr>
          <w:color w:val="000000"/>
          <w:spacing w:val="0"/>
          <w:w w:val="100"/>
          <w:position w:val="0"/>
        </w:rPr>
        <w:t>元，较上年同期增幅</w:t>
      </w:r>
      <w:r>
        <w:rPr>
          <w:rFonts w:ascii="Times New Roman" w:eastAsia="Times New Roman" w:hAnsi="Times New Roman" w:cs="Times New Roman"/>
          <w:color w:val="000000"/>
          <w:spacing w:val="0"/>
          <w:w w:val="100"/>
          <w:position w:val="0"/>
          <w:sz w:val="18"/>
          <w:szCs w:val="18"/>
        </w:rPr>
        <w:t>3.35%</w:t>
      </w:r>
      <w:r>
        <w:rPr>
          <w:color w:val="000000"/>
          <w:spacing w:val="0"/>
          <w:w w:val="100"/>
          <w:position w:val="0"/>
        </w:rPr>
        <w:t>。</w:t>
      </w:r>
    </w:p>
    <w:p>
      <w:pPr>
        <w:pStyle w:val="Style17"/>
        <w:keepNext w:val="0"/>
        <w:keepLines w:val="0"/>
        <w:widowControl w:val="0"/>
        <w:shd w:val="clear" w:color="auto" w:fill="auto"/>
        <w:bidi w:val="0"/>
        <w:spacing w:before="0" w:after="0" w:line="312" w:lineRule="exact"/>
        <w:ind w:left="840" w:right="0"/>
        <w:jc w:val="both"/>
      </w:pPr>
      <w:r>
        <w:rPr>
          <w:color w:val="000000"/>
          <w:spacing w:val="0"/>
          <w:w w:val="100"/>
          <w:position w:val="0"/>
        </w:rPr>
        <w:t>报告期内，公司坚持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市场实践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的双循环驱动，持续将符合市场趋势及医改政策导向的技术框架、产品逻辑 及应用成果，有效转化为与客户需求同步迭代的项目实践，同时受益于公司自主研发的新一代医院信息系统契合近年来国家 针对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智慧医院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三位一体的顶层设计及政策要求，相关产品的应用推广和批量化交付也呈现良好态势。</w:t>
      </w:r>
    </w:p>
    <w:p>
      <w:pPr>
        <w:pStyle w:val="Style17"/>
        <w:keepNext w:val="0"/>
        <w:keepLines w:val="0"/>
        <w:widowControl w:val="0"/>
        <w:shd w:val="clear" w:color="auto" w:fill="auto"/>
        <w:bidi w:val="0"/>
        <w:spacing w:before="0" w:after="0" w:line="312" w:lineRule="exact"/>
        <w:ind w:left="840" w:right="0"/>
        <w:jc w:val="both"/>
      </w:pPr>
      <w:r>
        <w:rPr>
          <w:color w:val="000000"/>
          <w:spacing w:val="0"/>
          <w:w w:val="100"/>
          <w:position w:val="0"/>
        </w:rPr>
        <w:t>报告期内公司新一代医院信息系统在其他省份开始陆续落地及交付。随着产品成熟度提升和实施体系完善，项目交付周 期有整体明显下降的趋势，且整个过程获得了客户的高度认可。</w:t>
      </w:r>
    </w:p>
    <w:p>
      <w:pPr>
        <w:pStyle w:val="Style17"/>
        <w:keepNext w:val="0"/>
        <w:keepLines w:val="0"/>
        <w:widowControl w:val="0"/>
        <w:shd w:val="clear" w:color="auto" w:fill="auto"/>
        <w:bidi w:val="0"/>
        <w:spacing w:before="0" w:after="0" w:line="312" w:lineRule="exact"/>
        <w:ind w:left="840" w:right="0"/>
        <w:jc w:val="both"/>
      </w:pPr>
      <w:r>
        <w:rPr>
          <w:color w:val="000000"/>
          <w:spacing w:val="0"/>
          <w:w w:val="100"/>
          <w:position w:val="0"/>
        </w:rPr>
        <w:t xml:space="preserve">除了公司产品自身架构及技术属性之外，公司在报告期内围绕新一代医院信息化系统的业务各个环节进行了持续提炼及 能力提升，具体包括售前方案优化、产品演示优化、强化交付过程细节把控及客户满意度提升、优化后续系统运维服务体系 等，确保整个项目在交付前客户高度认可，过程中客户真实感受到产品的先进性、适用性和稳定性，切换上线后保持贴身高 效服务持续提升客户满意度。以江苏省中医院为例：项目初期通过公司积累的三甲医院交付经验及方法工具高效完成了 </w:t>
      </w:r>
      <w:r>
        <w:rPr>
          <w:rFonts w:ascii="Times New Roman" w:eastAsia="Times New Roman" w:hAnsi="Times New Roman" w:cs="Times New Roman"/>
          <w:color w:val="000000"/>
          <w:spacing w:val="0"/>
          <w:w w:val="100"/>
          <w:position w:val="0"/>
          <w:sz w:val="18"/>
          <w:szCs w:val="18"/>
        </w:rPr>
        <w:t xml:space="preserve">135 </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万条基础数据的有效梳理为后续项目实施打下了扎实的基础；在</w:t>
      </w:r>
      <w:r>
        <w:rPr>
          <w:rFonts w:ascii="Times New Roman" w:eastAsia="Times New Roman" w:hAnsi="Times New Roman" w:cs="Times New Roman"/>
          <w:color w:val="000000"/>
          <w:spacing w:val="0"/>
          <w:w w:val="100"/>
          <w:position w:val="0"/>
          <w:sz w:val="18"/>
          <w:szCs w:val="18"/>
        </w:rPr>
        <w:t>IHE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DICOM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HL7</w:t>
      </w:r>
      <w:r>
        <w:rPr>
          <w:color w:val="000000"/>
          <w:spacing w:val="0"/>
          <w:w w:val="100"/>
          <w:position w:val="0"/>
        </w:rPr>
        <w:t>等国际标准的基础上制定覆盖医疗 所有业务流程的系统集成规范，完成了超过</w:t>
      </w:r>
      <w:r>
        <w:rPr>
          <w:rFonts w:ascii="Times New Roman" w:eastAsia="Times New Roman" w:hAnsi="Times New Roman" w:cs="Times New Roman"/>
          <w:color w:val="000000"/>
          <w:spacing w:val="0"/>
          <w:w w:val="100"/>
          <w:position w:val="0"/>
          <w:sz w:val="18"/>
          <w:szCs w:val="18"/>
        </w:rPr>
        <w:t>330</w:t>
      </w:r>
      <w:r>
        <w:rPr>
          <w:color w:val="000000"/>
          <w:spacing w:val="0"/>
          <w:w w:val="100"/>
          <w:position w:val="0"/>
        </w:rPr>
        <w:t>个第三方接口确保各细分系统的整体运行效果；通过提供的医嘱闭环、病例 闭环、检查用药闭环等流程设计有效解决了医疗场景业务环节缺失的问题，做到了所有节点可回溯，大幅提升了医疗行为及 服务的规范性和质量；通过系统提供的患者全息</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视图，展示历次所有的就诊、用药、检验检查等主要就诊信息，大幅提 升了医生诊断与决策效率；系统切换上线后顺利稳定承载了江苏省中医院超</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万的年门（急）诊量，获得院方的高度认可。</w:t>
      </w:r>
    </w:p>
    <w:p>
      <w:pPr>
        <w:pStyle w:val="Style17"/>
        <w:keepNext w:val="0"/>
        <w:keepLines w:val="0"/>
        <w:widowControl w:val="0"/>
        <w:shd w:val="clear" w:color="auto" w:fill="auto"/>
        <w:bidi w:val="0"/>
        <w:spacing w:before="0" w:after="0" w:line="312" w:lineRule="exact"/>
        <w:ind w:left="840" w:right="0"/>
        <w:jc w:val="both"/>
      </w:pPr>
      <w:r>
        <w:rPr>
          <w:color w:val="000000"/>
          <w:spacing w:val="0"/>
          <w:w w:val="100"/>
          <w:position w:val="0"/>
        </w:rPr>
        <w:t>针对城市级智慧医疗（数字健康城市）业务，公司聚焦</w:t>
      </w:r>
      <w:r>
        <w:rPr>
          <w:rFonts w:ascii="Times New Roman" w:eastAsia="Times New Roman" w:hAnsi="Times New Roman" w:cs="Times New Roman"/>
          <w:color w:val="000000"/>
          <w:spacing w:val="0"/>
          <w:w w:val="100"/>
          <w:position w:val="0"/>
          <w:sz w:val="18"/>
          <w:szCs w:val="18"/>
        </w:rPr>
        <w:t>“1+5+N”</w:t>
      </w:r>
      <w:r>
        <w:rPr>
          <w:color w:val="000000"/>
          <w:spacing w:val="0"/>
          <w:w w:val="100"/>
          <w:position w:val="0"/>
        </w:rPr>
        <w:t>的产品战略，即通过建设和使用数字健康城市平台，支 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的建设，为医疗机构和健康城市的精细化管理、智慧决策提供强有力的数据基础。以数字健康城 市平台为依托，建设涉及惠民、慧医、慧政等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个基础上层应用，同时秉持开放、兼容、共进的理念，连接</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个增值应用服 务，构建数字健康生态，进一步推动信息惠民服务，助力健康产业和数字经济发展，其中具有代表性的应用包括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云药房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云病历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p>
    <w:p>
      <w:pPr>
        <w:pStyle w:val="Style17"/>
        <w:keepNext w:val="0"/>
        <w:keepLines w:val="0"/>
        <w:widowControl w:val="0"/>
        <w:shd w:val="clear" w:color="auto" w:fill="auto"/>
        <w:bidi w:val="0"/>
        <w:spacing w:before="0" w:after="0" w:line="312" w:lineRule="exact"/>
        <w:ind w:left="84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云药房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围绕处方全生命周期，建立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云处方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云审方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云配送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，在全市范围内打通医疗机构和药店之间、互联网医院 和药店之间的处方流，在全市范围内建立医院、医生、处方、药品、药师、药房、药店、药企等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万物互联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格局，建立电子 处方以患者主观意愿作为流向的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自由处方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，形成处方流转和药品供应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云药房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体系，为群众提供处方流转自主选择、药品 供应多种渠道的创新医疗服务。</w:t>
      </w:r>
    </w:p>
    <w:p>
      <w:pPr>
        <w:pStyle w:val="Style17"/>
        <w:keepNext w:val="0"/>
        <w:keepLines w:val="0"/>
        <w:widowControl w:val="0"/>
        <w:shd w:val="clear" w:color="auto" w:fill="auto"/>
        <w:bidi w:val="0"/>
        <w:spacing w:before="0" w:after="0" w:line="312" w:lineRule="exact"/>
        <w:ind w:left="84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云病历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基于结构化、标准化、统一化的病历数据形成安全的云上病历数据互通，构建城市级的云病历系统，实现全市 域病历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无纸化匚为患者提供实时在线的电子病历资料，包含门诊病历、检查、检验、处方等健康信息，电子病历随身带、 随时查，看病就医，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脱册就诊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。基于患者云病历构建个人健康画像，为患者提供更精准的医疗健康服务，实现患者医疗数 据全生命周期的有效管理。城市级的云病历系统，更为病历质控、区域公共卫生、用药安全创造了更多可能性。</w:t>
      </w:r>
    </w:p>
    <w:p>
      <w:pPr>
        <w:pStyle w:val="Style17"/>
        <w:keepNext w:val="0"/>
        <w:keepLines w:val="0"/>
        <w:widowControl w:val="0"/>
        <w:shd w:val="clear" w:color="auto" w:fill="auto"/>
        <w:bidi w:val="0"/>
        <w:spacing w:before="0" w:after="0" w:line="312" w:lineRule="exact"/>
        <w:ind w:left="840" w:right="0"/>
        <w:jc w:val="both"/>
      </w:pPr>
      <w:r>
        <w:rPr>
          <w:color w:val="000000"/>
          <w:spacing w:val="0"/>
          <w:w w:val="100"/>
          <w:position w:val="0"/>
        </w:rPr>
        <w:t>报告期内的疫情反复情况对于公司的当期业务产生了不利影响，具体体现为：（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）因为疫情原因导致了部分客户预算 调整、医院防疫工作要求增加影响商业活动安排和人员流动，进而对新签合同进度产生了不利影响；（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）建设中的项目因 为疫情反复导致了公司项目现场人员进场实施受到影响，报告期内公司有超过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人次的项目交付相关人员受不同程度隔离 措施要求进行了</w:t>
      </w:r>
      <w:r>
        <w:rPr>
          <w:rFonts w:ascii="Times New Roman" w:eastAsia="Times New Roman" w:hAnsi="Times New Roman" w:cs="Times New Roman"/>
          <w:color w:val="000000"/>
          <w:spacing w:val="0"/>
          <w:w w:val="100"/>
          <w:position w:val="0"/>
          <w:sz w:val="18"/>
          <w:szCs w:val="18"/>
        </w:rPr>
        <w:t>7-14</w:t>
      </w:r>
      <w:r>
        <w:rPr>
          <w:color w:val="000000"/>
          <w:spacing w:val="0"/>
          <w:w w:val="100"/>
          <w:position w:val="0"/>
        </w:rPr>
        <w:t>天不等的隔离，导致部分项目交付周期延长、人员成本及差旅成本增加；（</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）医院客户因疫情防控要 求派出大量医护人员支援一线疫情防控，部分科室和业务部门常规工作受到较大影响，导致项目实施过程中的需求沟通、事 项确认、系统培训等环节延长进而影响交付效率。上述影响导致了公司的主营业务成本增加。</w:t>
      </w:r>
      <w:r>
        <w:br w:type="page"/>
      </w:r>
    </w:p>
    <w:p>
      <w:pPr>
        <w:pStyle w:val="Style26"/>
        <w:keepNext/>
        <w:keepLines/>
        <w:widowControl w:val="0"/>
        <w:shd w:val="clear" w:color="auto" w:fill="auto"/>
        <w:bidi w:val="0"/>
        <w:spacing w:before="0" w:line="240" w:lineRule="auto"/>
        <w:ind w:left="0" w:right="0" w:firstLine="82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、收入与成本</w:t>
      </w:r>
      <w:bookmarkEnd w:id="104"/>
      <w:bookmarkEnd w:id="105"/>
      <w:bookmarkEnd w:id="107"/>
    </w:p>
    <w:p>
      <w:pPr>
        <w:pStyle w:val="Style31"/>
        <w:keepNext/>
        <w:keepLines/>
        <w:widowControl w:val="0"/>
        <w:numPr>
          <w:ilvl w:val="0"/>
          <w:numId w:val="1"/>
        </w:numPr>
        <w:shd w:val="clear" w:color="auto" w:fill="auto"/>
        <w:bidi w:val="0"/>
        <w:spacing w:before="0" w:after="360" w:line="240" w:lineRule="auto"/>
        <w:ind w:left="0" w:right="0" w:firstLine="820"/>
        <w:jc w:val="left"/>
      </w:pPr>
      <w:bookmarkStart w:id="108" w:name="bookmark108"/>
      <w:bookmarkStart w:id="109" w:name="bookmark109"/>
      <w:bookmarkStart w:id="110" w:name="bookmark110"/>
      <w:bookmarkStart w:id="111" w:name="bookmark111"/>
      <w:bookmarkEnd w:id="110"/>
      <w:r>
        <w:rPr>
          <w:color w:val="000000"/>
          <w:spacing w:val="0"/>
          <w:w w:val="100"/>
          <w:position w:val="0"/>
        </w:rPr>
        <w:t>营业收入构成</w:t>
      </w:r>
      <w:bookmarkEnd w:id="108"/>
      <w:bookmarkEnd w:id="109"/>
      <w:bookmarkEnd w:id="111"/>
    </w:p>
    <w:p>
      <w:pPr>
        <w:pStyle w:val="Style17"/>
        <w:keepNext w:val="0"/>
        <w:keepLines w:val="0"/>
        <w:widowControl w:val="0"/>
        <w:shd w:val="clear" w:color="auto" w:fill="auto"/>
        <w:bidi w:val="0"/>
        <w:spacing w:before="0" w:after="160" w:line="240" w:lineRule="auto"/>
        <w:ind w:left="0" w:right="0" w:firstLine="820"/>
        <w:jc w:val="left"/>
      </w:pPr>
      <w:r>
        <w:rPr>
          <w:color w:val="000000"/>
          <w:spacing w:val="0"/>
          <w:w w:val="100"/>
          <w:position w:val="0"/>
        </w:rPr>
        <w:t>营业收入整体情况</w:t>
      </w:r>
    </w:p>
    <w:p>
      <w:pPr>
        <w:pStyle w:val="Style17"/>
        <w:keepNext w:val="0"/>
        <w:keepLines w:val="0"/>
        <w:widowControl w:val="0"/>
        <w:shd w:val="clear" w:color="auto" w:fill="auto"/>
        <w:bidi w:val="0"/>
        <w:spacing w:before="0" w:after="80" w:line="240" w:lineRule="auto"/>
        <w:ind w:left="0" w:right="84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464,199,738.03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454,738,265.15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449,434,192.91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439,410,662.40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14,765,545.12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15,327,602.75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场景化应用系统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135,991,680.85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127,514,885.03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279,915,670.63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282,690,979.05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48,292,386.55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44,532,401.07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75,741,129.58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116,912,998.75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230,436,563.23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257,483,865.14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44,881,805.04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21,185,509.70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54,490,271.94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32,640,201.98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58,649,968.24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26,515,689.58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464,199,738.03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454,738,265.15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79" w:line="1" w:lineRule="exact"/>
      </w:pPr>
    </w:p>
    <w:p>
      <w:pPr>
        <w:pStyle w:val="Style23"/>
        <w:keepNext w:val="0"/>
        <w:keepLines w:val="0"/>
        <w:widowControl w:val="0"/>
        <w:shd w:val="clear" w:color="auto" w:fill="auto"/>
        <w:bidi w:val="0"/>
        <w:spacing w:before="0" w:after="0" w:line="240" w:lineRule="auto"/>
        <w:ind w:left="9744" w:right="0" w:firstLine="0"/>
        <w:jc w:val="left"/>
      </w:pPr>
      <w:r>
        <w:rPr>
          <w:color w:val="000000"/>
          <w:spacing w:val="0"/>
          <w:w w:val="100"/>
          <w:position w:val="0"/>
        </w:rPr>
        <w:t>单位：元</w:t>
      </w:r>
    </w:p>
    <w:tbl>
      <w:tblPr>
        <w:tblOverlap w:val="never"/>
        <w:jc w:val="center"/>
        <w:tblLayout w:type="fixed"/>
      </w:tblPr>
      <w:tblGrid>
        <w:gridCol w:w="1800"/>
        <w:gridCol w:w="1186"/>
        <w:gridCol w:w="1195"/>
        <w:gridCol w:w="1195"/>
        <w:gridCol w:w="1195"/>
        <w:gridCol w:w="1186"/>
        <w:gridCol w:w="1181"/>
        <w:gridCol w:w="1186"/>
        <w:gridCol w:w="119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5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79,315,197.27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112,452,044.40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114,151,786.04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158,280,710.32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55,111,482.65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109,805,524.16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125,036,048.49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164,785,209.85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5,397,500.52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13,759,038.83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16,103,037.67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-452,277.75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623,402.16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6,096,601.69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18,060,661.24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18,362,127.66</w:t>
            </w:r>
          </w:p>
        </w:tc>
      </w:tr>
      <w:tr>
        <w:trPr>
          <w:trHeight w:val="60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销售回款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74,393,191.05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127,561,454.04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66,241,161.68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121,926,572.79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32,159,296.23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65,263,855.83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62,741,676.72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164,571,190.11</w:t>
            </w:r>
          </w:p>
        </w:tc>
      </w:tr>
    </w:tbl>
    <w:p>
      <w:pPr>
        <w:pStyle w:val="Style23"/>
        <w:keepNext w:val="0"/>
        <w:keepLines w:val="0"/>
        <w:widowControl w:val="0"/>
        <w:shd w:val="clear" w:color="auto" w:fill="auto"/>
        <w:bidi w:val="0"/>
        <w:spacing w:before="0" w:after="0" w:line="240" w:lineRule="auto"/>
        <w:ind w:left="821" w:right="0" w:firstLine="0"/>
        <w:jc w:val="left"/>
      </w:pPr>
      <w:r>
        <w:rPr>
          <w:color w:val="000000"/>
          <w:spacing w:val="0"/>
          <w:w w:val="100"/>
          <w:position w:val="0"/>
        </w:rPr>
        <w:t>说明经营季节性(或周期性)发生的原因及波动风险</w:t>
      </w:r>
    </w:p>
    <w:p>
      <w:pPr>
        <w:pStyle w:val="Style17"/>
        <w:keepNext w:val="0"/>
        <w:keepLines w:val="0"/>
        <w:widowControl w:val="0"/>
        <w:shd w:val="clear" w:color="auto" w:fill="auto"/>
        <w:bidi w:val="0"/>
        <w:spacing w:before="0" w:after="120" w:line="312" w:lineRule="exact"/>
        <w:ind w:left="820" w:right="0" w:firstLine="220"/>
        <w:jc w:val="left"/>
      </w:pPr>
      <w:r>
        <w:rPr>
          <w:color w:val="000000"/>
          <w:spacing w:val="0"/>
          <w:w w:val="100"/>
          <w:position w:val="0"/>
        </w:rPr>
        <w:t>受客户所处行业的影响，公司业务存在着较为明显的季节性波动。主要由于公司客户多为公立性医疗机构，其医疗信息 化采购计划通常采用预算管理制度，一般上半年主要进行预算审批、采购选型、招投标等工作，当年新增项目执行、验收主 要集中于下半年，所以四季度收入一般高于其他季度。</w:t>
      </w:r>
    </w:p>
    <w:p>
      <w:pPr>
        <w:pStyle w:val="Style17"/>
        <w:keepNext w:val="0"/>
        <w:keepLines w:val="0"/>
        <w:widowControl w:val="0"/>
        <w:shd w:val="clear" w:color="auto" w:fill="auto"/>
        <w:bidi w:val="0"/>
        <w:spacing w:before="0" w:after="1040" w:line="312" w:lineRule="exact"/>
        <w:ind w:left="820" w:right="0" w:firstLine="300"/>
        <w:jc w:val="left"/>
      </w:pPr>
      <w:r>
        <w:rPr>
          <w:color w:val="000000"/>
          <w:spacing w:val="0"/>
          <w:w w:val="100"/>
          <w:position w:val="0"/>
        </w:rPr>
        <w:t>第四季度回款额也较高，主要由于公立医院受预算的影响，款项支付项目款在年末较为集中，因此本行业具有一定的季 节性特征。</w:t>
      </w:r>
    </w:p>
    <w:p>
      <w:pPr>
        <w:pStyle w:val="Style31"/>
        <w:keepNext/>
        <w:keepLines/>
        <w:widowControl w:val="0"/>
        <w:shd w:val="clear" w:color="auto" w:fill="auto"/>
        <w:bidi w:val="0"/>
        <w:spacing w:before="0" w:line="240" w:lineRule="auto"/>
        <w:ind w:left="0" w:right="0" w:firstLine="82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2"/>
      <w:bookmarkEnd w:id="113"/>
      <w:bookmarkEnd w:id="115"/>
    </w:p>
    <w:p>
      <w:pPr>
        <w:pStyle w:val="Style17"/>
        <w:keepNext w:val="0"/>
        <w:keepLines w:val="0"/>
        <w:widowControl w:val="0"/>
        <w:shd w:val="clear" w:color="auto" w:fill="auto"/>
        <w:bidi w:val="0"/>
        <w:spacing w:before="0" w:after="0" w:line="360" w:lineRule="auto"/>
        <w:ind w:left="0" w:right="0" w:firstLine="8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20" w:line="312" w:lineRule="exact"/>
        <w:ind w:left="0" w:right="0" w:firstLine="82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449,434,192.91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289,392,373.69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14,765,545.12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13,647,732.84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场景化应用系统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135,991,680.85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124,499,856.87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279,915,670.63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160,266,112.39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48,292,386.55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18,274,137.27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75,741,129.58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54,568,187.06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230,436,563.23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138,773,020.12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54,490,271.94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40,154,969.44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7"/>
        <w:keepNext w:val="0"/>
        <w:keepLines w:val="0"/>
        <w:widowControl w:val="0"/>
        <w:shd w:val="clear" w:color="auto" w:fill="auto"/>
        <w:bidi w:val="0"/>
        <w:spacing w:before="0" w:after="380" w:line="240" w:lineRule="auto"/>
        <w:ind w:left="0" w:right="0" w:firstLine="8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1313" w:val="left"/>
        </w:tabs>
        <w:bidi w:val="0"/>
        <w:spacing w:before="0" w:line="240" w:lineRule="auto"/>
        <w:ind w:left="0" w:right="0" w:firstLine="82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6"/>
      <w:bookmarkEnd w:id="117"/>
      <w:bookmarkEnd w:id="119"/>
    </w:p>
    <w:p>
      <w:pPr>
        <w:pStyle w:val="Style17"/>
        <w:keepNext w:val="0"/>
        <w:keepLines w:val="0"/>
        <w:widowControl w:val="0"/>
        <w:shd w:val="clear" w:color="auto" w:fill="auto"/>
        <w:bidi w:val="0"/>
        <w:spacing w:before="0" w:after="380" w:line="240" w:lineRule="auto"/>
        <w:ind w:left="0" w:right="0" w:firstLine="8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1313" w:val="left"/>
        </w:tabs>
        <w:bidi w:val="0"/>
        <w:spacing w:before="0" w:line="240" w:lineRule="auto"/>
        <w:ind w:left="0" w:right="0" w:firstLine="820"/>
        <w:jc w:val="both"/>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0"/>
      <w:bookmarkEnd w:id="121"/>
      <w:bookmarkEnd w:id="123"/>
    </w:p>
    <w:p>
      <w:pPr>
        <w:pStyle w:val="Style17"/>
        <w:keepNext w:val="0"/>
        <w:keepLines w:val="0"/>
        <w:widowControl w:val="0"/>
        <w:numPr>
          <w:ilvl w:val="0"/>
          <w:numId w:val="3"/>
        </w:numPr>
        <w:shd w:val="clear" w:color="auto" w:fill="auto"/>
        <w:tabs>
          <w:tab w:pos="1106" w:val="left"/>
        </w:tabs>
        <w:bidi w:val="0"/>
        <w:spacing w:before="0" w:after="120" w:line="240" w:lineRule="auto"/>
        <w:ind w:left="0" w:right="0" w:firstLine="820"/>
        <w:jc w:val="both"/>
      </w:pPr>
      <w:bookmarkStart w:id="124" w:name="bookmark124"/>
      <w:bookmarkEnd w:id="12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7"/>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单一销售合同金额占公司最近一个会计年度经审计营业收入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万元的正在履行的合同情况</w:t>
      </w:r>
    </w:p>
    <w:p>
      <w:pPr>
        <w:pStyle w:val="Style17"/>
        <w:keepNext w:val="0"/>
        <w:keepLines w:val="0"/>
        <w:widowControl w:val="0"/>
        <w:numPr>
          <w:ilvl w:val="0"/>
          <w:numId w:val="3"/>
        </w:numPr>
        <w:shd w:val="clear" w:color="auto" w:fill="auto"/>
        <w:tabs>
          <w:tab w:pos="1106" w:val="left"/>
        </w:tabs>
        <w:bidi w:val="0"/>
        <w:spacing w:before="0" w:after="120" w:line="240" w:lineRule="auto"/>
        <w:ind w:left="0" w:right="0" w:firstLine="820"/>
        <w:jc w:val="both"/>
      </w:pPr>
      <w:bookmarkStart w:id="125" w:name="bookmark125"/>
      <w:bookmarkEnd w:id="12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9740" w:right="0" w:firstLine="0"/>
        <w:jc w:val="lef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802"/>
        <w:gridCol w:w="797"/>
        <w:gridCol w:w="802"/>
        <w:gridCol w:w="797"/>
        <w:gridCol w:w="797"/>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项目执行 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 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累计确认 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回款情况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影响重大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合同履行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合同无法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项目进展 是否达到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划进度或</w:t>
            </w:r>
          </w:p>
        </w:tc>
      </w:tr>
    </w:tbl>
    <w:p>
      <w:pPr>
        <w:spacing w:lineRule="exact" w:line="1"/>
        <w:rPr>
          <w:sz w:val="2"/>
          <w:szCs w:val="2"/>
        </w:rPr>
      </w:pPr>
      <w:r>
        <w:br w:type="page"/>
      </w:r>
    </w:p>
    <w:tbl>
      <w:tblPr>
        <w:tblOverlap w:val="never"/>
        <w:jc w:val="center"/>
        <w:tblLayout w:type="fixed"/>
      </w:tblPr>
      <w:tblGrid>
        <w:gridCol w:w="806"/>
        <w:gridCol w:w="792"/>
        <w:gridCol w:w="797"/>
        <w:gridCol w:w="802"/>
        <w:gridCol w:w="797"/>
        <w:gridCol w:w="797"/>
        <w:gridCol w:w="802"/>
        <w:gridCol w:w="797"/>
        <w:gridCol w:w="802"/>
        <w:gridCol w:w="797"/>
        <w:gridCol w:w="797"/>
        <w:gridCol w:w="806"/>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的各项条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件是否发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生重大变</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化</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履行的重 大风险</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计划进度 或预期</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2" w:lineRule="exact"/>
              <w:ind w:left="300" w:right="0" w:hanging="300"/>
              <w:jc w:val="both"/>
            </w:pPr>
            <w:r>
              <w:rPr>
                <w:color w:val="000000"/>
                <w:spacing w:val="0"/>
                <w:w w:val="100"/>
                <w:position w:val="0"/>
              </w:rPr>
              <w:t>预期的原 因</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解放军总 医院门急 诊综合楼 弱电智能 化工程分 包合同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中国人民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解放军总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141,410,0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场景化应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已验收未 决算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137,834,6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127,262,6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项目目前 已完工， 尚未进行 最终的决 算审计， 项目款项 需待决算 审计后收 回。项目 决算材料 已提交。</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江西省妇 幼保健院 红谷滩医 院（一期）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标段弱 电智能化 信息化采 购与安装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江西省妇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幼保健院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82,091,25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正常进行 中，总体 进度 </w:t>
            </w:r>
            <w:r>
              <w:rPr>
                <w:rFonts w:ascii="Times New Roman" w:eastAsia="Times New Roman" w:hAnsi="Times New Roman" w:cs="Times New Roman"/>
                <w:color w:val="000000"/>
                <w:spacing w:val="0"/>
                <w:w w:val="100"/>
                <w:position w:val="0"/>
                <w:sz w:val="18"/>
                <w:szCs w:val="18"/>
              </w:rPr>
              <w:t>85.19%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2,417,457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61,698,69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52,893,89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江西省儿 童医院红 谷滩新院 智能信息</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江西省儿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童医院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113,870,0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正常进行 中，总体 进度 </w:t>
            </w:r>
            <w:r>
              <w:rPr>
                <w:rFonts w:ascii="Times New Roman" w:eastAsia="Times New Roman" w:hAnsi="Times New Roman" w:cs="Times New Roman"/>
                <w:color w:val="000000"/>
                <w:spacing w:val="0"/>
                <w:w w:val="100"/>
                <w:position w:val="0"/>
                <w:sz w:val="18"/>
                <w:szCs w:val="18"/>
              </w:rPr>
              <w:t>96.26%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60,584,66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97,000,51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59,237,10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临渭区中 医医院整 体迁建项 目智能化 信息化工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渭南市老 城区改造 开发有限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86,983,89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前期准备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项目未按 约定时间 进行</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曲江新区 医院项目 工程总承 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弱电 智能化与 信息化工 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中国建筑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第八工程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局有限公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前期准备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ectPr>
          <w:footnotePr>
            <w:pos w:val="pageBottom"/>
            <w:numFmt w:val="decimal"/>
            <w:numRestart w:val="continuous"/>
          </w:footnotePr>
          <w:pgSz w:w="11900" w:h="16840"/>
          <w:pgMar w:top="1388" w:right="293" w:bottom="1474" w:left="288" w:header="0" w:footer="3" w:gutter="0"/>
          <w:cols w:space="720"/>
          <w:noEndnote/>
          <w:rtlGutter w:val="0"/>
          <w:docGrid w:linePitch="360"/>
        </w:sectPr>
      </w:pPr>
    </w:p>
    <w:p>
      <w:pPr>
        <w:pStyle w:val="Style31"/>
        <w:keepNext/>
        <w:keepLines/>
        <w:widowControl w:val="0"/>
        <w:shd w:val="clear" w:color="auto" w:fill="auto"/>
        <w:bidi w:val="0"/>
        <w:spacing w:before="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26"/>
      <w:bookmarkEnd w:id="127"/>
      <w:bookmarkEnd w:id="129"/>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场景化应用系统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102,152,761.12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96,654,099.73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72,599,232.07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51,958,185.54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11,653,990.97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9,956,625.20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w:t>
            </w:r>
          </w:p>
        </w:tc>
      </w:tr>
    </w:tbl>
    <w:p>
      <w:pPr>
        <w:pStyle w:val="Style17"/>
        <w:keepNext w:val="0"/>
        <w:keepLines w:val="0"/>
        <w:widowControl w:val="0"/>
        <w:shd w:val="clear" w:color="auto" w:fill="auto"/>
        <w:bidi w:val="0"/>
        <w:spacing w:before="0" w:after="0" w:line="360" w:lineRule="exact"/>
        <w:ind w:left="0" w:right="0" w:firstLine="0"/>
        <w:jc w:val="left"/>
      </w:pPr>
      <w:r>
        <w:rPr>
          <w:color w:val="000000"/>
          <w:spacing w:val="0"/>
          <w:w w:val="100"/>
          <w:position w:val="0"/>
        </w:rPr>
        <w:t>说明</w:t>
      </w:r>
    </w:p>
    <w:p>
      <w:pPr>
        <w:pStyle w:val="Style17"/>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主营业务成本构成</w:t>
      </w:r>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151,553,403.09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147,153,907.28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57,490,364.82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39,140,433.91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88,027,752.13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67,014,161.68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w:t>
            </w:r>
          </w:p>
        </w:tc>
      </w:tr>
    </w:tbl>
    <w:p>
      <w:pPr>
        <w:widowControl w:val="0"/>
        <w:spacing w:after="239" w:line="1" w:lineRule="exact"/>
      </w:pPr>
    </w:p>
    <w:p>
      <w:pPr>
        <w:pStyle w:val="Style31"/>
        <w:keepNext/>
        <w:keepLines/>
        <w:widowControl w:val="0"/>
        <w:shd w:val="clear" w:color="auto" w:fill="auto"/>
        <w:tabs>
          <w:tab w:pos="493" w:val="left"/>
        </w:tabs>
        <w:bidi w:val="0"/>
        <w:spacing w:before="0" w:line="317" w:lineRule="exact"/>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0"/>
      <w:bookmarkEnd w:id="131"/>
      <w:bookmarkEnd w:id="133"/>
    </w:p>
    <w:p>
      <w:pPr>
        <w:pStyle w:val="Style1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
        <w:keepNext w:val="0"/>
        <w:keepLines w:val="0"/>
        <w:widowControl w:val="0"/>
        <w:shd w:val="clear" w:color="auto" w:fill="auto"/>
        <w:bidi w:val="0"/>
        <w:spacing w:before="0" w:after="300" w:line="317" w:lineRule="exact"/>
        <w:ind w:left="0" w:right="0" w:firstLine="0"/>
        <w:jc w:val="left"/>
        <w:rPr>
          <w:sz w:val="20"/>
          <w:szCs w:val="20"/>
        </w:rPr>
      </w:pPr>
      <w:r>
        <w:rPr>
          <w:color w:val="000000"/>
          <w:spacing w:val="0"/>
          <w:w w:val="100"/>
          <w:position w:val="0"/>
          <w:sz w:val="20"/>
          <w:szCs w:val="20"/>
        </w:rPr>
        <w:t>报告期内，公司纳入合并范围子公司发生变动，减少赣州和仁子公司、和仁湘雅子公司。合并范围变更主体的 具体信息详见本报告第十节财务报告、八合并范围的变更之说明。</w:t>
      </w:r>
    </w:p>
    <w:p>
      <w:pPr>
        <w:pStyle w:val="Style31"/>
        <w:keepNext/>
        <w:keepLines/>
        <w:widowControl w:val="0"/>
        <w:shd w:val="clear" w:color="auto" w:fill="auto"/>
        <w:tabs>
          <w:tab w:pos="493" w:val="left"/>
        </w:tabs>
        <w:bidi w:val="0"/>
        <w:spacing w:before="0" w:line="317" w:lineRule="exact"/>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4"/>
      <w:bookmarkEnd w:id="135"/>
      <w:bookmarkEnd w:id="137"/>
    </w:p>
    <w:p>
      <w:pPr>
        <w:pStyle w:val="Style1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317" w:lineRule="exact"/>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8"/>
      <w:bookmarkEnd w:id="139"/>
      <w:bookmarkEnd w:id="141"/>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182,132,128.56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11"/>
        <w:gridCol w:w="3302"/>
        <w:gridCol w:w="2318"/>
        <w:gridCol w:w="31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60,584,662.13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39,288,495.73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35,070,561.68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24,493,400.40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22,695,008.62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182,132,128.56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45,712,517.32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12,866,719.05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9,647,145.23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8,144,624.74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7,804,028.30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45,712,517.32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3</w:t>
      </w:r>
      <w:bookmarkEnd w:id="144"/>
      <w:r>
        <w:rPr>
          <w:color w:val="000000"/>
          <w:spacing w:val="0"/>
          <w:w w:val="100"/>
          <w:position w:val="0"/>
        </w:rPr>
        <w:t>、费用</w:t>
      </w:r>
      <w:bookmarkEnd w:id="142"/>
      <w:bookmarkEnd w:id="143"/>
      <w:bookmarkEnd w:id="14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30,018,287.01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32,633,465.36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38,421,629.32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52,923,179.19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-2,902,952.99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-574,123.84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系公司银行存款利息收入增加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53,828,483.52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45,718,691.00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4</w:t>
      </w:r>
      <w:bookmarkEnd w:id="148"/>
      <w:r>
        <w:rPr>
          <w:color w:val="000000"/>
          <w:spacing w:val="0"/>
          <w:w w:val="100"/>
          <w:position w:val="0"/>
        </w:rPr>
        <w:t>、研发投入</w:t>
      </w:r>
      <w:bookmarkEnd w:id="146"/>
      <w:bookmarkEnd w:id="147"/>
      <w:bookmarkEnd w:id="149"/>
    </w:p>
    <w:p>
      <w:pPr>
        <w:pStyle w:val="Style1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为满足集团化、多院区 客户在未来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年对 互联互通五级标准相匹 配的医院集团医疗数据 中心的需求，研发相应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研发完成一套针对医院集团 且满足实现互联互通五级标 准的医疗数据中心，实现集 团化、多院区管理、数据资 源的标准化管理、实现交互 服务平台和可视化管理。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拓展公司产品线，更好支撑 有互联互通五级评审需求的 医院集团客户，为其提供数 据中心产品服务，有助于提 升公司品牌、目标客户服务 能力及目标市场占有率。</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针对数字健康城市业务 开展，提供全时、全域、 实时一致的医疗大健康 数据、门户框架、开放 平台，基础应用云病历、 云药房，同时融合大数 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技术，让上层应 用开发更简单、赋能健 康城市智慧医疗，研发 相应产品。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构建数字健康城市中台，城 市中台包含了数据收集，数 据存储，计算处理和对外服 务四个部分。针对区域内的 数据做到实时、不错、不漏； 针对不同场景提供关系数据 库、联机分析列式数据库、 大数据搜索数据库，为不同 需求的数据提供多种存储体 系；基于城市中台所管理的 云化资源，高效提供城市中 台的系统服务和应用插件服 务等。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拓展公司产品线，更好支撑 面向数字健康城市的中台服 务及应用，满足千万级人口 城市的数字健康城市建设需 求。有助于公司打造一套开 放平台并以此引入合作伙 伴，形成数字健康城市生态。</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针对医院医疗场景的一 体化工作站系统和集成 化工作平台的需求。研 发相应产品实现对病人 就诊全过程的跟踪和管 理，以诊疗为主线的闭 环临床信息处理流程， 并支持对患者诊疗数据 的全面整合以及深层次 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产品主要包括病房护士业务 支持、病房医生业务支持、 其他人员业务支持、跨科室</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跨病区业务支持的功能，并 实现电子病历的结构化存 储、数字签名、痕迹保留和 模板录入的功能，同时提供 统一的电子病历集成视图和 数据集成浏览视图，达到团 队医疗，提高系统易用性、 优化工作流程和提高医疗质 量的目的。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拓展公司产品线，满足医院 一体化工作站需求，有助于 提升客户满意度和目标市场 占有率。</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针对中医及肾病专科的 相应诊疗特点及细节要 求，在标准电子病历的 基础上研发针对中医体 系和肾病的专科电子病 历产品。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根据中医学理、法、方、药、 辨证论治的特点，及医生四 诊检查、辨证论治、处方用 药的规律，智能化模拟临床 中医临诊思路，集模板和词 库的优点，采用成分加减输 入的方法，提供中医饮片处 方功等能。根据肾病专科医 院对信息化的需求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提供具 有处方诊断等功能的智能化 的肾病专科电子病历系统。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拓展公司产品线，满足医院 专科电子病历需求，通过提 升临床工作效率医疗质量， 有助于公司更好服务客户， 有助于提升客户满意度和目 标市场占有率。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针对医院对医疗对象的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提供融合了物联网、云计算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拓展公司产品线，填补公司</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管理效率提升需求，包 括将散乱的医疗数据进 行多端一体化显示，帮 助医护人员及时、准确 掌握相应信息，研发相 应产品。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与大数据处理的新型信息化 技术，深度改变现有的医疗 服务模式，将散乱的医疗数 据通过护士站、走廊、病房 等智能终端显示，为医护人 员呈现及时、准确的信息， 使得病房状况完整立体呈 现，帮助医护人员更有效开 展工作。</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在智慧病房产品上的空白， 后续可以为新老客户提供更 多更丰富的产品及服务，有 助于进一步促进新合同产 出。</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针对客户在</w:t>
            </w:r>
            <w:r>
              <w:rPr>
                <w:rFonts w:ascii="Times New Roman" w:eastAsia="Times New Roman" w:hAnsi="Times New Roman" w:cs="Times New Roman"/>
                <w:color w:val="000000"/>
                <w:spacing w:val="0"/>
                <w:w w:val="100"/>
                <w:position w:val="0"/>
                <w:sz w:val="18"/>
                <w:szCs w:val="18"/>
              </w:rPr>
              <w:t>DRGs</w:t>
            </w:r>
            <w:r>
              <w:rPr>
                <w:color w:val="000000"/>
                <w:spacing w:val="0"/>
                <w:w w:val="100"/>
                <w:position w:val="0"/>
              </w:rPr>
              <w:t>付费 改革政策上的需求，围 绕</w:t>
            </w:r>
            <w:r>
              <w:rPr>
                <w:rFonts w:ascii="Times New Roman" w:eastAsia="Times New Roman" w:hAnsi="Times New Roman" w:cs="Times New Roman"/>
                <w:color w:val="000000"/>
                <w:spacing w:val="0"/>
                <w:w w:val="100"/>
                <w:position w:val="0"/>
                <w:sz w:val="18"/>
                <w:szCs w:val="18"/>
              </w:rPr>
              <w:t>DRG</w:t>
            </w:r>
            <w:r>
              <w:rPr>
                <w:color w:val="000000"/>
                <w:spacing w:val="0"/>
                <w:w w:val="100"/>
                <w:position w:val="0"/>
              </w:rPr>
              <w:t>管理与运营决 策、医保物价规则等， 研发相应产品。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医保智慧管控系统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结合医 院医疗服务流程、医院运营 管理存在的痛点，构建适用 于</w:t>
            </w:r>
            <w:r>
              <w:rPr>
                <w:rFonts w:ascii="Times New Roman" w:eastAsia="Times New Roman" w:hAnsi="Times New Roman" w:cs="Times New Roman"/>
                <w:color w:val="000000"/>
                <w:spacing w:val="0"/>
                <w:w w:val="100"/>
                <w:position w:val="0"/>
                <w:sz w:val="18"/>
                <w:szCs w:val="18"/>
              </w:rPr>
              <w:t>DRGs</w:t>
            </w:r>
            <w:r>
              <w:rPr>
                <w:color w:val="000000"/>
                <w:spacing w:val="0"/>
                <w:w w:val="100"/>
                <w:position w:val="0"/>
              </w:rPr>
              <w:t xml:space="preserve">付费改革政策的医 保智慧管控系统。主要分成 </w:t>
            </w:r>
            <w:r>
              <w:rPr>
                <w:rFonts w:ascii="Times New Roman" w:eastAsia="Times New Roman" w:hAnsi="Times New Roman" w:cs="Times New Roman"/>
                <w:color w:val="000000"/>
                <w:spacing w:val="0"/>
                <w:w w:val="100"/>
                <w:position w:val="0"/>
                <w:sz w:val="18"/>
                <w:szCs w:val="18"/>
              </w:rPr>
              <w:t>DRG</w:t>
            </w:r>
            <w:r>
              <w:rPr>
                <w:color w:val="000000"/>
                <w:spacing w:val="0"/>
                <w:w w:val="100"/>
                <w:position w:val="0"/>
              </w:rPr>
              <w:t>管理与运营决策、医保 物价规则引擎两个模块。提 供包括</w:t>
            </w:r>
            <w:r>
              <w:rPr>
                <w:rFonts w:ascii="Times New Roman" w:eastAsia="Times New Roman" w:hAnsi="Times New Roman" w:cs="Times New Roman"/>
                <w:color w:val="000000"/>
                <w:spacing w:val="0"/>
                <w:w w:val="100"/>
                <w:position w:val="0"/>
                <w:sz w:val="18"/>
                <w:szCs w:val="18"/>
              </w:rPr>
              <w:t>DRG</w:t>
            </w:r>
            <w:r>
              <w:rPr>
                <w:color w:val="000000"/>
                <w:spacing w:val="0"/>
                <w:w w:val="100"/>
                <w:position w:val="0"/>
              </w:rPr>
              <w:t>智能分组、</w:t>
            </w:r>
            <w:r>
              <w:rPr>
                <w:rFonts w:ascii="Times New Roman" w:eastAsia="Times New Roman" w:hAnsi="Times New Roman" w:cs="Times New Roman"/>
                <w:color w:val="000000"/>
                <w:spacing w:val="0"/>
                <w:w w:val="100"/>
                <w:position w:val="0"/>
                <w:sz w:val="18"/>
                <w:szCs w:val="18"/>
              </w:rPr>
              <w:t xml:space="preserve">DRG </w:t>
            </w:r>
            <w:r>
              <w:rPr>
                <w:color w:val="000000"/>
                <w:spacing w:val="0"/>
                <w:w w:val="100"/>
                <w:position w:val="0"/>
              </w:rPr>
              <w:t xml:space="preserve">智能监测、病案质控管理、 </w:t>
            </w:r>
            <w:r>
              <w:rPr>
                <w:rFonts w:ascii="Times New Roman" w:eastAsia="Times New Roman" w:hAnsi="Times New Roman" w:cs="Times New Roman"/>
                <w:color w:val="000000"/>
                <w:spacing w:val="0"/>
                <w:w w:val="100"/>
                <w:position w:val="0"/>
                <w:sz w:val="18"/>
                <w:szCs w:val="18"/>
              </w:rPr>
              <w:t>DRG</w:t>
            </w:r>
            <w:r>
              <w:rPr>
                <w:color w:val="000000"/>
                <w:spacing w:val="0"/>
                <w:w w:val="100"/>
                <w:position w:val="0"/>
              </w:rPr>
              <w:t>运营分析等功能。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拓展公司产品线，填补在医 保管控产品上的空白，提升 公司整体医疗解决方案的特 点与品质，有助于提升目标 市场占有率。</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基于客户及行业发展对 于人工智能技术在医疗 方面的应用需求，结合 和仁自身在单病种质控 上的长期积累，研发相 应产品。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通过人工智能技术在医疗方 面的应用，提升医院终末病 历质量；有效干预</w:t>
            </w:r>
            <w:r>
              <w:rPr>
                <w:rFonts w:ascii="Times New Roman" w:eastAsia="Times New Roman" w:hAnsi="Times New Roman" w:cs="Times New Roman"/>
                <w:color w:val="000000"/>
                <w:spacing w:val="0"/>
                <w:w w:val="100"/>
                <w:position w:val="0"/>
                <w:sz w:val="18"/>
                <w:szCs w:val="18"/>
              </w:rPr>
              <w:t>VTE</w:t>
            </w:r>
            <w:r>
              <w:rPr>
                <w:color w:val="000000"/>
                <w:spacing w:val="0"/>
                <w:w w:val="100"/>
                <w:position w:val="0"/>
              </w:rPr>
              <w:t>相关 医疗过程行为，并为及时质 量改进与持续提升提供数据 支撑。具体包括：</w:t>
            </w:r>
            <w:r>
              <w:rPr>
                <w:rFonts w:ascii="Times New Roman" w:eastAsia="Times New Roman" w:hAnsi="Times New Roman" w:cs="Times New Roman"/>
                <w:color w:val="000000"/>
                <w:spacing w:val="0"/>
                <w:w w:val="100"/>
                <w:position w:val="0"/>
                <w:sz w:val="18"/>
                <w:szCs w:val="18"/>
              </w:rPr>
              <w:t>"VTE</w:t>
            </w:r>
            <w:r>
              <w:rPr>
                <w:color w:val="000000"/>
                <w:spacing w:val="0"/>
                <w:w w:val="100"/>
                <w:position w:val="0"/>
              </w:rPr>
              <w:t>评 估自动填写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"VTE</w:t>
            </w:r>
            <w:r>
              <w:rPr>
                <w:color w:val="000000"/>
                <w:spacing w:val="0"/>
                <w:w w:val="100"/>
                <w:position w:val="0"/>
              </w:rPr>
              <w:t>自动预 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"VTE</w:t>
            </w:r>
            <w:r>
              <w:rPr>
                <w:color w:val="000000"/>
                <w:spacing w:val="0"/>
                <w:w w:val="100"/>
                <w:position w:val="0"/>
              </w:rPr>
              <w:t>临床诊断决策支 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"VTE</w:t>
            </w:r>
            <w:r>
              <w:rPr>
                <w:color w:val="000000"/>
                <w:spacing w:val="0"/>
                <w:w w:val="100"/>
                <w:position w:val="0"/>
              </w:rPr>
              <w:t>专病库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"VTE </w:t>
            </w:r>
            <w:r>
              <w:rPr>
                <w:color w:val="000000"/>
                <w:spacing w:val="0"/>
                <w:w w:val="100"/>
                <w:position w:val="0"/>
              </w:rPr>
              <w:t>监控大屏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"VTE</w:t>
            </w:r>
            <w:r>
              <w:rPr>
                <w:color w:val="000000"/>
                <w:spacing w:val="0"/>
                <w:w w:val="100"/>
                <w:position w:val="0"/>
              </w:rPr>
              <w:t>时间轴</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等。以病种为管理单元，结 合大数据技术、自然语言处 理能力和计算机可执行的临 床路径，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自动审核医生诊 疗行为是否符合临床规范并 实时提醒。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拓展公司产品线，针对医疗 行业发展趋势，对医疗质量 控制相关市场进行布局，通 过满足客户在公立医院绩效 考核、各类等级评审等需求， 有助于进一步提升客户满意 度和目标市场占有率。</w:t>
            </w: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基于客户及行业在优化 临床医务人员诊疗路 径、规范医院专科管理 的需求，针对妇幼专科 及专业技术人员研发相 应的专科电子病历产 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结合当前医疗卫生健康行业 的实际需求，顶层设计并形 成妇幼专科电子病历整体解 决方案，重点突出母婴管理、 新生儿管理、产房工作站及 相关规范流程、产科专业文 书等特色，打造妇幼专科路 线，解决专科医院个性化流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扩展公司产品线，针对妇幼 专科电子病历的细分市场提 供产品，有助于提升细分目 标市场占有率。</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程等问题。</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78,413,080.42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76,648,995.19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47,387,109.78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30,782,251.28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31,593,011.51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1,678,389.28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10,130,056.95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通过人工智能技术在医疗方 面的应用，提升医院终末病历 质量;有效干预</w:t>
            </w:r>
            <w:r>
              <w:rPr>
                <w:rFonts w:ascii="Times New Roman" w:eastAsia="Times New Roman" w:hAnsi="Times New Roman" w:cs="Times New Roman"/>
                <w:color w:val="000000"/>
                <w:spacing w:val="0"/>
                <w:w w:val="100"/>
                <w:position w:val="0"/>
                <w:sz w:val="18"/>
                <w:szCs w:val="18"/>
              </w:rPr>
              <w:t>VTE</w:t>
            </w:r>
            <w:r>
              <w:rPr>
                <w:color w:val="000000"/>
                <w:spacing w:val="0"/>
                <w:w w:val="100"/>
                <w:position w:val="0"/>
              </w:rPr>
              <w:t>相关医疗 过程行为，并为及时质量改进 与持续提升提供数据支撑；通 过控制过程质量，避免人为的 遗漏和疏忽，持续提升医疗服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务和质量安全。</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8,091,455.11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结合当前医疗卫生健康行业 的实际需求，顶层设计并形成 妇幼专科电子病历整体解决 方案，重点突出母婴管理、新 生儿管理、产房工作站及相关 规范流程、产科专业文书等特 色，致力于打造妇幼专科路 线，解决专科医院个性化流程 问题，为客户带来实际的便 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12,560,739.22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专注于大健康领域的开放式 平台，提供全时、全域、实时 一致的医疗大健康数据、门户 框架、开放平台，基础应用云 病历、云药房，同时融合大数 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技术，让上层应用开发 更简单、赋能健康城市智慧医 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r>
    </w:tbl>
    <w:p>
      <w:pPr>
        <w:pStyle w:val="Style17"/>
        <w:keepNext w:val="0"/>
        <w:keepLines w:val="0"/>
        <w:widowControl w:val="0"/>
        <w:shd w:val="clear" w:color="auto" w:fill="auto"/>
        <w:bidi w:val="0"/>
        <w:spacing w:before="0" w:after="400" w:line="312" w:lineRule="exact"/>
        <w:ind w:left="0" w:right="0" w:firstLine="0"/>
        <w:jc w:val="both"/>
      </w:pPr>
      <w:r>
        <w:rPr>
          <w:color w:val="000000"/>
          <w:spacing w:val="0"/>
          <w:w w:val="100"/>
          <w:position w:val="0"/>
        </w:rPr>
        <w:t>上述项目均经过市场调研、可行性研究、项目立项、项目预算审批、项目决策分析等环节，各环节均有严格的项目评审。上 述资本化研发项目所使用的技术均为公司自有，在技术上具有可行性，且公司有将上述无形资产进行销售的意图，基于开发 完成的软件产品存在市场。公司研发经验丰富，有足够的技术、财务资源和其他资源支持，以完成该项目的开发，并有能力 使用或出售该无形资产。公司设立了完善的研发体系，从产品的立项、评审、开发、测试、发布评审、发布等均建立了相应 的流程，确保资本化的准确。</w:t>
      </w:r>
    </w:p>
    <w:p>
      <w:pPr>
        <w:pStyle w:val="Style26"/>
        <w:keepNext/>
        <w:keepLines/>
        <w:widowControl w:val="0"/>
        <w:shd w:val="clear" w:color="auto" w:fill="auto"/>
        <w:bidi w:val="0"/>
        <w:spacing w:before="0" w:after="400" w:line="240" w:lineRule="auto"/>
        <w:ind w:left="0" w:right="0" w:firstLine="0"/>
        <w:jc w:val="both"/>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5</w:t>
      </w:r>
      <w:bookmarkEnd w:id="152"/>
      <w:r>
        <w:rPr>
          <w:color w:val="000000"/>
          <w:spacing w:val="0"/>
          <w:w w:val="100"/>
          <w:position w:val="0"/>
        </w:rPr>
        <w:t>、现金流</w:t>
      </w:r>
      <w:bookmarkEnd w:id="150"/>
      <w:bookmarkEnd w:id="151"/>
      <w:bookmarkEnd w:id="15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411,437,374.71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367,404,076.61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429,268,204.09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434,966,556.25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-17,830,829.38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-67,562,479.64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1,391,220,610.69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541,913,684.67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1,276,465,680.72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787,825,797.36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114,754,929.97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-245,912,112.69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629,617,592.57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208,030,551.17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102,414,217.89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-78,030,551.17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527,203,374.68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18,893,549.42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213,728,782.35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w:t>
            </w:r>
          </w:p>
        </w:tc>
      </w:tr>
    </w:tbl>
    <w:p>
      <w:pPr>
        <w:pStyle w:val="Style1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相关数据同比发生重大变动的主要影响因素说明</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公司经营活动现金净流入较上年同期增加</w:t>
      </w:r>
      <w:r>
        <w:rPr>
          <w:color w:val="000000"/>
          <w:spacing w:val="0"/>
          <w:w w:val="100"/>
          <w:position w:val="0"/>
          <w:sz w:val="18"/>
          <w:szCs w:val="18"/>
        </w:rPr>
        <w:t>73.61%，</w:t>
      </w:r>
      <w:r>
        <w:rPr>
          <w:color w:val="000000"/>
          <w:spacing w:val="0"/>
          <w:w w:val="100"/>
          <w:position w:val="0"/>
        </w:rPr>
        <w:t>主要系本期项目回款增加所致；投资活动现金流入、投资活动现金流出变 动较大主要受银行理财产品购买及赎回、购买商铺及退购、办公楼装修影响；筹资活动现金流入、流出变动主要系短期贷款 的借款及偿还、上期非公开发行股票影响；</w:t>
      </w:r>
    </w:p>
    <w:p>
      <w:pPr>
        <w:pStyle w:val="Style1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4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五</w:t>
      </w:r>
      <w:bookmarkEnd w:id="156"/>
      <w:r>
        <w:rPr>
          <w:color w:val="000000"/>
          <w:spacing w:val="0"/>
          <w:w w:val="100"/>
          <w:position w:val="0"/>
        </w:rPr>
        <w:t>、非主营业务情况</w:t>
      </w:r>
      <w:bookmarkEnd w:id="154"/>
      <w:bookmarkEnd w:id="155"/>
      <w:bookmarkEnd w:id="157"/>
    </w:p>
    <w:p>
      <w:pPr>
        <w:pStyle w:val="Style17"/>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8,114,476.52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-17,365,188.21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与企业日常活动无关的收 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117,216.52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与企业日常活动无关的支 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六</w:t>
      </w:r>
      <w:bookmarkEnd w:id="160"/>
      <w:r>
        <w:rPr>
          <w:color w:val="000000"/>
          <w:spacing w:val="0"/>
          <w:w w:val="100"/>
          <w:position w:val="0"/>
        </w:rPr>
        <w:t>、资产及负债状况分析</w:t>
      </w:r>
      <w:bookmarkEnd w:id="158"/>
      <w:bookmarkEnd w:id="159"/>
      <w:bookmarkEnd w:id="161"/>
    </w:p>
    <w:p>
      <w:pPr>
        <w:pStyle w:val="Style26"/>
        <w:keepNext/>
        <w:keepLines/>
        <w:widowControl w:val="0"/>
        <w:shd w:val="clear" w:color="auto" w:fill="auto"/>
        <w:bidi w:val="0"/>
        <w:spacing w:before="0" w:after="34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1</w:t>
      </w:r>
      <w:bookmarkEnd w:id="164"/>
      <w:r>
        <w:rPr>
          <w:color w:val="000000"/>
          <w:spacing w:val="0"/>
          <w:w w:val="100"/>
          <w:position w:val="0"/>
        </w:rPr>
        <w:t>、资产构成重大变动情况</w:t>
      </w:r>
      <w:bookmarkEnd w:id="162"/>
      <w:bookmarkEnd w:id="163"/>
      <w:bookmarkEnd w:id="165"/>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25"/>
        <w:gridCol w:w="1070"/>
        <w:gridCol w:w="1190"/>
        <w:gridCol w:w="1066"/>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455,596,266.47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440,209,354.52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249,509,574.68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220,023,307.50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265,486,202.76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195,834,206.56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58,948,535.81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50,006,256.76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62,941,400.43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66,882,263.12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78,975,656.61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83,703,260.54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25"/>
        <w:gridCol w:w="1070"/>
        <w:gridCol w:w="1190"/>
        <w:gridCol w:w="1066"/>
        <w:gridCol w:w="79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4,961,441.91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2,698,337.22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1,871,357.70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70,400,833.34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130,109,694.44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24,327,749.16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69,855,618.15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736,545.19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696,825.21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372,380,000.00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理财产品购买影响</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2</w:t>
      </w:r>
      <w:bookmarkEnd w:id="168"/>
      <w:r>
        <w:rPr>
          <w:color w:val="000000"/>
          <w:spacing w:val="0"/>
          <w:w w:val="100"/>
          <w:position w:val="0"/>
        </w:rPr>
        <w:t>、以公允价值计量的资产和负债</w:t>
      </w:r>
      <w:bookmarkEnd w:id="166"/>
      <w:bookmarkEnd w:id="167"/>
      <w:bookmarkEnd w:id="169"/>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372,380,000.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1,295,380,00</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185,360,000.00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372,380,000.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1,295,380,00</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其他变动的内容</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报告期内公司主要资产计量属性是否发生重大变化</w:t>
      </w:r>
    </w:p>
    <w:p>
      <w:pPr>
        <w:pStyle w:val="Style17"/>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28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3</w:t>
      </w:r>
      <w:bookmarkEnd w:id="172"/>
      <w:r>
        <w:rPr>
          <w:color w:val="000000"/>
          <w:spacing w:val="0"/>
          <w:w w:val="100"/>
          <w:position w:val="0"/>
        </w:rPr>
        <w:t>、截至报告期末的资产权利受限情况</w:t>
      </w:r>
      <w:bookmarkEnd w:id="170"/>
      <w:bookmarkEnd w:id="171"/>
      <w:bookmarkEnd w:id="173"/>
    </w:p>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其他货币资金中有票据保证金存款</w:t>
      </w:r>
      <w:r>
        <w:rPr>
          <w:rFonts w:ascii="Times New Roman" w:eastAsia="Times New Roman" w:hAnsi="Times New Roman" w:cs="Times New Roman"/>
          <w:color w:val="000000"/>
          <w:spacing w:val="0"/>
          <w:w w:val="100"/>
          <w:position w:val="0"/>
          <w:sz w:val="18"/>
          <w:szCs w:val="18"/>
        </w:rPr>
        <w:t>970,768.61</w:t>
      </w:r>
      <w:r>
        <w:rPr>
          <w:color w:val="000000"/>
          <w:spacing w:val="0"/>
          <w:w w:val="100"/>
          <w:position w:val="0"/>
        </w:rPr>
        <w:t>元、保函保证金存款</w:t>
      </w:r>
      <w:r>
        <w:rPr>
          <w:rFonts w:ascii="Times New Roman" w:eastAsia="Times New Roman" w:hAnsi="Times New Roman" w:cs="Times New Roman"/>
          <w:color w:val="000000"/>
          <w:spacing w:val="0"/>
          <w:w w:val="100"/>
          <w:position w:val="0"/>
          <w:sz w:val="18"/>
          <w:szCs w:val="18"/>
        </w:rPr>
        <w:t>2,466,495.98</w:t>
      </w:r>
      <w:r>
        <w:rPr>
          <w:color w:val="000000"/>
          <w:spacing w:val="0"/>
          <w:w w:val="100"/>
          <w:position w:val="0"/>
        </w:rPr>
        <w:t>元，农民工工资保证金专户存款</w:t>
      </w:r>
      <w:r>
        <w:rPr>
          <w:rFonts w:ascii="Times New Roman" w:eastAsia="Times New Roman" w:hAnsi="Times New Roman" w:cs="Times New Roman"/>
          <w:color w:val="000000"/>
          <w:spacing w:val="0"/>
          <w:w w:val="100"/>
          <w:position w:val="0"/>
          <w:sz w:val="18"/>
          <w:szCs w:val="18"/>
        </w:rPr>
        <w:t xml:space="preserve">1,817,416.55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元均使用受限。</w:t>
      </w:r>
    </w:p>
    <w:p>
      <w:pPr>
        <w:pStyle w:val="Style21"/>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七</w:t>
      </w:r>
      <w:bookmarkEnd w:id="176"/>
      <w:r>
        <w:rPr>
          <w:color w:val="000000"/>
          <w:spacing w:val="0"/>
          <w:w w:val="100"/>
          <w:position w:val="0"/>
        </w:rPr>
        <w:t>、投资状况分析</w:t>
      </w:r>
      <w:bookmarkEnd w:id="174"/>
      <w:bookmarkEnd w:id="175"/>
      <w:bookmarkEnd w:id="177"/>
    </w:p>
    <w:p>
      <w:pPr>
        <w:pStyle w:val="Style26"/>
        <w:keepNext/>
        <w:keepLines/>
        <w:widowControl w:val="0"/>
        <w:shd w:val="clear" w:color="auto" w:fill="auto"/>
        <w:tabs>
          <w:tab w:pos="368" w:val="left"/>
        </w:tabs>
        <w:bidi w:val="0"/>
        <w:spacing w:before="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w:t>
        <w:tab/>
        <w:t>总体情况</w:t>
      </w:r>
      <w:bookmarkEnd w:id="178"/>
      <w:bookmarkEnd w:id="179"/>
      <w:bookmarkEnd w:id="181"/>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w:t>
        <w:tab/>
        <w:t>报告期内获取的重大的股权投资情况</w:t>
      </w:r>
      <w:bookmarkEnd w:id="182"/>
      <w:bookmarkEnd w:id="183"/>
      <w:bookmarkEnd w:id="185"/>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w:t>
        <w:tab/>
        <w:t>报告期内正在进行的重大的非股权投资情况</w:t>
      </w:r>
      <w:bookmarkEnd w:id="186"/>
      <w:bookmarkEnd w:id="187"/>
      <w:bookmarkEnd w:id="189"/>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4</w:t>
      </w:r>
      <w:bookmarkEnd w:id="192"/>
      <w:r>
        <w:rPr>
          <w:color w:val="000000"/>
          <w:spacing w:val="0"/>
          <w:w w:val="100"/>
          <w:position w:val="0"/>
        </w:rPr>
        <w:t>、</w:t>
        <w:tab/>
        <w:t>以公允价值计量的金融资产</w:t>
      </w:r>
      <w:bookmarkEnd w:id="190"/>
      <w:bookmarkEnd w:id="191"/>
      <w:bookmarkEnd w:id="193"/>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372,380,00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1,295,380,0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8,328,900.2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募集及自 有资金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372,380,00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1,295,380,0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8,328,900.2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5</w:t>
      </w:r>
      <w:bookmarkEnd w:id="196"/>
      <w:r>
        <w:rPr>
          <w:color w:val="000000"/>
          <w:spacing w:val="0"/>
          <w:w w:val="100"/>
          <w:position w:val="0"/>
        </w:rPr>
        <w:t>、募集资金使用情况</w:t>
      </w:r>
      <w:bookmarkEnd w:id="194"/>
      <w:bookmarkEnd w:id="195"/>
      <w:bookmarkEnd w:id="197"/>
    </w:p>
    <w:p>
      <w:pPr>
        <w:pStyle w:val="Style17"/>
        <w:keepNext w:val="0"/>
        <w:keepLines w:val="0"/>
        <w:widowControl w:val="0"/>
        <w:numPr>
          <w:ilvl w:val="0"/>
          <w:numId w:val="3"/>
        </w:numPr>
        <w:shd w:val="clear" w:color="auto" w:fill="auto"/>
        <w:tabs>
          <w:tab w:pos="286" w:val="left"/>
          <w:tab w:pos="723" w:val="left"/>
        </w:tabs>
        <w:bidi w:val="0"/>
        <w:spacing w:before="0" w:after="360" w:line="240" w:lineRule="auto"/>
        <w:ind w:left="0" w:right="0" w:firstLine="0"/>
        <w:jc w:val="both"/>
      </w:pPr>
      <w:bookmarkStart w:id="198" w:name="bookmark198"/>
      <w:bookmarkEnd w:id="198"/>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both"/>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9"/>
      <w:bookmarkEnd w:id="200"/>
      <w:bookmarkEnd w:id="202"/>
    </w:p>
    <w:p>
      <w:pPr>
        <w:pStyle w:val="Style17"/>
        <w:keepNext w:val="0"/>
        <w:keepLines w:val="0"/>
        <w:widowControl w:val="0"/>
        <w:numPr>
          <w:ilvl w:val="0"/>
          <w:numId w:val="3"/>
        </w:numPr>
        <w:shd w:val="clear" w:color="auto" w:fill="auto"/>
        <w:tabs>
          <w:tab w:pos="286" w:val="left"/>
          <w:tab w:pos="723" w:val="left"/>
        </w:tabs>
        <w:bidi w:val="0"/>
        <w:spacing w:before="0" w:after="140" w:line="240" w:lineRule="auto"/>
        <w:ind w:left="0" w:right="0" w:firstLine="0"/>
        <w:jc w:val="both"/>
      </w:pPr>
      <w:bookmarkStart w:id="203" w:name="bookmark203"/>
      <w:bookmarkEnd w:id="203"/>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保本性理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财产品及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活期存款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49,631.96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39,508.80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313" w:lineRule="exact"/>
        <w:ind w:left="0" w:right="0" w:firstLine="0"/>
        <w:jc w:val="center"/>
      </w:pPr>
      <w:r>
        <w:rPr>
          <w:color w:val="000000"/>
          <w:spacing w:val="0"/>
          <w:w w:val="100"/>
          <w:position w:val="0"/>
        </w:rPr>
        <w:t>募集资金总体使用情况说明</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1" w:val="left"/>
        </w:tabs>
        <w:bidi w:val="0"/>
        <w:spacing w:before="0" w:after="0" w:line="313" w:lineRule="exact"/>
        <w:ind w:left="0" w:right="0" w:firstLine="0"/>
        <w:jc w:val="left"/>
      </w:pPr>
      <w:bookmarkStart w:id="204" w:name="bookmark204"/>
      <w:r>
        <w:rPr>
          <w:rFonts w:ascii="Times New Roman" w:eastAsia="Times New Roman" w:hAnsi="Times New Roman" w:cs="Times New Roman"/>
          <w:color w:val="000000"/>
          <w:spacing w:val="0"/>
          <w:w w:val="100"/>
          <w:position w:val="0"/>
          <w:sz w:val="18"/>
          <w:szCs w:val="18"/>
        </w:rPr>
        <w:t>（</w:t>
      </w:r>
      <w:bookmarkEnd w:id="204"/>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实际募集资金金额和资金到账时间</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1243</w:t>
      </w:r>
      <w:r>
        <w:rPr>
          <w:color w:val="000000"/>
          <w:spacing w:val="0"/>
          <w:w w:val="100"/>
          <w:position w:val="0"/>
        </w:rPr>
        <w:t>号文核准，并经深圳证券交易所同意，本公司由主承销商海通证券股份 有限公司采用非公开发行的方式，向特定对象非公开发行人民币普通股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25,862,558</w:t>
      </w:r>
      <w:r>
        <w:rPr>
          <w:color w:val="000000"/>
          <w:spacing w:val="0"/>
          <w:w w:val="100"/>
          <w:position w:val="0"/>
        </w:rPr>
        <w:t xml:space="preserve">股，发行价为每股人民币 </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元，共计募集资金</w:t>
      </w:r>
      <w:r>
        <w:rPr>
          <w:rFonts w:ascii="Times New Roman" w:eastAsia="Times New Roman" w:hAnsi="Times New Roman" w:cs="Times New Roman"/>
          <w:color w:val="000000"/>
          <w:spacing w:val="0"/>
          <w:w w:val="100"/>
          <w:position w:val="0"/>
          <w:sz w:val="18"/>
          <w:szCs w:val="18"/>
        </w:rPr>
        <w:t>507,164,762.38</w:t>
      </w:r>
      <w:r>
        <w:rPr>
          <w:color w:val="000000"/>
          <w:spacing w:val="0"/>
          <w:w w:val="100"/>
          <w:position w:val="0"/>
        </w:rPr>
        <w:t>元，坐扣承销和保荐费用</w:t>
      </w:r>
      <w:r>
        <w:rPr>
          <w:rFonts w:ascii="Times New Roman" w:eastAsia="Times New Roman" w:hAnsi="Times New Roman" w:cs="Times New Roman"/>
          <w:color w:val="000000"/>
          <w:spacing w:val="0"/>
          <w:w w:val="100"/>
          <w:position w:val="0"/>
          <w:sz w:val="18"/>
          <w:szCs w:val="18"/>
        </w:rPr>
        <w:t>7,547,169.81</w:t>
      </w:r>
      <w:r>
        <w:rPr>
          <w:color w:val="000000"/>
          <w:spacing w:val="0"/>
          <w:w w:val="100"/>
          <w:position w:val="0"/>
        </w:rPr>
        <w:t>元后的募集资金为</w:t>
      </w:r>
      <w:r>
        <w:rPr>
          <w:rFonts w:ascii="Times New Roman" w:eastAsia="Times New Roman" w:hAnsi="Times New Roman" w:cs="Times New Roman"/>
          <w:color w:val="000000"/>
          <w:spacing w:val="0"/>
          <w:w w:val="100"/>
          <w:position w:val="0"/>
          <w:sz w:val="18"/>
          <w:szCs w:val="18"/>
        </w:rPr>
        <w:t>499,617,592.57</w:t>
      </w:r>
      <w:r>
        <w:rPr>
          <w:color w:val="000000"/>
          <w:spacing w:val="0"/>
          <w:w w:val="100"/>
          <w:position w:val="0"/>
        </w:rPr>
        <w:t>元，已由 主承销商海通证券股份有限公司于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日汇入本公司募集资金监管账户。另减除申报会计师费、律师费、证券 登记费等与发行权益性证券直接相关的新增外部费用</w:t>
      </w:r>
      <w:r>
        <w:rPr>
          <w:rFonts w:ascii="Times New Roman" w:eastAsia="Times New Roman" w:hAnsi="Times New Roman" w:cs="Times New Roman"/>
          <w:color w:val="000000"/>
          <w:spacing w:val="0"/>
          <w:w w:val="100"/>
          <w:position w:val="0"/>
          <w:sz w:val="18"/>
          <w:szCs w:val="18"/>
        </w:rPr>
        <w:t>3,297,983.47</w:t>
      </w:r>
      <w:r>
        <w:rPr>
          <w:color w:val="000000"/>
          <w:spacing w:val="0"/>
          <w:w w:val="100"/>
          <w:position w:val="0"/>
        </w:rPr>
        <w:t>元后，公司本次募集资金净额为</w:t>
      </w:r>
      <w:r>
        <w:rPr>
          <w:rFonts w:ascii="Times New Roman" w:eastAsia="Times New Roman" w:hAnsi="Times New Roman" w:cs="Times New Roman"/>
          <w:color w:val="000000"/>
          <w:spacing w:val="0"/>
          <w:w w:val="100"/>
          <w:position w:val="0"/>
          <w:sz w:val="18"/>
          <w:szCs w:val="18"/>
        </w:rPr>
        <w:t>496,319,609.10</w:t>
      </w:r>
      <w:r>
        <w:rPr>
          <w:color w:val="000000"/>
          <w:spacing w:val="0"/>
          <w:w w:val="100"/>
          <w:position w:val="0"/>
        </w:rPr>
        <w:t>元。上 述募集资金到位情况业经天健会计师事务所（特殊普通合伙）验证，并由其出具《验资报告》（天健验〔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415</w:t>
      </w:r>
      <w:r>
        <w:rPr>
          <w:color w:val="000000"/>
          <w:spacing w:val="0"/>
          <w:w w:val="100"/>
          <w:position w:val="0"/>
        </w:rPr>
        <w:t>号）。</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1" w:val="left"/>
        </w:tabs>
        <w:bidi w:val="0"/>
        <w:spacing w:before="0" w:after="0" w:line="313" w:lineRule="exact"/>
        <w:ind w:left="0" w:right="0" w:firstLine="0"/>
        <w:jc w:val="both"/>
      </w:pPr>
      <w:bookmarkStart w:id="205" w:name="bookmark205"/>
      <w:r>
        <w:rPr>
          <w:rFonts w:ascii="Times New Roman" w:eastAsia="Times New Roman" w:hAnsi="Times New Roman" w:cs="Times New Roman"/>
          <w:color w:val="000000"/>
          <w:spacing w:val="0"/>
          <w:w w:val="100"/>
          <w:position w:val="0"/>
          <w:sz w:val="18"/>
          <w:szCs w:val="18"/>
        </w:rPr>
        <w:t>（</w:t>
      </w:r>
      <w:bookmarkEnd w:id="205"/>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募集资金使用和结余情况</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1" w:lineRule="exact"/>
        <w:ind w:left="0" w:right="0" w:firstLine="0"/>
        <w:jc w:val="both"/>
      </w:pPr>
      <w:r>
        <w:rPr>
          <w:color w:val="000000"/>
          <w:spacing w:val="0"/>
          <w:w w:val="100"/>
          <w:position w:val="0"/>
        </w:rPr>
        <w:t>本公司以前年度已使用募集资金</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元，以前年度收到的银行存款利息扣除银行手续费等的净额为</w:t>
      </w:r>
      <w:r>
        <w:rPr>
          <w:rFonts w:ascii="Times New Roman" w:eastAsia="Times New Roman" w:hAnsi="Times New Roman" w:cs="Times New Roman"/>
          <w:color w:val="000000"/>
          <w:spacing w:val="0"/>
          <w:w w:val="100"/>
          <w:position w:val="0"/>
          <w:sz w:val="18"/>
          <w:szCs w:val="18"/>
        </w:rPr>
        <w:t>1,431,129.79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月实际使用募集资金投入募投项目</w:t>
      </w:r>
      <w:r>
        <w:rPr>
          <w:rFonts w:ascii="Times New Roman" w:eastAsia="Times New Roman" w:hAnsi="Times New Roman" w:cs="Times New Roman"/>
          <w:color w:val="000000"/>
          <w:spacing w:val="0"/>
          <w:w w:val="100"/>
          <w:position w:val="0"/>
          <w:sz w:val="18"/>
          <w:szCs w:val="18"/>
        </w:rPr>
        <w:t>101,000,000.00</w:t>
      </w:r>
      <w:r>
        <w:rPr>
          <w:color w:val="000000"/>
          <w:spacing w:val="0"/>
          <w:w w:val="100"/>
          <w:position w:val="0"/>
        </w:rPr>
        <w:t>元，销户转出</w:t>
      </w:r>
      <w:r>
        <w:rPr>
          <w:rFonts w:ascii="Times New Roman" w:eastAsia="Times New Roman" w:hAnsi="Times New Roman" w:cs="Times New Roman"/>
          <w:color w:val="000000"/>
          <w:spacing w:val="0"/>
          <w:w w:val="100"/>
          <w:position w:val="0"/>
          <w:sz w:val="18"/>
          <w:szCs w:val="18"/>
        </w:rPr>
        <w:t>231,638.71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月收到的银行理财产 品收益以及银行存款利息扣除银行手续费的净额为</w:t>
      </w:r>
      <w:r>
        <w:rPr>
          <w:rFonts w:ascii="Times New Roman" w:eastAsia="Times New Roman" w:hAnsi="Times New Roman" w:cs="Times New Roman"/>
          <w:color w:val="000000"/>
          <w:spacing w:val="0"/>
          <w:w w:val="100"/>
          <w:position w:val="0"/>
          <w:sz w:val="18"/>
          <w:szCs w:val="18"/>
        </w:rPr>
        <w:t>7,993,260.18</w:t>
      </w:r>
      <w:r>
        <w:rPr>
          <w:color w:val="000000"/>
          <w:spacing w:val="0"/>
          <w:w w:val="100"/>
          <w:position w:val="0"/>
        </w:rPr>
        <w:t>元，购买银行理财产品</w:t>
      </w:r>
      <w:r>
        <w:rPr>
          <w:rFonts w:ascii="Times New Roman" w:eastAsia="Times New Roman" w:hAnsi="Times New Roman" w:cs="Times New Roman"/>
          <w:color w:val="000000"/>
          <w:spacing w:val="0"/>
          <w:w w:val="100"/>
          <w:position w:val="0"/>
          <w:sz w:val="18"/>
          <w:szCs w:val="18"/>
        </w:rPr>
        <w:t>99,000,000.00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404,512,360.36</w:t>
      </w:r>
      <w:r>
        <w:rPr>
          <w:color w:val="000000"/>
          <w:spacing w:val="0"/>
          <w:w w:val="100"/>
          <w:position w:val="0"/>
        </w:rPr>
        <w:t>元（包括理财产品</w:t>
      </w:r>
      <w:r>
        <w:rPr>
          <w:rFonts w:ascii="Times New Roman" w:eastAsia="Times New Roman" w:hAnsi="Times New Roman" w:cs="Times New Roman"/>
          <w:color w:val="000000"/>
          <w:spacing w:val="0"/>
          <w:w w:val="100"/>
          <w:position w:val="0"/>
          <w:sz w:val="18"/>
          <w:szCs w:val="18"/>
        </w:rPr>
        <w:t>99,000,000.00</w:t>
      </w:r>
      <w:r>
        <w:rPr>
          <w:color w:val="000000"/>
          <w:spacing w:val="0"/>
          <w:w w:val="100"/>
          <w:position w:val="0"/>
        </w:rPr>
        <w:t>元，存款</w:t>
      </w:r>
      <w:r>
        <w:rPr>
          <w:rFonts w:ascii="Times New Roman" w:eastAsia="Times New Roman" w:hAnsi="Times New Roman" w:cs="Times New Roman"/>
          <w:color w:val="000000"/>
          <w:spacing w:val="0"/>
          <w:w w:val="100"/>
          <w:position w:val="0"/>
          <w:sz w:val="18"/>
          <w:szCs w:val="18"/>
        </w:rPr>
        <w:t>305,512,360.36</w:t>
      </w:r>
      <w:r>
        <w:rPr>
          <w:color w:val="000000"/>
          <w:spacing w:val="0"/>
          <w:w w:val="100"/>
          <w:position w:val="0"/>
        </w:rPr>
        <w:t>元（含收到的银 行存款利息扣除银行手续费等的净额</w:t>
      </w:r>
      <w:r>
        <w:rPr>
          <w:rFonts w:ascii="Times New Roman" w:eastAsia="Times New Roman" w:hAnsi="Times New Roman" w:cs="Times New Roman"/>
          <w:color w:val="000000"/>
          <w:spacing w:val="0"/>
          <w:w w:val="100"/>
          <w:position w:val="0"/>
          <w:sz w:val="18"/>
          <w:szCs w:val="18"/>
        </w:rPr>
        <w:t>9,424,389.97</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both"/>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6"/>
      <w:bookmarkEnd w:id="207"/>
      <w:bookmarkEnd w:id="209"/>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基于物 联网及 大数据 技术的 智慧医 院一体 化建设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补充流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资项目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49,631.96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49,631.96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10,123.16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49,631.96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49,631.96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10,123.16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受疫情、医院预算等因数的影响，导致相关项目的谈判、论证等周期变长；同时医院由于防疫工作，实施条件变 得更加复杂。未来公司将继续按照已公告募投项目计划进行实施，公司不存在其他计划安排。</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 金的金 额、用途 及使用 进展情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施方式 调整情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用闲置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8856"/>
      </w:tblGrid>
      <w:tr>
        <w:trPr>
          <w:trHeight w:val="3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金暂时</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6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施出现</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及原因</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用的募</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尚未使用的募集资金存放于公司募集资金专户及购买保本性理财产品</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去向</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中存在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或其他</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0"/>
      <w:bookmarkEnd w:id="211"/>
      <w:bookmarkEnd w:id="213"/>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1"/>
        <w:keepNext/>
        <w:keepLines/>
        <w:widowControl w:val="0"/>
        <w:shd w:val="clear" w:color="auto" w:fill="auto"/>
        <w:tabs>
          <w:tab w:pos="517"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八</w:t>
      </w:r>
      <w:bookmarkEnd w:id="216"/>
      <w:r>
        <w:rPr>
          <w:color w:val="000000"/>
          <w:spacing w:val="0"/>
          <w:w w:val="100"/>
          <w:position w:val="0"/>
        </w:rPr>
        <w:t>、</w:t>
        <w:tab/>
        <w:t>重大资产和股权出售</w:t>
      </w:r>
      <w:bookmarkEnd w:id="214"/>
      <w:bookmarkEnd w:id="215"/>
      <w:bookmarkEnd w:id="217"/>
    </w:p>
    <w:p>
      <w:pPr>
        <w:pStyle w:val="Style26"/>
        <w:keepNext/>
        <w:keepLines/>
        <w:widowControl w:val="0"/>
        <w:shd w:val="clear" w:color="auto" w:fill="auto"/>
        <w:tabs>
          <w:tab w:pos="400"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w:t>
        <w:tab/>
        <w:t>出售重大资产情况</w:t>
      </w:r>
      <w:bookmarkEnd w:id="218"/>
      <w:bookmarkEnd w:id="219"/>
      <w:bookmarkEnd w:id="221"/>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6"/>
        <w:keepNext/>
        <w:keepLines/>
        <w:widowControl w:val="0"/>
        <w:shd w:val="clear" w:color="auto" w:fill="auto"/>
        <w:tabs>
          <w:tab w:pos="400" w:val="left"/>
        </w:tabs>
        <w:bidi w:val="0"/>
        <w:spacing w:before="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w:t>
        <w:tab/>
        <w:t>出售重大股权情况</w:t>
      </w:r>
      <w:bookmarkEnd w:id="222"/>
      <w:bookmarkEnd w:id="223"/>
      <w:bookmarkEnd w:id="225"/>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九</w:t>
      </w:r>
      <w:bookmarkEnd w:id="228"/>
      <w:r>
        <w:rPr>
          <w:color w:val="000000"/>
          <w:spacing w:val="0"/>
          <w:w w:val="100"/>
          <w:position w:val="0"/>
        </w:rPr>
        <w:t>、</w:t>
        <w:tab/>
        <w:t>主要控股参股公司分析</w:t>
      </w:r>
      <w:bookmarkEnd w:id="226"/>
      <w:bookmarkEnd w:id="227"/>
      <w:bookmarkEnd w:id="229"/>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软件技术开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发、技术服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务等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10,274,905.3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7,399,818.70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2,342,353.37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-3,929,466.4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-4,106,673.4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和仁湘雅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因业务战略调整清算子公司，对生产经 营及业绩无实质影响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赣州和仁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因业务战略调整清算子公司，对生产经 营及业绩无实质影响</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230" w:name="bookmark230"/>
      <w:bookmarkStart w:id="231" w:name="bookmark231"/>
      <w:bookmarkStart w:id="232" w:name="bookmark232"/>
      <w:r>
        <w:rPr>
          <w:color w:val="000000"/>
          <w:spacing w:val="0"/>
          <w:w w:val="100"/>
          <w:position w:val="0"/>
        </w:rPr>
        <w:t>十、公司控制的结构化主体情况</w:t>
      </w:r>
      <w:bookmarkEnd w:id="230"/>
      <w:bookmarkEnd w:id="231"/>
      <w:bookmarkEnd w:id="232"/>
    </w:p>
    <w:p>
      <w:pPr>
        <w:pStyle w:val="Style1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233" w:name="bookmark233"/>
      <w:bookmarkStart w:id="234" w:name="bookmark234"/>
      <w:bookmarkStart w:id="235" w:name="bookmark235"/>
      <w:r>
        <w:rPr>
          <w:color w:val="000000"/>
          <w:spacing w:val="0"/>
          <w:w w:val="100"/>
          <w:position w:val="0"/>
        </w:rPr>
        <w:t>十一、公司未来发展的展望</w:t>
      </w:r>
      <w:bookmarkEnd w:id="233"/>
      <w:bookmarkEnd w:id="234"/>
      <w:bookmarkEnd w:id="235"/>
    </w:p>
    <w:p>
      <w:pPr>
        <w:pStyle w:val="Style17"/>
        <w:keepNext w:val="0"/>
        <w:keepLines w:val="0"/>
        <w:widowControl w:val="0"/>
        <w:shd w:val="clear" w:color="auto" w:fill="auto"/>
        <w:bidi w:val="0"/>
        <w:spacing w:before="0" w:after="0" w:line="312" w:lineRule="exact"/>
        <w:ind w:left="0" w:right="0" w:firstLine="500"/>
        <w:jc w:val="both"/>
      </w:pPr>
      <w:bookmarkStart w:id="236" w:name="bookmark236"/>
      <w:r>
        <w:rPr>
          <w:color w:val="000000"/>
          <w:spacing w:val="0"/>
          <w:w w:val="100"/>
          <w:position w:val="0"/>
        </w:rPr>
        <w:t>（</w:t>
      </w:r>
      <w:bookmarkEnd w:id="236"/>
      <w:r>
        <w:rPr>
          <w:color w:val="000000"/>
          <w:spacing w:val="0"/>
          <w:w w:val="100"/>
          <w:position w:val="0"/>
        </w:rPr>
        <w:t>一）公司所处行业格局和趋势</w:t>
      </w:r>
    </w:p>
    <w:p>
      <w:pPr>
        <w:pStyle w:val="Style17"/>
        <w:keepNext w:val="0"/>
        <w:keepLines w:val="0"/>
        <w:widowControl w:val="0"/>
        <w:shd w:val="clear" w:color="auto" w:fill="auto"/>
        <w:bidi w:val="0"/>
        <w:spacing w:before="0" w:after="0" w:line="312" w:lineRule="exact"/>
        <w:ind w:left="0" w:right="0" w:firstLine="500"/>
        <w:jc w:val="both"/>
      </w:pPr>
      <w:bookmarkStart w:id="237" w:name="bookmark237"/>
      <w:r>
        <w:rPr>
          <w:rFonts w:ascii="Times New Roman" w:eastAsia="Times New Roman" w:hAnsi="Times New Roman" w:cs="Times New Roman"/>
          <w:color w:val="000000"/>
          <w:spacing w:val="0"/>
          <w:w w:val="100"/>
          <w:position w:val="0"/>
          <w:sz w:val="18"/>
          <w:szCs w:val="18"/>
        </w:rPr>
        <w:t>1</w:t>
      </w:r>
      <w:bookmarkEnd w:id="237"/>
      <w:r>
        <w:rPr>
          <w:color w:val="000000"/>
          <w:spacing w:val="0"/>
          <w:w w:val="100"/>
          <w:position w:val="0"/>
        </w:rPr>
        <w:t>、国家全方位推动公立医院改革和智慧医院建设</w:t>
      </w:r>
    </w:p>
    <w:p>
      <w:pPr>
        <w:pStyle w:val="Style17"/>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党和国家高度重视医疗卫生健康事业，已经陆续出台了《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健康中国</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规划纲要》、《关于深化医疗保障制度改革 的意见》、《关于推动公立医院高质量发展的意见》等政策和文件。自</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以来，国家卫健委等监管机构在持续不断的推进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智慧医院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建设，在电子病例、智慧服务和智慧管理的三位一体整体框架中，电子病历是重中之重。为了全面评估医疗机构 电子病历系统应用水平，指导医疗机构科学、合理、有序的发展电子病历系统，</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日国家卫健委发布《关于印发 电子病历系统应用水平分级评价管理办法（试行）及评价标准（试行）的通知》，要求到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年，所有三级医院要达到分级 评价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级以上；到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年，所有三级医院要达到分级评价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级以上，二级医院要达到分级评价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级以上。</w:t>
      </w:r>
      <w:r>
        <w:rPr>
          <w:rFonts w:ascii="Times New Roman" w:eastAsia="Times New Roman" w:hAnsi="Times New Roman" w:cs="Times New Roman"/>
          <w:color w:val="000000"/>
          <w:spacing w:val="0"/>
          <w:w w:val="100"/>
          <w:position w:val="0"/>
          <w:sz w:val="18"/>
          <w:szCs w:val="18"/>
        </w:rPr>
        <w:t>2020-08-06</w:t>
      </w:r>
      <w:r>
        <w:rPr>
          <w:color w:val="000000"/>
          <w:spacing w:val="0"/>
          <w:w w:val="100"/>
          <w:position w:val="0"/>
        </w:rPr>
        <w:t>国家卫健 委印发《关于印发医院信息互联互通标准化成熟度测评方案（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年版）的通知》，从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年开始实施。</w:t>
      </w:r>
      <w:r>
        <w:rPr>
          <w:rFonts w:ascii="Times New Roman" w:eastAsia="Times New Roman" w:hAnsi="Times New Roman" w:cs="Times New Roman"/>
          <w:color w:val="000000"/>
          <w:spacing w:val="0"/>
          <w:w w:val="100"/>
          <w:position w:val="0"/>
          <w:sz w:val="18"/>
          <w:szCs w:val="18"/>
        </w:rPr>
        <w:t>2020-05-08</w:t>
      </w:r>
      <w:r>
        <w:rPr>
          <w:color w:val="000000"/>
          <w:spacing w:val="0"/>
          <w:w w:val="100"/>
          <w:position w:val="0"/>
        </w:rPr>
        <w:t>国家 卫健委发布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关于加快推进国家医学中心和国家区域医疗中心设置工作的通知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，以及相应的委省共建工作安排，极大地推动 高端医疗服务机构建设，提升医疗服务能力。智慧医院，尤其是电子病历系统的建设和改造，涉及</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w:t>
      </w:r>
      <w:r>
        <w:rPr>
          <w:color w:val="000000"/>
          <w:spacing w:val="0"/>
          <w:w w:val="100"/>
          <w:position w:val="0"/>
        </w:rPr>
        <w:t>电子病历、集成平 台和临床数据中心的全面改造和升级换代，智慧医院、医院集团、电子病历以及集成平台、临床数据中心等系统的升级换代 将给医疗信息化行业带来巨大的市场空间。</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此外，为了让患者感受更加方便和快捷的医疗服务，发展面向患者的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，国家层面发布了《关于促进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医疗健康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发展的意见》、《互联网诊疗管理办法（试行）》、《互联网医院管理办法（试行）》、《远程医疗服务管理规 范（试行）》、《关于完善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医疗服务价格和医保支付政策的指导意见》等一系列文件。系列政策的出台肯定了慢 病复诊、在线处方、医疗机构处方漫游、医保在线支付和一站式结算等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的合法性，极大地调动了医护人 员、管理人员、第三方服务机构等各医疗行业参与主体的积极性。在国家政策强力驱动下，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区域医疗中心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市场蓬勃发展。</w:t>
      </w:r>
    </w:p>
    <w:p>
      <w:pPr>
        <w:pStyle w:val="Style1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智慧医院整体解决方案是公司的核心业务重点，其核心模块包括电子病历系统、集成平台、临床数据中心、互联网医院、 区域医疗中心、人工智能应用等。公司正按照最新的市场需求优化升级产品和解决方案，拓展样板医院的建设，以进一步提 高市场占有率。</w:t>
      </w:r>
    </w:p>
    <w:p>
      <w:pPr>
        <w:pStyle w:val="Style17"/>
        <w:keepNext w:val="0"/>
        <w:keepLines w:val="0"/>
        <w:widowControl w:val="0"/>
        <w:shd w:val="clear" w:color="auto" w:fill="auto"/>
        <w:bidi w:val="0"/>
        <w:spacing w:before="0" w:after="0" w:line="313" w:lineRule="exact"/>
        <w:ind w:left="0" w:right="0" w:firstLine="0"/>
        <w:jc w:val="center"/>
      </w:pPr>
      <w:bookmarkStart w:id="238" w:name="bookmark238"/>
      <w:r>
        <w:rPr>
          <w:rFonts w:ascii="Times New Roman" w:eastAsia="Times New Roman" w:hAnsi="Times New Roman" w:cs="Times New Roman"/>
          <w:color w:val="000000"/>
          <w:spacing w:val="0"/>
          <w:w w:val="100"/>
          <w:position w:val="0"/>
          <w:sz w:val="18"/>
          <w:szCs w:val="18"/>
        </w:rPr>
        <w:t>2</w:t>
      </w:r>
      <w:bookmarkEnd w:id="238"/>
      <w:r>
        <w:rPr>
          <w:color w:val="000000"/>
          <w:spacing w:val="0"/>
          <w:w w:val="100"/>
          <w:position w:val="0"/>
        </w:rPr>
        <w:t>、三医联动、分级诊疗、疫情常态化防控、数字城市等需求助力城市级智慧医疗（数字健康城市）服务爆发。</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三医联动是我国深化医药卫生体制改革的重要内容。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月，国务院印发《关于深化医药卫生体制改革</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年重点 工作任务的通知》，重点强调要推广三明医改经验，加快推进医疗、医保、医药三医联动。三医联动牵涉医院、医保、医药 以及相关单位和行业的责权利转变和行业洗牌，支撑医疗业务和管理的信息系统需要集成、整合、升级换代，甚至新的服务 模式创新。近年来随着我国各类医保基金结余率逐渐下降，医疗基金控费已成为政策监管部门的当务之急。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国家医疗保障局正式挂牌，目前各省、地市、县区的医保局已经基本成立，医保局作为医疗健康服务的战略购买方对医药卫 生体制改革产生巨大的影响，涉及医保支付制度、药品采购和价格、医疗服务价格等医疗、卫生、健康的方方面面。</w:t>
      </w:r>
    </w:p>
    <w:p>
      <w:pPr>
        <w:pStyle w:val="Style1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日，国家医保局发布《关于申报按疾病诊断相关分组付费国家试点的通知》，计划制定出适合我国医疗服 务体系和医保管理能力的按疾病诊断相关分组（</w:t>
      </w:r>
      <w:r>
        <w:rPr>
          <w:rFonts w:ascii="Times New Roman" w:eastAsia="Times New Roman" w:hAnsi="Times New Roman" w:cs="Times New Roman"/>
          <w:color w:val="000000"/>
          <w:spacing w:val="0"/>
          <w:w w:val="100"/>
          <w:position w:val="0"/>
          <w:sz w:val="18"/>
          <w:szCs w:val="18"/>
        </w:rPr>
        <w:t>DRGs</w:t>
      </w:r>
      <w:r>
        <w:rPr>
          <w:color w:val="000000"/>
          <w:spacing w:val="0"/>
          <w:w w:val="100"/>
          <w:position w:val="0"/>
        </w:rPr>
        <w:t>）</w:t>
      </w:r>
      <w:r>
        <w:rPr>
          <w:color w:val="000000"/>
          <w:spacing w:val="0"/>
          <w:w w:val="100"/>
          <w:position w:val="0"/>
        </w:rPr>
        <w:t>标准，并要求部分城市启动按</w:t>
      </w:r>
      <w:r>
        <w:rPr>
          <w:rFonts w:ascii="Times New Roman" w:eastAsia="Times New Roman" w:hAnsi="Times New Roman" w:cs="Times New Roman"/>
          <w:color w:val="000000"/>
          <w:spacing w:val="0"/>
          <w:w w:val="100"/>
          <w:position w:val="0"/>
          <w:sz w:val="18"/>
          <w:szCs w:val="18"/>
        </w:rPr>
        <w:t>DRGs</w:t>
      </w:r>
      <w:r>
        <w:rPr>
          <w:color w:val="000000"/>
          <w:spacing w:val="0"/>
          <w:w w:val="100"/>
          <w:position w:val="0"/>
        </w:rPr>
        <w:t>付费试点工作。</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 国家医疗保障局发布《关于印发</w:t>
      </w:r>
      <w:r>
        <w:rPr>
          <w:color w:val="000000"/>
          <w:spacing w:val="0"/>
          <w:w w:val="100"/>
          <w:position w:val="0"/>
          <w:sz w:val="18"/>
          <w:szCs w:val="18"/>
        </w:rPr>
        <w:t>〈</w:t>
      </w:r>
      <w:r>
        <w:rPr>
          <w:color w:val="000000"/>
          <w:spacing w:val="0"/>
          <w:w w:val="100"/>
          <w:position w:val="0"/>
        </w:rPr>
        <w:t>按疾病诊断相关分组付费国家试点城市名单</w:t>
      </w:r>
      <w:r>
        <w:rPr>
          <w:color w:val="000000"/>
          <w:spacing w:val="0"/>
          <w:w w:val="100"/>
          <w:position w:val="0"/>
          <w:sz w:val="18"/>
          <w:szCs w:val="18"/>
        </w:rPr>
        <w:t>〉</w:t>
      </w:r>
      <w:r>
        <w:rPr>
          <w:color w:val="000000"/>
          <w:spacing w:val="0"/>
          <w:w w:val="100"/>
          <w:position w:val="0"/>
        </w:rPr>
        <w:t>的通知》，确定了</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个城市作为</w:t>
      </w:r>
      <w:r>
        <w:rPr>
          <w:rFonts w:ascii="Times New Roman" w:eastAsia="Times New Roman" w:hAnsi="Times New Roman" w:cs="Times New Roman"/>
          <w:color w:val="000000"/>
          <w:spacing w:val="0"/>
          <w:w w:val="100"/>
          <w:position w:val="0"/>
          <w:sz w:val="18"/>
          <w:szCs w:val="18"/>
        </w:rPr>
        <w:t>DRG</w:t>
      </w:r>
      <w:r>
        <w:rPr>
          <w:color w:val="000000"/>
          <w:spacing w:val="0"/>
          <w:w w:val="100"/>
          <w:position w:val="0"/>
        </w:rPr>
        <w:t>付费国 家试点城市，确保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年模拟运行，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年启动实际付费。医保局牵头的带量采购等一系列动作，极大地影响了药品价格， 并将进一步延伸到耗材等领域，将对医疗机构的精细化管理产生长期和深远的影响。医保局已经规划的医保相关的信息化标 准和医保统一平台建设，进一步拓展智慧医院和健康城市的市场空间。</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分级诊疗是我国深化医药卫生体制改革的另一个重要内容。当前我国医疗资源总量不足、优质资源匮乏，分布不合理， 特别是基层医疗服务能力弱。为了发展卫生事业，调整资源结构，提高医疗服务体系的整体效能，卫健委、医保局等国家监 管机构发布了一系列结构严谨、相互配合的政策，以便于解决下述重点问题：以学科建设为抓手，建设一批国家医疗中心和 区域医疗中心，做到区域分开；以县医院为抓手，将县医院建设成为农村医疗卫生服务的龙头，解决城乡分开；以病种为抓 手，实现常见病、多发病在社区、在基层就诊，疑难重症在大医院解决，实现上下分开；以支付方式改革为抓手，解决急慢 分开。</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为此，卫健委、医保局等国家监管机构发布了要求建立城市紧密型医联体、农村县域医疗共同体，构建整合型医疗服务 体系；通过发展县级医院、乡镇卫生院提高基层医疗服务的水平；发展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，推进远程医疗，为人民群众提 供更加便利的医疗服务；发挥基层医疗机构网底的作用，做实做细家庭医生签约服务等一系列政策。</w:t>
      </w:r>
    </w:p>
    <w:p>
      <w:pPr>
        <w:pStyle w:val="Style1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年度爆发并持续两年多的疫情，并逐步走向常态化。在面对疫情防控的过程中，暴露了疾控体系信息孤岛、医疗卫 生一体化建设薄弱、没有体系化的应急预案、慢病和老年病复查配药困难、低效的城市管理联动等许多问题。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日，中央深化改革委员会召开会议，强调完善重大疫情防控体制机制，健全国家公共卫生应急管理体系；运用大数据、人工 智能、云计算等技术，在疫情监测、病毒溯源、防控救治、资源调配等方面更好发挥支撑作用。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日中央深化改 革委员会召开会议再次强调：坚持把人民生命安全和身体健康放在第一位，强化大卫生大健康理念，把预防为主摆在更加突 出位置。加快推进健全分级诊疗制度、完善医防协同机制、深化公立医院改革、深化医保支付方式改革、加强医保基金监管、 加强基层医疗卫生机构能力建设、完善药品供应保障体系等重点任务，完善相关配套支撑政策，打好改革组合拳。要高度重 视新一代信息技术在医药卫生领域的应用，重塑医药卫生管理和服务模式，优化资源配置、提升服务效率。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月国家 疾控局正式成立。</w:t>
      </w:r>
    </w:p>
    <w:p>
      <w:pPr>
        <w:pStyle w:val="Style17"/>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分级诊疗、三医联动、疫情常态防控、数字城市建设等相关政策和需求的实现本质上需要一个城市级的智慧医疗解决方 案（数字健康城市），实现城市范围内医疗、卫生、健康数据的实时在线、业务流程的跨机构协作和服务、实时监管和跨行 业互动。公司从战略高度重视这一市场机遇，正在积极跟踪国务院、卫健委、医保局、数字城市的政策和市场走向，进一步 完善城市级智慧医疗（数字健康城市）解决方案，在试点医院和试点城市持续开发和迭代新功能，完善服务，探索新的建设 和服务模式。</w:t>
      </w:r>
    </w:p>
    <w:p>
      <w:pPr>
        <w:pStyle w:val="Style17"/>
        <w:keepNext w:val="0"/>
        <w:keepLines w:val="0"/>
        <w:widowControl w:val="0"/>
        <w:shd w:val="clear" w:color="auto" w:fill="auto"/>
        <w:bidi w:val="0"/>
        <w:spacing w:before="0" w:after="0" w:line="314" w:lineRule="exact"/>
        <w:ind w:left="0" w:right="0" w:firstLine="380"/>
        <w:jc w:val="both"/>
      </w:pPr>
      <w:bookmarkStart w:id="239" w:name="bookmark239"/>
      <w:r>
        <w:rPr>
          <w:color w:val="000000"/>
          <w:spacing w:val="0"/>
          <w:w w:val="100"/>
          <w:position w:val="0"/>
        </w:rPr>
        <w:t>（</w:t>
      </w:r>
      <w:bookmarkEnd w:id="239"/>
      <w:r>
        <w:rPr>
          <w:color w:val="000000"/>
          <w:spacing w:val="0"/>
          <w:w w:val="100"/>
          <w:position w:val="0"/>
        </w:rPr>
        <w:t>二）公司未来发展战略</w:t>
      </w:r>
    </w:p>
    <w:p>
      <w:pPr>
        <w:pStyle w:val="Style17"/>
        <w:keepNext w:val="0"/>
        <w:keepLines w:val="0"/>
        <w:widowControl w:val="0"/>
        <w:shd w:val="clear" w:color="auto" w:fill="auto"/>
        <w:bidi w:val="0"/>
        <w:spacing w:before="0" w:after="0" w:line="314" w:lineRule="exact"/>
        <w:ind w:left="0" w:right="0" w:firstLine="380"/>
        <w:jc w:val="both"/>
      </w:pPr>
      <w:bookmarkStart w:id="240" w:name="bookmark240"/>
      <w:r>
        <w:rPr>
          <w:rFonts w:ascii="Times New Roman" w:eastAsia="Times New Roman" w:hAnsi="Times New Roman" w:cs="Times New Roman"/>
          <w:color w:val="000000"/>
          <w:spacing w:val="0"/>
          <w:w w:val="100"/>
          <w:position w:val="0"/>
          <w:sz w:val="18"/>
          <w:szCs w:val="18"/>
        </w:rPr>
        <w:t>1</w:t>
      </w:r>
      <w:bookmarkEnd w:id="240"/>
      <w:r>
        <w:rPr>
          <w:color w:val="000000"/>
          <w:spacing w:val="0"/>
          <w:w w:val="100"/>
          <w:position w:val="0"/>
        </w:rPr>
        <w:t>、推动战略股东引入，加速业务布局</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公司的目标医院客户主要聚焦在大型公立三甲医院，该类客户的公立属性及单体项目的大体量决定了对承建方的资信及 履约能力有更高要求。此外，数字健康城市业务中涉及的区域内医疗数据打通、相关应用及后续运营等业务对于医疗数据安 全、信息安全等有较高的要求，在市场环境及监管过程中国有企业相较民营企业更加具有信任及竞争优势。</w:t>
      </w:r>
    </w:p>
    <w:p>
      <w:pPr>
        <w:pStyle w:val="Style1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 xml:space="preserve">基于以上行业属性及市场竞争情况，同时结合公司业务发展的沉淀和蓄势，为了更好把握行业整体升级换代的发展机遇 和数字健康城市建设的发展，为了匹配公司新阶段战略规划所需的资源、身份、能力，公司将积极引入国资背景的战略股东， </w:t>
      </w:r>
      <w:r>
        <w:rPr>
          <w:color w:val="000000"/>
          <w:spacing w:val="0"/>
          <w:w w:val="100"/>
          <w:position w:val="0"/>
        </w:rPr>
        <w:t>为公司继续深入发展医疗健康这一公共服务领域提供国有属性身份的赋能。公司将持续加强对公业务市场的资源和能力，与 公司长期积累的品牌、产品及技术实力相结合，持续加速拓展及提升市场占有率。</w:t>
      </w:r>
    </w:p>
    <w:p>
      <w:pPr>
        <w:pStyle w:val="Style17"/>
        <w:keepNext w:val="0"/>
        <w:keepLines w:val="0"/>
        <w:widowControl w:val="0"/>
        <w:shd w:val="clear" w:color="auto" w:fill="auto"/>
        <w:tabs>
          <w:tab w:pos="674" w:val="left"/>
        </w:tabs>
        <w:bidi w:val="0"/>
        <w:spacing w:before="0" w:after="0" w:line="360" w:lineRule="auto"/>
        <w:ind w:left="0" w:right="0" w:firstLine="380"/>
        <w:jc w:val="both"/>
      </w:pPr>
      <w:bookmarkStart w:id="241" w:name="bookmark241"/>
      <w:r>
        <w:rPr>
          <w:rFonts w:ascii="Times New Roman" w:eastAsia="Times New Roman" w:hAnsi="Times New Roman" w:cs="Times New Roman"/>
          <w:color w:val="000000"/>
          <w:spacing w:val="0"/>
          <w:w w:val="100"/>
          <w:position w:val="0"/>
          <w:sz w:val="18"/>
          <w:szCs w:val="18"/>
        </w:rPr>
        <w:t>2</w:t>
      </w:r>
      <w:bookmarkEnd w:id="241"/>
      <w:r>
        <w:rPr>
          <w:color w:val="000000"/>
          <w:spacing w:val="0"/>
          <w:w w:val="100"/>
          <w:position w:val="0"/>
        </w:rPr>
        <w:t>、</w:t>
        <w:tab/>
        <w:t>持续深化智慧医院整体解决方案</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智慧医院整体解决方案是包含了以电子病历为核心的临床医疗信息系统、以</w:t>
      </w:r>
      <w:r>
        <w:rPr>
          <w:rFonts w:ascii="Times New Roman" w:eastAsia="Times New Roman" w:hAnsi="Times New Roman" w:cs="Times New Roman"/>
          <w:color w:val="000000"/>
          <w:spacing w:val="0"/>
          <w:w w:val="100"/>
          <w:position w:val="0"/>
          <w:sz w:val="18"/>
          <w:szCs w:val="18"/>
        </w:rPr>
        <w:t>HRP</w:t>
      </w:r>
      <w:r>
        <w:rPr>
          <w:color w:val="000000"/>
          <w:spacing w:val="0"/>
          <w:w w:val="100"/>
          <w:position w:val="0"/>
        </w:rPr>
        <w:t>为核心的运营管理信息系统、以医院设 施设备为基础的物联网解决方案和以互联网医院为主的新型服务系统，以及将上述系统根据场景特色、业务流程、管理需求 进行集成融合的整体解决方案。</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公司将提供以自有产品为核心的整体信息化建设以及专业的</w:t>
      </w:r>
      <w:r>
        <w:rPr>
          <w:rFonts w:ascii="Times New Roman" w:eastAsia="Times New Roman" w:hAnsi="Times New Roman" w:cs="Times New Roman"/>
          <w:color w:val="000000"/>
          <w:spacing w:val="0"/>
          <w:w w:val="100"/>
          <w:position w:val="0"/>
          <w:sz w:val="18"/>
          <w:szCs w:val="18"/>
        </w:rPr>
        <w:t>HIT</w:t>
      </w:r>
      <w:r>
        <w:rPr>
          <w:color w:val="000000"/>
          <w:spacing w:val="0"/>
          <w:w w:val="100"/>
          <w:position w:val="0"/>
        </w:rPr>
        <w:t>服务，包括软件选型建议、系统集成、数据管理、需求 实现等，持续为医院提供智慧医院信息化建设。软件产品是更好服务医院的工具和手段，专业的服务是最大化发挥产品价值 的形式和助推器。通过不断地服务客户，从客户中汲取有价值的产品需求，将更加有利于公司产品进化，从而构建强大的核 心竞争力和护城河，保障公司可持续发展。</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公司将抓住电子病历以及集成平台、临床数据中心等系统升级换代给医疗信息化行业带来的巨大发展契机，持续优化以 电子病历</w:t>
      </w:r>
      <w:r>
        <w:rPr>
          <w:rFonts w:ascii="Times New Roman" w:eastAsia="Times New Roman" w:hAnsi="Times New Roman" w:cs="Times New Roman"/>
          <w:color w:val="000000"/>
          <w:spacing w:val="0"/>
          <w:w w:val="100"/>
          <w:position w:val="0"/>
          <w:sz w:val="18"/>
          <w:szCs w:val="18"/>
        </w:rPr>
        <w:t>&amp;HIS</w:t>
      </w:r>
      <w:r>
        <w:rPr>
          <w:color w:val="000000"/>
          <w:spacing w:val="0"/>
          <w:w w:val="100"/>
          <w:position w:val="0"/>
        </w:rPr>
        <w:t>一体化为核心的新一代医疗信息系统，提高产品的医疗场景及电子病例、互联互通等相关等级评定适用性， 产品不断迭代完善的同时加大市场推广，目前公司已持续与各地头部及大型医院达成建设意向，为全面市场拓展奠定基础。</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同时，面对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建设的迫切需求，公司将进一步加大和加深互联网医院的应用深度，借助</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云计算等 技术不断升级现有的方案和应用场景，为患者和医院提供打破空间和时间限制的优质服务，极大发挥产品价值。</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紧扣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万物互联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，公司将进一步加强物联网解决方案建设，打造汇聚智慧医院建设的智慧医疗、智慧服务、智慧管理等 各业务模块的综合运营管理平台，不断迭代升级，通过数据信息的管理应用，为医院客户提供数字化、智能化、集成式的运 营管理体系工具。</w:t>
      </w:r>
    </w:p>
    <w:p>
      <w:pPr>
        <w:pStyle w:val="Style1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把控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大数据和人工智能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的医疗健康信息化热点，公司将持续深化自身核心产品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电子病历系统功能，重点聚焦于临床 决策支持系统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CDSS</w:t>
      </w:r>
      <w:r>
        <w:rPr>
          <w:color w:val="000000"/>
          <w:spacing w:val="0"/>
          <w:w w:val="100"/>
          <w:position w:val="0"/>
        </w:rPr>
        <w:t>）</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技术实现病历内涵质控，逐步实现海量历史数据的一体化管理及与医院各业务生产系统数 据库保持实时同步、数据一致性的关键技术。后续公司还将基于医院积累的已有数据逐步开展大数据应用，帮助医院挖掘现 有电子病历中的数据，为医院开展临床科研、临床辅助决策提供更好的工具和服务。</w:t>
      </w:r>
    </w:p>
    <w:p>
      <w:pPr>
        <w:pStyle w:val="Style17"/>
        <w:keepNext w:val="0"/>
        <w:keepLines w:val="0"/>
        <w:widowControl w:val="0"/>
        <w:shd w:val="clear" w:color="auto" w:fill="auto"/>
        <w:tabs>
          <w:tab w:pos="674" w:val="left"/>
        </w:tabs>
        <w:bidi w:val="0"/>
        <w:spacing w:before="0" w:after="0" w:line="360" w:lineRule="auto"/>
        <w:ind w:left="0" w:right="0" w:firstLine="380"/>
        <w:jc w:val="both"/>
      </w:pPr>
      <w:bookmarkStart w:id="242" w:name="bookmark242"/>
      <w:r>
        <w:rPr>
          <w:rFonts w:ascii="Times New Roman" w:eastAsia="Times New Roman" w:hAnsi="Times New Roman" w:cs="Times New Roman"/>
          <w:color w:val="000000"/>
          <w:spacing w:val="0"/>
          <w:w w:val="100"/>
          <w:position w:val="0"/>
          <w:sz w:val="18"/>
          <w:szCs w:val="18"/>
        </w:rPr>
        <w:t>3</w:t>
      </w:r>
      <w:bookmarkEnd w:id="242"/>
      <w:r>
        <w:rPr>
          <w:color w:val="000000"/>
          <w:spacing w:val="0"/>
          <w:w w:val="100"/>
          <w:position w:val="0"/>
        </w:rPr>
        <w:t>、</w:t>
        <w:tab/>
        <w:t>加强渠道开拓、生态合作渠道、产品化能力及整体解决方案交付能力是核心壁垒</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公司业务聚焦在为客户提供综合性产品服务包，其中信息化建设是核心。医疗信息化系统的定制化特性明显，对售后维 护服务的及时性要求高，因此医疗信息化行业具有一定的区域性特征，这也是众多区域性小企业存在的根基。在这种背景下， 具有丰富的全国性渠道的企业，将具备更广阔的业务辐射范围和更好的用户体验，因此具备更强劲的竞争力，这也是公司 努力的方向之一。此外，基于对不同层次客户的需求以及不同业务的理解，使用先进架构和技术将应用需求产品化的能力是 提高公司盈利能力和业务扩张能力的关键。公司将继续建立并全面维护供应商渠道管理，通过多种途径加快信息化渠道建设， 沉淀了一批有竞争力的合作厂商；同时加强竞标询价及策划管理，完成标前品牌方案和询价梳理，针对项目形成不同的应对 方案，逐步建立模型库。随着公司新一代产品、新技术的应用及管理的规范标准化，促使公司交付能力大幅提升，而借助技 术革新下结合客户定制化需求的深度经营，通过为客户带来更加精细化、个性化的服务，也有利于公司进一步巩固合作，开 拓渠道。</w:t>
      </w:r>
    </w:p>
    <w:p>
      <w:pPr>
        <w:pStyle w:val="Style1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公司也将通过战略股东引进，加强对外合作，整合利用行业资源，围绕大健康产业经济生态圈的打造丰富公司产品服务 业态，充分利用并购、联盟、战略合作、战略投资等方式，快速突破业务瓶颈，强化资源经营意识。结合资源经营、产品经 营、流量经营的要求，合理利用各种方式，向市场快速采购资源和能力。</w:t>
      </w:r>
    </w:p>
    <w:p>
      <w:pPr>
        <w:pStyle w:val="Style17"/>
        <w:keepNext w:val="0"/>
        <w:keepLines w:val="0"/>
        <w:widowControl w:val="0"/>
        <w:shd w:val="clear" w:color="auto" w:fill="auto"/>
        <w:tabs>
          <w:tab w:pos="674" w:val="left"/>
        </w:tabs>
        <w:bidi w:val="0"/>
        <w:spacing w:before="0" w:after="0" w:line="360" w:lineRule="auto"/>
        <w:ind w:left="0" w:right="0" w:firstLine="380"/>
        <w:jc w:val="both"/>
      </w:pPr>
      <w:bookmarkStart w:id="243" w:name="bookmark243"/>
      <w:r>
        <w:rPr>
          <w:rFonts w:ascii="Times New Roman" w:eastAsia="Times New Roman" w:hAnsi="Times New Roman" w:cs="Times New Roman"/>
          <w:color w:val="000000"/>
          <w:spacing w:val="0"/>
          <w:w w:val="100"/>
          <w:position w:val="0"/>
          <w:sz w:val="18"/>
          <w:szCs w:val="18"/>
        </w:rPr>
        <w:t>4</w:t>
      </w:r>
      <w:bookmarkEnd w:id="243"/>
      <w:r>
        <w:rPr>
          <w:color w:val="000000"/>
          <w:spacing w:val="0"/>
          <w:w w:val="100"/>
          <w:position w:val="0"/>
        </w:rPr>
        <w:t>、</w:t>
        <w:tab/>
        <w:t>以城市级智慧医疗（数字健康城市）建设为突破点，深入各地智慧医院建设</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当前智慧医院有三种模式：一是基于单体医院的智慧医院；二是以智慧医院和医联体为基础的智慧医院集团；三是覆盖 一定区域的智慧医疗服务体系，目前正在打基础的阶段，是未来重要方向，目标是在整个医疗服务体系实现智慧化的覆盖。</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城市级智慧医疗（数字健康城市）的建设进一步扩大升级，区域智慧医疗服务体系是智慧医疗领域未来建设重点模式。</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城市级智慧医疗（数字健康城市）建设是医疗机构信息化建设的延伸和扩展，基于区域数字城市建设的统一规划，从整 个城市角度融入更多的医疗、医保、医药等专业服务和实时监管能力。而要真正实现数据实时互联、业务全覆盖的城市级智 慧医疗体系，在相当程度上要取决于当地头部医院及医院集团的智慧医院建设水准和完成进度，上述智慧医院项目恰恰是公 司聚焦的重点服务对象。未来公司将充分利用自身在各地头部医院及医院集团的智慧医院建设成果，继续在城市级智慧医疗 的建设方面不断探索和创新，和相关部门积极深化基于各医疗机构核心业务的数据脱敏或授权情况下的各场景应用，发挥在 </w:t>
      </w:r>
      <w:r>
        <w:rPr>
          <w:color w:val="000000"/>
          <w:spacing w:val="0"/>
          <w:w w:val="100"/>
          <w:position w:val="0"/>
        </w:rPr>
        <w:t>城市基建数据和信息的管道作用，相信很快在惠民、慧医、慧政等方面都有新的亮点呈现。</w:t>
      </w:r>
    </w:p>
    <w:p>
      <w:pPr>
        <w:pStyle w:val="Style1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城市级智慧医疗（数字健康城市）的建设重点是民生工程、业务协同、实时监管和服务模式创新。在服务模式创新方面， 基于数据驱动的健康城市是一种全新的生态圈。公司正积极跟踪国家一系列的政策和意见，将依托云架构和大数据等技术， 将服务覆盖到就医的院前中后、线下到线上，整合生态圈各参与方的禀赋、资源与能力，开展大数据挖掘和应用等服务，探 索创新的建设和运营模式，开展安全和开放的合作体系建设。</w:t>
      </w:r>
    </w:p>
    <w:p>
      <w:pPr>
        <w:pStyle w:val="Style17"/>
        <w:keepNext w:val="0"/>
        <w:keepLines w:val="0"/>
        <w:widowControl w:val="0"/>
        <w:shd w:val="clear" w:color="auto" w:fill="auto"/>
        <w:bidi w:val="0"/>
        <w:spacing w:before="0" w:after="0" w:line="360" w:lineRule="auto"/>
        <w:ind w:left="0" w:right="0" w:firstLine="380"/>
        <w:jc w:val="both"/>
      </w:pPr>
      <w:bookmarkStart w:id="244" w:name="bookmark244"/>
      <w:r>
        <w:rPr>
          <w:rFonts w:ascii="Times New Roman" w:eastAsia="Times New Roman" w:hAnsi="Times New Roman" w:cs="Times New Roman"/>
          <w:color w:val="000000"/>
          <w:spacing w:val="0"/>
          <w:w w:val="100"/>
          <w:position w:val="0"/>
          <w:sz w:val="18"/>
          <w:szCs w:val="18"/>
        </w:rPr>
        <w:t>5</w:t>
      </w:r>
      <w:bookmarkEnd w:id="244"/>
      <w:r>
        <w:rPr>
          <w:color w:val="000000"/>
          <w:spacing w:val="0"/>
          <w:w w:val="100"/>
          <w:position w:val="0"/>
        </w:rPr>
        <w:t>、加强客户经营体系建设</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一方面，医院信息化建设日新月异，信息化系统升级换代需求呈现出长期持续的特点；另一方面，公司的新产品和原有 产品的升级换代与原来的产品高度耦合，实施难度小。持续增长的老客户需求及相对较小的实施难度为公司在老客户的信息 化持续建设中提供了天然优势；同时，公司在发展过程中积累了数量众多且优质的大型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医院高端客户及专科医院客户， 在日常经营中公司与客户维持着紧密且良好的合作关系，为公司创造了业务的长期且稳定的增长点。</w:t>
      </w:r>
    </w:p>
    <w:p>
      <w:pPr>
        <w:pStyle w:val="Style17"/>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医院信息化需求旺盛、需求多样且临时变动大等特点，导致医院信息系统在性能、逻辑及功能上存在缺陷，医院现有信 息化系统得不到及时有效的升级与完善。智慧医院的建设，不能仅仅依靠于所采购的信息化、智能化产品，更需要及时、贴 身、持续的优质服务。公司依托运维服务纽带，通过一体化管家式服务、长期驻场的技术服务团队等措施，与类似华中科技 大学同济医学院附属同济医院等一批长期服务客户形成了长期稳固的合作关系，积累了良好的口碑。未来，公司将进一步探 索新的服务方式，创新经营模式，重视客户需求，加强与客户合作，进行积极的新功能和新服务推介，提供包括咨询和规划、 设计和优化、集成和建设、数据整合应用、运维和保障、升级和迭代等在内的项目全生命周期的服务，实现客户价值与公司 价值的共同最大化。</w:t>
      </w:r>
    </w:p>
    <w:p>
      <w:pPr>
        <w:pStyle w:val="Style17"/>
        <w:keepNext w:val="0"/>
        <w:keepLines w:val="0"/>
        <w:widowControl w:val="0"/>
        <w:shd w:val="clear" w:color="auto" w:fill="auto"/>
        <w:bidi w:val="0"/>
        <w:spacing w:before="0" w:after="100" w:line="312" w:lineRule="exact"/>
        <w:ind w:left="0" w:right="0" w:firstLine="380"/>
        <w:jc w:val="both"/>
      </w:pPr>
      <w:bookmarkStart w:id="245" w:name="bookmark245"/>
      <w:r>
        <w:rPr>
          <w:color w:val="000000"/>
          <w:spacing w:val="0"/>
          <w:w w:val="100"/>
          <w:position w:val="0"/>
        </w:rPr>
        <w:t>（</w:t>
      </w:r>
      <w:bookmarkEnd w:id="245"/>
      <w:r>
        <w:rPr>
          <w:color w:val="000000"/>
          <w:spacing w:val="0"/>
          <w:w w:val="100"/>
          <w:position w:val="0"/>
        </w:rPr>
        <w:t>三）未来发展规划</w:t>
      </w:r>
    </w:p>
    <w:p>
      <w:pPr>
        <w:pStyle w:val="Style17"/>
        <w:keepNext w:val="0"/>
        <w:keepLines w:val="0"/>
        <w:widowControl w:val="0"/>
        <w:shd w:val="clear" w:color="auto" w:fill="auto"/>
        <w:tabs>
          <w:tab w:pos="656" w:val="left"/>
        </w:tabs>
        <w:bidi w:val="0"/>
        <w:spacing w:before="0" w:after="0" w:line="360" w:lineRule="auto"/>
        <w:ind w:left="0" w:right="0" w:firstLine="380"/>
        <w:jc w:val="both"/>
      </w:pPr>
      <w:bookmarkStart w:id="246" w:name="bookmark246"/>
      <w:r>
        <w:rPr>
          <w:rFonts w:ascii="Times New Roman" w:eastAsia="Times New Roman" w:hAnsi="Times New Roman" w:cs="Times New Roman"/>
          <w:color w:val="000000"/>
          <w:spacing w:val="0"/>
          <w:w w:val="100"/>
          <w:position w:val="0"/>
          <w:sz w:val="18"/>
          <w:szCs w:val="18"/>
        </w:rPr>
        <w:t>1</w:t>
      </w:r>
      <w:bookmarkEnd w:id="246"/>
      <w:r>
        <w:rPr>
          <w:color w:val="000000"/>
          <w:spacing w:val="0"/>
          <w:w w:val="100"/>
          <w:position w:val="0"/>
        </w:rPr>
        <w:t>、</w:t>
        <w:tab/>
        <w:t>业务探索拓展计划</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公司将加强营销网络建设和营销投入，在各地庞大的新建医院目标市场中，为新建医院提供包括从顶层设计出发，以医 院数据的采集、融合、管理、应用的角度为客户提供智慧医院建设总体规划并细化到逐年分步建设计划，达成医院数据管理 一元化、一致性、实时管理、有效应用的目标，实现客户从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建设到</w:t>
      </w:r>
      <w:r>
        <w:rPr>
          <w:rFonts w:ascii="Times New Roman" w:eastAsia="Times New Roman" w:hAnsi="Times New Roman" w:cs="Times New Roman"/>
          <w:color w:val="000000"/>
          <w:spacing w:val="0"/>
          <w:w w:val="100"/>
          <w:position w:val="0"/>
          <w:sz w:val="18"/>
          <w:szCs w:val="18"/>
        </w:rPr>
        <w:t>DT</w:t>
      </w:r>
      <w:r>
        <w:rPr>
          <w:color w:val="000000"/>
          <w:spacing w:val="0"/>
          <w:w w:val="100"/>
          <w:position w:val="0"/>
        </w:rPr>
        <w:t>应用的提升。同时针对新建医院或院区提供总包式 系统性建设，提供软硬件一体化配置、整体系统集成调试、系统维保在内的医疗信息系统整体交付服务及系统性解决方案。</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聚焦公司具有一定市场先发优势的区域，对仍在服务的老客户，公司将深挖客户经营，以临床为核心、业务流程优化为 目标，依托自身多年积累的高水平医疗信息化建设经验，持续帮助医院提升临床信息化应用水平，协助客户通过互联互通标 准化成熟度测评、电子病历系统应用水平分级评价、医院智慧管理分级评估等行业评级，进而通过已建项目系统功能优化、 性能优化、边界内新增功能需求研发、版本升级管理等后续运维及合作运营方式，提供增值服务，深度经营客户，不断获得 持续性订单。在此业务模式下，随公司服务项目基数增加，相应增值服务收入也会随之增加，进而形成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运营服务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的正向循环和持续经营效应；同时，公司还争取在当地头部医院打造智慧医院建设标杆项目的示范效应基础上，有效扩大重 点区域的客户拓展渗透率。</w:t>
      </w:r>
    </w:p>
    <w:p>
      <w:pPr>
        <w:pStyle w:val="Style1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针对目前国内医院信息化建设存在的问题和痛点，公司也将结合自身特点和积累，在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年完成定增募投的基础上，继 续推进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基于物联网及大数据技术的智慧医院一体化建设模式匚该模式强调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一体化投资建设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，主要针对医院面临的 建设成本高、资金短缺、碎片化建设、建设周期长等一系列痛点，改变医院根据有限的预算通过自行购买软件的组合应用的 方式，医院由购买信息系统转变为购买服务，公司则提供长期持久服务，深度经营客户，一次投入分期收取服务费。上述模 式的推广落地，在为医院信息化整体建设提供最佳行业实践的同时，公司也可同步获得较好的价值回报与长期发展。</w:t>
      </w:r>
    </w:p>
    <w:p>
      <w:pPr>
        <w:pStyle w:val="Style17"/>
        <w:keepNext w:val="0"/>
        <w:keepLines w:val="0"/>
        <w:widowControl w:val="0"/>
        <w:shd w:val="clear" w:color="auto" w:fill="auto"/>
        <w:tabs>
          <w:tab w:pos="674" w:val="left"/>
        </w:tabs>
        <w:bidi w:val="0"/>
        <w:spacing w:before="0" w:after="0" w:line="360" w:lineRule="auto"/>
        <w:ind w:left="0" w:right="0" w:firstLine="380"/>
        <w:jc w:val="both"/>
      </w:pPr>
      <w:bookmarkStart w:id="247" w:name="bookmark247"/>
      <w:r>
        <w:rPr>
          <w:rFonts w:ascii="Times New Roman" w:eastAsia="Times New Roman" w:hAnsi="Times New Roman" w:cs="Times New Roman"/>
          <w:color w:val="000000"/>
          <w:spacing w:val="0"/>
          <w:w w:val="100"/>
          <w:position w:val="0"/>
          <w:sz w:val="18"/>
          <w:szCs w:val="18"/>
        </w:rPr>
        <w:t>2</w:t>
      </w:r>
      <w:bookmarkEnd w:id="247"/>
      <w:r>
        <w:rPr>
          <w:color w:val="000000"/>
          <w:spacing w:val="0"/>
          <w:w w:val="100"/>
          <w:position w:val="0"/>
        </w:rPr>
        <w:t>、</w:t>
        <w:tab/>
        <w:t>管理提升计划</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为适应业务规模扩张对提高公司管理水平的需求，公司计划重点在以下两个方面提升管理水平：</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）持续建设提升公司项目管理及实施交付水平</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根据项目合理配置团队，做好任务的规划及分解，建立标准化的快速实施能力，项目实施过程中加强项目精细化管理及 全流程管理，实现对项目从进入、交付到退出各个流程的有效监督。特别是针对近年来公司主要客户集中于大型综合医院集 团这一特点，一方面基于公司自身产品技术迭代升级、效能提升的需要，在项目端突出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项目交付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整体规划及部 署实施能力，另一方面则根据疫情及政策升级之后各级医院对新一代医疗信息化产品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平台化、一体化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的需求更加迫切，以 市场、客户为中心调整市场策略，形成并持续完善重点项目的管理机制优化迭代，持续跟进项目的重大变动及后续处置。同 </w:t>
      </w:r>
      <w:r>
        <w:rPr>
          <w:color w:val="000000"/>
          <w:spacing w:val="0"/>
          <w:w w:val="100"/>
          <w:position w:val="0"/>
        </w:rPr>
        <w:t>时，持续加大产品的研发力度，做好产品升级的统筹规划，深化提高产品的设计，同时做好项目经营维护，保证项目快速回 款，促使实现二次营销。</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）持续提升公司管理水平，建设完善、灵活的管理机制</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以资本为纽带，，的中心化配置机制。上市公司向资本运作平台、资源整合平台、技术研发平台、人才培养平台方面 发展，逐步建立起战略性业务储备、技术代次开发演进以及系统化人才梯队，构建公司发展资源配置中心，形成智慧医疗领 域的平台效应。</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以人才为根本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的多中心化运行机制。充分发挥优秀人才的创造性和自主性，通过以项目或市场设立合资公司或子 公司的模式给予优秀人才相对独立的发展平台和内部创业的机会，优胜劣汰，通过上市公司回购等使优秀创业者收获合理回 报。</w:t>
      </w:r>
    </w:p>
    <w:p>
      <w:pPr>
        <w:pStyle w:val="Style1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以技术为支撑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的去中心化共享机制。在公司内部打破技术研发、落地、使用的边界，通过合理设计激励机制和技 术实施机制，使先进技术平滑演进并能快速复制，在公司内部形成技术共享、数据共享、收益共享的良好环境和氛围。</w:t>
      </w:r>
    </w:p>
    <w:p>
      <w:pPr>
        <w:pStyle w:val="Style17"/>
        <w:keepNext w:val="0"/>
        <w:keepLines w:val="0"/>
        <w:widowControl w:val="0"/>
        <w:shd w:val="clear" w:color="auto" w:fill="auto"/>
        <w:bidi w:val="0"/>
        <w:spacing w:before="0" w:after="0" w:line="360" w:lineRule="auto"/>
        <w:ind w:left="0" w:right="0" w:firstLine="380"/>
        <w:jc w:val="both"/>
      </w:pPr>
      <w:bookmarkStart w:id="248" w:name="bookmark248"/>
      <w:r>
        <w:rPr>
          <w:rFonts w:ascii="Times New Roman" w:eastAsia="Times New Roman" w:hAnsi="Times New Roman" w:cs="Times New Roman"/>
          <w:color w:val="000000"/>
          <w:spacing w:val="0"/>
          <w:w w:val="100"/>
          <w:position w:val="0"/>
          <w:sz w:val="18"/>
          <w:szCs w:val="18"/>
        </w:rPr>
        <w:t>3</w:t>
      </w:r>
      <w:bookmarkEnd w:id="248"/>
      <w:r>
        <w:rPr>
          <w:color w:val="000000"/>
          <w:spacing w:val="0"/>
          <w:w w:val="100"/>
          <w:position w:val="0"/>
        </w:rPr>
        <w:t>、人力资源发展计划</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对于人才的持续关注和投入是公司坚定不移的核心策略之一。为确保该策略有效实施，公司将在以下方面进行重点推进</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立足公司战略和长期发展需求，进行人力资源有效规划，结合长短期公司经营目标，针对性开展各类人员选用育留动作 及人力资源配置优化。</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在吸引更多外部优秀人才加盟的同时，加强公司组织团队建设，优化人才结构，实施优胜劣汰，持续打造公司组织竞争 力；构建和优化人才培养体系，通过加大各类专项培训和定向培养力度，使员工获得成长助力，进而不断提升效能并作用于 经营。</w:t>
      </w:r>
    </w:p>
    <w:p>
      <w:pPr>
        <w:pStyle w:val="Style17"/>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持续迭代和优化激励体系，通过不断优化与考核体系相配套的奖金体系等各类激励手段，力求通过长短期结合的高效的 激励体系进一步激发人才活力、凝聚核心团队，同时充分激发人才价值，体现激励约束对等，进行人才公司双向赋能，综合 提升企业能力，通过建立完整的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绩效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闭环，促进公司战略目标的实现。</w:t>
      </w:r>
    </w:p>
    <w:p>
      <w:pPr>
        <w:pStyle w:val="Style17"/>
        <w:keepNext w:val="0"/>
        <w:keepLines w:val="0"/>
        <w:widowControl w:val="0"/>
        <w:shd w:val="clear" w:color="auto" w:fill="auto"/>
        <w:bidi w:val="0"/>
        <w:spacing w:before="0" w:after="100" w:line="313" w:lineRule="exact"/>
        <w:ind w:left="0" w:right="0" w:firstLine="380"/>
        <w:jc w:val="both"/>
      </w:pPr>
      <w:bookmarkStart w:id="249" w:name="bookmark249"/>
      <w:r>
        <w:rPr>
          <w:color w:val="000000"/>
          <w:spacing w:val="0"/>
          <w:w w:val="100"/>
          <w:position w:val="0"/>
        </w:rPr>
        <w:t>（</w:t>
      </w:r>
      <w:bookmarkEnd w:id="249"/>
      <w:r>
        <w:rPr>
          <w:color w:val="000000"/>
          <w:spacing w:val="0"/>
          <w:w w:val="100"/>
          <w:position w:val="0"/>
        </w:rPr>
        <w:t>四）公司面临的风险和应对措施</w:t>
      </w:r>
    </w:p>
    <w:p>
      <w:pPr>
        <w:pStyle w:val="Style17"/>
        <w:keepNext w:val="0"/>
        <w:keepLines w:val="0"/>
        <w:widowControl w:val="0"/>
        <w:shd w:val="clear" w:color="auto" w:fill="auto"/>
        <w:tabs>
          <w:tab w:pos="655" w:val="left"/>
        </w:tabs>
        <w:bidi w:val="0"/>
        <w:spacing w:before="0" w:after="0" w:line="360" w:lineRule="auto"/>
        <w:ind w:left="0" w:right="0" w:firstLine="380"/>
        <w:jc w:val="both"/>
      </w:pPr>
      <w:bookmarkStart w:id="250" w:name="bookmark250"/>
      <w:r>
        <w:rPr>
          <w:rFonts w:ascii="Times New Roman" w:eastAsia="Times New Roman" w:hAnsi="Times New Roman" w:cs="Times New Roman"/>
          <w:color w:val="000000"/>
          <w:spacing w:val="0"/>
          <w:w w:val="100"/>
          <w:position w:val="0"/>
          <w:sz w:val="18"/>
          <w:szCs w:val="18"/>
        </w:rPr>
        <w:t>1</w:t>
      </w:r>
      <w:bookmarkEnd w:id="250"/>
      <w:r>
        <w:rPr>
          <w:color w:val="000000"/>
          <w:spacing w:val="0"/>
          <w:w w:val="100"/>
          <w:position w:val="0"/>
        </w:rPr>
        <w:t>、</w:t>
        <w:tab/>
        <w:t>大型系统解决方案实施风险及应对措施</w:t>
      </w:r>
    </w:p>
    <w:p>
      <w:pPr>
        <w:pStyle w:val="Style1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公司定位于基于核心软件系统的数字化医院解决方案提供商。随着公司业务的不断发展，公司逐步形成了涵盖信息系统 蓝图规划、基础信息设施建设、个性化软件开发、软硬件系统集成在内的较为完备的数字化医院整体解决方案。然而，完备 的整体解决方案同时意味着更为复杂的系统架构、更多环节的流程优化、更大规模的信息交互、更长的实施周期以及更大的 项目实施不确定性。在相对较长的实施周期中，公司始终面临重大项目因规划设计缺陷、关键技术开发失败、客户需求变更 等原因而无法如期完成的风险。公司目前业务规模较小，如果某个或多个重大项目出现实施风险，将会对公司当期经营业绩 产生重大不利影响。公司将不断增强研发和技术优势，坚持以产品适应项目需求为导向的研究策略，提升应对项目实施风险 的灵活度。</w:t>
      </w:r>
    </w:p>
    <w:p>
      <w:pPr>
        <w:pStyle w:val="Style17"/>
        <w:keepNext w:val="0"/>
        <w:keepLines w:val="0"/>
        <w:widowControl w:val="0"/>
        <w:shd w:val="clear" w:color="auto" w:fill="auto"/>
        <w:tabs>
          <w:tab w:pos="674" w:val="left"/>
        </w:tabs>
        <w:bidi w:val="0"/>
        <w:spacing w:before="0" w:after="0" w:line="360" w:lineRule="auto"/>
        <w:ind w:left="0" w:right="0" w:firstLine="380"/>
        <w:jc w:val="both"/>
      </w:pPr>
      <w:bookmarkStart w:id="251" w:name="bookmark251"/>
      <w:r>
        <w:rPr>
          <w:rFonts w:ascii="Times New Roman" w:eastAsia="Times New Roman" w:hAnsi="Times New Roman" w:cs="Times New Roman"/>
          <w:color w:val="000000"/>
          <w:spacing w:val="0"/>
          <w:w w:val="100"/>
          <w:position w:val="0"/>
          <w:sz w:val="18"/>
          <w:szCs w:val="18"/>
        </w:rPr>
        <w:t>2</w:t>
      </w:r>
      <w:bookmarkEnd w:id="251"/>
      <w:r>
        <w:rPr>
          <w:color w:val="000000"/>
          <w:spacing w:val="0"/>
          <w:w w:val="100"/>
          <w:position w:val="0"/>
        </w:rPr>
        <w:t>、</w:t>
        <w:tab/>
        <w:t>主要客户流失风险及应对措施</w:t>
      </w:r>
    </w:p>
    <w:p>
      <w:pPr>
        <w:pStyle w:val="Style1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公司致力于围绕临床诊疗信息应用，构建基于医疗机构信息应用需求的数字化医院整体解决方案，并不断满足医疗机构 的信息应用需求。因此，公司最终客户以大中型医疗机构为主，集中度较高。公司的技术路线立足于大型医疗机构的临床医 疗信息应用需求，作为公司最终客户的医疗机构如果决定终止与公司的合作关系不仅意味着公司失去了当前的业务机会，更 会导致公司基于医疗信息平台实现业务延伸的经营策略失去基础，对公司的可持续发展产生重大不利影响。公司将提高服务 意识和服务质量，坚持以市场为导向，以适应客户需求为目标，从维护现有客户和开拓新客户资源两个维度保证客户群体稳 定。</w:t>
      </w:r>
    </w:p>
    <w:p>
      <w:pPr>
        <w:pStyle w:val="Style17"/>
        <w:keepNext w:val="0"/>
        <w:keepLines w:val="0"/>
        <w:widowControl w:val="0"/>
        <w:shd w:val="clear" w:color="auto" w:fill="auto"/>
        <w:tabs>
          <w:tab w:pos="674" w:val="left"/>
        </w:tabs>
        <w:bidi w:val="0"/>
        <w:spacing w:before="0" w:after="0" w:line="360" w:lineRule="auto"/>
        <w:ind w:left="0" w:right="0" w:firstLine="380"/>
        <w:jc w:val="both"/>
      </w:pPr>
      <w:bookmarkStart w:id="252" w:name="bookmark252"/>
      <w:r>
        <w:rPr>
          <w:rFonts w:ascii="Times New Roman" w:eastAsia="Times New Roman" w:hAnsi="Times New Roman" w:cs="Times New Roman"/>
          <w:color w:val="000000"/>
          <w:spacing w:val="0"/>
          <w:w w:val="100"/>
          <w:position w:val="0"/>
          <w:sz w:val="18"/>
          <w:szCs w:val="18"/>
        </w:rPr>
        <w:t>3</w:t>
      </w:r>
      <w:bookmarkEnd w:id="252"/>
      <w:r>
        <w:rPr>
          <w:color w:val="000000"/>
          <w:spacing w:val="0"/>
          <w:w w:val="100"/>
          <w:position w:val="0"/>
        </w:rPr>
        <w:t>、</w:t>
        <w:tab/>
        <w:t>业务内容不断丰富带来的管理控制与毛利率波动风险及应对措施</w:t>
      </w:r>
    </w:p>
    <w:p>
      <w:pPr>
        <w:pStyle w:val="Style1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 xml:space="preserve">随着公司技术水平的不断提高，数字化医院整体解决方案趋于完善，公司业务结构逐步由以电子病历为代表的临床医疗 信息管理系统发展到包括临床医疗管理信息系统和数字化场景应用方案的整体解决方案。业务的内涵和外延均有大幅提升。 业务内容的不断丰富对公司管理控制提出了更高要求，特别是数字化医院整体解决方案业务需借助预算管理、成本管理、现 场管理、进度管理等多种控制手段，管理控制难度较高。而公司目前规模较小，上述各项管理制度还在不断完善中，执行相 对不足，临床医疗管理信息系统业务又相对依赖于项目现场实施团队的自我管理，公司适合大型项目的系统管理控制规范、 </w:t>
      </w:r>
      <w:r>
        <w:rPr>
          <w:color w:val="000000"/>
          <w:spacing w:val="0"/>
          <w:w w:val="100"/>
          <w:position w:val="0"/>
        </w:rPr>
        <w:t>预算及成本管理等仍在不断改进。如果无法在短期内建立起完善的项目管理控制制度，并有效执行，公司可能面临项目管理 控制不力的风险，导致项目执行出现困难，进而影响公司经营业绩。随着公司整体解决方案业务的不断增加，公司综合毛利 率可能出现下降，从而影响公司的盈利能力。公司将建立健全内部控制和运营体系，积极探寻适合公司发展模式的治理结构， 采取更加灵活地市场竞争策略，提高市场竞争力。</w:t>
      </w:r>
    </w:p>
    <w:p>
      <w:pPr>
        <w:pStyle w:val="Style17"/>
        <w:keepNext w:val="0"/>
        <w:keepLines w:val="0"/>
        <w:widowControl w:val="0"/>
        <w:shd w:val="clear" w:color="auto" w:fill="auto"/>
        <w:tabs>
          <w:tab w:pos="674" w:val="left"/>
        </w:tabs>
        <w:bidi w:val="0"/>
        <w:spacing w:before="0" w:after="0" w:line="360" w:lineRule="auto"/>
        <w:ind w:left="0" w:right="0" w:firstLine="380"/>
        <w:jc w:val="both"/>
      </w:pPr>
      <w:bookmarkStart w:id="253" w:name="bookmark253"/>
      <w:r>
        <w:rPr>
          <w:rFonts w:ascii="Times New Roman" w:eastAsia="Times New Roman" w:hAnsi="Times New Roman" w:cs="Times New Roman"/>
          <w:color w:val="000000"/>
          <w:spacing w:val="0"/>
          <w:w w:val="100"/>
          <w:position w:val="0"/>
          <w:sz w:val="18"/>
          <w:szCs w:val="18"/>
        </w:rPr>
        <w:t>4</w:t>
      </w:r>
      <w:bookmarkEnd w:id="253"/>
      <w:r>
        <w:rPr>
          <w:color w:val="000000"/>
          <w:spacing w:val="0"/>
          <w:w w:val="100"/>
          <w:position w:val="0"/>
        </w:rPr>
        <w:t>、</w:t>
        <w:tab/>
        <w:t>技术与人才流失风险及应对措施</w:t>
      </w:r>
    </w:p>
    <w:p>
      <w:pPr>
        <w:pStyle w:val="Style1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软件行业为技术密集型产业，技术领先为核心竞争力之一，稳定、高素质的人才团队对公司的发展壮大至关重要。然而， 相对于有形的硬件，软件技术保密难度较大，同时，由于我国知识产权保护体系尚不完善，使得软件行业技术流失风险较大。 当前，软件行业因技术团队离职而造成的技术流失情况较多。如果公司未来不能在发展前景、薪酬、福利、工作环境等方面 持续提供具有竞争力的待遇并建立良好的激励机制，可能会造成骨干技术团队流失，不仅影响公司的后续技术开发能力，也 会造成公司核心技术泄露的风险，从而对公司的持续发展造成负面影响。公司将通过对核心团队人员的持续培训来提升现有 人员的管理水平，并且根据经营发展需要引进多方面人才。同时完善公司薪酬和考核激励体系，维持核心技术团队的稳定并 提升公司对优秀人才的吸引力。</w:t>
      </w:r>
    </w:p>
    <w:p>
      <w:pPr>
        <w:pStyle w:val="Style17"/>
        <w:keepNext w:val="0"/>
        <w:keepLines w:val="0"/>
        <w:widowControl w:val="0"/>
        <w:shd w:val="clear" w:color="auto" w:fill="auto"/>
        <w:tabs>
          <w:tab w:pos="674" w:val="left"/>
        </w:tabs>
        <w:bidi w:val="0"/>
        <w:spacing w:before="0" w:after="0" w:line="360" w:lineRule="auto"/>
        <w:ind w:left="0" w:right="0" w:firstLine="380"/>
        <w:jc w:val="both"/>
      </w:pPr>
      <w:bookmarkStart w:id="254" w:name="bookmark254"/>
      <w:r>
        <w:rPr>
          <w:rFonts w:ascii="Times New Roman" w:eastAsia="Times New Roman" w:hAnsi="Times New Roman" w:cs="Times New Roman"/>
          <w:color w:val="000000"/>
          <w:spacing w:val="0"/>
          <w:w w:val="100"/>
          <w:position w:val="0"/>
          <w:sz w:val="18"/>
          <w:szCs w:val="18"/>
        </w:rPr>
        <w:t>5</w:t>
      </w:r>
      <w:bookmarkEnd w:id="254"/>
      <w:r>
        <w:rPr>
          <w:color w:val="000000"/>
          <w:spacing w:val="0"/>
          <w:w w:val="100"/>
          <w:position w:val="0"/>
        </w:rPr>
        <w:t>、</w:t>
        <w:tab/>
        <w:t>其他突发性风险及应对措施</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受疫情影响，部分项目的交付周期延长，行业内客户应收账款回款周期延长、供应商付款账期变短、原材料成本增加、 订单履行成本上升等一系列对企业发展的延迟效果陆续体现。</w:t>
      </w:r>
    </w:p>
    <w:p>
      <w:pPr>
        <w:pStyle w:val="Style17"/>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公司日常经营面临国家政策变化、重大突发事件等多种宏观不可抗风险，公司作为智慧医疗领域的科技型企业，一方面 提升项目方案规划及风险规避预案的顶层设计，同时持续强化公司在项目快速交付、实施方面的专业能力；另一方面通过完 善成本控制等方面举措提高公司的抗风险能力、财务安全水平及灵活性，为公司进一步发展提供资金保障，从而提升公司竞 争力及持续盈利能力。</w:t>
      </w:r>
    </w:p>
    <w:p>
      <w:pPr>
        <w:pStyle w:val="Style21"/>
        <w:keepNext/>
        <w:keepLines/>
        <w:widowControl w:val="0"/>
        <w:shd w:val="clear" w:color="auto" w:fill="auto"/>
        <w:bidi w:val="0"/>
        <w:spacing w:before="0" w:line="240" w:lineRule="auto"/>
        <w:ind w:left="0" w:right="0" w:firstLine="0"/>
        <w:jc w:val="left"/>
      </w:pPr>
      <w:bookmarkStart w:id="255" w:name="bookmark255"/>
      <w:bookmarkStart w:id="256" w:name="bookmark256"/>
      <w:bookmarkStart w:id="257" w:name="bookmark257"/>
      <w:r>
        <w:rPr>
          <w:color w:val="000000"/>
          <w:spacing w:val="0"/>
          <w:w w:val="100"/>
          <w:position w:val="0"/>
        </w:rPr>
        <w:t>十二、报告期内接待调研、沟通、采访等活动登记表</w:t>
      </w:r>
      <w:bookmarkEnd w:id="255"/>
      <w:bookmarkEnd w:id="256"/>
      <w:bookmarkEnd w:id="257"/>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谈论的主要内</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个人投资者通 过网络远程方 式提问，公司主 要对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 业绩情况进行 解答。</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日投资者关 系活动记录》</w:t>
            </w:r>
          </w:p>
        </w:tc>
      </w:tr>
    </w:tbl>
    <w:p>
      <w:pPr>
        <w:sectPr>
          <w:footnotePr>
            <w:pos w:val="pageBottom"/>
            <w:numFmt w:val="decimal"/>
            <w:numRestart w:val="continuous"/>
          </w:footnotePr>
          <w:pgSz w:w="11900" w:h="16840"/>
          <w:pgMar w:top="1383" w:right="1062" w:bottom="1445" w:left="1065" w:header="0" w:footer="3" w:gutter="0"/>
          <w:cols w:space="720"/>
          <w:noEndnote/>
          <w:rtlGutter w:val="0"/>
          <w:docGrid w:linePitch="360"/>
        </w:sectPr>
      </w:pPr>
    </w:p>
    <w:p>
      <w:pPr>
        <w:pStyle w:val="Style9"/>
        <w:keepNext/>
        <w:keepLines/>
        <w:widowControl w:val="0"/>
        <w:shd w:val="clear" w:color="auto" w:fill="auto"/>
        <w:bidi w:val="0"/>
        <w:spacing w:before="520" w:after="580" w:line="240" w:lineRule="auto"/>
        <w:ind w:left="0" w:right="0" w:firstLine="0"/>
        <w:jc w:val="center"/>
      </w:pPr>
      <w:bookmarkStart w:id="258" w:name="bookmark258"/>
      <w:bookmarkStart w:id="259" w:name="bookmark259"/>
      <w:bookmarkStart w:id="260" w:name="bookmark260"/>
      <w:r>
        <w:rPr>
          <w:color w:val="000000"/>
          <w:spacing w:val="0"/>
          <w:w w:val="100"/>
          <w:position w:val="0"/>
        </w:rPr>
        <w:t>第四节公司治理</w:t>
      </w:r>
      <w:bookmarkEnd w:id="258"/>
      <w:bookmarkEnd w:id="259"/>
      <w:bookmarkEnd w:id="260"/>
    </w:p>
    <w:p>
      <w:pPr>
        <w:pStyle w:val="Style21"/>
        <w:keepNext/>
        <w:keepLines/>
        <w:widowControl w:val="0"/>
        <w:shd w:val="clear" w:color="auto" w:fill="auto"/>
        <w:bidi w:val="0"/>
        <w:spacing w:before="0" w:after="260" w:line="240" w:lineRule="auto"/>
        <w:ind w:left="0" w:right="0" w:firstLine="0"/>
        <w:jc w:val="both"/>
      </w:pPr>
      <w:bookmarkStart w:id="261" w:name="bookmark261"/>
      <w:bookmarkStart w:id="262" w:name="bookmark262"/>
      <w:bookmarkStart w:id="263" w:name="bookmark263"/>
      <w:bookmarkStart w:id="264" w:name="bookmark264"/>
      <w:bookmarkStart w:id="265" w:name="bookmark265"/>
      <w:r>
        <w:rPr>
          <w:color w:val="000000"/>
          <w:spacing w:val="0"/>
          <w:w w:val="100"/>
          <w:position w:val="0"/>
        </w:rPr>
        <w:t>一</w:t>
      </w:r>
      <w:bookmarkEnd w:id="264"/>
      <w:r>
        <w:rPr>
          <w:color w:val="000000"/>
          <w:spacing w:val="0"/>
          <w:w w:val="100"/>
          <w:position w:val="0"/>
        </w:rPr>
        <w:t>、公司治理的基本状况</w:t>
      </w:r>
      <w:bookmarkEnd w:id="262"/>
      <w:bookmarkEnd w:id="263"/>
      <w:bookmarkEnd w:id="265"/>
      <w:bookmarkEnd w:id="261"/>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报告期内，公司严格按照《公司法》、《证券法》、《上市公司治理准则》、《深圳证券交易所创业板股票上市规则》 等法律、法规和中国证监会有关法律法规等的要求，不断完善公司的法人治理结构，建立健全公司内部管理和控制制度，持 续深入开展公司治理专项活动，促进了公司规范运作，提高了公司治理水平。报告期内，公司整体运作规范，独立董事、董 事会各专门委员会各司其职，不断加强公司管理，控制防范风险，规范公司运作，提高运作效率。</w:t>
      </w:r>
    </w:p>
    <w:p>
      <w:pPr>
        <w:pStyle w:val="Style17"/>
        <w:keepNext w:val="0"/>
        <w:keepLines w:val="0"/>
        <w:widowControl w:val="0"/>
        <w:numPr>
          <w:ilvl w:val="0"/>
          <w:numId w:val="5"/>
        </w:numPr>
        <w:shd w:val="clear" w:color="auto" w:fill="auto"/>
        <w:tabs>
          <w:tab w:pos="634" w:val="left"/>
        </w:tabs>
        <w:bidi w:val="0"/>
        <w:spacing w:before="0" w:after="0" w:line="317" w:lineRule="exact"/>
        <w:ind w:left="0" w:right="0" w:firstLine="380"/>
        <w:jc w:val="both"/>
      </w:pPr>
      <w:bookmarkStart w:id="266" w:name="bookmark266"/>
      <w:bookmarkEnd w:id="266"/>
      <w:r>
        <w:rPr>
          <w:color w:val="000000"/>
          <w:spacing w:val="0"/>
          <w:w w:val="100"/>
          <w:position w:val="0"/>
        </w:rPr>
        <w:t>关于股东与股东大会：公司严格按照《公司法》、《上市公司股东大会规则》和公司《章程》、《股东大会议事规 则》的规定和要求，规范股东大会的召集、召开、表决程序，股东大会均为股东提供了网络投票方式，并聘请律师出席见证。</w:t>
      </w:r>
    </w:p>
    <w:p>
      <w:pPr>
        <w:pStyle w:val="Style17"/>
        <w:keepNext w:val="0"/>
        <w:keepLines w:val="0"/>
        <w:widowControl w:val="0"/>
        <w:numPr>
          <w:ilvl w:val="0"/>
          <w:numId w:val="5"/>
        </w:numPr>
        <w:shd w:val="clear" w:color="auto" w:fill="auto"/>
        <w:tabs>
          <w:tab w:pos="629" w:val="left"/>
        </w:tabs>
        <w:bidi w:val="0"/>
        <w:spacing w:before="0" w:after="0" w:line="317" w:lineRule="exact"/>
        <w:ind w:left="0" w:right="0" w:firstLine="380"/>
        <w:jc w:val="both"/>
      </w:pPr>
      <w:bookmarkStart w:id="267" w:name="bookmark267"/>
      <w:bookmarkEnd w:id="267"/>
      <w:r>
        <w:rPr>
          <w:color w:val="000000"/>
          <w:spacing w:val="0"/>
          <w:w w:val="100"/>
          <w:position w:val="0"/>
        </w:rPr>
        <w:t>关于控股股东与上市公司：公司控股股东能严格规范自己的行为，没有超越公司股东大会，直接或间接干预公司的 决策和经营活动的行为。</w:t>
      </w:r>
    </w:p>
    <w:p>
      <w:pPr>
        <w:pStyle w:val="Style17"/>
        <w:keepNext w:val="0"/>
        <w:keepLines w:val="0"/>
        <w:widowControl w:val="0"/>
        <w:numPr>
          <w:ilvl w:val="0"/>
          <w:numId w:val="5"/>
        </w:numPr>
        <w:shd w:val="clear" w:color="auto" w:fill="auto"/>
        <w:tabs>
          <w:tab w:pos="634" w:val="left"/>
        </w:tabs>
        <w:bidi w:val="0"/>
        <w:spacing w:before="0" w:after="0" w:line="326" w:lineRule="exact"/>
        <w:ind w:left="0" w:right="0" w:firstLine="380"/>
        <w:jc w:val="both"/>
      </w:pPr>
      <w:bookmarkStart w:id="268" w:name="bookmark268"/>
      <w:bookmarkEnd w:id="268"/>
      <w:r>
        <w:rPr>
          <w:color w:val="000000"/>
          <w:spacing w:val="0"/>
          <w:w w:val="100"/>
          <w:position w:val="0"/>
        </w:rPr>
        <w:t>关于董事和董事会：公司董事会由</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人，占董事总数</w:t>
      </w:r>
      <w:r>
        <w:rPr>
          <w:rFonts w:ascii="Times New Roman" w:eastAsia="Times New Roman" w:hAnsi="Times New Roman" w:cs="Times New Roman"/>
          <w:color w:val="000000"/>
          <w:spacing w:val="0"/>
          <w:w w:val="100"/>
          <w:position w:val="0"/>
          <w:sz w:val="18"/>
          <w:szCs w:val="18"/>
        </w:rPr>
        <w:t>1 /3</w:t>
      </w:r>
      <w:r>
        <w:rPr>
          <w:color w:val="000000"/>
          <w:spacing w:val="0"/>
          <w:w w:val="100"/>
          <w:position w:val="0"/>
        </w:rPr>
        <w:t>以上，公司全体董事能够依据《董 事会议事规则》、《创业板上市公司规范运作指引》等制度开展工作，认真出席董事会和股东大会，诚实守信地履行职责。</w:t>
      </w:r>
    </w:p>
    <w:p>
      <w:pPr>
        <w:pStyle w:val="Style17"/>
        <w:keepNext w:val="0"/>
        <w:keepLines w:val="0"/>
        <w:widowControl w:val="0"/>
        <w:numPr>
          <w:ilvl w:val="0"/>
          <w:numId w:val="5"/>
        </w:numPr>
        <w:shd w:val="clear" w:color="auto" w:fill="auto"/>
        <w:tabs>
          <w:tab w:pos="590" w:val="left"/>
        </w:tabs>
        <w:bidi w:val="0"/>
        <w:spacing w:before="0" w:after="0" w:line="322" w:lineRule="exact"/>
        <w:ind w:left="0" w:right="0" w:firstLine="380"/>
        <w:jc w:val="both"/>
      </w:pPr>
      <w:bookmarkStart w:id="269" w:name="bookmark269"/>
      <w:bookmarkEnd w:id="269"/>
      <w:r>
        <w:rPr>
          <w:color w:val="000000"/>
          <w:spacing w:val="0"/>
          <w:w w:val="100"/>
          <w:position w:val="0"/>
        </w:rPr>
        <w:t>关于监事和监事会：公司监事会由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名监事组成，其人数和人员构成均符合相关法律法规的要求。公司监事能够按照 《监事会议事规则》等的要求，认真履行自己的职责，对公司重大事项、关联交易、财务状况、董事和经理的履职情况等进</w:t>
      </w:r>
    </w:p>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行有效监督并发表独立意见。</w:t>
      </w:r>
    </w:p>
    <w:p>
      <w:pPr>
        <w:pStyle w:val="Style17"/>
        <w:keepNext w:val="0"/>
        <w:keepLines w:val="0"/>
        <w:widowControl w:val="0"/>
        <w:numPr>
          <w:ilvl w:val="0"/>
          <w:numId w:val="5"/>
        </w:numPr>
        <w:shd w:val="clear" w:color="auto" w:fill="auto"/>
        <w:bidi w:val="0"/>
        <w:spacing w:before="0" w:after="0" w:line="315" w:lineRule="exact"/>
        <w:ind w:left="0" w:right="0" w:firstLine="380"/>
        <w:jc w:val="both"/>
      </w:pPr>
      <w:bookmarkStart w:id="270" w:name="bookmark270"/>
      <w:bookmarkEnd w:id="270"/>
      <w:r>
        <w:rPr>
          <w:color w:val="000000"/>
          <w:spacing w:val="0"/>
          <w:w w:val="100"/>
          <w:position w:val="0"/>
        </w:rPr>
        <w:t xml:space="preserve"> 关于绩效评价与激励约束机制：为进一步完善董事、监事与高级管理人员的薪酬管理，建立科学有效的激励与约束 机制，公司建立了完善的高级管理人员绩效考评体系和薪酬制度。高级管理人员的聘任公开、透明，符合法律、法规的规定。 公司董事会下设的提名、薪酬和考核委员会负责对公司董事及高级管理人员进行提名和绩效考核。公司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年实施开展了限 制性股票激励计划，进一步建设公司的员工激励体系。</w:t>
      </w:r>
    </w:p>
    <w:p>
      <w:pPr>
        <w:pStyle w:val="Style17"/>
        <w:keepNext w:val="0"/>
        <w:keepLines w:val="0"/>
        <w:widowControl w:val="0"/>
        <w:numPr>
          <w:ilvl w:val="0"/>
          <w:numId w:val="5"/>
        </w:numPr>
        <w:shd w:val="clear" w:color="auto" w:fill="auto"/>
        <w:bidi w:val="0"/>
        <w:spacing w:before="0" w:after="0" w:line="319" w:lineRule="exact"/>
        <w:ind w:left="0" w:right="0" w:firstLine="380"/>
        <w:jc w:val="both"/>
      </w:pPr>
      <w:bookmarkStart w:id="271" w:name="bookmark271"/>
      <w:bookmarkEnd w:id="271"/>
      <w:r>
        <w:rPr>
          <w:color w:val="000000"/>
          <w:spacing w:val="0"/>
          <w:w w:val="100"/>
          <w:position w:val="0"/>
        </w:rPr>
        <w:t xml:space="preserve"> 关于利益相关者：公司尊重利益相关者的合法权益，重视利益相关者的相互作用与影响，保持与利益相关者的顺畅 沟通，努力实现股东、客户、员工及社会等多方利益的均衡，建立健康友好、互利互信和合作多赢的关系，共同促进公司持 续稳定发展。</w:t>
      </w:r>
    </w:p>
    <w:p>
      <w:pPr>
        <w:pStyle w:val="Style17"/>
        <w:keepNext w:val="0"/>
        <w:keepLines w:val="0"/>
        <w:widowControl w:val="0"/>
        <w:numPr>
          <w:ilvl w:val="0"/>
          <w:numId w:val="5"/>
        </w:numPr>
        <w:shd w:val="clear" w:color="auto" w:fill="auto"/>
        <w:bidi w:val="0"/>
        <w:spacing w:before="0" w:after="0" w:line="315" w:lineRule="exact"/>
        <w:ind w:left="0" w:right="0" w:firstLine="380"/>
        <w:jc w:val="both"/>
      </w:pPr>
      <w:bookmarkStart w:id="272" w:name="bookmark272"/>
      <w:bookmarkEnd w:id="272"/>
      <w:r>
        <w:rPr>
          <w:color w:val="000000"/>
          <w:spacing w:val="0"/>
          <w:w w:val="100"/>
          <w:position w:val="0"/>
        </w:rPr>
        <w:t xml:space="preserve"> 关于信息披露与透明度：公司严格按照《深圳证券交易所创业板股票上市规则》、《深圳证券交易所创业板上市公 司规范运作指引》等法律法规的规定，制定了《信息披露管理制度》、《重大信息内部报告制度》、《对外信息报送和使用 管理制度》、《内幕信息知情人登记管理制度》等制度，完善公司信息披露与投资者关系管理的制度建设，并在工作中认真 严格执行。</w:t>
      </w:r>
    </w:p>
    <w:p>
      <w:pPr>
        <w:pStyle w:val="Style17"/>
        <w:keepNext w:val="0"/>
        <w:keepLines w:val="0"/>
        <w:widowControl w:val="0"/>
        <w:numPr>
          <w:ilvl w:val="0"/>
          <w:numId w:val="5"/>
        </w:numPr>
        <w:shd w:val="clear" w:color="auto" w:fill="auto"/>
        <w:bidi w:val="0"/>
        <w:spacing w:before="0" w:after="0" w:line="313" w:lineRule="exact"/>
        <w:ind w:left="0" w:right="0" w:firstLine="380"/>
        <w:jc w:val="both"/>
      </w:pPr>
      <w:bookmarkStart w:id="273" w:name="bookmark273"/>
      <w:bookmarkEnd w:id="273"/>
      <w:r>
        <w:rPr>
          <w:color w:val="000000"/>
          <w:spacing w:val="0"/>
          <w:w w:val="100"/>
          <w:position w:val="0"/>
        </w:rPr>
        <w:t xml:space="preserve"> 关于内部审计：为加强内部控制活动的监督和评价，有效控制风险，保证公司资产的安全与完整，由半数以上独立 董事组成的审计委员会，负责全面审查和监督公司的财务报告、内部审计方案及内部控制的有效性，审阅和审查财务、经营、 合规、风险管理情况。公司已经设置内部审计部门，建立了内部审计制度，审计部负责人由董事会聘任，公司内部审计部配 备专职审计人员，对审计委员会负责，向审计委员会报告工作。内部审计部对公司财务信息及内部控制制度的建立和实施等 进行检查和监督，对公司对外担保、关联交易等行为进行重点审计，及时向审计委员会提交工作计划并汇报审计工作报告， 就审计过程中发现的问题进行督促整改。</w:t>
      </w:r>
    </w:p>
    <w:p>
      <w:pPr>
        <w:pStyle w:val="Style17"/>
        <w:keepNext w:val="0"/>
        <w:keepLines w:val="0"/>
        <w:widowControl w:val="0"/>
        <w:shd w:val="clear" w:color="auto" w:fill="auto"/>
        <w:bidi w:val="0"/>
        <w:spacing w:before="0" w:after="340" w:line="317" w:lineRule="exact"/>
        <w:ind w:left="0" w:right="0" w:firstLine="300"/>
        <w:jc w:val="both"/>
      </w:pPr>
      <w:r>
        <w:rPr>
          <w:color w:val="000000"/>
          <w:spacing w:val="0"/>
          <w:w w:val="100"/>
          <w:position w:val="0"/>
        </w:rPr>
        <w:t>截至报告期末，公司严格按照国家法律法规、《深圳证券交易所创业板股票上市规则》和《创业板上市公司规范运作指 引》等规定，诚实守信，规范运作，认真及时履行信息披露义务。未收到被监管部门采取行政监管措施的有关文件。</w:t>
      </w:r>
    </w:p>
    <w:p>
      <w:pPr>
        <w:pStyle w:val="Style17"/>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bidi w:val="0"/>
        <w:spacing w:before="0" w:after="240" w:line="331" w:lineRule="exact"/>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二</w:t>
      </w:r>
      <w:bookmarkEnd w:id="276"/>
      <w:r>
        <w:rPr>
          <w:color w:val="000000"/>
          <w:spacing w:val="0"/>
          <w:w w:val="100"/>
          <w:position w:val="0"/>
        </w:rPr>
        <w:t>、公司相对于控股股东、实际控制人在保证公司资产、人员、财务、机构、业务等方面的 独立情况</w:t>
      </w:r>
      <w:bookmarkEnd w:id="274"/>
      <w:bookmarkEnd w:id="275"/>
      <w:bookmarkEnd w:id="277"/>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自设立以来，公司严格按照《公司法》、《证券法》等有关法律、法规和《公司章程》的要求规范运作，建立健全了法 人治理结构，在资产、人员、财务、机构、业务等方面均独立于控股股东、实际控制人及其控制的其他企业，公司具有独立、 完整的资产、业务体系及面向市场独立经营的能力。</w:t>
      </w:r>
    </w:p>
    <w:p>
      <w:pPr>
        <w:pStyle w:val="Style17"/>
        <w:keepNext w:val="0"/>
        <w:keepLines w:val="0"/>
        <w:widowControl w:val="0"/>
        <w:shd w:val="clear" w:color="auto" w:fill="auto"/>
        <w:tabs>
          <w:tab w:pos="879" w:val="left"/>
        </w:tabs>
        <w:bidi w:val="0"/>
        <w:spacing w:before="0" w:after="0" w:line="312" w:lineRule="exact"/>
        <w:ind w:left="0" w:right="0" w:firstLine="380"/>
        <w:jc w:val="both"/>
      </w:pPr>
      <w:bookmarkStart w:id="278" w:name="bookmark278"/>
      <w:r>
        <w:rPr>
          <w:color w:val="000000"/>
          <w:spacing w:val="0"/>
          <w:w w:val="100"/>
          <w:position w:val="0"/>
        </w:rPr>
        <w:t>（</w:t>
      </w:r>
      <w:bookmarkEnd w:id="278"/>
      <w:r>
        <w:rPr>
          <w:color w:val="000000"/>
          <w:spacing w:val="0"/>
          <w:w w:val="100"/>
          <w:position w:val="0"/>
        </w:rPr>
        <w:t>一）</w:t>
        <w:tab/>
        <w:t>资产完整情况</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公司拥有独立于控股股东的生产经营场所，拥有独立完整的研发、采购、生产、销售及配套服务设施和资产，拥有相关 资产的合法所有权或使用权，不存在以公司资产、权益或信誉为股东提供违规担保的情况，不存在资产、资金被控股股东、 实际控制人占用而损害公司利益的情况。</w:t>
      </w:r>
    </w:p>
    <w:p>
      <w:pPr>
        <w:pStyle w:val="Style17"/>
        <w:keepNext w:val="0"/>
        <w:keepLines w:val="0"/>
        <w:widowControl w:val="0"/>
        <w:shd w:val="clear" w:color="auto" w:fill="auto"/>
        <w:tabs>
          <w:tab w:pos="879" w:val="left"/>
        </w:tabs>
        <w:bidi w:val="0"/>
        <w:spacing w:before="0" w:after="0" w:line="312" w:lineRule="exact"/>
        <w:ind w:left="0" w:right="0" w:firstLine="380"/>
        <w:jc w:val="both"/>
      </w:pPr>
      <w:bookmarkStart w:id="279" w:name="bookmark279"/>
      <w:r>
        <w:rPr>
          <w:color w:val="000000"/>
          <w:spacing w:val="0"/>
          <w:w w:val="100"/>
          <w:position w:val="0"/>
        </w:rPr>
        <w:t>（</w:t>
      </w:r>
      <w:bookmarkEnd w:id="279"/>
      <w:r>
        <w:rPr>
          <w:color w:val="000000"/>
          <w:spacing w:val="0"/>
          <w:w w:val="100"/>
          <w:position w:val="0"/>
        </w:rPr>
        <w:t>二）</w:t>
        <w:tab/>
        <w:t>人员独立情况</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公司董事、监事、高级管理人员均严格按照《公司法》、《公司章程》等规定的程序选举或聘任产生。截至本报告签署 日，公司高级管理人员不存在在控股股东、实际控制人及其控制的其他企业中担任除董事以外的其他职务，或在控股股东、 实际控制人及其控制的其他企业领薪的情形；公司财务人员不存在在控股股东、实际控制人及其控制的其他企业中兼职的情 形。公司拥有独立、完整的人事管理体系，制定了独立的劳动人事管理制度，由公司独立与员工签订劳动合同，独立为员工 发放工资，不存在由其关联方代为发放工资的情形。</w:t>
      </w:r>
    </w:p>
    <w:p>
      <w:pPr>
        <w:pStyle w:val="Style17"/>
        <w:keepNext w:val="0"/>
        <w:keepLines w:val="0"/>
        <w:widowControl w:val="0"/>
        <w:shd w:val="clear" w:color="auto" w:fill="auto"/>
        <w:tabs>
          <w:tab w:pos="879" w:val="left"/>
        </w:tabs>
        <w:bidi w:val="0"/>
        <w:spacing w:before="0" w:after="0" w:line="312" w:lineRule="exact"/>
        <w:ind w:left="0" w:right="0" w:firstLine="380"/>
        <w:jc w:val="both"/>
      </w:pPr>
      <w:bookmarkStart w:id="280" w:name="bookmark280"/>
      <w:r>
        <w:rPr>
          <w:color w:val="000000"/>
          <w:spacing w:val="0"/>
          <w:w w:val="100"/>
          <w:position w:val="0"/>
        </w:rPr>
        <w:t>（</w:t>
      </w:r>
      <w:bookmarkEnd w:id="280"/>
      <w:r>
        <w:rPr>
          <w:color w:val="000000"/>
          <w:spacing w:val="0"/>
          <w:w w:val="100"/>
          <w:position w:val="0"/>
        </w:rPr>
        <w:t>三）</w:t>
        <w:tab/>
        <w:t>财务独立情况</w:t>
      </w:r>
    </w:p>
    <w:p>
      <w:pPr>
        <w:pStyle w:val="Style1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公司设立了独立的财务部门，配备专职财务管理人员，建立了独立、完整的财务核算体系。公司严格执行《企业会计准 则》，建立了规范的财务规章制度，能够独立做出财务决策，不受控股股东、实际控制人干预。公司独立开设银行账户，独 立纳税，不存在与控股股东、实际控制人及其控制的其他企业共用银行账户的情形。公司不存在资金被控股股东、实际控制 人及其控制的其他企业以借款、代偿债务、代垫款项或者其他方式占用的情形。</w:t>
      </w:r>
    </w:p>
    <w:p>
      <w:pPr>
        <w:pStyle w:val="Style17"/>
        <w:keepNext w:val="0"/>
        <w:keepLines w:val="0"/>
        <w:widowControl w:val="0"/>
        <w:shd w:val="clear" w:color="auto" w:fill="auto"/>
        <w:tabs>
          <w:tab w:pos="879" w:val="left"/>
        </w:tabs>
        <w:bidi w:val="0"/>
        <w:spacing w:before="0" w:after="0" w:line="312" w:lineRule="exact"/>
        <w:ind w:left="0" w:right="0" w:firstLine="380"/>
        <w:jc w:val="both"/>
      </w:pPr>
      <w:bookmarkStart w:id="281" w:name="bookmark281"/>
      <w:r>
        <w:rPr>
          <w:color w:val="000000"/>
          <w:spacing w:val="0"/>
          <w:w w:val="100"/>
          <w:position w:val="0"/>
        </w:rPr>
        <w:t>（</w:t>
      </w:r>
      <w:bookmarkEnd w:id="281"/>
      <w:r>
        <w:rPr>
          <w:color w:val="000000"/>
          <w:spacing w:val="0"/>
          <w:w w:val="100"/>
          <w:position w:val="0"/>
        </w:rPr>
        <w:t>四）</w:t>
        <w:tab/>
        <w:t>机构独立情况</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公司根据《公司法》和《公司章程》的要求，设置股东大会作为最高权力机构、设置董事会为决策机构、设置监事会为 监督机构，并设有相应的办公机构和经营部门，各职能部门分工协作，形成有机的独立运营主体，不受控股股东、实际控制 人的干预，公司与控股股东、实际控制人及其控制的其他企业在机构设置、人员及办公场所等方面完全分开，不存在混合经 营、合署办公的情形。</w:t>
      </w:r>
    </w:p>
    <w:p>
      <w:pPr>
        <w:pStyle w:val="Style17"/>
        <w:keepNext w:val="0"/>
        <w:keepLines w:val="0"/>
        <w:widowControl w:val="0"/>
        <w:shd w:val="clear" w:color="auto" w:fill="auto"/>
        <w:tabs>
          <w:tab w:pos="879" w:val="left"/>
        </w:tabs>
        <w:bidi w:val="0"/>
        <w:spacing w:before="0" w:after="0" w:line="312" w:lineRule="exact"/>
        <w:ind w:left="0" w:right="0" w:firstLine="380"/>
        <w:jc w:val="both"/>
      </w:pPr>
      <w:bookmarkStart w:id="282" w:name="bookmark282"/>
      <w:r>
        <w:rPr>
          <w:color w:val="000000"/>
          <w:spacing w:val="0"/>
          <w:w w:val="100"/>
          <w:position w:val="0"/>
        </w:rPr>
        <w:t>（</w:t>
      </w:r>
      <w:bookmarkEnd w:id="282"/>
      <w:r>
        <w:rPr>
          <w:color w:val="000000"/>
          <w:spacing w:val="0"/>
          <w:w w:val="100"/>
          <w:position w:val="0"/>
        </w:rPr>
        <w:t>五）</w:t>
        <w:tab/>
        <w:t>业务独立情况</w:t>
      </w:r>
    </w:p>
    <w:p>
      <w:pPr>
        <w:pStyle w:val="Style17"/>
        <w:keepNext w:val="0"/>
        <w:keepLines w:val="0"/>
        <w:widowControl w:val="0"/>
        <w:shd w:val="clear" w:color="auto" w:fill="auto"/>
        <w:bidi w:val="0"/>
        <w:spacing w:before="0" w:after="740" w:line="310" w:lineRule="exact"/>
        <w:ind w:left="0" w:right="0" w:firstLine="380"/>
        <w:jc w:val="both"/>
      </w:pPr>
      <w:r>
        <w:rPr>
          <w:color w:val="000000"/>
          <w:spacing w:val="0"/>
          <w:w w:val="100"/>
          <w:position w:val="0"/>
        </w:rPr>
        <w:t>公司拥有从事相关业务所需的独立的生产经营场所和经营性资产，拥有自主知识产权，各职能部门分别负责研发、采购、 生产、销售及配套服务等业务环节；公司已建立了完整的业务流程，具有直接面向市场独立经营的能力，不存在需要依赖控 股股东、实际控制人及其控制的企业进行经营的情况。公司与控股股东、实际控制人及其控制的其他企业间不存在同业竞争 或者显失公平的关联交易。</w:t>
      </w:r>
    </w:p>
    <w:p>
      <w:pPr>
        <w:pStyle w:val="Style21"/>
        <w:keepNext/>
        <w:keepLines/>
        <w:widowControl w:val="0"/>
        <w:shd w:val="clear" w:color="auto" w:fill="auto"/>
        <w:tabs>
          <w:tab w:pos="489" w:val="left"/>
        </w:tabs>
        <w:bidi w:val="0"/>
        <w:spacing w:before="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三</w:t>
      </w:r>
      <w:bookmarkEnd w:id="285"/>
      <w:r>
        <w:rPr>
          <w:color w:val="000000"/>
          <w:spacing w:val="0"/>
          <w:w w:val="100"/>
          <w:position w:val="0"/>
        </w:rPr>
        <w:t>、</w:t>
        <w:tab/>
        <w:t>同业竞争情况</w:t>
      </w:r>
      <w:bookmarkEnd w:id="283"/>
      <w:bookmarkEnd w:id="284"/>
      <w:bookmarkEnd w:id="286"/>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489" w:val="left"/>
        </w:tabs>
        <w:bidi w:val="0"/>
        <w:spacing w:before="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四</w:t>
      </w:r>
      <w:bookmarkEnd w:id="289"/>
      <w:r>
        <w:rPr>
          <w:color w:val="000000"/>
          <w:spacing w:val="0"/>
          <w:w w:val="100"/>
          <w:position w:val="0"/>
        </w:rPr>
        <w:t>、</w:t>
        <w:tab/>
        <w:t>报告期内召开的年度股东大会和临时股东大会的有关情况</w:t>
      </w:r>
      <w:bookmarkEnd w:id="287"/>
      <w:bookmarkEnd w:id="288"/>
      <w:bookmarkEnd w:id="290"/>
    </w:p>
    <w:p>
      <w:pPr>
        <w:pStyle w:val="Style26"/>
        <w:keepNext/>
        <w:keepLines/>
        <w:widowControl w:val="0"/>
        <w:shd w:val="clear" w:color="auto" w:fill="auto"/>
        <w:bidi w:val="0"/>
        <w:spacing w:before="0" w:after="32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1</w:t>
      </w:r>
      <w:bookmarkEnd w:id="293"/>
      <w:r>
        <w:rPr>
          <w:color w:val="000000"/>
          <w:spacing w:val="0"/>
          <w:w w:val="100"/>
          <w:position w:val="0"/>
        </w:rPr>
        <w:t>、本报告期股东大会情况</w:t>
      </w:r>
      <w:bookmarkEnd w:id="291"/>
      <w:bookmarkEnd w:id="292"/>
      <w:bookmarkEnd w:id="294"/>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xml:space="preserve"> .com.cn</w:t>
            </w:r>
            <w:r>
              <w:rPr>
                <w:color w:val="000000"/>
                <w:spacing w:val="0"/>
                <w:w w:val="100"/>
                <w:position w:val="0"/>
              </w:rPr>
              <w:t>)的公告</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年第一次临 时股东大会决议公 告》(公告编号： </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xml:space="preserve"> .com.cn</w:t>
            </w:r>
            <w:r>
              <w:rPr>
                <w:color w:val="000000"/>
                <w:spacing w:val="0"/>
                <w:w w:val="100"/>
                <w:position w:val="0"/>
              </w:rPr>
              <w:t>)的公告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 大会决议公告》(公 告编号：</w:t>
            </w:r>
            <w:r>
              <w:rPr>
                <w:rFonts w:ascii="Times New Roman" w:eastAsia="Times New Roman" w:hAnsi="Times New Roman" w:cs="Times New Roman"/>
                <w:color w:val="000000"/>
                <w:spacing w:val="0"/>
                <w:w w:val="100"/>
                <w:position w:val="0"/>
                <w:sz w:val="18"/>
                <w:szCs w:val="18"/>
              </w:rPr>
              <w:t>2021-030</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xml:space="preserve"> .com.cn</w:t>
            </w:r>
            <w:r>
              <w:rPr>
                <w:color w:val="000000"/>
                <w:spacing w:val="0"/>
                <w:w w:val="100"/>
                <w:position w:val="0"/>
              </w:rPr>
              <w:t>)的公告</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年第二次临 时股东大会决议公 告》(公告编号： </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详见巨潮资讯网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xml:space="preserve"> .com.cn</w:t>
            </w:r>
            <w:r>
              <w:rPr>
                <w:color w:val="000000"/>
                <w:spacing w:val="0"/>
                <w:w w:val="100"/>
                <w:position w:val="0"/>
              </w:rPr>
              <w:t>)的公告</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年第三次临 时股东大会决议公 告》(公告编号： </w:t>
            </w:r>
            <w:r>
              <w:rPr>
                <w:rFonts w:ascii="Times New Roman" w:eastAsia="Times New Roman" w:hAnsi="Times New Roman" w:cs="Times New Roman"/>
                <w:color w:val="000000"/>
                <w:spacing w:val="0"/>
                <w:w w:val="100"/>
                <w:position w:val="0"/>
                <w:sz w:val="18"/>
                <w:szCs w:val="18"/>
              </w:rPr>
              <w:t>2021-060</w:t>
            </w:r>
            <w:r>
              <w:rPr>
                <w:color w:val="000000"/>
                <w:spacing w:val="0"/>
                <w:w w:val="100"/>
                <w:position w:val="0"/>
              </w:rPr>
              <w:t>)</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both"/>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2</w:t>
      </w:r>
      <w:bookmarkEnd w:id="297"/>
      <w:r>
        <w:rPr>
          <w:color w:val="000000"/>
          <w:spacing w:val="0"/>
          <w:w w:val="100"/>
          <w:position w:val="0"/>
        </w:rPr>
        <w:t>、表决权恢复的优先股股东请求召开临时股东大会</w:t>
      </w:r>
      <w:bookmarkEnd w:id="295"/>
      <w:bookmarkEnd w:id="296"/>
      <w:bookmarkEnd w:id="298"/>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both"/>
      </w:pPr>
      <w:bookmarkStart w:id="299" w:name="bookmark299"/>
      <w:bookmarkStart w:id="300" w:name="bookmark300"/>
      <w:bookmarkStart w:id="301" w:name="bookmark301"/>
      <w:bookmarkStart w:id="302" w:name="bookmark302"/>
      <w:r>
        <w:rPr>
          <w:color w:val="000000"/>
          <w:spacing w:val="0"/>
          <w:w w:val="100"/>
          <w:position w:val="0"/>
        </w:rPr>
        <w:t>五</w:t>
      </w:r>
      <w:bookmarkEnd w:id="301"/>
      <w:r>
        <w:rPr>
          <w:color w:val="000000"/>
          <w:spacing w:val="0"/>
          <w:w w:val="100"/>
          <w:position w:val="0"/>
        </w:rPr>
        <w:t>、</w:t>
        <w:tab/>
        <w:t>公司具有表决权差异安排</w:t>
      </w:r>
      <w:bookmarkEnd w:id="299"/>
      <w:bookmarkEnd w:id="300"/>
      <w:bookmarkEnd w:id="302"/>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both"/>
      </w:pPr>
      <w:bookmarkStart w:id="303" w:name="bookmark303"/>
      <w:bookmarkStart w:id="304" w:name="bookmark304"/>
      <w:bookmarkStart w:id="305" w:name="bookmark305"/>
      <w:bookmarkStart w:id="306" w:name="bookmark306"/>
      <w:r>
        <w:rPr>
          <w:color w:val="000000"/>
          <w:spacing w:val="0"/>
          <w:w w:val="100"/>
          <w:position w:val="0"/>
        </w:rPr>
        <w:t>六</w:t>
      </w:r>
      <w:bookmarkEnd w:id="305"/>
      <w:r>
        <w:rPr>
          <w:color w:val="000000"/>
          <w:spacing w:val="0"/>
          <w:w w:val="100"/>
          <w:position w:val="0"/>
        </w:rPr>
        <w:t>、</w:t>
        <w:tab/>
        <w:t>红筹架构公司治理情况</w:t>
      </w:r>
      <w:bookmarkEnd w:id="303"/>
      <w:bookmarkEnd w:id="304"/>
      <w:bookmarkEnd w:id="306"/>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after="38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七</w:t>
      </w:r>
      <w:bookmarkEnd w:id="309"/>
      <w:r>
        <w:rPr>
          <w:color w:val="000000"/>
          <w:spacing w:val="0"/>
          <w:w w:val="100"/>
          <w:position w:val="0"/>
        </w:rPr>
        <w:t>、董事、监事和高级管理人员情况</w:t>
      </w:r>
      <w:bookmarkEnd w:id="307"/>
      <w:bookmarkEnd w:id="308"/>
      <w:bookmarkEnd w:id="310"/>
    </w:p>
    <w:p>
      <w:pPr>
        <w:pStyle w:val="Style26"/>
        <w:keepNext/>
        <w:keepLines/>
        <w:widowControl w:val="0"/>
        <w:shd w:val="clear" w:color="auto" w:fill="auto"/>
        <w:bidi w:val="0"/>
        <w:spacing w:before="0" w:after="30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1</w:t>
      </w:r>
      <w:bookmarkEnd w:id="313"/>
      <w:r>
        <w:rPr>
          <w:color w:val="000000"/>
          <w:spacing w:val="0"/>
          <w:w w:val="100"/>
          <w:position w:val="0"/>
        </w:rPr>
        <w:t>、基本情况</w:t>
      </w:r>
      <w:bookmarkEnd w:id="311"/>
      <w:bookmarkEnd w:id="312"/>
      <w:bookmarkEnd w:id="314"/>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的原因</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65,905,4 93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89,464,0</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、间接 持股的 机构减 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转增股 本导致 增加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戴泽宇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10,969,4 46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14,906,2</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、间接 持股的 机构减 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转增股 本导致 增加</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傅烈勇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12,816,7</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、间接 持股的 机构减 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转增股 本导致 增加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洪伟荣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蔡钰如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职工代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 秘书、副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转增股 本导致 增加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转增股 本导致 增加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转增股 本导致 增加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转增股 本导致 增加</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88,856,3 95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3,647,00 1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报告期是否存在任期内董事、监事离任和高级管理人员解聘的情况</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公司董事、监事、高级管理人员变动情况</w:t>
      </w:r>
    </w:p>
    <w:p>
      <w:pPr>
        <w:pStyle w:val="Style1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职务发生变更，由董事长变更为董事长、总经理</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戴泽宇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职务发生变更，由董事、总经理变更为副董事长</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both"/>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2</w:t>
      </w:r>
      <w:bookmarkEnd w:id="317"/>
      <w:r>
        <w:rPr>
          <w:color w:val="000000"/>
          <w:spacing w:val="0"/>
          <w:w w:val="100"/>
          <w:position w:val="0"/>
        </w:rPr>
        <w:t>、任职情况</w:t>
      </w:r>
      <w:bookmarkEnd w:id="315"/>
      <w:bookmarkEnd w:id="316"/>
      <w:bookmarkEnd w:id="318"/>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shd w:val="clear" w:color="auto" w:fill="auto"/>
        <w:bidi w:val="0"/>
        <w:spacing w:before="0" w:after="140" w:line="240" w:lineRule="auto"/>
        <w:ind w:left="0" w:right="0" w:firstLine="0"/>
        <w:jc w:val="both"/>
      </w:pPr>
      <w:bookmarkStart w:id="319" w:name="bookmark319"/>
      <w:r>
        <w:rPr>
          <w:color w:val="000000"/>
          <w:spacing w:val="0"/>
          <w:w w:val="100"/>
          <w:position w:val="0"/>
        </w:rPr>
        <w:t>一</w:t>
      </w:r>
      <w:bookmarkEnd w:id="319"/>
      <w:r>
        <w:rPr>
          <w:color w:val="000000"/>
          <w:spacing w:val="0"/>
          <w:w w:val="100"/>
          <w:position w:val="0"/>
        </w:rPr>
        <w:t>、董事简历情况</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杨一兵，男，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年出生，中国国籍，无境外永久居留权，工业自动化专业，工学博士。</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年，担任浙江大学教 </w:t>
      </w:r>
      <w:r>
        <w:rPr>
          <w:color w:val="000000"/>
          <w:spacing w:val="0"/>
          <w:w w:val="100"/>
          <w:position w:val="0"/>
        </w:rPr>
        <w:t>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年，历任浙江浙大中控信息技术有限公司副总经理、总工程师、副总裁；</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年，担任北京和仁 中控数字医疗技术有限公司董事、总经理；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月至今，任杭州复贞投资管理有限公司执行董事；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年担任 公司总经理；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年至今，担任公司董事长、总经理。</w:t>
      </w:r>
    </w:p>
    <w:p>
      <w:pPr>
        <w:pStyle w:val="Style17"/>
        <w:keepNext w:val="0"/>
        <w:keepLines w:val="0"/>
        <w:widowControl w:val="0"/>
        <w:shd w:val="clear" w:color="auto" w:fill="auto"/>
        <w:tabs>
          <w:tab w:pos="7786" w:val="left"/>
        </w:tabs>
        <w:bidi w:val="0"/>
        <w:spacing w:before="0" w:after="0" w:line="317" w:lineRule="exact"/>
        <w:ind w:left="0" w:right="0" w:firstLine="0"/>
        <w:jc w:val="both"/>
      </w:pPr>
      <w:r>
        <w:rPr>
          <w:color w:val="000000"/>
          <w:spacing w:val="0"/>
          <w:w w:val="100"/>
          <w:position w:val="0"/>
        </w:rPr>
        <w:t>戴泽宇，男，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2003-2008</w:t>
      </w:r>
      <w:r>
        <w:rPr>
          <w:color w:val="000000"/>
          <w:spacing w:val="0"/>
          <w:w w:val="100"/>
          <w:position w:val="0"/>
        </w:rPr>
        <w:t>年任西南合成制药股份有限公司董事长兼总经理；</w:t>
      </w:r>
      <w:r>
        <w:rPr>
          <w:rFonts w:ascii="Times New Roman" w:eastAsia="Times New Roman" w:hAnsi="Times New Roman" w:cs="Times New Roman"/>
          <w:color w:val="000000"/>
          <w:spacing w:val="0"/>
          <w:w w:val="100"/>
          <w:position w:val="0"/>
          <w:sz w:val="18"/>
          <w:szCs w:val="18"/>
        </w:rPr>
        <w:t>2006-2015</w:t>
      </w:r>
      <w:r>
        <w:rPr>
          <w:color w:val="000000"/>
          <w:spacing w:val="0"/>
          <w:w w:val="100"/>
          <w:position w:val="0"/>
        </w:rPr>
        <w:t>年任北 大方正集团有限公司助理总裁、副总裁；</w:t>
      </w:r>
      <w:r>
        <w:rPr>
          <w:rFonts w:ascii="Times New Roman" w:eastAsia="Times New Roman" w:hAnsi="Times New Roman" w:cs="Times New Roman"/>
          <w:color w:val="000000"/>
          <w:spacing w:val="0"/>
          <w:w w:val="100"/>
          <w:position w:val="0"/>
          <w:sz w:val="18"/>
          <w:szCs w:val="18"/>
        </w:rPr>
        <w:t>2006-2016</w:t>
      </w:r>
      <w:r>
        <w:rPr>
          <w:color w:val="000000"/>
          <w:spacing w:val="0"/>
          <w:w w:val="100"/>
          <w:position w:val="0"/>
        </w:rPr>
        <w:t>年任北大医疗产业集团有限公司副总裁、</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2009-2016</w:t>
      </w:r>
      <w:r>
        <w:rPr>
          <w:color w:val="000000"/>
          <w:spacing w:val="0"/>
          <w:w w:val="100"/>
          <w:position w:val="0"/>
        </w:rPr>
        <w:t>年任北京大学</w:t>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国际医院行政院长等。曾任公司董事、总经理，目前任公司副董事长。</w:t>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杨波，男，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年出生，中国国籍，希腊共和国永久居留权，工业设计专业本科学历。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年，担任浙江易商软件 有限公司网站设计工程师；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年，历任浙江浙大中控信息技术有限公司智能建筑事业部商务总监、智能建筑事业 部副总经理、智能建筑事业部商务中心总监；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月至今，任杭州云骥投资管理有限公司执行董事；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年至今，担任 公司董事、副总经理。</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傅烈勇，男，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年出生，中国国籍，无境外永久居留权，工业自动化专业，工学博士。</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年，担任浙江大学教 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年，担任中恒世纪科技实业有限公司研发总监、总工程师；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年，担任北京和仁中控数字医疗 技术有限公司副总经理、董事；</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月至今，任和仁（天津）科技有限公司执行董事；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月至今，西安和仁汇达 信息科技有限公司执行董事；</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月至今，任和仁智慧健康科技有限公司执行董事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年至今，担任公司董事。</w:t>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夏红，女，</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年出生，中国国籍，无境外永久居留权，工业自动化专业硕士学历。</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年，担任浙江省石油化工 自动化技术开发公司技术员；</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年，在浙江大学学习；</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年至今，担任浙江科技学院教师。现任公司董事。</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蔡钰如，女，</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年出生，中国国籍，无境外永久居留权，大学本科学历，注册会计师。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年担任毕马威华振会 计师事务所审计专员职务；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年担任安永华明会计师事务所审计经理职务；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月至今担任果麦文化传媒股 份有限公司</w:t>
      </w:r>
      <w:r>
        <w:rPr>
          <w:rFonts w:ascii="Times New Roman" w:eastAsia="Times New Roman" w:hAnsi="Times New Roman" w:cs="Times New Roman"/>
          <w:color w:val="000000"/>
          <w:spacing w:val="0"/>
          <w:w w:val="100"/>
          <w:position w:val="0"/>
          <w:sz w:val="18"/>
          <w:szCs w:val="18"/>
        </w:rPr>
        <w:t>CFO</w:t>
      </w:r>
      <w:r>
        <w:rPr>
          <w:color w:val="000000"/>
          <w:spacing w:val="0"/>
          <w:w w:val="100"/>
          <w:position w:val="0"/>
        </w:rPr>
        <w:t>及董事会秘书职务；目前为浙江和仁科技股份有限公司第三届董事会独立董事。</w:t>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洪伟荣，男，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年出生，中国国籍，无境外永久居留权，博士研究生学历，教授。</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年担任浙江大学化工机械 研究所教师职务；</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年担任浙江大学化工机械研究所支部书记职务；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年担任浙江车头制药股份有限 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年至今担任浙江大学化工机械研究所所长职务；目前为浙江和仁科技股份有限公司第三届董事会独立董 事。</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黄海，男，</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年出生，中国国籍，无境外永久居留权，工学博士，教授。</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年担任浙江大学科仪系助教、讲师 职务；</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年在浙江大学科仪系（光科系）任教，任检测技术与仪器研究所副所长职务；</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年至今在浙江大学生 物医学工程与仪器科学学院仪器系任教，任博士生导师职务，曾任学院副院长（兼系主任）；</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月为丹 麦技术大学声学系</w:t>
      </w:r>
      <w:r>
        <w:rPr>
          <w:rFonts w:ascii="Times New Roman" w:eastAsia="Times New Roman" w:hAnsi="Times New Roman" w:cs="Times New Roman"/>
          <w:color w:val="000000"/>
          <w:spacing w:val="0"/>
          <w:w w:val="100"/>
          <w:position w:val="0"/>
          <w:sz w:val="18"/>
          <w:szCs w:val="18"/>
        </w:rPr>
        <w:t>（Acoustic Technology</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Technical University of Denmark）</w:t>
      </w:r>
      <w:r>
        <w:rPr>
          <w:color w:val="000000"/>
          <w:spacing w:val="0"/>
          <w:w w:val="100"/>
          <w:position w:val="0"/>
        </w:rPr>
        <w:t>访问教授；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月为澳大利亚西 澳大学工程、计算机与数学学院</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Engineering, Computing and Mathematics, The University of Western Australia）</w:t>
      </w:r>
      <w:r>
        <w:rPr>
          <w:color w:val="000000"/>
          <w:spacing w:val="0"/>
          <w:w w:val="100"/>
          <w:position w:val="0"/>
        </w:rPr>
        <w:t>的访问教授;</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月至今担任浙江铭众生物医用材料与器械研究院副院长、院长职务；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月担任浙江铭众医疗器械有 限公司法定代表人、董事长职务；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月担任浙江铭众科技有限公司总经理职务，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月至今担任杭州 心琴科技有限公司（曾用名：浙江铭众健康科技有限公司）监事，目前为浙江和仁科技股份有限公司第三届董事会独立董事。</w:t>
      </w:r>
    </w:p>
    <w:p>
      <w:pPr>
        <w:pStyle w:val="Style17"/>
        <w:keepNext w:val="0"/>
        <w:keepLines w:val="0"/>
        <w:widowControl w:val="0"/>
        <w:shd w:val="clear" w:color="auto" w:fill="auto"/>
        <w:tabs>
          <w:tab w:pos="370" w:val="left"/>
        </w:tabs>
        <w:bidi w:val="0"/>
        <w:spacing w:before="0" w:after="0" w:line="314" w:lineRule="exact"/>
        <w:ind w:left="0" w:right="0" w:firstLine="0"/>
        <w:jc w:val="both"/>
      </w:pPr>
      <w:bookmarkStart w:id="320" w:name="bookmark320"/>
      <w:r>
        <w:rPr>
          <w:color w:val="000000"/>
          <w:spacing w:val="0"/>
          <w:w w:val="100"/>
          <w:position w:val="0"/>
        </w:rPr>
        <w:t>二</w:t>
      </w:r>
      <w:bookmarkEnd w:id="320"/>
      <w:r>
        <w:rPr>
          <w:color w:val="000000"/>
          <w:spacing w:val="0"/>
          <w:w w:val="100"/>
          <w:position w:val="0"/>
        </w:rPr>
        <w:t>、</w:t>
        <w:tab/>
        <w:t>监事人员简历情况</w:t>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陈军兵，男，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年出生，中国国籍，无境外永久居留权，工业设计专业本科学历。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年，担任浙江大学方圆科 技产业有限公司开发工程师；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年，担任浙江浙大中控信息技术有限公司商务主管；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年至今历任公司商务及 投资发展部商务主管、商务中心经理，现任公司采购部经理、监事会主席。</w:t>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曹洁，女，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年出生，中国国籍，无境外永久居留权，电子商务专业大专学历。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年，担任新太科技股份有限 公司总经理助理；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年，担任杭州正方软件股份有限公司办公室主任；</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年，担任浙江大华技术股份 有限公司资质管理专员；</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年至今历任公司技术管理工程师、总经理助理，现任公司副总经理助理、监事。</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陶蓉，女，</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年出生，护理学专业本科学历，中国国籍，希腊共和国永久居留权。</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年，浙江省台州市立医院 护理部护师。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年，担任北京和仁中控数字医疗技术有限公司市场部职员；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月至今，任西安和仁汇达信 息科技有限公司监事；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年至今历任公司技术中心、商务及投资发展部职员，现任公司董事会办公室主任、职工代表监事。</w:t>
      </w:r>
    </w:p>
    <w:p>
      <w:pPr>
        <w:pStyle w:val="Style17"/>
        <w:keepNext w:val="0"/>
        <w:keepLines w:val="0"/>
        <w:widowControl w:val="0"/>
        <w:shd w:val="clear" w:color="auto" w:fill="auto"/>
        <w:tabs>
          <w:tab w:pos="370" w:val="left"/>
        </w:tabs>
        <w:bidi w:val="0"/>
        <w:spacing w:before="0" w:after="0" w:line="314" w:lineRule="exact"/>
        <w:ind w:left="0" w:right="0" w:firstLine="0"/>
        <w:jc w:val="both"/>
      </w:pPr>
      <w:bookmarkStart w:id="321" w:name="bookmark321"/>
      <w:r>
        <w:rPr>
          <w:color w:val="000000"/>
          <w:spacing w:val="0"/>
          <w:w w:val="100"/>
          <w:position w:val="0"/>
        </w:rPr>
        <w:t>三</w:t>
      </w:r>
      <w:bookmarkEnd w:id="321"/>
      <w:r>
        <w:rPr>
          <w:color w:val="000000"/>
          <w:spacing w:val="0"/>
          <w:w w:val="100"/>
          <w:position w:val="0"/>
        </w:rPr>
        <w:t>、</w:t>
        <w:tab/>
        <w:t>高级管理人员简历情况</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杨波，详见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董事简历情况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7"/>
        <w:keepNext w:val="0"/>
        <w:keepLines w:val="0"/>
        <w:widowControl w:val="0"/>
        <w:shd w:val="clear" w:color="auto" w:fill="auto"/>
        <w:bidi w:val="0"/>
        <w:spacing w:before="0" w:after="0" w:line="318" w:lineRule="exact"/>
        <w:ind w:left="0" w:right="0" w:firstLine="0"/>
        <w:jc w:val="left"/>
      </w:pPr>
      <w:r>
        <w:rPr>
          <w:color w:val="000000"/>
          <w:spacing w:val="0"/>
          <w:w w:val="100"/>
          <w:position w:val="0"/>
        </w:rPr>
        <w:t>戴泽宇，详见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董事简历情况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7"/>
        <w:keepNext w:val="0"/>
        <w:keepLines w:val="0"/>
        <w:widowControl w:val="0"/>
        <w:shd w:val="clear" w:color="auto" w:fill="auto"/>
        <w:bidi w:val="0"/>
        <w:spacing w:before="0" w:after="0" w:line="318" w:lineRule="exact"/>
        <w:ind w:left="0" w:right="0" w:firstLine="0"/>
        <w:jc w:val="left"/>
      </w:pPr>
      <w:r>
        <w:rPr>
          <w:color w:val="000000"/>
          <w:spacing w:val="0"/>
          <w:w w:val="100"/>
          <w:position w:val="0"/>
        </w:rPr>
        <w:t>章逸，女，</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年出生，中国国籍，无境外永久居留权，国际经济与贸易专业本科学历。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年，担任北京现代乐 手广告有限公司策划事业部总监；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年，担任北京蔼迪垦文化发展有限公司高级项目经理；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年，担 任北京七海达之国际广告有限公司客户总监；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年，担任西藏珠峰冰川水资源开发有限公司品牌管理中心负责人;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年至今历任公司商务及投资发展部副经理、公司副总经理、董事会秘书。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月取得深圳证券交易所颁发的《董事 会秘书资格证书》。</w:t>
      </w:r>
    </w:p>
    <w:p>
      <w:pPr>
        <w:pStyle w:val="Style17"/>
        <w:keepNext w:val="0"/>
        <w:keepLines w:val="0"/>
        <w:widowControl w:val="0"/>
        <w:shd w:val="clear" w:color="auto" w:fill="auto"/>
        <w:bidi w:val="0"/>
        <w:spacing w:before="0" w:after="0" w:line="318" w:lineRule="exact"/>
        <w:ind w:left="0" w:right="0" w:firstLine="0"/>
        <w:jc w:val="left"/>
      </w:pPr>
      <w:r>
        <w:rPr>
          <w:color w:val="000000"/>
          <w:spacing w:val="0"/>
          <w:w w:val="100"/>
          <w:position w:val="0"/>
        </w:rPr>
        <w:t>张雪峰，女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年出生，中国国籍，无境外永久居留权，</w:t>
      </w:r>
      <w:r>
        <w:rPr>
          <w:color w:val="000000"/>
          <w:spacing w:val="0"/>
          <w:w w:val="100"/>
          <w:position w:val="0"/>
          <w:sz w:val="18"/>
          <w:szCs w:val="18"/>
        </w:rPr>
        <w:t>EMBA，</w:t>
      </w:r>
      <w:r>
        <w:rPr>
          <w:color w:val="000000"/>
          <w:spacing w:val="0"/>
          <w:w w:val="100"/>
          <w:position w:val="0"/>
        </w:rPr>
        <w:t>中国注册会计师，</w:t>
      </w:r>
      <w:r>
        <w:rPr>
          <w:rFonts w:ascii="Times New Roman" w:eastAsia="Times New Roman" w:hAnsi="Times New Roman" w:cs="Times New Roman"/>
          <w:color w:val="000000"/>
          <w:spacing w:val="0"/>
          <w:w w:val="100"/>
          <w:position w:val="0"/>
          <w:sz w:val="18"/>
          <w:szCs w:val="18"/>
        </w:rPr>
        <w:t>ACCA</w:t>
      </w:r>
      <w:r>
        <w:rPr>
          <w:color w:val="000000"/>
          <w:spacing w:val="0"/>
          <w:w w:val="100"/>
          <w:position w:val="0"/>
        </w:rPr>
        <w:t>注册会员。</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年，担 任中国银行股份有限公司镇江分行计划财务部产品及资金经理；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年，担任立信会计师事务所（特殊普通合伙） 浙江分所审计经理；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月至今，任杭州云医健康服务有限公司执行董事、总经理；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年至今担任公司财务负责人。 任洪明，男，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年出生，中国国籍，大学本科学历，高级工程师，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年任浙江浙大中控信息技术有限公司建 筑事业部工程师，技术部经理，事业部副总经理。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日在杭州点触科技有限公司工作，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年至今在浙江和仁科技股份有限公司任营销中心总经理。现任浙江和仁科技股份有限公司副总经理。</w:t>
      </w:r>
    </w:p>
    <w:p>
      <w:pPr>
        <w:pStyle w:val="Style17"/>
        <w:keepNext w:val="0"/>
        <w:keepLines w:val="0"/>
        <w:widowControl w:val="0"/>
        <w:shd w:val="clear" w:color="auto" w:fill="auto"/>
        <w:bidi w:val="0"/>
        <w:spacing w:before="0" w:after="500" w:line="312" w:lineRule="exact"/>
        <w:ind w:left="0" w:right="0" w:firstLine="0"/>
        <w:jc w:val="left"/>
      </w:pPr>
      <w:r>
        <w:rPr>
          <w:color w:val="000000"/>
          <w:spacing w:val="0"/>
          <w:w w:val="100"/>
          <w:position w:val="0"/>
        </w:rPr>
        <w:t>孙霆，男，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年出生，中国国籍，无境外永久居留权，外贸经济专业专科学历。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年在浙江浙大网新科技公司 担任销售职务；</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年在上海中电电子系统工程公司担任销售职务；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年在浙江泰源科技有限公司任销 售部总经理；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月至今，任中原和仁医疗科技有限公司董事；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月至今，任和仁（天津）科技有限公司总经理；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年至今在浙江和仁科技股份有限公司任职，目前为公司副总经理。</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杭州磐鸿投资管理合伙企业（有限合伙）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杭州磐源投资管理有限公司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蔡钰如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果麦文化传媒股份有限公司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CFO</w:t>
            </w:r>
            <w:r>
              <w:rPr>
                <w:color w:val="000000"/>
                <w:spacing w:val="0"/>
                <w:w w:val="100"/>
                <w:position w:val="0"/>
              </w:rPr>
              <w:t>及董事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洪伟荣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浙江大学化工机械研究所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浙江铭众生物医用材料与器械研究院院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杭州心琴科技有限公司（曾用名：浙江铭 众健康科技有限公司）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教授，退休返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杭州云骥投资管理有限公司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杭州复贞投资管理有限公司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浙江科技学院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1996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傅烈勇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和仁（天津）科技有限公司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傅烈勇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西安和仁汇达信息科技有限公司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傅烈勇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和仁智慧健康科技有限公司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西安和仁汇达信息科技有限公司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和仁（天津）科技有限公司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中原和仁医疗科技有限公司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杭州云医健康服务有限公司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3</w:t>
      </w:r>
      <w:bookmarkEnd w:id="324"/>
      <w:r>
        <w:rPr>
          <w:color w:val="000000"/>
          <w:spacing w:val="0"/>
          <w:w w:val="100"/>
          <w:position w:val="0"/>
        </w:rPr>
        <w:t>、董事、监事、高级管理人员报酬情况</w:t>
      </w:r>
      <w:bookmarkEnd w:id="322"/>
      <w:bookmarkEnd w:id="323"/>
      <w:bookmarkEnd w:id="325"/>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董事、监事、高级管理人员报酬的决策程序、确定依据、实际支付情况</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决策程序：公司按照《公司章程》及相关规定确定董事、监事和高级管理人员的报酬，公司董事、监事报酬由股东大会确定， 高级管理人员报酬由董事会确定。</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确定依据：公司以地区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行业薪酬水平、工作分工及岗位职责要求等为依据，结合公司经营业绩及个人绩效考核结果等确定 并发放。</w:t>
      </w:r>
    </w:p>
    <w:p>
      <w:pPr>
        <w:pStyle w:val="Style1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实际支付情况：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年度，董事、监事和高级高管理人员税前报酬总额为</w:t>
      </w:r>
      <w:r>
        <w:rPr>
          <w:rFonts w:ascii="Times New Roman" w:eastAsia="Times New Roman" w:hAnsi="Times New Roman" w:cs="Times New Roman"/>
          <w:color w:val="000000"/>
          <w:spacing w:val="0"/>
          <w:w w:val="100"/>
          <w:position w:val="0"/>
          <w:sz w:val="18"/>
          <w:szCs w:val="18"/>
        </w:rPr>
        <w:t>698.4</w:t>
      </w:r>
      <w:r>
        <w:rPr>
          <w:color w:val="000000"/>
          <w:spacing w:val="0"/>
          <w:w w:val="100"/>
          <w:position w:val="0"/>
        </w:rPr>
        <w:t>万元。</w:t>
      </w:r>
    </w:p>
    <w:p>
      <w:pPr>
        <w:pStyle w:val="Style17"/>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戴泽宇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傅烈勇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洪伟荣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蔡钰如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八</w:t>
      </w:r>
      <w:bookmarkEnd w:id="328"/>
      <w:r>
        <w:rPr>
          <w:color w:val="000000"/>
          <w:spacing w:val="0"/>
          <w:w w:val="100"/>
          <w:position w:val="0"/>
        </w:rPr>
        <w:t>、报告期内董事履行职责的情况</w:t>
      </w:r>
      <w:bookmarkEnd w:id="326"/>
      <w:bookmarkEnd w:id="327"/>
      <w:bookmarkEnd w:id="329"/>
    </w:p>
    <w:p>
      <w:pPr>
        <w:pStyle w:val="Style26"/>
        <w:keepNext/>
        <w:keepLines/>
        <w:widowControl w:val="0"/>
        <w:shd w:val="clear" w:color="auto" w:fill="auto"/>
        <w:bidi w:val="0"/>
        <w:spacing w:before="0" w:after="32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、本报告期董事会情况</w:t>
      </w:r>
      <w:bookmarkEnd w:id="330"/>
      <w:bookmarkEnd w:id="331"/>
      <w:bookmarkEnd w:id="333"/>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详见巨潮咨询网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 cninfo .com.cn</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日披露的《董 事会决议公告》(编号： </w:t>
            </w:r>
            <w:r>
              <w:rPr>
                <w:rFonts w:ascii="Times New Roman" w:eastAsia="Times New Roman" w:hAnsi="Times New Roman" w:cs="Times New Roman"/>
                <w:color w:val="000000"/>
                <w:spacing w:val="0"/>
                <w:w w:val="100"/>
                <w:position w:val="0"/>
                <w:sz w:val="18"/>
                <w:szCs w:val="18"/>
              </w:rPr>
              <w:t>2021-007</w:t>
            </w:r>
            <w:r>
              <w:rPr>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详见巨潮咨询网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 cninfo .com.cn</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日披露的《第 三届董事会第十四次会议决 议公告》(编号：</w:t>
            </w:r>
            <w:r>
              <w:rPr>
                <w:rFonts w:ascii="Times New Roman" w:eastAsia="Times New Roman" w:hAnsi="Times New Roman" w:cs="Times New Roman"/>
                <w:color w:val="000000"/>
                <w:spacing w:val="0"/>
                <w:w w:val="100"/>
                <w:position w:val="0"/>
                <w:sz w:val="18"/>
                <w:szCs w:val="18"/>
              </w:rPr>
              <w:t>2021-033</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详见巨潮咨询网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 cninfo .com.cn</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日披露的《董 事会决议公告》(编号： </w:t>
            </w:r>
            <w:r>
              <w:rPr>
                <w:rFonts w:ascii="Times New Roman" w:eastAsia="Times New Roman" w:hAnsi="Times New Roman" w:cs="Times New Roman"/>
                <w:color w:val="000000"/>
                <w:spacing w:val="0"/>
                <w:w w:val="100"/>
                <w:position w:val="0"/>
                <w:sz w:val="18"/>
                <w:szCs w:val="18"/>
              </w:rPr>
              <w:t>2021-042</w:t>
            </w:r>
            <w:r>
              <w:rPr>
                <w:color w:val="000000"/>
                <w:spacing w:val="0"/>
                <w:w w:val="100"/>
                <w:position w:val="0"/>
              </w:rPr>
              <w:t>)</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第三届董事会第十六次会议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详见巨潮咨询网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 cninfo. com. cn</w:t>
            </w:r>
            <w:r>
              <w:rPr>
                <w:color w:val="000000"/>
                <w:spacing w:val="0"/>
                <w:w w:val="100"/>
                <w:position w:val="0"/>
              </w:rPr>
              <w:t>)于</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日披露的《第 三届董事会第十六次会议决 议公告》（编号：</w:t>
            </w:r>
            <w:r>
              <w:rPr>
                <w:rFonts w:ascii="Times New Roman" w:eastAsia="Times New Roman" w:hAnsi="Times New Roman" w:cs="Times New Roman"/>
                <w:color w:val="000000"/>
                <w:spacing w:val="0"/>
                <w:w w:val="100"/>
                <w:position w:val="0"/>
                <w:sz w:val="18"/>
                <w:szCs w:val="18"/>
              </w:rPr>
              <w:t>2021-052</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第三届董事会第十七次会议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详见巨潮咨询网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 cninfo .com.cn</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日披露的《第 三届董事会第十七次会议决 议公告》（编号：</w:t>
            </w:r>
            <w:r>
              <w:rPr>
                <w:rFonts w:ascii="Times New Roman" w:eastAsia="Times New Roman" w:hAnsi="Times New Roman" w:cs="Times New Roman"/>
                <w:color w:val="000000"/>
                <w:spacing w:val="0"/>
                <w:w w:val="100"/>
                <w:position w:val="0"/>
                <w:sz w:val="18"/>
                <w:szCs w:val="18"/>
              </w:rPr>
              <w:t>2021-067</w:t>
            </w:r>
            <w:r>
              <w:rPr>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2</w:t>
      </w:r>
      <w:bookmarkEnd w:id="336"/>
      <w:r>
        <w:rPr>
          <w:color w:val="000000"/>
          <w:spacing w:val="0"/>
          <w:w w:val="100"/>
          <w:position w:val="0"/>
        </w:rPr>
        <w:t>、董事出席董事会及股东大会的情况</w:t>
      </w:r>
      <w:bookmarkEnd w:id="334"/>
      <w:bookmarkEnd w:id="335"/>
      <w:bookmarkEnd w:id="337"/>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戴泽宇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傅烈勇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蔡钰茹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洪伟荣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26"/>
        <w:keepNext/>
        <w:keepLines/>
        <w:widowControl w:val="0"/>
        <w:shd w:val="clear" w:color="auto" w:fill="auto"/>
        <w:tabs>
          <w:tab w:pos="378" w:val="left"/>
        </w:tabs>
        <w:bidi w:val="0"/>
        <w:spacing w:before="0" w:after="38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3</w:t>
      </w:r>
      <w:bookmarkEnd w:id="340"/>
      <w:r>
        <w:rPr>
          <w:color w:val="000000"/>
          <w:spacing w:val="0"/>
          <w:w w:val="100"/>
          <w:position w:val="0"/>
        </w:rPr>
        <w:t>、</w:t>
        <w:tab/>
        <w:t>董事对公司有关事项提出异议的情况</w:t>
      </w:r>
      <w:bookmarkEnd w:id="338"/>
      <w:bookmarkEnd w:id="339"/>
      <w:bookmarkEnd w:id="341"/>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26"/>
        <w:keepNext/>
        <w:keepLines/>
        <w:widowControl w:val="0"/>
        <w:shd w:val="clear" w:color="auto" w:fill="auto"/>
        <w:tabs>
          <w:tab w:pos="378" w:val="left"/>
        </w:tabs>
        <w:bidi w:val="0"/>
        <w:spacing w:before="0" w:after="38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4</w:t>
      </w:r>
      <w:bookmarkEnd w:id="344"/>
      <w:r>
        <w:rPr>
          <w:color w:val="000000"/>
          <w:spacing w:val="0"/>
          <w:w w:val="100"/>
          <w:position w:val="0"/>
        </w:rPr>
        <w:t>、</w:t>
        <w:tab/>
        <w:t>董事履行职责的其他说明</w:t>
      </w:r>
      <w:bookmarkEnd w:id="342"/>
      <w:bookmarkEnd w:id="343"/>
      <w:bookmarkEnd w:id="34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董事对公司有关建议被采纳或未被采纳的说明</w:t>
      </w:r>
    </w:p>
    <w:p>
      <w:pPr>
        <w:pStyle w:val="Style17"/>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388" w:right="1049" w:bottom="1479" w:left="1074" w:header="0" w:footer="3" w:gutter="0"/>
          <w:cols w:space="720"/>
          <w:noEndnote/>
          <w:rtlGutter w:val="0"/>
          <w:docGrid w:linePitch="360"/>
        </w:sectPr>
      </w:pPr>
      <w:r>
        <w:rPr>
          <w:color w:val="000000"/>
          <w:spacing w:val="0"/>
          <w:w w:val="100"/>
          <w:position w:val="0"/>
        </w:rPr>
        <w:t>无</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21"/>
        <w:keepNext/>
        <w:keepLines/>
        <w:framePr w:w="4853" w:h="298" w:wrap="none" w:vAnchor="text" w:hAnchor="page" w:x="1115" w:y="21"/>
        <w:widowControl w:val="0"/>
        <w:shd w:val="clear" w:color="auto" w:fill="auto"/>
        <w:bidi w:val="0"/>
        <w:spacing w:before="0" w:after="0" w:line="240" w:lineRule="auto"/>
        <w:ind w:left="0" w:right="0" w:firstLine="0"/>
        <w:jc w:val="left"/>
      </w:pPr>
      <w:bookmarkStart w:id="346" w:name="bookmark346"/>
      <w:bookmarkStart w:id="347" w:name="bookmark347"/>
      <w:bookmarkStart w:id="348" w:name="bookmark348"/>
      <w:r>
        <w:rPr>
          <w:color w:val="000000"/>
          <w:spacing w:val="0"/>
          <w:w w:val="100"/>
          <w:position w:val="0"/>
        </w:rPr>
        <w:t>九、董事会下设专门委员会在报告期内的情况</w:t>
      </w:r>
      <w:bookmarkEnd w:id="346"/>
      <w:bookmarkEnd w:id="347"/>
      <w:bookmarkEnd w:id="348"/>
    </w:p>
    <w:tbl>
      <w:tblPr>
        <w:tblOverlap w:val="never"/>
        <w:jc w:val="left"/>
        <w:tblLayout w:type="fixed"/>
      </w:tblPr>
      <w:tblGrid>
        <w:gridCol w:w="1205"/>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framePr w:w="4800" w:h="13214" w:wrap="none" w:vAnchor="text" w:hAnchor="page" w:x="1120" w:y="601"/>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framePr w:w="4800" w:h="13214" w:wrap="none" w:vAnchor="text" w:hAnchor="page" w:x="1120" w:y="601"/>
              <w:widowControl w:val="0"/>
              <w:shd w:val="clear" w:color="auto" w:fill="auto"/>
              <w:bidi w:val="0"/>
              <w:spacing w:before="0" w:after="0" w:line="240" w:lineRule="auto"/>
              <w:ind w:left="0" w:right="0" w:firstLine="24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framePr w:w="4800" w:h="13214" w:wrap="none" w:vAnchor="text" w:hAnchor="page" w:x="1120" w:y="601"/>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right w:val="single" w:sz="4"/>
            </w:tcBorders>
            <w:shd w:val="clear" w:color="auto" w:fill="D3D3D3"/>
            <w:vAlign w:val="center"/>
          </w:tcPr>
          <w:p>
            <w:pPr>
              <w:pStyle w:val="Style2"/>
              <w:keepNext w:val="0"/>
              <w:keepLines w:val="0"/>
              <w:framePr w:w="4800" w:h="13214" w:wrap="none" w:vAnchor="text" w:hAnchor="page" w:x="1120" w:y="601"/>
              <w:widowControl w:val="0"/>
              <w:shd w:val="clear" w:color="auto" w:fill="auto"/>
              <w:bidi w:val="0"/>
              <w:spacing w:before="0" w:after="0" w:line="240" w:lineRule="auto"/>
              <w:ind w:left="0" w:right="0" w:firstLine="0"/>
              <w:jc w:val="center"/>
            </w:pPr>
            <w:r>
              <w:rPr>
                <w:color w:val="000000"/>
                <w:spacing w:val="0"/>
                <w:w w:val="100"/>
                <w:position w:val="0"/>
              </w:rPr>
              <w:t>召开日期</w:t>
            </w:r>
          </w:p>
        </w:tc>
      </w:tr>
      <w:tr>
        <w:trPr>
          <w:trHeight w:val="1339" w:hRule="exact"/>
        </w:trPr>
        <w:tc>
          <w:tcPr>
            <w:vMerge w:val="restart"/>
            <w:tcBorders>
              <w:top w:val="single" w:sz="4"/>
              <w:left w:val="single" w:sz="4"/>
            </w:tcBorders>
            <w:shd w:val="clear" w:color="auto" w:fill="FFFFFF"/>
            <w:vAlign w:val="center"/>
          </w:tcPr>
          <w:p>
            <w:pPr>
              <w:pStyle w:val="Style2"/>
              <w:keepNext w:val="0"/>
              <w:keepLines w:val="0"/>
              <w:framePr w:w="4800" w:h="13214" w:wrap="none" w:vAnchor="text" w:hAnchor="page" w:x="1120" w:y="601"/>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framePr w:w="4800" w:h="13214" w:wrap="none" w:vAnchor="text" w:hAnchor="page" w:x="1120" w:y="601"/>
              <w:widowControl w:val="0"/>
              <w:shd w:val="clear" w:color="auto" w:fill="auto"/>
              <w:bidi w:val="0"/>
              <w:spacing w:before="0" w:after="120" w:line="240" w:lineRule="auto"/>
              <w:ind w:left="0" w:right="0" w:firstLine="0"/>
              <w:jc w:val="left"/>
            </w:pPr>
            <w:r>
              <w:rPr>
                <w:color w:val="000000"/>
                <w:spacing w:val="0"/>
                <w:w w:val="100"/>
                <w:position w:val="0"/>
              </w:rPr>
              <w:t>蔡钰茹、洪伟</w:t>
            </w:r>
          </w:p>
          <w:p>
            <w:pPr>
              <w:pStyle w:val="Style2"/>
              <w:keepNext w:val="0"/>
              <w:keepLines w:val="0"/>
              <w:framePr w:w="4800" w:h="13214" w:wrap="none" w:vAnchor="text" w:hAnchor="page" w:x="1120" w:y="601"/>
              <w:widowControl w:val="0"/>
              <w:shd w:val="clear" w:color="auto" w:fill="auto"/>
              <w:bidi w:val="0"/>
              <w:spacing w:before="0" w:after="0" w:line="240" w:lineRule="auto"/>
              <w:ind w:left="0" w:right="0" w:firstLine="0"/>
              <w:jc w:val="left"/>
            </w:pPr>
            <w:r>
              <w:rPr>
                <w:color w:val="000000"/>
                <w:spacing w:val="0"/>
                <w:w w:val="100"/>
                <w:position w:val="0"/>
              </w:rPr>
              <w:t>荣、杨波</w:t>
            </w:r>
          </w:p>
        </w:tc>
        <w:tc>
          <w:tcPr>
            <w:vMerge w:val="restart"/>
            <w:tcBorders>
              <w:top w:val="single" w:sz="4"/>
              <w:left w:val="single" w:sz="4"/>
            </w:tcBorders>
            <w:shd w:val="clear" w:color="auto" w:fill="FFFFFF"/>
            <w:vAlign w:val="center"/>
          </w:tcPr>
          <w:p>
            <w:pPr>
              <w:pStyle w:val="Style2"/>
              <w:keepNext w:val="0"/>
              <w:keepLines w:val="0"/>
              <w:framePr w:w="4800" w:h="13214" w:wrap="none" w:vAnchor="text" w:hAnchor="page" w:x="1120" w:y="60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framePr w:w="4800" w:h="13214" w:wrap="none" w:vAnchor="text" w:hAnchor="page" w:x="1120" w:y="60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framePr w:w="4800" w:h="13214" w:wrap="none" w:vAnchor="text" w:hAnchor="page" w:x="1120" w:y="6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2899" w:hRule="exact"/>
        </w:trPr>
        <w:tc>
          <w:tcPr>
            <w:vMerge/>
            <w:tcBorders>
              <w:left w:val="single" w:sz="4"/>
            </w:tcBorders>
            <w:shd w:val="clear" w:color="auto" w:fill="FFFFFF"/>
            <w:vAlign w:val="center"/>
          </w:tcPr>
          <w:p>
            <w:pPr>
              <w:framePr w:w="4800" w:h="13214" w:wrap="none" w:vAnchor="text" w:hAnchor="page" w:x="1120" w:y="601"/>
            </w:pPr>
          </w:p>
        </w:tc>
        <w:tc>
          <w:tcPr>
            <w:vMerge/>
            <w:tcBorders>
              <w:left w:val="single" w:sz="4"/>
            </w:tcBorders>
            <w:shd w:val="clear" w:color="auto" w:fill="FFFFFF"/>
            <w:vAlign w:val="center"/>
          </w:tcPr>
          <w:p>
            <w:pPr>
              <w:framePr w:w="4800" w:h="13214" w:wrap="none" w:vAnchor="text" w:hAnchor="page" w:x="1120" w:y="601"/>
            </w:pPr>
          </w:p>
        </w:tc>
        <w:tc>
          <w:tcPr>
            <w:vMerge/>
            <w:tcBorders>
              <w:left w:val="single" w:sz="4"/>
            </w:tcBorders>
            <w:shd w:val="clear" w:color="auto" w:fill="FFFFFF"/>
            <w:vAlign w:val="center"/>
          </w:tcPr>
          <w:p>
            <w:pPr>
              <w:framePr w:w="4800" w:h="13214" w:wrap="none" w:vAnchor="text" w:hAnchor="page" w:x="1120" w:y="601"/>
            </w:pPr>
          </w:p>
        </w:tc>
        <w:tc>
          <w:tcPr>
            <w:tcBorders>
              <w:top w:val="single" w:sz="4"/>
              <w:left w:val="single" w:sz="4"/>
              <w:right w:val="single" w:sz="4"/>
            </w:tcBorders>
            <w:shd w:val="clear" w:color="auto" w:fill="FFFFFF"/>
            <w:vAlign w:val="center"/>
          </w:tcPr>
          <w:p>
            <w:pPr>
              <w:pStyle w:val="Style2"/>
              <w:keepNext w:val="0"/>
              <w:keepLines w:val="0"/>
              <w:framePr w:w="4800" w:h="13214" w:wrap="none" w:vAnchor="text" w:hAnchor="page" w:x="1120" w:y="601"/>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1963" w:hRule="exact"/>
        </w:trPr>
        <w:tc>
          <w:tcPr>
            <w:vMerge/>
            <w:tcBorders>
              <w:left w:val="single" w:sz="4"/>
            </w:tcBorders>
            <w:shd w:val="clear" w:color="auto" w:fill="FFFFFF"/>
            <w:vAlign w:val="center"/>
          </w:tcPr>
          <w:p>
            <w:pPr>
              <w:framePr w:w="4800" w:h="13214" w:wrap="none" w:vAnchor="text" w:hAnchor="page" w:x="1120" w:y="601"/>
            </w:pPr>
          </w:p>
        </w:tc>
        <w:tc>
          <w:tcPr>
            <w:vMerge/>
            <w:tcBorders>
              <w:left w:val="single" w:sz="4"/>
            </w:tcBorders>
            <w:shd w:val="clear" w:color="auto" w:fill="FFFFFF"/>
            <w:vAlign w:val="center"/>
          </w:tcPr>
          <w:p>
            <w:pPr>
              <w:framePr w:w="4800" w:h="13214" w:wrap="none" w:vAnchor="text" w:hAnchor="page" w:x="1120" w:y="601"/>
            </w:pPr>
          </w:p>
        </w:tc>
        <w:tc>
          <w:tcPr>
            <w:vMerge/>
            <w:tcBorders>
              <w:left w:val="single" w:sz="4"/>
            </w:tcBorders>
            <w:shd w:val="clear" w:color="auto" w:fill="FFFFFF"/>
            <w:vAlign w:val="center"/>
          </w:tcPr>
          <w:p>
            <w:pPr>
              <w:framePr w:w="4800" w:h="13214" w:wrap="none" w:vAnchor="text" w:hAnchor="page" w:x="1120" w:y="601"/>
            </w:pPr>
          </w:p>
        </w:tc>
        <w:tc>
          <w:tcPr>
            <w:tcBorders>
              <w:top w:val="single" w:sz="4"/>
              <w:left w:val="single" w:sz="4"/>
              <w:right w:val="single" w:sz="4"/>
            </w:tcBorders>
            <w:shd w:val="clear" w:color="auto" w:fill="FFFFFF"/>
            <w:vAlign w:val="center"/>
          </w:tcPr>
          <w:p>
            <w:pPr>
              <w:pStyle w:val="Style2"/>
              <w:keepNext w:val="0"/>
              <w:keepLines w:val="0"/>
              <w:framePr w:w="4800" w:h="13214" w:wrap="none" w:vAnchor="text" w:hAnchor="page" w:x="1120" w:y="60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framePr w:w="4800" w:h="13214" w:wrap="none" w:vAnchor="text" w:hAnchor="page" w:x="1120" w:y="6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1958" w:hRule="exact"/>
        </w:trPr>
        <w:tc>
          <w:tcPr>
            <w:vMerge/>
            <w:tcBorders>
              <w:left w:val="single" w:sz="4"/>
            </w:tcBorders>
            <w:shd w:val="clear" w:color="auto" w:fill="FFFFFF"/>
            <w:vAlign w:val="center"/>
          </w:tcPr>
          <w:p>
            <w:pPr>
              <w:framePr w:w="4800" w:h="13214" w:wrap="none" w:vAnchor="text" w:hAnchor="page" w:x="1120" w:y="601"/>
            </w:pPr>
          </w:p>
        </w:tc>
        <w:tc>
          <w:tcPr>
            <w:vMerge/>
            <w:tcBorders>
              <w:left w:val="single" w:sz="4"/>
            </w:tcBorders>
            <w:shd w:val="clear" w:color="auto" w:fill="FFFFFF"/>
            <w:vAlign w:val="center"/>
          </w:tcPr>
          <w:p>
            <w:pPr>
              <w:framePr w:w="4800" w:h="13214" w:wrap="none" w:vAnchor="text" w:hAnchor="page" w:x="1120" w:y="601"/>
            </w:pPr>
          </w:p>
        </w:tc>
        <w:tc>
          <w:tcPr>
            <w:vMerge/>
            <w:tcBorders>
              <w:left w:val="single" w:sz="4"/>
            </w:tcBorders>
            <w:shd w:val="clear" w:color="auto" w:fill="FFFFFF"/>
            <w:vAlign w:val="center"/>
          </w:tcPr>
          <w:p>
            <w:pPr>
              <w:framePr w:w="4800" w:h="13214" w:wrap="none" w:vAnchor="text" w:hAnchor="page" w:x="1120" w:y="601"/>
            </w:pPr>
          </w:p>
        </w:tc>
        <w:tc>
          <w:tcPr>
            <w:tcBorders>
              <w:top w:val="single" w:sz="4"/>
              <w:left w:val="single" w:sz="4"/>
              <w:right w:val="single" w:sz="4"/>
            </w:tcBorders>
            <w:shd w:val="clear" w:color="auto" w:fill="FFFFFF"/>
            <w:vAlign w:val="center"/>
          </w:tcPr>
          <w:p>
            <w:pPr>
              <w:pStyle w:val="Style2"/>
              <w:keepNext w:val="0"/>
              <w:keepLines w:val="0"/>
              <w:framePr w:w="4800" w:h="13214" w:wrap="none" w:vAnchor="text" w:hAnchor="page" w:x="1120" w:y="60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framePr w:w="4800" w:h="13214" w:wrap="none" w:vAnchor="text" w:hAnchor="page" w:x="1120" w:y="6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1339" w:hRule="exact"/>
        </w:trPr>
        <w:tc>
          <w:tcPr>
            <w:vMerge w:val="restart"/>
            <w:tcBorders>
              <w:top w:val="single" w:sz="4"/>
              <w:left w:val="single" w:sz="4"/>
            </w:tcBorders>
            <w:shd w:val="clear" w:color="auto" w:fill="FFFFFF"/>
            <w:vAlign w:val="center"/>
          </w:tcPr>
          <w:p>
            <w:pPr>
              <w:pStyle w:val="Style2"/>
              <w:keepNext w:val="0"/>
              <w:keepLines w:val="0"/>
              <w:framePr w:w="4800" w:h="13214" w:wrap="none" w:vAnchor="text" w:hAnchor="page" w:x="1120" w:y="601"/>
              <w:widowControl w:val="0"/>
              <w:shd w:val="clear" w:color="auto" w:fill="auto"/>
              <w:bidi w:val="0"/>
              <w:spacing w:before="0" w:after="0" w:line="317" w:lineRule="exact"/>
              <w:ind w:left="0" w:right="0" w:firstLine="0"/>
              <w:jc w:val="left"/>
            </w:pPr>
            <w:r>
              <w:rPr>
                <w:color w:val="000000"/>
                <w:spacing w:val="0"/>
                <w:w w:val="100"/>
                <w:position w:val="0"/>
              </w:rPr>
              <w:t>薪酬与考核委 员会</w:t>
            </w:r>
          </w:p>
        </w:tc>
        <w:tc>
          <w:tcPr>
            <w:vMerge w:val="restart"/>
            <w:tcBorders>
              <w:top w:val="single" w:sz="4"/>
              <w:left w:val="single" w:sz="4"/>
            </w:tcBorders>
            <w:shd w:val="clear" w:color="auto" w:fill="FFFFFF"/>
            <w:vAlign w:val="center"/>
          </w:tcPr>
          <w:p>
            <w:pPr>
              <w:pStyle w:val="Style2"/>
              <w:keepNext w:val="0"/>
              <w:keepLines w:val="0"/>
              <w:framePr w:w="4800" w:h="13214" w:wrap="none" w:vAnchor="text" w:hAnchor="page" w:x="1120" w:y="601"/>
              <w:widowControl w:val="0"/>
              <w:shd w:val="clear" w:color="auto" w:fill="auto"/>
              <w:bidi w:val="0"/>
              <w:spacing w:before="0" w:after="0" w:line="312" w:lineRule="exact"/>
              <w:ind w:left="0" w:right="0" w:firstLine="0"/>
              <w:jc w:val="left"/>
            </w:pPr>
            <w:r>
              <w:rPr>
                <w:color w:val="000000"/>
                <w:spacing w:val="0"/>
                <w:w w:val="100"/>
                <w:position w:val="0"/>
              </w:rPr>
              <w:t>洪伟荣、黄海、 杨一兵</w:t>
            </w:r>
          </w:p>
        </w:tc>
        <w:tc>
          <w:tcPr>
            <w:vMerge w:val="restart"/>
            <w:tcBorders>
              <w:top w:val="single" w:sz="4"/>
              <w:left w:val="single" w:sz="4"/>
            </w:tcBorders>
            <w:shd w:val="clear" w:color="auto" w:fill="FFFFFF"/>
            <w:vAlign w:val="center"/>
          </w:tcPr>
          <w:p>
            <w:pPr>
              <w:pStyle w:val="Style2"/>
              <w:keepNext w:val="0"/>
              <w:keepLines w:val="0"/>
              <w:framePr w:w="4800" w:h="13214" w:wrap="none" w:vAnchor="text" w:hAnchor="page" w:x="1120" w:y="60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framePr w:w="4800" w:h="13214" w:wrap="none" w:vAnchor="text" w:hAnchor="page" w:x="1120" w:y="601"/>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1651" w:hRule="exact"/>
        </w:trPr>
        <w:tc>
          <w:tcPr>
            <w:vMerge/>
            <w:tcBorders>
              <w:left w:val="single" w:sz="4"/>
            </w:tcBorders>
            <w:shd w:val="clear" w:color="auto" w:fill="FFFFFF"/>
            <w:vAlign w:val="center"/>
          </w:tcPr>
          <w:p>
            <w:pPr>
              <w:framePr w:w="4800" w:h="13214" w:wrap="none" w:vAnchor="text" w:hAnchor="page" w:x="1120" w:y="601"/>
            </w:pPr>
          </w:p>
        </w:tc>
        <w:tc>
          <w:tcPr>
            <w:vMerge/>
            <w:tcBorders>
              <w:left w:val="single" w:sz="4"/>
            </w:tcBorders>
            <w:shd w:val="clear" w:color="auto" w:fill="FFFFFF"/>
            <w:vAlign w:val="center"/>
          </w:tcPr>
          <w:p>
            <w:pPr>
              <w:framePr w:w="4800" w:h="13214" w:wrap="none" w:vAnchor="text" w:hAnchor="page" w:x="1120" w:y="601"/>
            </w:pPr>
          </w:p>
        </w:tc>
        <w:tc>
          <w:tcPr>
            <w:vMerge/>
            <w:tcBorders>
              <w:left w:val="single" w:sz="4"/>
            </w:tcBorders>
            <w:shd w:val="clear" w:color="auto" w:fill="FFFFFF"/>
            <w:vAlign w:val="center"/>
          </w:tcPr>
          <w:p>
            <w:pPr>
              <w:framePr w:w="4800" w:h="13214" w:wrap="none" w:vAnchor="text" w:hAnchor="page" w:x="1120" w:y="601"/>
            </w:pPr>
          </w:p>
        </w:tc>
        <w:tc>
          <w:tcPr>
            <w:tcBorders>
              <w:top w:val="single" w:sz="4"/>
              <w:left w:val="single" w:sz="4"/>
              <w:right w:val="single" w:sz="4"/>
            </w:tcBorders>
            <w:shd w:val="clear" w:color="auto" w:fill="FFFFFF"/>
            <w:vAlign w:val="center"/>
          </w:tcPr>
          <w:p>
            <w:pPr>
              <w:pStyle w:val="Style2"/>
              <w:keepNext w:val="0"/>
              <w:keepLines w:val="0"/>
              <w:framePr w:w="4800" w:h="13214" w:wrap="none" w:vAnchor="text" w:hAnchor="page" w:x="1120" w:y="601"/>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1349" w:hRule="exact"/>
        </w:trPr>
        <w:tc>
          <w:tcPr>
            <w:vMerge/>
            <w:tcBorders>
              <w:left w:val="single" w:sz="4"/>
              <w:bottom w:val="single" w:sz="4"/>
            </w:tcBorders>
            <w:shd w:val="clear" w:color="auto" w:fill="FFFFFF"/>
            <w:vAlign w:val="center"/>
          </w:tcPr>
          <w:p>
            <w:pPr>
              <w:framePr w:w="4800" w:h="13214" w:wrap="none" w:vAnchor="text" w:hAnchor="page" w:x="1120" w:y="601"/>
            </w:pPr>
          </w:p>
        </w:tc>
        <w:tc>
          <w:tcPr>
            <w:vMerge/>
            <w:tcBorders>
              <w:left w:val="single" w:sz="4"/>
              <w:bottom w:val="single" w:sz="4"/>
            </w:tcBorders>
            <w:shd w:val="clear" w:color="auto" w:fill="FFFFFF"/>
            <w:vAlign w:val="center"/>
          </w:tcPr>
          <w:p>
            <w:pPr>
              <w:framePr w:w="4800" w:h="13214" w:wrap="none" w:vAnchor="text" w:hAnchor="page" w:x="1120" w:y="601"/>
            </w:pPr>
          </w:p>
        </w:tc>
        <w:tc>
          <w:tcPr>
            <w:vMerge/>
            <w:tcBorders>
              <w:left w:val="single" w:sz="4"/>
              <w:bottom w:val="single" w:sz="4"/>
            </w:tcBorders>
            <w:shd w:val="clear" w:color="auto" w:fill="FFFFFF"/>
            <w:vAlign w:val="center"/>
          </w:tcPr>
          <w:p>
            <w:pPr>
              <w:framePr w:w="4800" w:h="13214" w:wrap="none" w:vAnchor="text" w:hAnchor="page" w:x="1120" w:y="601"/>
            </w:pPr>
          </w:p>
        </w:tc>
        <w:tc>
          <w:tcPr>
            <w:tcBorders>
              <w:top w:val="single" w:sz="4"/>
              <w:left w:val="single" w:sz="4"/>
              <w:bottom w:val="single" w:sz="4"/>
              <w:right w:val="single" w:sz="4"/>
            </w:tcBorders>
            <w:shd w:val="clear" w:color="auto" w:fill="FFFFFF"/>
            <w:vAlign w:val="center"/>
          </w:tcPr>
          <w:p>
            <w:pPr>
              <w:pStyle w:val="Style2"/>
              <w:keepNext w:val="0"/>
              <w:keepLines w:val="0"/>
              <w:framePr w:w="4800" w:h="13214" w:wrap="none" w:vAnchor="text" w:hAnchor="page" w:x="1120" w:y="60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framePr w:w="4800" w:h="13214" w:wrap="none" w:vAnchor="text" w:hAnchor="page" w:x="1120" w:y="6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bl>
    <w:p>
      <w:pPr>
        <w:framePr w:w="4800" w:h="13214" w:wrap="none" w:vAnchor="text" w:hAnchor="page" w:x="1120" w:y="601"/>
        <w:widowControl w:val="0"/>
        <w:spacing w:line="1" w:lineRule="exact"/>
      </w:pPr>
    </w:p>
    <w:tbl>
      <w:tblPr>
        <w:tblOverlap w:val="never"/>
        <w:jc w:val="left"/>
        <w:tblLayout w:type="fixed"/>
      </w:tblPr>
      <w:tblGrid>
        <w:gridCol w:w="121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framePr w:w="4805" w:h="13214" w:wrap="none" w:vAnchor="text" w:hAnchor="page" w:x="5901" w:y="601"/>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framePr w:w="4805" w:h="13214" w:wrap="none" w:vAnchor="text" w:hAnchor="page" w:x="5901" w:y="601"/>
              <w:widowControl w:val="0"/>
              <w:shd w:val="clear" w:color="auto" w:fill="auto"/>
              <w:bidi w:val="0"/>
              <w:spacing w:before="0" w:after="0" w:line="317" w:lineRule="exact"/>
              <w:ind w:left="240" w:right="0" w:hanging="240"/>
              <w:jc w:val="both"/>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framePr w:w="4805" w:h="13214" w:wrap="none" w:vAnchor="text" w:hAnchor="page" w:x="5901" w:y="601"/>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framePr w:w="4805" w:h="13214" w:wrap="none" w:vAnchor="text" w:hAnchor="page" w:x="5901" w:y="601"/>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1339" w:hRule="exact"/>
        </w:trPr>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100" w:line="240" w:lineRule="auto"/>
              <w:ind w:left="0" w:right="0" w:firstLine="0"/>
              <w:jc w:val="left"/>
            </w:pPr>
            <w:r>
              <w:rPr>
                <w:color w:val="000000"/>
                <w:spacing w:val="0"/>
                <w:w w:val="100"/>
                <w:position w:val="0"/>
              </w:rPr>
              <w:t>主要对年度审</w:t>
            </w:r>
          </w:p>
          <w:p>
            <w:pPr>
              <w:pStyle w:val="Style2"/>
              <w:keepNext w:val="0"/>
              <w:keepLines w:val="0"/>
              <w:framePr w:w="4805" w:h="13214" w:wrap="none" w:vAnchor="text" w:hAnchor="page" w:x="5901" w:y="601"/>
              <w:widowControl w:val="0"/>
              <w:shd w:val="clear" w:color="auto" w:fill="auto"/>
              <w:bidi w:val="0"/>
              <w:spacing w:before="0" w:after="100" w:line="240" w:lineRule="auto"/>
              <w:ind w:left="0" w:right="0" w:firstLine="0"/>
              <w:jc w:val="left"/>
            </w:pPr>
            <w:r>
              <w:rPr>
                <w:color w:val="000000"/>
                <w:spacing w:val="0"/>
                <w:w w:val="100"/>
                <w:position w:val="0"/>
              </w:rPr>
              <w:t>计安排进行了</w:t>
            </w:r>
          </w:p>
          <w:p>
            <w:pPr>
              <w:pStyle w:val="Style2"/>
              <w:keepNext w:val="0"/>
              <w:keepLines w:val="0"/>
              <w:framePr w:w="4805" w:h="13214" w:wrap="none" w:vAnchor="text" w:hAnchor="page" w:x="5901" w:y="601"/>
              <w:widowControl w:val="0"/>
              <w:shd w:val="clear" w:color="auto" w:fill="auto"/>
              <w:bidi w:val="0"/>
              <w:spacing w:before="0" w:after="100" w:line="240" w:lineRule="auto"/>
              <w:ind w:left="0" w:right="0" w:firstLine="0"/>
              <w:jc w:val="left"/>
            </w:pPr>
            <w:r>
              <w:rPr>
                <w:color w:val="000000"/>
                <w:spacing w:val="0"/>
                <w:w w:val="100"/>
                <w:position w:val="0"/>
              </w:rPr>
              <w:t>讨论审阅</w:t>
            </w:r>
          </w:p>
        </w:tc>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310" w:lineRule="exact"/>
              <w:ind w:left="0" w:right="0" w:firstLine="0"/>
              <w:jc w:val="both"/>
            </w:pPr>
            <w:r>
              <w:rPr>
                <w:color w:val="000000"/>
                <w:spacing w:val="0"/>
                <w:w w:val="100"/>
                <w:position w:val="0"/>
              </w:rPr>
              <w:t>各位委员对议 案内容均发表 了同意意见，</w:t>
            </w:r>
          </w:p>
          <w:p>
            <w:pPr>
              <w:pStyle w:val="Style2"/>
              <w:keepNext w:val="0"/>
              <w:keepLines w:val="0"/>
              <w:framePr w:w="4805" w:h="13214" w:wrap="none" w:vAnchor="text" w:hAnchor="page" w:x="5901" w:y="601"/>
              <w:widowControl w:val="0"/>
              <w:shd w:val="clear" w:color="auto" w:fill="auto"/>
              <w:bidi w:val="0"/>
              <w:spacing w:before="0" w:after="0" w:line="310" w:lineRule="exact"/>
              <w:ind w:left="0" w:right="0" w:firstLine="0"/>
              <w:jc w:val="both"/>
            </w:pPr>
            <w:r>
              <w:rPr>
                <w:color w:val="000000"/>
                <w:spacing w:val="0"/>
                <w:w w:val="100"/>
                <w:position w:val="0"/>
              </w:rPr>
              <w:t>无其他意见</w:t>
            </w:r>
          </w:p>
        </w:tc>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99" w:hRule="exact"/>
        </w:trPr>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313" w:lineRule="exact"/>
              <w:ind w:left="0" w:right="0" w:firstLine="0"/>
              <w:jc w:val="left"/>
            </w:pPr>
            <w:r>
              <w:rPr>
                <w:color w:val="000000"/>
                <w:spacing w:val="0"/>
                <w:w w:val="100"/>
                <w:position w:val="0"/>
              </w:rPr>
              <w:t>主要对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年度报告、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 报告、内部控 制自我评价报 告以及报告期 内内审部门相 关的计划总结 进行了审议。</w:t>
            </w:r>
          </w:p>
        </w:tc>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310" w:lineRule="exact"/>
              <w:ind w:left="0" w:right="0" w:firstLine="0"/>
              <w:jc w:val="both"/>
            </w:pPr>
            <w:r>
              <w:rPr>
                <w:color w:val="000000"/>
                <w:spacing w:val="0"/>
                <w:w w:val="100"/>
                <w:position w:val="0"/>
              </w:rPr>
              <w:t>各位委员对议 案内容均发表 了同意意见，</w:t>
            </w:r>
          </w:p>
          <w:p>
            <w:pPr>
              <w:pStyle w:val="Style2"/>
              <w:keepNext w:val="0"/>
              <w:keepLines w:val="0"/>
              <w:framePr w:w="4805" w:h="13214" w:wrap="none" w:vAnchor="text" w:hAnchor="page" w:x="5901" w:y="601"/>
              <w:widowControl w:val="0"/>
              <w:shd w:val="clear" w:color="auto" w:fill="auto"/>
              <w:bidi w:val="0"/>
              <w:spacing w:before="0" w:after="0" w:line="310" w:lineRule="exact"/>
              <w:ind w:left="0" w:right="0" w:firstLine="0"/>
              <w:jc w:val="both"/>
            </w:pPr>
            <w:r>
              <w:rPr>
                <w:color w:val="000000"/>
                <w:spacing w:val="0"/>
                <w:w w:val="100"/>
                <w:position w:val="0"/>
              </w:rPr>
              <w:t>无其他意见</w:t>
            </w:r>
          </w:p>
        </w:tc>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314" w:lineRule="exact"/>
              <w:ind w:left="0" w:right="0" w:firstLine="0"/>
              <w:jc w:val="left"/>
            </w:pPr>
            <w:r>
              <w:rPr>
                <w:color w:val="000000"/>
                <w:spacing w:val="0"/>
                <w:w w:val="100"/>
                <w:position w:val="0"/>
              </w:rPr>
              <w:t>主要对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半年报以及报 告期内内审部 门相关的计划</w:t>
            </w:r>
          </w:p>
          <w:p>
            <w:pPr>
              <w:pStyle w:val="Style2"/>
              <w:keepNext w:val="0"/>
              <w:keepLines w:val="0"/>
              <w:framePr w:w="4805" w:h="13214" w:wrap="none" w:vAnchor="text" w:hAnchor="page" w:x="5901" w:y="601"/>
              <w:widowControl w:val="0"/>
              <w:shd w:val="clear" w:color="auto" w:fill="auto"/>
              <w:bidi w:val="0"/>
              <w:spacing w:before="0" w:after="0" w:line="314" w:lineRule="exact"/>
              <w:ind w:left="0" w:right="0" w:firstLine="0"/>
              <w:jc w:val="left"/>
            </w:pPr>
            <w:r>
              <w:rPr>
                <w:color w:val="000000"/>
                <w:spacing w:val="0"/>
                <w:w w:val="100"/>
                <w:position w:val="0"/>
              </w:rPr>
              <w:t>总结进行了审 议。</w:t>
            </w:r>
          </w:p>
        </w:tc>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310" w:lineRule="exact"/>
              <w:ind w:left="0" w:right="0" w:firstLine="0"/>
              <w:jc w:val="both"/>
            </w:pPr>
            <w:r>
              <w:rPr>
                <w:color w:val="000000"/>
                <w:spacing w:val="0"/>
                <w:w w:val="100"/>
                <w:position w:val="0"/>
              </w:rPr>
              <w:t>各位委员对议 案内容均发表 了同意意见，</w:t>
            </w:r>
          </w:p>
          <w:p>
            <w:pPr>
              <w:pStyle w:val="Style2"/>
              <w:keepNext w:val="0"/>
              <w:keepLines w:val="0"/>
              <w:framePr w:w="4805" w:h="13214" w:wrap="none" w:vAnchor="text" w:hAnchor="page" w:x="5901" w:y="601"/>
              <w:widowControl w:val="0"/>
              <w:shd w:val="clear" w:color="auto" w:fill="auto"/>
              <w:bidi w:val="0"/>
              <w:spacing w:before="0" w:after="0" w:line="310" w:lineRule="exact"/>
              <w:ind w:left="0" w:right="0" w:firstLine="0"/>
              <w:jc w:val="both"/>
            </w:pPr>
            <w:r>
              <w:rPr>
                <w:color w:val="000000"/>
                <w:spacing w:val="0"/>
                <w:w w:val="100"/>
                <w:position w:val="0"/>
              </w:rPr>
              <w:t>无其他意见</w:t>
            </w:r>
          </w:p>
        </w:tc>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58" w:hRule="exact"/>
        </w:trPr>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315" w:lineRule="exact"/>
              <w:ind w:left="0" w:right="0" w:firstLine="0"/>
              <w:jc w:val="left"/>
            </w:pPr>
            <w:r>
              <w:rPr>
                <w:color w:val="000000"/>
                <w:spacing w:val="0"/>
                <w:w w:val="100"/>
                <w:position w:val="0"/>
              </w:rPr>
              <w:t>主要对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三季度报告记 以及报告期内 内审部门相关 的计划总结进 行了审议。</w:t>
            </w:r>
          </w:p>
        </w:tc>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310" w:lineRule="exact"/>
              <w:ind w:left="0" w:right="0" w:firstLine="0"/>
              <w:jc w:val="both"/>
            </w:pPr>
            <w:r>
              <w:rPr>
                <w:color w:val="000000"/>
                <w:spacing w:val="0"/>
                <w:w w:val="100"/>
                <w:position w:val="0"/>
              </w:rPr>
              <w:t>各位委员对议 案内容均发表 了同意意见，</w:t>
            </w:r>
          </w:p>
          <w:p>
            <w:pPr>
              <w:pStyle w:val="Style2"/>
              <w:keepNext w:val="0"/>
              <w:keepLines w:val="0"/>
              <w:framePr w:w="4805" w:h="13214" w:wrap="none" w:vAnchor="text" w:hAnchor="page" w:x="5901" w:y="601"/>
              <w:widowControl w:val="0"/>
              <w:shd w:val="clear" w:color="auto" w:fill="auto"/>
              <w:bidi w:val="0"/>
              <w:spacing w:before="0" w:after="0" w:line="310" w:lineRule="exact"/>
              <w:ind w:left="0" w:right="0" w:firstLine="0"/>
              <w:jc w:val="both"/>
            </w:pPr>
            <w:r>
              <w:rPr>
                <w:color w:val="000000"/>
                <w:spacing w:val="0"/>
                <w:w w:val="100"/>
                <w:position w:val="0"/>
              </w:rPr>
              <w:t>无其他意见</w:t>
            </w:r>
          </w:p>
        </w:tc>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312" w:lineRule="exact"/>
              <w:ind w:left="0" w:right="0" w:firstLine="0"/>
              <w:jc w:val="left"/>
            </w:pPr>
            <w:r>
              <w:rPr>
                <w:color w:val="000000"/>
                <w:spacing w:val="0"/>
                <w:w w:val="100"/>
                <w:position w:val="0"/>
              </w:rPr>
              <w:t>主要对董监高 的年度薪酬发 放情况进行了 讨论审阅。</w:t>
            </w:r>
          </w:p>
        </w:tc>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310" w:lineRule="exact"/>
              <w:ind w:left="0" w:right="0" w:firstLine="0"/>
              <w:jc w:val="both"/>
            </w:pPr>
            <w:r>
              <w:rPr>
                <w:color w:val="000000"/>
                <w:spacing w:val="0"/>
                <w:w w:val="100"/>
                <w:position w:val="0"/>
              </w:rPr>
              <w:t>各位委员对议 案内容均发表 了同意意见，</w:t>
            </w:r>
          </w:p>
          <w:p>
            <w:pPr>
              <w:pStyle w:val="Style2"/>
              <w:keepNext w:val="0"/>
              <w:keepLines w:val="0"/>
              <w:framePr w:w="4805" w:h="13214" w:wrap="none" w:vAnchor="text" w:hAnchor="page" w:x="5901" w:y="601"/>
              <w:widowControl w:val="0"/>
              <w:shd w:val="clear" w:color="auto" w:fill="auto"/>
              <w:bidi w:val="0"/>
              <w:spacing w:before="0" w:after="0" w:line="310" w:lineRule="exact"/>
              <w:ind w:left="0" w:right="0" w:firstLine="0"/>
              <w:jc w:val="both"/>
            </w:pPr>
            <w:r>
              <w:rPr>
                <w:color w:val="000000"/>
                <w:spacing w:val="0"/>
                <w:w w:val="100"/>
                <w:position w:val="0"/>
              </w:rPr>
              <w:t>无其他意见</w:t>
            </w:r>
          </w:p>
        </w:tc>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311" w:lineRule="exact"/>
              <w:ind w:left="0" w:right="0" w:firstLine="0"/>
              <w:jc w:val="left"/>
            </w:pPr>
            <w:r>
              <w:rPr>
                <w:color w:val="000000"/>
                <w:spacing w:val="0"/>
                <w:w w:val="100"/>
                <w:position w:val="0"/>
              </w:rPr>
              <w:t>主要对限制性 股票的可解锁 事项及解锁名 单进行了审 核。</w:t>
            </w:r>
          </w:p>
        </w:tc>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310" w:lineRule="exact"/>
              <w:ind w:left="0" w:right="0" w:firstLine="0"/>
              <w:jc w:val="both"/>
            </w:pPr>
            <w:r>
              <w:rPr>
                <w:color w:val="000000"/>
                <w:spacing w:val="0"/>
                <w:w w:val="100"/>
                <w:position w:val="0"/>
              </w:rPr>
              <w:t>各位委员对议 案内容均发表 了同意意见，</w:t>
            </w:r>
          </w:p>
          <w:p>
            <w:pPr>
              <w:pStyle w:val="Style2"/>
              <w:keepNext w:val="0"/>
              <w:keepLines w:val="0"/>
              <w:framePr w:w="4805" w:h="13214" w:wrap="none" w:vAnchor="text" w:hAnchor="page" w:x="5901" w:y="601"/>
              <w:widowControl w:val="0"/>
              <w:shd w:val="clear" w:color="auto" w:fill="auto"/>
              <w:bidi w:val="0"/>
              <w:spacing w:before="0" w:after="0" w:line="310" w:lineRule="exact"/>
              <w:ind w:left="0" w:right="0" w:firstLine="0"/>
              <w:jc w:val="both"/>
            </w:pPr>
            <w:r>
              <w:rPr>
                <w:color w:val="000000"/>
                <w:spacing w:val="0"/>
                <w:w w:val="100"/>
                <w:position w:val="0"/>
              </w:rPr>
              <w:t>无其他意见</w:t>
            </w:r>
          </w:p>
        </w:tc>
        <w:tc>
          <w:tcPr>
            <w:tcBorders>
              <w:top w:val="single" w:sz="4"/>
              <w:lef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120" w:line="240" w:lineRule="auto"/>
              <w:ind w:left="0" w:right="0" w:firstLine="0"/>
              <w:jc w:val="left"/>
            </w:pPr>
            <w:r>
              <w:rPr>
                <w:color w:val="000000"/>
                <w:spacing w:val="0"/>
                <w:w w:val="100"/>
                <w:position w:val="0"/>
              </w:rPr>
              <w:t>主要对回购注</w:t>
            </w:r>
          </w:p>
          <w:p>
            <w:pPr>
              <w:pStyle w:val="Style2"/>
              <w:keepNext w:val="0"/>
              <w:keepLines w:val="0"/>
              <w:framePr w:w="4805" w:h="13214" w:wrap="none" w:vAnchor="text" w:hAnchor="page" w:x="5901" w:y="601"/>
              <w:widowControl w:val="0"/>
              <w:shd w:val="clear" w:color="auto" w:fill="auto"/>
              <w:bidi w:val="0"/>
              <w:spacing w:before="0" w:after="120" w:line="240" w:lineRule="auto"/>
              <w:ind w:left="0" w:right="0" w:firstLine="0"/>
              <w:jc w:val="left"/>
            </w:pPr>
            <w:r>
              <w:rPr>
                <w:color w:val="000000"/>
                <w:spacing w:val="0"/>
                <w:w w:val="100"/>
                <w:position w:val="0"/>
              </w:rPr>
              <w:t>销不符合激励</w:t>
            </w:r>
          </w:p>
          <w:p>
            <w:pPr>
              <w:pStyle w:val="Style2"/>
              <w:keepNext w:val="0"/>
              <w:keepLines w:val="0"/>
              <w:framePr w:w="4805" w:h="13214" w:wrap="none" w:vAnchor="text" w:hAnchor="page" w:x="5901" w:y="601"/>
              <w:widowControl w:val="0"/>
              <w:shd w:val="clear" w:color="auto" w:fill="auto"/>
              <w:bidi w:val="0"/>
              <w:spacing w:before="0" w:after="120" w:line="240" w:lineRule="auto"/>
              <w:ind w:left="0" w:right="0" w:firstLine="0"/>
              <w:jc w:val="left"/>
            </w:pPr>
            <w:r>
              <w:rPr>
                <w:color w:val="000000"/>
                <w:spacing w:val="0"/>
                <w:w w:val="100"/>
                <w:position w:val="0"/>
              </w:rPr>
              <w:t>条件的激励对</w:t>
            </w:r>
          </w:p>
          <w:p>
            <w:pPr>
              <w:pStyle w:val="Style2"/>
              <w:keepNext w:val="0"/>
              <w:keepLines w:val="0"/>
              <w:framePr w:w="4805" w:h="13214" w:wrap="none" w:vAnchor="text" w:hAnchor="page" w:x="5901" w:y="601"/>
              <w:widowControl w:val="0"/>
              <w:shd w:val="clear" w:color="auto" w:fill="auto"/>
              <w:bidi w:val="0"/>
              <w:spacing w:before="0" w:after="120" w:line="240" w:lineRule="auto"/>
              <w:ind w:left="0" w:right="0" w:firstLine="0"/>
              <w:jc w:val="left"/>
            </w:pPr>
            <w:r>
              <w:rPr>
                <w:color w:val="000000"/>
                <w:spacing w:val="0"/>
                <w:w w:val="100"/>
                <w:position w:val="0"/>
              </w:rPr>
              <w:t>象所持有的的</w:t>
            </w:r>
          </w:p>
        </w:tc>
        <w:tc>
          <w:tcPr>
            <w:tcBorders>
              <w:top w:val="single" w:sz="4"/>
              <w:left w:val="single" w:sz="4"/>
              <w:bottom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310" w:lineRule="exact"/>
              <w:ind w:left="0" w:right="0" w:firstLine="0"/>
              <w:jc w:val="both"/>
            </w:pPr>
            <w:r>
              <w:rPr>
                <w:color w:val="000000"/>
                <w:spacing w:val="0"/>
                <w:w w:val="100"/>
                <w:position w:val="0"/>
              </w:rPr>
              <w:t>各位委员对议 案内容均发表 了同意意见，</w:t>
            </w:r>
          </w:p>
          <w:p>
            <w:pPr>
              <w:pStyle w:val="Style2"/>
              <w:keepNext w:val="0"/>
              <w:keepLines w:val="0"/>
              <w:framePr w:w="4805" w:h="13214" w:wrap="none" w:vAnchor="text" w:hAnchor="page" w:x="5901" w:y="601"/>
              <w:widowControl w:val="0"/>
              <w:shd w:val="clear" w:color="auto" w:fill="auto"/>
              <w:bidi w:val="0"/>
              <w:spacing w:before="0" w:after="0" w:line="310" w:lineRule="exact"/>
              <w:ind w:left="0" w:right="0" w:firstLine="0"/>
              <w:jc w:val="both"/>
            </w:pPr>
            <w:r>
              <w:rPr>
                <w:color w:val="000000"/>
                <w:spacing w:val="0"/>
                <w:w w:val="100"/>
                <w:position w:val="0"/>
              </w:rPr>
              <w:t>无其他意见</w:t>
            </w:r>
          </w:p>
        </w:tc>
        <w:tc>
          <w:tcPr>
            <w:tcBorders>
              <w:top w:val="single" w:sz="4"/>
              <w:left w:val="single" w:sz="4"/>
              <w:bottom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framePr w:w="4805" w:h="13214" w:wrap="none" w:vAnchor="text" w:hAnchor="page" w:x="5901" w:y="601"/>
              <w:widowControl w:val="0"/>
              <w:shd w:val="clear" w:color="auto" w:fill="auto"/>
              <w:bidi w:val="0"/>
              <w:spacing w:before="0" w:after="0" w:line="240" w:lineRule="auto"/>
              <w:ind w:left="0" w:right="0" w:firstLine="0"/>
              <w:jc w:val="left"/>
            </w:pPr>
            <w:r>
              <w:rPr>
                <w:color w:val="000000"/>
                <w:spacing w:val="0"/>
                <w:w w:val="100"/>
                <w:position w:val="0"/>
              </w:rPr>
              <w:t>无</w:t>
            </w:r>
          </w:p>
        </w:tc>
      </w:tr>
    </w:tbl>
    <w:p>
      <w:pPr>
        <w:framePr w:w="4805" w:h="13214" w:wrap="none" w:vAnchor="text" w:hAnchor="page" w:x="5901" w:y="60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3"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tbl>
      <w:tblPr>
        <w:tblOverlap w:val="never"/>
        <w:jc w:val="left"/>
        <w:tblLayout w:type="fixed"/>
      </w:tblPr>
      <w:tblGrid>
        <w:gridCol w:w="1205"/>
        <w:gridCol w:w="1195"/>
        <w:gridCol w:w="1195"/>
        <w:gridCol w:w="1195"/>
        <w:gridCol w:w="1200"/>
        <w:gridCol w:w="1195"/>
        <w:gridCol w:w="1195"/>
        <w:gridCol w:w="1205"/>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未解锁限制性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股票事项进行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了讨论审核。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黄海、蔡钰茹、 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主要对总经理</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候选人的任职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资格进行了审 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各位委员对议 案内容均发表 了同意意见，</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无其他意见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杨一兵、洪伟 荣、傅烈勇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主要对年度经 营情况进行了 讨论审阅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各位委员对议 案内容均发表 了同意意见，</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无其他意见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349" w:name="bookmark349"/>
      <w:bookmarkStart w:id="350" w:name="bookmark350"/>
      <w:bookmarkStart w:id="351" w:name="bookmark351"/>
      <w:r>
        <w:rPr>
          <w:color w:val="000000"/>
          <w:spacing w:val="0"/>
          <w:w w:val="100"/>
          <w:position w:val="0"/>
        </w:rPr>
        <w:t>十、监事会工作情况</w:t>
      </w:r>
      <w:bookmarkEnd w:id="349"/>
      <w:bookmarkEnd w:id="350"/>
      <w:bookmarkEnd w:id="351"/>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1"/>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r>
        <w:rPr>
          <w:color w:val="000000"/>
          <w:spacing w:val="0"/>
          <w:w w:val="100"/>
          <w:position w:val="0"/>
        </w:rPr>
        <w:t>十一、公司员工情况</w:t>
      </w:r>
      <w:bookmarkEnd w:id="352"/>
      <w:bookmarkEnd w:id="353"/>
      <w:bookmarkEnd w:id="354"/>
    </w:p>
    <w:p>
      <w:pPr>
        <w:pStyle w:val="Style26"/>
        <w:keepNext/>
        <w:keepLines/>
        <w:widowControl w:val="0"/>
        <w:shd w:val="clear" w:color="auto" w:fill="auto"/>
        <w:bidi w:val="0"/>
        <w:spacing w:before="0" w:after="32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、员工数量、专业构成及教育程度</w:t>
      </w:r>
      <w:bookmarkEnd w:id="355"/>
      <w:bookmarkEnd w:id="356"/>
      <w:bookmarkEnd w:id="358"/>
    </w:p>
    <w:tbl>
      <w:tblPr>
        <w:tblOverlap w:val="never"/>
        <w:jc w:val="left"/>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819</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582</w:t>
            </w:r>
          </w:p>
        </w:tc>
      </w:tr>
    </w:tbl>
    <w:p>
      <w:pPr>
        <w:widowControl w:val="0"/>
        <w:spacing w:line="1" w:lineRule="exact"/>
      </w:pPr>
    </w:p>
    <w:tbl>
      <w:tblPr>
        <w:tblOverlap w:val="never"/>
        <w:jc w:val="left"/>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both"/>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2</w:t>
      </w:r>
      <w:bookmarkEnd w:id="361"/>
      <w:r>
        <w:rPr>
          <w:color w:val="000000"/>
          <w:spacing w:val="0"/>
          <w:w w:val="100"/>
          <w:position w:val="0"/>
        </w:rPr>
        <w:t>、薪酬政策</w:t>
      </w:r>
      <w:bookmarkEnd w:id="359"/>
      <w:bookmarkEnd w:id="360"/>
      <w:bookmarkEnd w:id="362"/>
    </w:p>
    <w:p>
      <w:pPr>
        <w:pStyle w:val="Style17"/>
        <w:keepNext w:val="0"/>
        <w:keepLines w:val="0"/>
        <w:widowControl w:val="0"/>
        <w:shd w:val="clear" w:color="auto" w:fill="auto"/>
        <w:tabs>
          <w:tab w:pos="334" w:val="left"/>
        </w:tabs>
        <w:bidi w:val="0"/>
        <w:spacing w:before="0" w:after="100" w:line="240" w:lineRule="auto"/>
        <w:ind w:left="0" w:right="0" w:firstLine="0"/>
        <w:jc w:val="both"/>
      </w:pPr>
      <w:bookmarkStart w:id="363" w:name="bookmark363"/>
      <w:r>
        <w:rPr>
          <w:rFonts w:ascii="Times New Roman" w:eastAsia="Times New Roman" w:hAnsi="Times New Roman" w:cs="Times New Roman"/>
          <w:color w:val="000000"/>
          <w:spacing w:val="0"/>
          <w:w w:val="100"/>
          <w:position w:val="0"/>
          <w:sz w:val="18"/>
          <w:szCs w:val="18"/>
        </w:rPr>
        <w:t>1</w:t>
      </w:r>
      <w:bookmarkEnd w:id="363"/>
      <w:r>
        <w:rPr>
          <w:color w:val="000000"/>
          <w:spacing w:val="0"/>
          <w:w w:val="100"/>
          <w:position w:val="0"/>
        </w:rPr>
        <w:t>、</w:t>
        <w:tab/>
        <w:t>竞争力与公平性相结合。</w:t>
      </w:r>
    </w:p>
    <w:p>
      <w:pPr>
        <w:pStyle w:val="Style17"/>
        <w:keepNext w:val="0"/>
        <w:keepLines w:val="0"/>
        <w:widowControl w:val="0"/>
        <w:shd w:val="clear" w:color="auto" w:fill="auto"/>
        <w:bidi w:val="0"/>
        <w:spacing w:before="0" w:after="140" w:line="240" w:lineRule="auto"/>
        <w:ind w:left="0" w:right="0" w:firstLine="300"/>
        <w:jc w:val="both"/>
      </w:pPr>
      <w:r>
        <w:rPr>
          <w:color w:val="000000"/>
          <w:spacing w:val="0"/>
          <w:w w:val="100"/>
          <w:position w:val="0"/>
        </w:rPr>
        <w:t>公司薪酬水平保持适当的市场竞争力，并通过薪酬管理保持薪酬状况的对外、对内、对个人公平。</w:t>
      </w:r>
    </w:p>
    <w:p>
      <w:pPr>
        <w:pStyle w:val="Style17"/>
        <w:keepNext w:val="0"/>
        <w:keepLines w:val="0"/>
        <w:widowControl w:val="0"/>
        <w:shd w:val="clear" w:color="auto" w:fill="auto"/>
        <w:tabs>
          <w:tab w:pos="354" w:val="left"/>
        </w:tabs>
        <w:bidi w:val="0"/>
        <w:spacing w:before="0" w:after="140" w:line="240" w:lineRule="auto"/>
        <w:ind w:left="0" w:right="0" w:firstLine="0"/>
        <w:jc w:val="both"/>
      </w:pPr>
      <w:bookmarkStart w:id="364" w:name="bookmark364"/>
      <w:r>
        <w:rPr>
          <w:rFonts w:ascii="Times New Roman" w:eastAsia="Times New Roman" w:hAnsi="Times New Roman" w:cs="Times New Roman"/>
          <w:color w:val="000000"/>
          <w:spacing w:val="0"/>
          <w:w w:val="100"/>
          <w:position w:val="0"/>
          <w:sz w:val="18"/>
          <w:szCs w:val="18"/>
        </w:rPr>
        <w:t>2</w:t>
      </w:r>
      <w:bookmarkEnd w:id="364"/>
      <w:r>
        <w:rPr>
          <w:color w:val="000000"/>
          <w:spacing w:val="0"/>
          <w:w w:val="100"/>
          <w:position w:val="0"/>
        </w:rPr>
        <w:t>、</w:t>
        <w:tab/>
        <w:t>职位、能力与业绩导向。</w:t>
      </w:r>
    </w:p>
    <w:p>
      <w:pPr>
        <w:pStyle w:val="Style17"/>
        <w:keepNext w:val="0"/>
        <w:keepLines w:val="0"/>
        <w:widowControl w:val="0"/>
        <w:shd w:val="clear" w:color="auto" w:fill="auto"/>
        <w:bidi w:val="0"/>
        <w:spacing w:before="0" w:after="140" w:line="240" w:lineRule="auto"/>
        <w:ind w:left="0" w:right="0" w:firstLine="300"/>
        <w:jc w:val="both"/>
      </w:pPr>
      <w:r>
        <w:rPr>
          <w:color w:val="000000"/>
          <w:spacing w:val="0"/>
          <w:w w:val="100"/>
          <w:position w:val="0"/>
        </w:rPr>
        <w:t>确定员工薪酬的主要依据是员工职位的价值、个人能力与业绩三大因素。</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tbl>
      <w:tblPr>
        <w:tblOverlap w:val="never"/>
        <w:jc w:val="center"/>
        <w:tblLayout w:type="fixed"/>
      </w:tblPr>
      <w:tblGrid>
        <w:gridCol w:w="5333"/>
        <w:gridCol w:w="2597"/>
        <w:gridCol w:w="247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核心技术人员数量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职工人数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13.75%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核心技术人员职工薪酬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47,900,989.68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38,610,510.56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薪酬总额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185,677,547.04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158,217,036.39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核心技术人员薪酬占比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24.40%</w:t>
            </w:r>
          </w:p>
        </w:tc>
      </w:tr>
    </w:tbl>
    <w:p>
      <w:pPr>
        <w:widowControl w:val="0"/>
        <w:spacing w:after="639" w:line="1" w:lineRule="exact"/>
      </w:pPr>
    </w:p>
    <w:p>
      <w:pPr>
        <w:pStyle w:val="Style26"/>
        <w:keepNext/>
        <w:keepLines/>
        <w:widowControl w:val="0"/>
        <w:shd w:val="clear" w:color="auto" w:fill="auto"/>
        <w:tabs>
          <w:tab w:pos="378" w:val="left"/>
        </w:tabs>
        <w:bidi w:val="0"/>
        <w:spacing w:before="0" w:after="26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3</w:t>
      </w:r>
      <w:bookmarkEnd w:id="367"/>
      <w:r>
        <w:rPr>
          <w:color w:val="000000"/>
          <w:spacing w:val="0"/>
          <w:w w:val="100"/>
          <w:position w:val="0"/>
        </w:rPr>
        <w:t>、</w:t>
        <w:tab/>
        <w:t>培训计划</w:t>
      </w:r>
      <w:bookmarkEnd w:id="365"/>
      <w:bookmarkEnd w:id="366"/>
      <w:bookmarkEnd w:id="368"/>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公司根据公司业务发展及员人才发展需求，制订年度培训计划及贯彻执行，通过系统的培训机制切实促进员工的专业水平和 综合能力提升，为公司可持续发展提供有力的组织保障与人才支持。</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公司在现有的培训体系基础上不断完善新人培训、职业培训和管理培训：</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在新人培训方面，持续优化培训课程及培训形式，以及设置导师，促进新人快速融入团队；</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在职业培训方面，持续拓展与公司经营相关的专题培训与前沿讲座，深化与国内外专家的合作，同时建立起一支由核心骨干 组成的内部讲师队伍，通过专项培训将萃取的丰富知识经验传授给更多员工，帮助快速成长；</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在管理培训方面，构建管理能力标准体系，通过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青训项目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等系列培训支持管理赋能，着力提升现有管理人员的综合素质与 领导力水平，不断提升管理团队战斗力。</w:t>
      </w:r>
    </w:p>
    <w:p>
      <w:pPr>
        <w:pStyle w:val="Style17"/>
        <w:keepNext w:val="0"/>
        <w:keepLines w:val="0"/>
        <w:widowControl w:val="0"/>
        <w:shd w:val="clear" w:color="auto" w:fill="auto"/>
        <w:bidi w:val="0"/>
        <w:spacing w:before="0" w:after="740" w:line="317" w:lineRule="exact"/>
        <w:ind w:left="0" w:right="0" w:firstLine="0"/>
        <w:jc w:val="left"/>
      </w:pPr>
      <w:r>
        <w:rPr>
          <w:color w:val="000000"/>
          <w:spacing w:val="0"/>
          <w:w w:val="100"/>
          <w:position w:val="0"/>
        </w:rPr>
        <w:t>同时公司大力推进在线学习和分享平台</w:t>
      </w:r>
      <w:r>
        <w:rPr>
          <w:color w:val="000000"/>
          <w:spacing w:val="0"/>
          <w:w w:val="100"/>
          <w:position w:val="0"/>
          <w:sz w:val="18"/>
          <w:szCs w:val="18"/>
        </w:rPr>
        <w:t>一</w:t>
      </w:r>
      <w:r>
        <w:rPr>
          <w:color w:val="000000"/>
          <w:spacing w:val="0"/>
          <w:w w:val="100"/>
          <w:position w:val="0"/>
        </w:rPr>
        <w:t>和仁云学堂的建设，支持员工通过在线学习和分享的方式，更加高效便捷的完成自 身知识提升和沉淀。</w:t>
      </w:r>
    </w:p>
    <w:p>
      <w:pPr>
        <w:pStyle w:val="Style26"/>
        <w:keepNext/>
        <w:keepLines/>
        <w:widowControl w:val="0"/>
        <w:shd w:val="clear" w:color="auto" w:fill="auto"/>
        <w:tabs>
          <w:tab w:pos="378" w:val="left"/>
        </w:tabs>
        <w:bidi w:val="0"/>
        <w:spacing w:before="0" w:after="260" w:line="240" w:lineRule="auto"/>
        <w:ind w:left="0" w:right="0" w:firstLine="0"/>
        <w:jc w:val="both"/>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4</w:t>
      </w:r>
      <w:bookmarkEnd w:id="371"/>
      <w:r>
        <w:rPr>
          <w:color w:val="000000"/>
          <w:spacing w:val="0"/>
          <w:w w:val="100"/>
          <w:position w:val="0"/>
        </w:rPr>
        <w:t>、</w:t>
        <w:tab/>
        <w:t>劳务外包情况</w:t>
      </w:r>
      <w:bookmarkEnd w:id="369"/>
      <w:bookmarkEnd w:id="370"/>
      <w:bookmarkEnd w:id="372"/>
    </w:p>
    <w:p>
      <w:pPr>
        <w:pStyle w:val="Style17"/>
        <w:keepNext w:val="0"/>
        <w:keepLines w:val="0"/>
        <w:widowControl w:val="0"/>
        <w:shd w:val="clear" w:color="auto" w:fill="auto"/>
        <w:bidi w:val="0"/>
        <w:spacing w:before="0" w:after="38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both"/>
      </w:pPr>
      <w:bookmarkStart w:id="373" w:name="bookmark373"/>
      <w:bookmarkStart w:id="374" w:name="bookmark374"/>
      <w:bookmarkStart w:id="375" w:name="bookmark375"/>
      <w:r>
        <w:rPr>
          <w:color w:val="000000"/>
          <w:spacing w:val="0"/>
          <w:w w:val="100"/>
          <w:position w:val="0"/>
        </w:rPr>
        <w:t>十二、公司利润分配及资本公积金转增股本情况</w:t>
      </w:r>
      <w:bookmarkEnd w:id="373"/>
      <w:bookmarkEnd w:id="374"/>
      <w:bookmarkEnd w:id="375"/>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报告期内利润分配政策，特别是现金分红政策的制定、执行或调整情况</w:t>
      </w:r>
    </w:p>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公司报告期利润分配预案及资本公积金转增股本预案与公司章程和分红管理办法等的相关规定一致</w:t>
      </w:r>
      <w:r>
        <w:br w:type="page"/>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left"/>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264,885,681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5,297,713.62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5,297,713.62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225,386,596.72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011"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经天健会计师事务所（特殊普通合伙）审计，公司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年度实现归属于母公司股东的净利润为</w:t>
            </w:r>
            <w:r>
              <w:rPr>
                <w:rFonts w:ascii="Times New Roman" w:eastAsia="Times New Roman" w:hAnsi="Times New Roman" w:cs="Times New Roman"/>
                <w:color w:val="000000"/>
                <w:spacing w:val="0"/>
                <w:w w:val="100"/>
                <w:position w:val="0"/>
                <w:sz w:val="18"/>
                <w:szCs w:val="18"/>
              </w:rPr>
              <w:t>34,807,299.27</w:t>
            </w:r>
            <w:r>
              <w:rPr>
                <w:color w:val="000000"/>
                <w:spacing w:val="0"/>
                <w:w w:val="100"/>
                <w:position w:val="0"/>
              </w:rPr>
              <w:t>元，根据《公 司章程》规定，按照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2,692,101.85</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公司累计未分配利润为</w:t>
            </w:r>
            <w:r>
              <w:rPr>
                <w:rFonts w:ascii="Times New Roman" w:eastAsia="Times New Roman" w:hAnsi="Times New Roman" w:cs="Times New Roman"/>
                <w:color w:val="000000"/>
                <w:spacing w:val="0"/>
                <w:w w:val="100"/>
                <w:position w:val="0"/>
                <w:sz w:val="18"/>
                <w:szCs w:val="18"/>
              </w:rPr>
              <w:t>225,386,596.72</w:t>
            </w:r>
            <w:r>
              <w:rPr>
                <w:color w:val="000000"/>
                <w:spacing w:val="0"/>
                <w:w w:val="100"/>
                <w:position w:val="0"/>
              </w:rPr>
              <w:t>元。</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公司本年度进行利润分配，以未来实施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年年度权益分配方案时股权登记日享有利润分配、公积金转增股本权利的总 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（含税）、不送红股，不以资本公积转增股本。若利润分配方案实施完 毕前，公司股本发生变动，公司将维持每股分配比例不变，相应调整分配总额。</w:t>
            </w:r>
          </w:p>
        </w:tc>
      </w:tr>
    </w:tbl>
    <w:p>
      <w:pPr>
        <w:pStyle w:val="Style1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公司报告期内盈利且母公司可供股东分配利润为正但未提出现金红利分配预案</w:t>
      </w:r>
    </w:p>
    <w:p>
      <w:pPr>
        <w:pStyle w:val="Style1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376" w:name="bookmark376"/>
      <w:bookmarkStart w:id="377" w:name="bookmark377"/>
      <w:bookmarkStart w:id="378" w:name="bookmark378"/>
      <w:r>
        <w:rPr>
          <w:color w:val="000000"/>
          <w:spacing w:val="0"/>
          <w:w w:val="100"/>
          <w:position w:val="0"/>
        </w:rPr>
        <w:t>十三、公司股权激励计划、员工持股计划或其他员工激励措施的实施情况</w:t>
      </w:r>
      <w:bookmarkEnd w:id="376"/>
      <w:bookmarkEnd w:id="377"/>
      <w:bookmarkEnd w:id="378"/>
    </w:p>
    <w:p>
      <w:pPr>
        <w:pStyle w:val="Style17"/>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360" w:lineRule="auto"/>
        <w:ind w:left="0" w:right="0" w:firstLine="0"/>
        <w:jc w:val="left"/>
      </w:pPr>
      <w:bookmarkStart w:id="379" w:name="bookmark379"/>
      <w:r>
        <w:rPr>
          <w:rFonts w:ascii="Times New Roman" w:eastAsia="Times New Roman" w:hAnsi="Times New Roman" w:cs="Times New Roman"/>
          <w:color w:val="000000"/>
          <w:spacing w:val="0"/>
          <w:w w:val="100"/>
          <w:position w:val="0"/>
          <w:sz w:val="18"/>
          <w:szCs w:val="18"/>
        </w:rPr>
        <w:t>1</w:t>
      </w:r>
      <w:bookmarkEnd w:id="379"/>
      <w:r>
        <w:rPr>
          <w:color w:val="000000"/>
          <w:spacing w:val="0"/>
          <w:w w:val="100"/>
          <w:position w:val="0"/>
        </w:rPr>
        <w:t>、股权激励</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日召开第三届董事会第十二次会议，审议通过《关于回购注销部分限制性股票的议案》。因原激 励对象马雄伟、徐江民离职，公司回购注销其已获授但尚未解锁的</w:t>
      </w:r>
      <w:r>
        <w:rPr>
          <w:rFonts w:ascii="Times New Roman" w:eastAsia="Times New Roman" w:hAnsi="Times New Roman" w:cs="Times New Roman"/>
          <w:color w:val="000000"/>
          <w:spacing w:val="0"/>
          <w:w w:val="100"/>
          <w:position w:val="0"/>
          <w:sz w:val="18"/>
          <w:szCs w:val="18"/>
        </w:rPr>
        <w:t>617,400</w:t>
      </w:r>
      <w:r>
        <w:rPr>
          <w:color w:val="000000"/>
          <w:spacing w:val="0"/>
          <w:w w:val="100"/>
          <w:position w:val="0"/>
        </w:rPr>
        <w:t>股限制性股票。该议案提交公司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 临时股东大会审议通过。公司于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日办理完成李峰、徐江民、马雄伟三人的限制性股票注销工作，公司总股本 由 </w:t>
      </w:r>
      <w:r>
        <w:rPr>
          <w:rFonts w:ascii="Times New Roman" w:eastAsia="Times New Roman" w:hAnsi="Times New Roman" w:cs="Times New Roman"/>
          <w:color w:val="000000"/>
          <w:spacing w:val="0"/>
          <w:w w:val="100"/>
          <w:position w:val="0"/>
          <w:sz w:val="18"/>
          <w:szCs w:val="18"/>
        </w:rPr>
        <w:t xml:space="preserve">189,929,258 </w:t>
      </w:r>
      <w:r>
        <w:rPr>
          <w:color w:val="000000"/>
          <w:spacing w:val="0"/>
          <w:w w:val="100"/>
          <w:position w:val="0"/>
        </w:rPr>
        <w:t xml:space="preserve">股减少为 </w:t>
      </w:r>
      <w:r>
        <w:rPr>
          <w:rFonts w:ascii="Times New Roman" w:eastAsia="Times New Roman" w:hAnsi="Times New Roman" w:cs="Times New Roman"/>
          <w:color w:val="000000"/>
          <w:spacing w:val="0"/>
          <w:w w:val="100"/>
          <w:position w:val="0"/>
          <w:sz w:val="18"/>
          <w:szCs w:val="18"/>
        </w:rPr>
        <w:t xml:space="preserve">189,282,458 </w:t>
      </w:r>
      <w:r>
        <w:rPr>
          <w:color w:val="000000"/>
          <w:spacing w:val="0"/>
          <w:w w:val="100"/>
          <w:position w:val="0"/>
        </w:rPr>
        <w:t>股。</w:t>
      </w:r>
    </w:p>
    <w:p>
      <w:pPr>
        <w:pStyle w:val="Style17"/>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日召开的第三届董事会第十四次会议审议通过了《关于公司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年限制性股票激励计划首次授 予的第三个解锁期及预留授予的第二个解锁期解锁条件成就可解锁的议案》，公司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年限制性股票激励计划首次授予的限 制性股票第三个解锁期及预留授予的限制性股票第二个解锁期解锁条件已经满足，根据《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年限制性股票激励计划》的 相关规定，公司将按照规定办理首次授予部分和预留授予部分可解锁股份的解锁相关事宜。浙江天册律师事务所对该事项出 具了法律意见书。</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年年度股东大会同意，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年的利润分配方案为以实施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年年度权益分配方案时股权登记日享有利润 </w:t>
      </w:r>
      <w:r>
        <w:rPr>
          <w:color w:val="000000"/>
          <w:spacing w:val="0"/>
          <w:w w:val="100"/>
          <w:position w:val="0"/>
        </w:rPr>
        <w:t>分配、公积金转增股本权利的总股本为基数，向全体股东每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0.35</w:t>
      </w:r>
      <w:r>
        <w:rPr>
          <w:color w:val="000000"/>
          <w:spacing w:val="0"/>
          <w:w w:val="100"/>
          <w:position w:val="0"/>
        </w:rPr>
        <w:t>元（含税）、以资本公积金每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股、不送红股。权益分派方案已经于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日实施完毕，公司总股本增加至</w:t>
      </w:r>
      <w:r>
        <w:rPr>
          <w:rFonts w:ascii="Times New Roman" w:eastAsia="Times New Roman" w:hAnsi="Times New Roman" w:cs="Times New Roman"/>
          <w:color w:val="000000"/>
          <w:spacing w:val="0"/>
          <w:w w:val="100"/>
          <w:position w:val="0"/>
          <w:sz w:val="18"/>
          <w:szCs w:val="18"/>
        </w:rPr>
        <w:t>264,995,441</w:t>
      </w:r>
      <w:r>
        <w:rPr>
          <w:color w:val="000000"/>
          <w:spacing w:val="0"/>
          <w:w w:val="100"/>
          <w:position w:val="0"/>
        </w:rPr>
        <w:t>股。</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日召开第三届董事会第十七次会议、第三届监事会第十七次会议，审议通过《关于回购注销部 分限制性股票的议案》，因原激励对象周合军等三人离职，公司回购注销其已获授但尚未解锁的</w:t>
      </w:r>
      <w:r>
        <w:rPr>
          <w:rFonts w:ascii="Times New Roman" w:eastAsia="Times New Roman" w:hAnsi="Times New Roman" w:cs="Times New Roman"/>
          <w:color w:val="000000"/>
          <w:spacing w:val="0"/>
          <w:w w:val="100"/>
          <w:position w:val="0"/>
          <w:sz w:val="18"/>
          <w:szCs w:val="18"/>
        </w:rPr>
        <w:t>109,760</w:t>
      </w:r>
      <w:r>
        <w:rPr>
          <w:color w:val="000000"/>
          <w:spacing w:val="0"/>
          <w:w w:val="100"/>
          <w:position w:val="0"/>
        </w:rPr>
        <w:t>股限制性股票，同 时会议调整了首次授予和预留授予限制性股票的回购价格，其中首次授予股份的回购价格调整为</w:t>
      </w:r>
      <w:r>
        <w:rPr>
          <w:rFonts w:ascii="Times New Roman" w:eastAsia="Times New Roman" w:hAnsi="Times New Roman" w:cs="Times New Roman"/>
          <w:color w:val="000000"/>
          <w:spacing w:val="0"/>
          <w:w w:val="100"/>
          <w:position w:val="0"/>
          <w:sz w:val="18"/>
          <w:szCs w:val="18"/>
        </w:rPr>
        <w:t>6.024052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股。浙江天册 律师事务所对该事项出具了法律意见书。回购事项及减资事项提交公司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年第一次临时股东大 会审议通过。</w:t>
      </w:r>
    </w:p>
    <w:p>
      <w:pPr>
        <w:pStyle w:val="Style17"/>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董事、高级管理人员获得的股权激励情况</w:t>
      </w:r>
    </w:p>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740" w:firstLine="0"/>
        <w:jc w:val="right"/>
      </w:pPr>
      <w:r>
        <w:rPr>
          <w:color w:val="000000"/>
          <w:spacing w:val="0"/>
          <w:w w:val="100"/>
          <w:position w:val="0"/>
        </w:rPr>
        <w:t>单位：股</w:t>
      </w:r>
    </w:p>
    <w:tbl>
      <w:tblPr>
        <w:tblOverlap w:val="never"/>
        <w:jc w:val="left"/>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新授予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期末持</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有股票</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期权数</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新授予 限制性 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解锁股</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份数量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副总经 理、董 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411,600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754,600</w:t>
            </w:r>
          </w:p>
        </w:tc>
      </w:tr>
      <w:tr>
        <w:trPr>
          <w:trHeight w:val="228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章逸本人总持股数为</w:t>
            </w:r>
            <w:r>
              <w:rPr>
                <w:rFonts w:ascii="Times New Roman" w:eastAsia="Times New Roman" w:hAnsi="Times New Roman" w:cs="Times New Roman"/>
                <w:color w:val="000000"/>
                <w:spacing w:val="0"/>
                <w:w w:val="100"/>
                <w:position w:val="0"/>
                <w:sz w:val="18"/>
                <w:szCs w:val="18"/>
              </w:rPr>
              <w:t>411600</w:t>
            </w:r>
            <w:r>
              <w:rPr>
                <w:color w:val="000000"/>
                <w:spacing w:val="0"/>
                <w:w w:val="100"/>
                <w:position w:val="0"/>
              </w:rPr>
              <w:t>股，其中</w:t>
            </w:r>
            <w:r>
              <w:rPr>
                <w:rFonts w:ascii="Times New Roman" w:eastAsia="Times New Roman" w:hAnsi="Times New Roman" w:cs="Times New Roman"/>
                <w:color w:val="000000"/>
                <w:spacing w:val="0"/>
                <w:w w:val="100"/>
                <w:position w:val="0"/>
                <w:sz w:val="18"/>
                <w:szCs w:val="18"/>
              </w:rPr>
              <w:t>137200</w:t>
            </w:r>
            <w:r>
              <w:rPr>
                <w:color w:val="000000"/>
                <w:spacing w:val="0"/>
                <w:w w:val="100"/>
                <w:position w:val="0"/>
              </w:rPr>
              <w:t>股为未解锁的股权激励限制性股票，其余为已经解锁的股 权激励股份（已解锁股份中包含高管锁定股</w:t>
            </w:r>
            <w:r>
              <w:rPr>
                <w:rFonts w:ascii="Times New Roman" w:eastAsia="Times New Roman" w:hAnsi="Times New Roman" w:cs="Times New Roman"/>
                <w:color w:val="000000"/>
                <w:spacing w:val="0"/>
                <w:w w:val="100"/>
                <w:position w:val="0"/>
                <w:sz w:val="18"/>
                <w:szCs w:val="18"/>
              </w:rPr>
              <w:t>171500</w:t>
            </w:r>
            <w:r>
              <w:rPr>
                <w:color w:val="000000"/>
                <w:spacing w:val="0"/>
                <w:w w:val="100"/>
                <w:position w:val="0"/>
              </w:rPr>
              <w:t>股）；张雪峰本人总持股数为</w:t>
            </w:r>
            <w:r>
              <w:rPr>
                <w:rFonts w:ascii="Times New Roman" w:eastAsia="Times New Roman" w:hAnsi="Times New Roman" w:cs="Times New Roman"/>
                <w:color w:val="000000"/>
                <w:spacing w:val="0"/>
                <w:w w:val="100"/>
                <w:position w:val="0"/>
                <w:sz w:val="18"/>
                <w:szCs w:val="18"/>
              </w:rPr>
              <w:t>504638</w:t>
            </w:r>
            <w:r>
              <w:rPr>
                <w:color w:val="000000"/>
                <w:spacing w:val="0"/>
                <w:w w:val="100"/>
                <w:position w:val="0"/>
              </w:rPr>
              <w:t>股，其中</w:t>
            </w:r>
            <w:r>
              <w:rPr>
                <w:rFonts w:ascii="Times New Roman" w:eastAsia="Times New Roman" w:hAnsi="Times New Roman" w:cs="Times New Roman"/>
                <w:color w:val="000000"/>
                <w:spacing w:val="0"/>
                <w:w w:val="100"/>
                <w:position w:val="0"/>
                <w:sz w:val="18"/>
                <w:szCs w:val="18"/>
              </w:rPr>
              <w:t xml:space="preserve">137200 </w:t>
            </w:r>
            <w:r>
              <w:rPr>
                <w:color w:val="000000"/>
                <w:spacing w:val="0"/>
                <w:w w:val="100"/>
                <w:position w:val="0"/>
              </w:rPr>
              <w:t xml:space="preserve">股为未解锁的股权激励限制性股票，其余为已经解锁的股权激励股份（已解锁股份中包含高管锁定股 </w:t>
            </w:r>
            <w:r>
              <w:rPr>
                <w:rFonts w:ascii="Times New Roman" w:eastAsia="Times New Roman" w:hAnsi="Times New Roman" w:cs="Times New Roman"/>
                <w:color w:val="000000"/>
                <w:spacing w:val="0"/>
                <w:w w:val="100"/>
                <w:position w:val="0"/>
                <w:sz w:val="18"/>
                <w:szCs w:val="18"/>
              </w:rPr>
              <w:t>241278</w:t>
            </w:r>
            <w:r>
              <w:rPr>
                <w:color w:val="000000"/>
                <w:spacing w:val="0"/>
                <w:w w:val="100"/>
                <w:position w:val="0"/>
              </w:rPr>
              <w:t>股）；任洪明本人总持股数为</w:t>
            </w:r>
            <w:r>
              <w:rPr>
                <w:rFonts w:ascii="Times New Roman" w:eastAsia="Times New Roman" w:hAnsi="Times New Roman" w:cs="Times New Roman"/>
                <w:color w:val="000000"/>
                <w:spacing w:val="0"/>
                <w:w w:val="100"/>
                <w:position w:val="0"/>
                <w:sz w:val="18"/>
                <w:szCs w:val="18"/>
              </w:rPr>
              <w:t>1618316</w:t>
            </w:r>
            <w:r>
              <w:rPr>
                <w:color w:val="000000"/>
                <w:spacing w:val="0"/>
                <w:w w:val="100"/>
                <w:position w:val="0"/>
              </w:rPr>
              <w:t>股，其中</w:t>
            </w:r>
            <w:r>
              <w:rPr>
                <w:rFonts w:ascii="Times New Roman" w:eastAsia="Times New Roman" w:hAnsi="Times New Roman" w:cs="Times New Roman"/>
                <w:color w:val="000000"/>
                <w:spacing w:val="0"/>
                <w:w w:val="100"/>
                <w:position w:val="0"/>
                <w:sz w:val="18"/>
                <w:szCs w:val="18"/>
              </w:rPr>
              <w:t>411600</w:t>
            </w:r>
            <w:r>
              <w:rPr>
                <w:color w:val="000000"/>
                <w:spacing w:val="0"/>
                <w:w w:val="100"/>
                <w:position w:val="0"/>
              </w:rPr>
              <w:t>股为未解锁的股权激励限制性股票，其余 为已经解锁的股权激励股份（已解锁股份中包含高管锁定股</w:t>
            </w:r>
            <w:r>
              <w:rPr>
                <w:rFonts w:ascii="Times New Roman" w:eastAsia="Times New Roman" w:hAnsi="Times New Roman" w:cs="Times New Roman"/>
                <w:color w:val="000000"/>
                <w:spacing w:val="0"/>
                <w:w w:val="100"/>
                <w:position w:val="0"/>
                <w:sz w:val="18"/>
                <w:szCs w:val="18"/>
              </w:rPr>
              <w:t>802137</w:t>
            </w:r>
            <w:r>
              <w:rPr>
                <w:color w:val="000000"/>
                <w:spacing w:val="0"/>
                <w:w w:val="100"/>
                <w:position w:val="0"/>
              </w:rPr>
              <w:t>股）；孙霆本人总持股数为</w:t>
            </w:r>
            <w:r>
              <w:rPr>
                <w:rFonts w:ascii="Times New Roman" w:eastAsia="Times New Roman" w:hAnsi="Times New Roman" w:cs="Times New Roman"/>
                <w:color w:val="000000"/>
                <w:spacing w:val="0"/>
                <w:w w:val="100"/>
                <w:position w:val="0"/>
                <w:sz w:val="18"/>
                <w:szCs w:val="18"/>
              </w:rPr>
              <w:t>162764</w:t>
            </w:r>
            <w:r>
              <w:rPr>
                <w:color w:val="000000"/>
                <w:spacing w:val="0"/>
                <w:w w:val="100"/>
                <w:position w:val="0"/>
              </w:rPr>
              <w:t>股， 其中</w:t>
            </w:r>
            <w:r>
              <w:rPr>
                <w:rFonts w:ascii="Times New Roman" w:eastAsia="Times New Roman" w:hAnsi="Times New Roman" w:cs="Times New Roman"/>
                <w:color w:val="000000"/>
                <w:spacing w:val="0"/>
                <w:w w:val="100"/>
                <w:position w:val="0"/>
                <w:sz w:val="18"/>
                <w:szCs w:val="18"/>
              </w:rPr>
              <w:t>68600</w:t>
            </w:r>
            <w:r>
              <w:rPr>
                <w:color w:val="000000"/>
                <w:spacing w:val="0"/>
                <w:w w:val="100"/>
                <w:position w:val="0"/>
              </w:rPr>
              <w:t>股为未解锁的股权激励限制性股票，其余为已经解锁的股权激励股份（已解锁股份中包含高 管锁定股</w:t>
            </w:r>
            <w:r>
              <w:rPr>
                <w:rFonts w:ascii="Times New Roman" w:eastAsia="Times New Roman" w:hAnsi="Times New Roman" w:cs="Times New Roman"/>
                <w:color w:val="000000"/>
                <w:spacing w:val="0"/>
                <w:w w:val="100"/>
                <w:position w:val="0"/>
                <w:sz w:val="18"/>
                <w:szCs w:val="18"/>
              </w:rPr>
              <w:t>53473</w:t>
            </w:r>
            <w:r>
              <w:rPr>
                <w:color w:val="000000"/>
                <w:spacing w:val="0"/>
                <w:w w:val="100"/>
                <w:position w:val="0"/>
              </w:rPr>
              <w:t>股）。</w:t>
            </w:r>
          </w:p>
        </w:tc>
      </w:tr>
    </w:tbl>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高级管理人员的考评机制及激励情况</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公司已建立了完善的高级管理人员绩效考核与激励约束机制；公司董事会及下设的提名、薪酬和考核委员会每年以公司经济 效益及工作目标为出发点，对高级管理人员进行考核和激励；高级管理人员的聘任公开、透明，符合法律、法规的规定。</w:t>
      </w:r>
    </w:p>
    <w:p>
      <w:pPr>
        <w:pStyle w:val="Style26"/>
        <w:keepNext/>
        <w:keepLines/>
        <w:widowControl w:val="0"/>
        <w:shd w:val="clear" w:color="auto" w:fill="auto"/>
        <w:tabs>
          <w:tab w:pos="378" w:val="left"/>
        </w:tabs>
        <w:bidi w:val="0"/>
        <w:spacing w:before="0" w:after="26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2</w:t>
      </w:r>
      <w:bookmarkEnd w:id="382"/>
      <w:r>
        <w:rPr>
          <w:color w:val="000000"/>
          <w:spacing w:val="0"/>
          <w:w w:val="100"/>
          <w:position w:val="0"/>
        </w:rPr>
        <w:t>、</w:t>
        <w:tab/>
        <w:t>员工持股计划的实施情况</w:t>
      </w:r>
      <w:bookmarkEnd w:id="380"/>
      <w:bookmarkEnd w:id="381"/>
      <w:bookmarkEnd w:id="383"/>
    </w:p>
    <w:p>
      <w:pPr>
        <w:pStyle w:val="Style17"/>
        <w:keepNext w:val="0"/>
        <w:keepLines w:val="0"/>
        <w:widowControl w:val="0"/>
        <w:shd w:val="clear" w:color="auto" w:fill="auto"/>
        <w:bidi w:val="0"/>
        <w:spacing w:before="0" w:after="38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26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3</w:t>
      </w:r>
      <w:bookmarkEnd w:id="386"/>
      <w:r>
        <w:rPr>
          <w:color w:val="000000"/>
          <w:spacing w:val="0"/>
          <w:w w:val="100"/>
          <w:position w:val="0"/>
        </w:rPr>
        <w:t>、</w:t>
        <w:tab/>
        <w:t>其他员工激励措施</w:t>
      </w:r>
      <w:bookmarkEnd w:id="384"/>
      <w:bookmarkEnd w:id="385"/>
      <w:bookmarkEnd w:id="387"/>
    </w:p>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本报告期计提股权激励费用</w:t>
      </w:r>
      <w:r>
        <w:rPr>
          <w:rFonts w:ascii="Times New Roman" w:eastAsia="Times New Roman" w:hAnsi="Times New Roman" w:cs="Times New Roman"/>
          <w:color w:val="000000"/>
          <w:spacing w:val="0"/>
          <w:w w:val="100"/>
          <w:position w:val="0"/>
          <w:sz w:val="18"/>
          <w:szCs w:val="18"/>
        </w:rPr>
        <w:t>-570.13</w:t>
      </w:r>
      <w:r>
        <w:rPr>
          <w:color w:val="000000"/>
          <w:spacing w:val="0"/>
          <w:w w:val="100"/>
          <w:position w:val="0"/>
        </w:rPr>
        <w:t>万元，对净利润的影响为</w:t>
      </w:r>
      <w:r>
        <w:rPr>
          <w:rFonts w:ascii="Times New Roman" w:eastAsia="Times New Roman" w:hAnsi="Times New Roman" w:cs="Times New Roman"/>
          <w:color w:val="000000"/>
          <w:spacing w:val="0"/>
          <w:w w:val="100"/>
          <w:position w:val="0"/>
          <w:sz w:val="18"/>
          <w:szCs w:val="18"/>
        </w:rPr>
        <w:t>513.12</w:t>
      </w:r>
      <w:r>
        <w:rPr>
          <w:color w:val="000000"/>
          <w:spacing w:val="0"/>
          <w:w w:val="100"/>
          <w:position w:val="0"/>
        </w:rPr>
        <w:t>万元。其中核心技术人员的股权激励费用为</w:t>
      </w:r>
      <w:r>
        <w:rPr>
          <w:rFonts w:ascii="Times New Roman" w:eastAsia="Times New Roman" w:hAnsi="Times New Roman" w:cs="Times New Roman"/>
          <w:color w:val="000000"/>
          <w:spacing w:val="0"/>
          <w:w w:val="100"/>
          <w:position w:val="0"/>
          <w:sz w:val="18"/>
          <w:szCs w:val="18"/>
        </w:rPr>
        <w:t>-44.69</w:t>
      </w:r>
      <w:r>
        <w:rPr>
          <w:color w:val="000000"/>
          <w:spacing w:val="0"/>
          <w:w w:val="100"/>
          <w:position w:val="0"/>
        </w:rPr>
        <w:t>万元， 占公司当期股权激励费用的</w:t>
      </w:r>
      <w:r>
        <w:rPr>
          <w:rFonts w:ascii="Times New Roman" w:eastAsia="Times New Roman" w:hAnsi="Times New Roman" w:cs="Times New Roman"/>
          <w:color w:val="000000"/>
          <w:spacing w:val="0"/>
          <w:w w:val="100"/>
          <w:position w:val="0"/>
          <w:sz w:val="18"/>
          <w:szCs w:val="18"/>
        </w:rPr>
        <w:t>7.84%</w:t>
      </w:r>
      <w:r>
        <w:rPr>
          <w:color w:val="000000"/>
          <w:spacing w:val="0"/>
          <w:w w:val="100"/>
          <w:position w:val="0"/>
        </w:rPr>
        <w:t>。</w:t>
      </w:r>
    </w:p>
    <w:p>
      <w:pPr>
        <w:pStyle w:val="Style21"/>
        <w:keepNext/>
        <w:keepLines/>
        <w:widowControl w:val="0"/>
        <w:shd w:val="clear" w:color="auto" w:fill="auto"/>
        <w:bidi w:val="0"/>
        <w:spacing w:before="0" w:after="380" w:line="240" w:lineRule="auto"/>
        <w:ind w:left="0" w:right="0" w:firstLine="0"/>
        <w:jc w:val="left"/>
      </w:pPr>
      <w:bookmarkStart w:id="388" w:name="bookmark388"/>
      <w:bookmarkStart w:id="389" w:name="bookmark389"/>
      <w:bookmarkStart w:id="390" w:name="bookmark390"/>
      <w:r>
        <w:rPr>
          <w:color w:val="000000"/>
          <w:spacing w:val="0"/>
          <w:w w:val="100"/>
          <w:position w:val="0"/>
        </w:rPr>
        <w:t>十四、报告期内的内部控制制度建设及实施情况</w:t>
      </w:r>
      <w:bookmarkEnd w:id="388"/>
      <w:bookmarkEnd w:id="389"/>
      <w:bookmarkEnd w:id="390"/>
    </w:p>
    <w:p>
      <w:pPr>
        <w:pStyle w:val="Style26"/>
        <w:keepNext/>
        <w:keepLines/>
        <w:widowControl w:val="0"/>
        <w:shd w:val="clear" w:color="auto" w:fill="auto"/>
        <w:tabs>
          <w:tab w:pos="368" w:val="left"/>
        </w:tabs>
        <w:bidi w:val="0"/>
        <w:spacing w:before="0" w:after="26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w:t>
        <w:tab/>
        <w:t>内部控制建设及实施情况</w:t>
      </w:r>
      <w:bookmarkEnd w:id="391"/>
      <w:bookmarkEnd w:id="392"/>
      <w:bookmarkEnd w:id="394"/>
    </w:p>
    <w:p>
      <w:pPr>
        <w:pStyle w:val="Style17"/>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报告期内公司根据相关法律法规的规定，对内部控制体系进行适时的更新和完善，建立一套运行有效的内部控制体系，并由 审计委员会、内部审计部门共同组成公司的风险内控管理组织体系，对公司的内部控制管理进行监督与评价。公司通过内部 控制体系的运行、分析与评价，实现了有效的内部控制。</w:t>
      </w:r>
    </w:p>
    <w:p>
      <w:pPr>
        <w:pStyle w:val="Style26"/>
        <w:keepNext/>
        <w:keepLines/>
        <w:widowControl w:val="0"/>
        <w:shd w:val="clear" w:color="auto" w:fill="auto"/>
        <w:tabs>
          <w:tab w:pos="378" w:val="left"/>
        </w:tabs>
        <w:bidi w:val="0"/>
        <w:spacing w:before="0" w:after="26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2</w:t>
      </w:r>
      <w:bookmarkEnd w:id="397"/>
      <w:r>
        <w:rPr>
          <w:color w:val="000000"/>
          <w:spacing w:val="0"/>
          <w:w w:val="100"/>
          <w:position w:val="0"/>
        </w:rPr>
        <w:t>、</w:t>
        <w:tab/>
        <w:t>报告期内发现的内部控制重大缺陷的具体情况</w:t>
      </w:r>
      <w:bookmarkEnd w:id="395"/>
      <w:bookmarkEnd w:id="396"/>
      <w:bookmarkEnd w:id="398"/>
    </w:p>
    <w:p>
      <w:pPr>
        <w:pStyle w:val="Style17"/>
        <w:keepNext w:val="0"/>
        <w:keepLines w:val="0"/>
        <w:widowControl w:val="0"/>
        <w:shd w:val="clear" w:color="auto" w:fill="auto"/>
        <w:bidi w:val="0"/>
        <w:spacing w:before="0" w:after="38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320" w:line="240" w:lineRule="auto"/>
        <w:ind w:left="0" w:right="0" w:firstLine="0"/>
        <w:jc w:val="left"/>
      </w:pPr>
      <w:bookmarkStart w:id="399" w:name="bookmark399"/>
      <w:bookmarkStart w:id="400" w:name="bookmark400"/>
      <w:bookmarkStart w:id="401" w:name="bookmark401"/>
      <w:r>
        <w:rPr>
          <w:color w:val="000000"/>
          <w:spacing w:val="0"/>
          <w:w w:val="100"/>
          <w:position w:val="0"/>
        </w:rPr>
        <w:t>十五、公司报告期内对子公司的管理控制情况</w:t>
      </w:r>
      <w:bookmarkEnd w:id="399"/>
      <w:bookmarkEnd w:id="400"/>
      <w:bookmarkEnd w:id="401"/>
    </w:p>
    <w:tbl>
      <w:tblPr>
        <w:tblOverlap w:val="never"/>
        <w:jc w:val="left"/>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402" w:name="bookmark402"/>
      <w:bookmarkStart w:id="403" w:name="bookmark403"/>
      <w:bookmarkStart w:id="404" w:name="bookmark404"/>
      <w:r>
        <w:rPr>
          <w:color w:val="000000"/>
          <w:spacing w:val="0"/>
          <w:w w:val="100"/>
          <w:position w:val="0"/>
        </w:rPr>
        <w:t>十六、内部控制自我评价报告或内部控制审计报告</w:t>
      </w:r>
      <w:bookmarkEnd w:id="402"/>
      <w:bookmarkEnd w:id="403"/>
      <w:bookmarkEnd w:id="404"/>
    </w:p>
    <w:p>
      <w:pPr>
        <w:pStyle w:val="Style26"/>
        <w:keepNext/>
        <w:keepLines/>
        <w:widowControl w:val="0"/>
        <w:shd w:val="clear" w:color="auto" w:fill="auto"/>
        <w:bidi w:val="0"/>
        <w:spacing w:before="0" w:after="32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1</w:t>
      </w:r>
      <w:bookmarkEnd w:id="407"/>
      <w:r>
        <w:rPr>
          <w:color w:val="000000"/>
          <w:spacing w:val="0"/>
          <w:w w:val="100"/>
          <w:position w:val="0"/>
        </w:rPr>
        <w:t>、内控自我评价报告</w:t>
      </w:r>
      <w:bookmarkEnd w:id="405"/>
      <w:bookmarkEnd w:id="406"/>
      <w:bookmarkEnd w:id="408"/>
    </w:p>
    <w:tbl>
      <w:tblPr>
        <w:tblOverlap w:val="never"/>
        <w:jc w:val="left"/>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财务报告重大缺陷的迹象包括：①董事、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财务报告重大缺陷的迹象包括：①违反</w:t>
            </w:r>
          </w:p>
        </w:tc>
      </w:tr>
    </w:tbl>
    <w:p>
      <w:pPr>
        <w:widowControl w:val="0"/>
        <w:spacing w:line="1" w:lineRule="exact"/>
      </w:pPr>
      <w:r>
        <w:br w:type="page"/>
      </w:r>
    </w:p>
    <w:tbl>
      <w:tblPr>
        <w:tblOverlap w:val="never"/>
        <w:jc w:val="left"/>
        <w:tblLayout w:type="fixed"/>
      </w:tblPr>
      <w:tblGrid>
        <w:gridCol w:w="3202"/>
        <w:gridCol w:w="3322"/>
        <w:gridCol w:w="3062"/>
      </w:tblGrid>
      <w:tr>
        <w:trPr>
          <w:trHeight w:val="39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监事和高级管理人员舞弊行为；②外部审 计发现当期财务报告存在重大错报，公司 在运行过程中未能发现该错报；③公司更 正已公布的财务报告；④公司审计委员会 和内部审计机构对内部控制的监督无效。 一项内部控制缺陷单独或连同其它缺陷， 其严重程度和经济后果低于重大缺陷，但 仍应引起董事会和管理层重视的错报，应 将该缺陷认定为重要缺陷。一般缺陷是指 除上述重大缺陷、重要缺陷之外的其他控 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国家法律、法规较严重；②重要业务 缺乏制度控制或制度系统性失效；③内 部控制评价的结果特别是重大或重要 缺陷未得到及时整改；④信息披露内 部控制失效，导致公司被监管部门公开 谴责；⑤其他对公司影响重大的情形。 除重大缺陷认定的标准以外的其他情 形，按影响程度分别确定为重要缺陷或 一般缺陷。</w:t>
            </w:r>
          </w:p>
        </w:tc>
      </w:tr>
      <w:tr>
        <w:trPr>
          <w:trHeight w:val="47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定量标准以利润总额、资产总额作为衡量 指标。内部控制缺陷可能导致或导致的损 失与利润表相关的，以利润总额指标衡量。 如果该缺陷单独或连同其他缺陷可能导致 的财务报告错报金额小于利润总额的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则认定为一般缺陷；如果超过利润总额的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，则为重要缺陷；如果超 过利润总额的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，则认定为重大缺陷。 内部控制缺陷可能导致或导致的损失与资 产管理相关的，以资产总额指标衡量。如 果该缺陷单独或连同其他缺陷可能导致的 财务报告错报金额小于资产总额的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则认定为一般缺陷；如果超过资产总额的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认定为重要缺陷；如果超 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非财务报告内部控制缺陷评价的定量 标准参照财务报告内部控制缺陷评价 的定量标准执行。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2</w:t>
      </w:r>
      <w:bookmarkEnd w:id="411"/>
      <w:r>
        <w:rPr>
          <w:color w:val="000000"/>
          <w:spacing w:val="0"/>
          <w:w w:val="100"/>
          <w:position w:val="0"/>
        </w:rPr>
        <w:t>、内部控制审计报告或鉴证报告</w:t>
      </w:r>
      <w:bookmarkEnd w:id="409"/>
      <w:bookmarkEnd w:id="410"/>
      <w:bookmarkEnd w:id="41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413" w:name="bookmark413"/>
      <w:bookmarkStart w:id="414" w:name="bookmark414"/>
      <w:bookmarkStart w:id="415" w:name="bookmark415"/>
      <w:r>
        <w:rPr>
          <w:color w:val="000000"/>
          <w:spacing w:val="0"/>
          <w:w w:val="100"/>
          <w:position w:val="0"/>
        </w:rPr>
        <w:t>十七、上市公司治理专项行动自查问题整改情况</w:t>
      </w:r>
      <w:bookmarkEnd w:id="413"/>
      <w:bookmarkEnd w:id="414"/>
      <w:bookmarkEnd w:id="41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经自查，公司未出现违反法律法规的事项。</w:t>
      </w:r>
    </w:p>
    <w:p>
      <w:pPr>
        <w:pStyle w:val="Style9"/>
        <w:keepNext/>
        <w:keepLines/>
        <w:widowControl w:val="0"/>
        <w:shd w:val="clear" w:color="auto" w:fill="auto"/>
        <w:bidi w:val="0"/>
        <w:spacing w:before="0" w:line="240" w:lineRule="auto"/>
        <w:ind w:left="0" w:right="0" w:firstLine="0"/>
        <w:jc w:val="center"/>
      </w:pPr>
      <w:bookmarkStart w:id="416" w:name="bookmark416"/>
      <w:bookmarkStart w:id="417" w:name="bookmark417"/>
      <w:bookmarkStart w:id="418" w:name="bookmark418"/>
      <w:r>
        <w:rPr>
          <w:color w:val="000000"/>
          <w:spacing w:val="0"/>
          <w:w w:val="100"/>
          <w:position w:val="0"/>
        </w:rPr>
        <w:t>第五节环境和社会责任</w:t>
      </w:r>
      <w:bookmarkEnd w:id="416"/>
      <w:bookmarkEnd w:id="417"/>
      <w:bookmarkEnd w:id="418"/>
    </w:p>
    <w:p>
      <w:pPr>
        <w:pStyle w:val="Style21"/>
        <w:keepNext/>
        <w:keepLines/>
        <w:widowControl w:val="0"/>
        <w:shd w:val="clear" w:color="auto" w:fill="auto"/>
        <w:bidi w:val="0"/>
        <w:spacing w:before="0" w:after="380" w:line="240" w:lineRule="auto"/>
        <w:ind w:left="0" w:right="0" w:firstLine="0"/>
        <w:jc w:val="left"/>
      </w:pPr>
      <w:bookmarkStart w:id="419" w:name="bookmark419"/>
      <w:bookmarkStart w:id="420" w:name="bookmark420"/>
      <w:bookmarkStart w:id="421" w:name="bookmark421"/>
      <w:bookmarkStart w:id="422" w:name="bookmark422"/>
      <w:bookmarkStart w:id="423" w:name="bookmark423"/>
      <w:r>
        <w:rPr>
          <w:color w:val="000000"/>
          <w:spacing w:val="0"/>
          <w:w w:val="100"/>
          <w:position w:val="0"/>
        </w:rPr>
        <w:t>一</w:t>
      </w:r>
      <w:bookmarkEnd w:id="422"/>
      <w:r>
        <w:rPr>
          <w:color w:val="000000"/>
          <w:spacing w:val="0"/>
          <w:w w:val="100"/>
          <w:position w:val="0"/>
        </w:rPr>
        <w:t>、重大环保问题</w:t>
      </w:r>
      <w:bookmarkEnd w:id="420"/>
      <w:bookmarkEnd w:id="421"/>
      <w:bookmarkEnd w:id="423"/>
      <w:bookmarkEnd w:id="419"/>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left"/>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参照重点排污单位披露的其他环境信息</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无，公司及其子公司不属于环境部门公布的重点排污单位。</w:t>
      </w:r>
    </w:p>
    <w:p>
      <w:pPr>
        <w:pStyle w:val="Style17"/>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在报告期内为减少其碳排放所采取的措施及效果</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未披露其他环境信息的原因</w:t>
      </w:r>
    </w:p>
    <w:p>
      <w:pPr>
        <w:pStyle w:val="Style1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公司为医疗信息化行业公司，主要为</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服务，生产服务过程中较少涉及环境污染内容。</w:t>
      </w:r>
    </w:p>
    <w:p>
      <w:pPr>
        <w:pStyle w:val="Style21"/>
        <w:keepNext/>
        <w:keepLines/>
        <w:widowControl w:val="0"/>
        <w:shd w:val="clear" w:color="auto" w:fill="auto"/>
        <w:bidi w:val="0"/>
        <w:spacing w:before="0" w:after="26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二</w:t>
      </w:r>
      <w:bookmarkEnd w:id="426"/>
      <w:r>
        <w:rPr>
          <w:color w:val="000000"/>
          <w:spacing w:val="0"/>
          <w:w w:val="100"/>
          <w:position w:val="0"/>
        </w:rPr>
        <w:t>、社会责任情况</w:t>
      </w:r>
      <w:bookmarkEnd w:id="424"/>
      <w:bookmarkEnd w:id="425"/>
      <w:bookmarkEnd w:id="427"/>
    </w:p>
    <w:p>
      <w:pPr>
        <w:pStyle w:val="Style17"/>
        <w:keepNext w:val="0"/>
        <w:keepLines w:val="0"/>
        <w:widowControl w:val="0"/>
        <w:shd w:val="clear" w:color="auto" w:fill="auto"/>
        <w:bidi w:val="0"/>
        <w:spacing w:before="0" w:after="120" w:line="314" w:lineRule="exact"/>
        <w:ind w:left="0" w:right="0" w:firstLine="380"/>
        <w:jc w:val="left"/>
      </w:pPr>
      <w:r>
        <w:rPr>
          <w:color w:val="000000"/>
          <w:spacing w:val="0"/>
          <w:w w:val="100"/>
          <w:position w:val="0"/>
        </w:rPr>
        <w:t>报告期内，公司积极履行企业应尽的义务，承担社会责任。公司在不断为股东创造价值的同时，也积极承担对股东、员 工、合作伙伴、社会等其他利益相关者的责任。</w:t>
      </w:r>
    </w:p>
    <w:p>
      <w:pPr>
        <w:pStyle w:val="Style17"/>
        <w:keepNext w:val="0"/>
        <w:keepLines w:val="0"/>
        <w:widowControl w:val="0"/>
        <w:shd w:val="clear" w:color="auto" w:fill="auto"/>
        <w:tabs>
          <w:tab w:pos="714" w:val="left"/>
        </w:tabs>
        <w:bidi w:val="0"/>
        <w:spacing w:before="0" w:after="0" w:line="360" w:lineRule="auto"/>
        <w:ind w:left="0" w:right="0" w:firstLine="380"/>
        <w:jc w:val="both"/>
      </w:pPr>
      <w:bookmarkStart w:id="428" w:name="bookmark428"/>
      <w:r>
        <w:rPr>
          <w:rFonts w:ascii="Times New Roman" w:eastAsia="Times New Roman" w:hAnsi="Times New Roman" w:cs="Times New Roman"/>
          <w:color w:val="000000"/>
          <w:spacing w:val="0"/>
          <w:w w:val="100"/>
          <w:position w:val="0"/>
          <w:sz w:val="18"/>
          <w:szCs w:val="18"/>
        </w:rPr>
        <w:t>1</w:t>
      </w:r>
      <w:bookmarkEnd w:id="428"/>
      <w:r>
        <w:rPr>
          <w:color w:val="000000"/>
          <w:spacing w:val="0"/>
          <w:w w:val="100"/>
          <w:position w:val="0"/>
        </w:rPr>
        <w:t>、</w:t>
        <w:tab/>
        <w:t>股东权益保护</w:t>
      </w:r>
    </w:p>
    <w:p>
      <w:pPr>
        <w:pStyle w:val="Style17"/>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公司严格按照《公司法》、《证券法》、《深圳证券交易所创业板股票上市规则》、《深圳证券交易所创业板上市公司 规范运作指引》等相关法律法规的要求，持续完善公司法人治理结构；按照财政部颁布的《内部会计控制规范》及深圳证券 交易所颁布的《上市公司内部控制指引》等相关法规的要求，不断完善内部控制制度与控制体系，持续提升公司规范运作水 平。公司构建了以《公司章程》为基础，以《股东大会议事规则》、《董事会议事规则》、《监事会议事规则》等为主要架 构的规章体系，形成了股东大会、董事会和监事会协调运行的治理体系，与公司管理层之间权责分明、各司其职、有效制衡 的法人治理结构，切实保障全体股东和债权人的合法权益。</w:t>
      </w:r>
    </w:p>
    <w:p>
      <w:pPr>
        <w:pStyle w:val="Style17"/>
        <w:keepNext w:val="0"/>
        <w:keepLines w:val="0"/>
        <w:widowControl w:val="0"/>
        <w:shd w:val="clear" w:color="auto" w:fill="auto"/>
        <w:tabs>
          <w:tab w:pos="734" w:val="left"/>
        </w:tabs>
        <w:bidi w:val="0"/>
        <w:spacing w:before="0" w:after="0" w:line="360" w:lineRule="auto"/>
        <w:ind w:left="0" w:right="0" w:firstLine="380"/>
        <w:jc w:val="both"/>
      </w:pPr>
      <w:bookmarkStart w:id="429" w:name="bookmark429"/>
      <w:r>
        <w:rPr>
          <w:rFonts w:ascii="Times New Roman" w:eastAsia="Times New Roman" w:hAnsi="Times New Roman" w:cs="Times New Roman"/>
          <w:color w:val="000000"/>
          <w:spacing w:val="0"/>
          <w:w w:val="100"/>
          <w:position w:val="0"/>
          <w:sz w:val="18"/>
          <w:szCs w:val="18"/>
        </w:rPr>
        <w:t>2</w:t>
      </w:r>
      <w:bookmarkEnd w:id="429"/>
      <w:r>
        <w:rPr>
          <w:color w:val="000000"/>
          <w:spacing w:val="0"/>
          <w:w w:val="100"/>
          <w:position w:val="0"/>
        </w:rPr>
        <w:t>、</w:t>
        <w:tab/>
        <w:t>职工权益保护</w:t>
      </w:r>
    </w:p>
    <w:p>
      <w:pPr>
        <w:pStyle w:val="Style17"/>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公司根据国家《劳动法》、《劳动合同法》、《社会保险法》等法律法规依法保护员工合法权益，为员工的职业发展及 权益保护提供多种保障，同时注重员工的健康与安全，提供多渠道丰富员工的职业生活。</w:t>
      </w:r>
    </w:p>
    <w:p>
      <w:pPr>
        <w:pStyle w:val="Style17"/>
        <w:keepNext w:val="0"/>
        <w:keepLines w:val="0"/>
        <w:widowControl w:val="0"/>
        <w:shd w:val="clear" w:color="auto" w:fill="auto"/>
        <w:tabs>
          <w:tab w:pos="734" w:val="left"/>
        </w:tabs>
        <w:bidi w:val="0"/>
        <w:spacing w:before="0" w:after="0" w:line="360" w:lineRule="auto"/>
        <w:ind w:left="0" w:right="0" w:firstLine="380"/>
        <w:jc w:val="both"/>
      </w:pPr>
      <w:bookmarkStart w:id="430" w:name="bookmark430"/>
      <w:r>
        <w:rPr>
          <w:rFonts w:ascii="Times New Roman" w:eastAsia="Times New Roman" w:hAnsi="Times New Roman" w:cs="Times New Roman"/>
          <w:color w:val="000000"/>
          <w:spacing w:val="0"/>
          <w:w w:val="100"/>
          <w:position w:val="0"/>
          <w:sz w:val="18"/>
          <w:szCs w:val="18"/>
        </w:rPr>
        <w:t>3</w:t>
      </w:r>
      <w:bookmarkEnd w:id="430"/>
      <w:r>
        <w:rPr>
          <w:color w:val="000000"/>
          <w:spacing w:val="0"/>
          <w:w w:val="100"/>
          <w:position w:val="0"/>
        </w:rPr>
        <w:t>、</w:t>
        <w:tab/>
        <w:t>供应商和客户权益保护</w:t>
      </w:r>
    </w:p>
    <w:p>
      <w:pPr>
        <w:pStyle w:val="Style17"/>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公司一路的发展离不开各大供应商的鼎力支持和携手并进，与供应商紧密合作、互惠共赢、及时履约、良性发展。公司 历来注重客户需求，严格控制产品质量，希望与客户共同成长，为客户提供具有竞争力的解决方案和专业服务。通过与上下 游合作伙伴的长期合作、资源交换、共同发展，切实履行公司对供应商、对客户的社会责任。</w:t>
      </w:r>
    </w:p>
    <w:p>
      <w:pPr>
        <w:pStyle w:val="Style21"/>
        <w:keepNext/>
        <w:keepLines/>
        <w:widowControl w:val="0"/>
        <w:shd w:val="clear" w:color="auto" w:fill="auto"/>
        <w:bidi w:val="0"/>
        <w:spacing w:before="0" w:after="38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三</w:t>
      </w:r>
      <w:bookmarkEnd w:id="433"/>
      <w:r>
        <w:rPr>
          <w:color w:val="000000"/>
          <w:spacing w:val="0"/>
          <w:w w:val="100"/>
          <w:position w:val="0"/>
        </w:rPr>
        <w:t>、巩固拓展脱贫攻坚成果、乡村振兴的情况</w:t>
      </w:r>
      <w:bookmarkEnd w:id="431"/>
      <w:bookmarkEnd w:id="432"/>
      <w:bookmarkEnd w:id="434"/>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无，公司及其子公司未参加扶贫攻坚工作。</w:t>
      </w:r>
      <w:r>
        <w:br w:type="page"/>
      </w:r>
    </w:p>
    <w:p>
      <w:pPr>
        <w:pStyle w:val="Style9"/>
        <w:keepNext/>
        <w:keepLines/>
        <w:widowControl w:val="0"/>
        <w:shd w:val="clear" w:color="auto" w:fill="auto"/>
        <w:bidi w:val="0"/>
        <w:spacing w:before="0" w:after="580" w:line="240" w:lineRule="auto"/>
        <w:ind w:left="3640" w:right="0" w:firstLine="0"/>
        <w:jc w:val="left"/>
      </w:pPr>
      <w:bookmarkStart w:id="435" w:name="bookmark435"/>
      <w:bookmarkStart w:id="436" w:name="bookmark436"/>
      <w:bookmarkStart w:id="437" w:name="bookmark437"/>
      <w:r>
        <w:rPr>
          <w:color w:val="000000"/>
          <w:spacing w:val="0"/>
          <w:w w:val="100"/>
          <w:position w:val="0"/>
        </w:rPr>
        <w:t>第六节重要事项</w:t>
      </w:r>
      <w:bookmarkEnd w:id="435"/>
      <w:bookmarkEnd w:id="436"/>
      <w:bookmarkEnd w:id="437"/>
    </w:p>
    <w:p>
      <w:pPr>
        <w:pStyle w:val="Style21"/>
        <w:keepNext/>
        <w:keepLines/>
        <w:widowControl w:val="0"/>
        <w:shd w:val="clear" w:color="auto" w:fill="auto"/>
        <w:bidi w:val="0"/>
        <w:spacing w:before="0" w:after="260" w:line="240" w:lineRule="auto"/>
        <w:ind w:left="0" w:right="0" w:firstLine="0"/>
        <w:jc w:val="left"/>
      </w:pPr>
      <w:bookmarkStart w:id="438" w:name="bookmark438"/>
      <w:bookmarkStart w:id="439" w:name="bookmark439"/>
      <w:bookmarkStart w:id="440" w:name="bookmark440"/>
      <w:bookmarkStart w:id="441" w:name="bookmark441"/>
      <w:bookmarkStart w:id="442" w:name="bookmark442"/>
      <w:r>
        <w:rPr>
          <w:color w:val="000000"/>
          <w:spacing w:val="0"/>
          <w:w w:val="100"/>
          <w:position w:val="0"/>
        </w:rPr>
        <w:t>一</w:t>
      </w:r>
      <w:bookmarkEnd w:id="441"/>
      <w:r>
        <w:rPr>
          <w:color w:val="000000"/>
          <w:spacing w:val="0"/>
          <w:w w:val="100"/>
          <w:position w:val="0"/>
        </w:rPr>
        <w:t>、承诺事项履行情况</w:t>
      </w:r>
      <w:bookmarkEnd w:id="439"/>
      <w:bookmarkEnd w:id="440"/>
      <w:bookmarkEnd w:id="442"/>
      <w:bookmarkEnd w:id="438"/>
    </w:p>
    <w:p>
      <w:pPr>
        <w:pStyle w:val="Style26"/>
        <w:keepNext/>
        <w:keepLines/>
        <w:widowControl w:val="0"/>
        <w:shd w:val="clear" w:color="auto" w:fill="auto"/>
        <w:bidi w:val="0"/>
        <w:spacing w:before="0" w:after="340" w:line="326" w:lineRule="exact"/>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1</w:t>
      </w:r>
      <w:bookmarkEnd w:id="445"/>
      <w:r>
        <w:rPr>
          <w:color w:val="000000"/>
          <w:spacing w:val="0"/>
          <w:w w:val="100"/>
          <w:position w:val="0"/>
        </w:rPr>
        <w:t>、公司实际控制人、股东、关联方、收购人以及公司等承诺相关方在报告期内履行完毕及截至报告期末 尚未履行完毕的承诺事项</w:t>
      </w:r>
      <w:bookmarkEnd w:id="443"/>
      <w:bookmarkEnd w:id="444"/>
      <w:bookmarkEnd w:id="446"/>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508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杭州磐鸿投 资管理合伙</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杭州磐源 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杨一 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杨依敏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 香叶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 上市之日起 三十六个月 内，不转让或 者委托他人 管理其直接 或间接持有 的公司本次 发行前已发 行的股份，也 不由公司回 购其直接或 间接持有的 公司本次发 行前已发行 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杭州磐鸿投 资管理合伙</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杭州磐源 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杨一 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杨依敏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 香叶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 上市之日起 三十六个月 内，不转让或 者委托他人 管理其直接 或间接持有 的公司本次 发行前已发 行的股份，也 不由公司回 购其直接或 间接持有的 公司本次发 行前已发行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widowControl w:val="0"/>
        <w:spacing w:line="1" w:lineRule="exact"/>
      </w:pPr>
      <w:r>
        <w:br w:type="page"/>
      </w:r>
    </w:p>
    <w:tbl>
      <w:tblPr>
        <w:tblOverlap w:val="never"/>
        <w:jc w:val="left"/>
        <w:tblLayout w:type="fixed"/>
      </w:tblPr>
      <w:tblGrid>
        <w:gridCol w:w="2846"/>
        <w:gridCol w:w="1123"/>
        <w:gridCol w:w="1128"/>
        <w:gridCol w:w="1123"/>
        <w:gridCol w:w="1128"/>
        <w:gridCol w:w="1118"/>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北京盛景财 富投资管理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傅 烈勇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昆山雷 石雨花股权 投资合伙企 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青岛金石 灏汭投资有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 雷石瑞丰股 权投资合伙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自公司股票 上市之日起 十二个月内， 不转让或者 委托他人管 理本人直接 或间接持有 的公司本次 发行前已发 行的股份，也 不由公司回 购其间接持 有的公司本 次发行前已 发行的股份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87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曹健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冯忆文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傅烈勇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沈红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夏红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 一兵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张雪峰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章逸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孙霆；任 洪明；姚建民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在控股股东 增持股份措 施、公司回购 股份措施实 施后，仍出现 公司股票连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 低于公司最 近一期末每 股净资产的 情形，公司董 事、高级管理 人员应于出 现上述情形 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日内（如期间 存在</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个交 易日限制董 事、高级管理 人员买卖股 票，则董事、 高级管理人 员应于出现 上述情形之 日起</w:t>
            </w:r>
            <w:r>
              <w:rPr>
                <w:rFonts w:ascii="Times New Roman" w:eastAsia="Times New Roman" w:hAnsi="Times New Roman" w:cs="Times New Roman"/>
                <w:color w:val="000000"/>
                <w:spacing w:val="0"/>
                <w:w w:val="100"/>
                <w:position w:val="0"/>
                <w:sz w:val="18"/>
                <w:szCs w:val="18"/>
              </w:rPr>
              <w:t>20+N</w:t>
            </w:r>
            <w:r>
              <w:rPr>
                <w:color w:val="000000"/>
                <w:spacing w:val="0"/>
                <w:w w:val="100"/>
                <w:position w:val="0"/>
              </w:rPr>
              <w:t>个 交易日内）， 向公司送达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增持通知书， 增持通知书 应包括增持 股份数量、增 持价格确定 方式、增持期 限、增持目标 及其他有关 增持的内容， 其累计增持 资金额不低 于其上一年 度自公司处 取得的税后 工资总额的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，但公司 股票收盘价 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 易日高于最 近一期经审 计的每股净 资产，则董 事、高级管理 人员可中止 实施增持计 划。公司股票 上市后每年 度，公司董 事、高级管理 人员因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触发 稳定股价义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而增持公 司股票的累 计投入金额 不超过其上 一年度自公 司处取得的 税后工资总 额的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。公 司董事、高级 管理人员因 其他原因自 愿增持公司 股票的，不受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本条款限制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杭州磐鸿投 资管理合伙</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杭州磐源 投资有限公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东磐源投资、 实际控制人 杨一兵及杨 波、公司股东 磐鸿投资、公 司董事及高 级管理人员 傅烈勇承诺， 其直接或间 接持有的公 司股票在锁 定期届满后 两年内减持 的，其减持价 格不低于本 次发行并上 市时公司股 票的发行价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（如发行人 发生分红、派 息、送股、资 本公积金转 增股本等除 权除息事项， 须按照有关 规定做复权 处理）；公司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内如公司股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 盘价均低于 发行价，或者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期末（如该日 不是交易日， 则该日后第 一个交易日） 收盘价低于 发行价，其直 接或间接持 有的公司股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承诺的减持 限制期间已 经结束。截止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日，公司控 股股东磐源 投资在实施 减持计划时， 因计算错误 出现减持数 量超出了承 诺''股份锁定 期满后两年 内，每</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 月内转让的 股份将不超 过直接或间 接持有公司 股份总数的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，超出数 量约为 </w:t>
            </w:r>
            <w:r>
              <w:rPr>
                <w:rFonts w:ascii="Times New Roman" w:eastAsia="Times New Roman" w:hAnsi="Times New Roman" w:cs="Times New Roman"/>
                <w:color w:val="000000"/>
                <w:spacing w:val="0"/>
                <w:w w:val="100"/>
                <w:position w:val="0"/>
                <w:sz w:val="18"/>
                <w:szCs w:val="18"/>
              </w:rPr>
              <w:t xml:space="preserve">35,160 </w:t>
            </w:r>
            <w:r>
              <w:rPr>
                <w:color w:val="000000"/>
                <w:spacing w:val="0"/>
                <w:w w:val="100"/>
                <w:position w:val="0"/>
              </w:rPr>
              <w:t>股。磐 源投资事后 积极进行了 整改，向广大 投资者表示 歉意。</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票的锁定期 限将自动延 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个月。承 诺股份锁定 期满后两年 内，其每</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个月内转让 的股份将不 超过其直接 或间接持有 公司股份总 数的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，并 将提前三个 交易日公告 减持计划，在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个月内完 成。减持价格 不低于发行 人首次公开 发行价格（如 因派发现金 红利、送股、 转增股本、增 发新股等原 因进行除权、 除息的，须按 照有关规定 做复权处 理）。减持股 份时将遵守 相关法律法 规及深圳证 券交易所规 则等要求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青岛金石灏 汭投资有限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武汉雷 石瑞丰股权 投资合伙企 业（有限合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承诺股份锁 定期满后两 年内，其减持 比例最高可 至其持有公 司股份总数 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，并 将提前三个 交易日公告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减持计划，在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个月内完 成。减持价格 不低于发行 人最近一期 经审计后的 每股净资产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（如因派发 现金红利、送 股、转增股 本、增发新股 等原因进行 除权、除息 的，须按照有 关规定做复 权处理）。减 持股份时将 遵守相关法 律法规及深 圳证券交易 所规则等要 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浙江和仁科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技股份有限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股份回购承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如公司控股 股东于触发 稳定股价义 务之日起</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个交易日内 未向公司送 达增持通知 书或未按披 露的增持计 划实施，公司 董事会应于 确认前述事 项之日起</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个交易日内 公告回购公 司股份的预 案，回购预案 包括但不限 于回购股份 数量、回购价 格区间、回购 资金来源、回 购对公司股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28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价及公司经 营的影响等 内容。公司应 于触发回购 义务起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内以不少于 人民币</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万元的资金 回购公司股 份，但股票收 盘价连续</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个交易日高 于最近一期 经审计的每 股净资产，则 公司可中止 回购股份计 划。公司股票 上市后每</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个月内，公司 因''触发稳定 股价义务''而 回购公司股 票的累计投 入金额不超 过人民币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 用于回购股 份的资金从 回购当年起 分配给公司 控股股东的 分红款项中 扣除，直至收 回回购股份 的全部资金。 如控股股东 已履行增持 义务，则公司 不再实施回 购股份措施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浙江和仁科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技股份有限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（一）利润分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配政策的宗</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旨和原则公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司实行连续、 稳定的利润 分配政策，公 司利润分配 应重视对投 资者的合理 投资回报并 兼顾公司的 可持续发展， 并坚持如下 原则：</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 法定顺序分 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、存在 未弥补亏损， 不得向股东 分配利润；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同股同权、同 股同利；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公司持有的 本公司股份 不得参与分 配利润；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优先采取现 金分红的利 润分配方式；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、充分听取 和考虑中小 股东的意见 和要求。（二） 利润分配政 策公司可以 采取现金、股 票或现金与 股票相结合 的方式分配 利润。利润分 配不得超过 累计可分配 利润的范围， 不得损害公 司持续经营 能力。公司可 以进行中期 现金分红。公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司主要采取 现金分红的 股利分配政 策，即公司当 年度实现盈 利，在依法提 取法定公积 金、任意公积 金后进行现 金分红；若公 司营收增长 快速，并且董 事会认为公 司股票价格 与公司股本 规模不匹配 时，可以在满 足上述现金 股利分配之 余，提出并实 施股票股利 分配预案。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配的条件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现金分红的 比例：在满足 公司正常生 产经营的资 金需求情况 下，如公司外 部经营环境 和经营状况 未发生重大 不利变化，公 司每年以现 金形式分配 的利润应当 不少于当年 实现的可分 配利润的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、在满 足公司正常 生产经营的 资金需求情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况下，公司实 施差异化现 金分红政策：</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）公司发 展阶段属成 熟期且无重 大资本支出 安排的，进行 利润分配时， 现金分红在 本次利润分 配中所占比 例最低应达 到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公司发展阶 段属成熟期 且有重大资 本支出安排 的，进行利润 分配时，现金 分红在本次 利润分配中 所占比例应 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）公司发 展阶段属成 长期且有重 大资本支出 安排的，进行 利润分配时， 现金分红在 本次利润分 配中所占比 例最低应达 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。公司 发展阶段不 易区分但有 重大资本支 出安排的，可 以按照前款 规定处理。股 东大会授权 董事会每年 在综合考虑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公司所处行 业特点、发展 阶段、自身经 营模式、盈利 水平以及是 否有重大资 产支出安排 等因素，根据 上述原则提 出当年利润 分配方案。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杭州磐鸿投 资管理合伙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杭州磐源 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杨一</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、承诺方及 其控股、参股 企业不以任 何形式从事 或参与对公 司主营业务 构成或可能 构成直接或 间接竞争关 系的业务，即 不在任何时 间、任何地方 以任何方式</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（包括但不 限于投资、收 购、合营、联 营、承包、租 赁经营或其 他拥有股份、 权益方式）从 事对公司主 营业务构成 或可能构成 直接或间接 竞争关系的 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 诺方及其控 股、参股企业 知悉其拟开 展的某项业 务中存在对 公司主营业 务构成或可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能构成直接 或间接竞争 的情形，承诺 方及其控股、 参股企业将 立即并毫无 保留的将该 项业务情况 书面通知公 司，同时尽力 促使公司对 该项业务拥 有优先权，除 非公司明确 表示放弃该 项业务；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如出现承诺 方及其控股、 参股企业从 事、参与或投 资与公司主 营业务构成 或可能构成 直接或间接 竞争关系的 业务或项目 的情形，公司 有权要求承 诺方及其控 股、参股企业 停止上述竞 争业务，或停 止投资相关 企业或项目， 并有权优先 收购相关业 务或项目资 产、投资权益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杭州磐源投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股份增持承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公司股票发 行上市后三 年内出现公 司股票连续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 的收盘价低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于最近一期 每股净资产 的情况，且满 足监管机构 对于回购、增 持公司股份 等行为的规 定，则触发公 司公司控股 股东履行稳 定公司股价 的义务（以下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触发稳 定股价义务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）。于触发稳 定股价义务 之日起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交易日内，通 过增持公司 股份的方式 以稳定公司 股价，并向公 司送达增持 公司股票书 面通知，增持 通知书应包 括增持股份 数量、增持价 格、增持期 限、增持目标 及其他有关 增持的内容。 公司控股股 东应于触发 稳定股价义 务之日起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个 月内以不少 于人民币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万元资 金增持股份， 但股票收盘 价连续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 交易日高于 最近一期经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审计的每股 净资产，则控 股股东可中 止实施增持 计划。公司股 票上市后每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个月内，公 司控股股东 因''触发稳定 股价义务''而 增持公司股 票的累计投 入金额不超 过人民币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 控股股东因 其他原因自 愿增持公司 股票的，不受 本条款限制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上海量金资 产管理有限 公司、常州投 资集团有限 公司、核心资 本管理（杭 州）有限公 司、浙江省发 展资产经营 有限公司、传 化控股集团 有限公司、浙 江中大集团 投资有限公 司、李圣锦、 津联（天津） 资产管理有 限公司、解光 玖、杭州韶夏 瑟茎投资管 理合伙企业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伙）、潘旭虹、 倪佳燕、大成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非公开发行 的股份自本 次发行结束 之日起六个 月内不得转 让，可上市流 通时间为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日（如遇非 交易日则顺 延）。本次发 行结束后，在 上述股份限 售期内，因公 司送红股、转 增股本等原 因增加的股 份自股份登 记之日起锁 定，并与上述 股份同时解 锁。限售期结 束后，发行对 象持有的本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基金管理有 限公司、上汽 颀臻（上海） 资产管理有 限公司、刘会 召、中信证券 股份有限公 司、太平洋资 产管理有限 责任公司、中 国银河证券 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次认购的股 份将按照中 国证监会和 深圳证券交 易所的有关 规定执行限 售要求。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蔡钰如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曹洁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陈军兵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戴泽 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傅烈勇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洪 伟荣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 洪明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陶 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夏红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杨一兵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张雪 峰漳逸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为填补公司 本次发行可 能导致的投 资者即期回 报减少，保障 公司填补回 报措施能够 得到切实履 行，公司董 事、高级管理 人员承诺如 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 不无偿或以 不公平条件 向其他单位 或者个人输 送利益，也不 采用其他方 式损害公司 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 诺对董事和 高级管理人 员的职务消 费行为进行 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 诺不动用公 司资产从事 与其履行职 责无关的投 资、消费活 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由董事会或 薪酬委员会 制定的薪酬 制度与公司 填补回报措 施的执行情 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承诺拟公布 的公司股权 激励的行权 条件与公司 填补回报措 施的执行情 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本人承诺切 实履行公司 制定的有关 填补即期回 报措施以及 本人对此作 出的任何有 关填补即期 回报措施的 承诺，若本人 违反该等承 诺并给公司 或者投资者 造成损失的， 本人愿意依 法承担对公 司或者投资 者的补偿责 任及监管机 构的相应处 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杭州磐源投 资有限公司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杨一兵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为填补公司</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本次发行可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能导致的投</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资者即期回</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报减少，保证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公司填补被</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摊薄即期回</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报措施能够</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得到切实履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91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行，公司控股 股东、实际控 制人承诺如 下：针对本次 非公开发行 股票摊薄即 期回报的风 险，作为填补 回报措施相 关责任主体 之一，承诺不 越权干预公 司经营管理 活动，不侵占 公司利益。若 违反上述承 诺或拒不履 行上述承诺， 同意中国证 监会和深圳 证券交易所 等证券监管 机构按照其 制定或发布 的有关规定、 规则作出相 关处罚或采 取相关管理 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26"/>
        <w:keepNext/>
        <w:keepLines/>
        <w:widowControl w:val="0"/>
        <w:shd w:val="clear" w:color="auto" w:fill="auto"/>
        <w:bidi w:val="0"/>
        <w:spacing w:before="0" w:after="380" w:line="317" w:lineRule="exact"/>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、公司资产或项目存在盈利预测，且报告期仍处在盈利预测期间，公司就资产或项目达到原盈利预测及 其原因做出说明</w:t>
      </w:r>
      <w:bookmarkEnd w:id="447"/>
      <w:bookmarkEnd w:id="448"/>
      <w:bookmarkEnd w:id="450"/>
    </w:p>
    <w:p>
      <w:pPr>
        <w:pStyle w:val="Style1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二</w:t>
      </w:r>
      <w:bookmarkEnd w:id="453"/>
      <w:r>
        <w:rPr>
          <w:color w:val="000000"/>
          <w:spacing w:val="0"/>
          <w:w w:val="100"/>
          <w:position w:val="0"/>
        </w:rPr>
        <w:t>、</w:t>
        <w:tab/>
        <w:t>控股股东及其他关联方对上市公司的非经营性占用资金情况</w:t>
      </w:r>
      <w:bookmarkEnd w:id="451"/>
      <w:bookmarkEnd w:id="452"/>
      <w:bookmarkEnd w:id="454"/>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22" w:val="left"/>
        </w:tabs>
        <w:bidi w:val="0"/>
        <w:spacing w:before="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三</w:t>
      </w:r>
      <w:bookmarkEnd w:id="457"/>
      <w:r>
        <w:rPr>
          <w:color w:val="000000"/>
          <w:spacing w:val="0"/>
          <w:w w:val="100"/>
          <w:position w:val="0"/>
        </w:rPr>
        <w:t>、</w:t>
        <w:tab/>
        <w:t>违规对外担保情况</w:t>
      </w:r>
      <w:bookmarkEnd w:id="455"/>
      <w:bookmarkEnd w:id="456"/>
      <w:bookmarkEnd w:id="458"/>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1"/>
        <w:keepNext/>
        <w:keepLines/>
        <w:widowControl w:val="0"/>
        <w:shd w:val="clear" w:color="auto" w:fill="auto"/>
        <w:tabs>
          <w:tab w:pos="522" w:val="left"/>
        </w:tabs>
        <w:bidi w:val="0"/>
        <w:spacing w:before="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四</w:t>
      </w:r>
      <w:bookmarkEnd w:id="461"/>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59"/>
      <w:bookmarkEnd w:id="460"/>
      <w:bookmarkEnd w:id="462"/>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五</w:t>
      </w:r>
      <w:bookmarkEnd w:id="465"/>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63"/>
      <w:bookmarkEnd w:id="464"/>
      <w:bookmarkEnd w:id="466"/>
    </w:p>
    <w:p>
      <w:pPr>
        <w:pStyle w:val="Style17"/>
        <w:keepNext w:val="0"/>
        <w:keepLines w:val="0"/>
        <w:widowControl w:val="0"/>
        <w:numPr>
          <w:ilvl w:val="0"/>
          <w:numId w:val="7"/>
        </w:numPr>
        <w:shd w:val="clear" w:color="auto" w:fill="auto"/>
        <w:tabs>
          <w:tab w:pos="282" w:val="left"/>
        </w:tabs>
        <w:bidi w:val="0"/>
        <w:spacing w:before="0" w:after="360" w:line="240" w:lineRule="auto"/>
        <w:ind w:left="0" w:right="0" w:firstLine="0"/>
        <w:jc w:val="left"/>
      </w:pPr>
      <w:bookmarkStart w:id="467" w:name="bookmark467"/>
      <w:bookmarkEnd w:id="46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22" w:val="left"/>
        </w:tabs>
        <w:bidi w:val="0"/>
        <w:spacing w:before="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六</w:t>
      </w:r>
      <w:bookmarkEnd w:id="470"/>
      <w:r>
        <w:rPr>
          <w:color w:val="000000"/>
          <w:spacing w:val="0"/>
          <w:w w:val="100"/>
          <w:position w:val="0"/>
        </w:rPr>
        <w:t>、</w:t>
        <w:tab/>
        <w:t>董事会关于报告期会计政策、会计估计变更或重大会计差错更正的说明</w:t>
      </w:r>
      <w:bookmarkEnd w:id="468"/>
      <w:bookmarkEnd w:id="469"/>
      <w:bookmarkEnd w:id="471"/>
    </w:p>
    <w:p>
      <w:pPr>
        <w:pStyle w:val="Style17"/>
        <w:keepNext w:val="0"/>
        <w:keepLines w:val="0"/>
        <w:widowControl w:val="0"/>
        <w:numPr>
          <w:ilvl w:val="0"/>
          <w:numId w:val="7"/>
        </w:numPr>
        <w:shd w:val="clear" w:color="auto" w:fill="auto"/>
        <w:tabs>
          <w:tab w:pos="282" w:val="left"/>
        </w:tabs>
        <w:bidi w:val="0"/>
        <w:spacing w:before="0" w:after="360" w:line="240" w:lineRule="auto"/>
        <w:ind w:left="0" w:right="0" w:firstLine="0"/>
        <w:jc w:val="left"/>
      </w:pPr>
      <w:bookmarkStart w:id="472" w:name="bookmark472"/>
      <w:bookmarkEnd w:id="47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22" w:val="left"/>
        </w:tabs>
        <w:bidi w:val="0"/>
        <w:spacing w:before="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七</w:t>
      </w:r>
      <w:bookmarkEnd w:id="475"/>
      <w:r>
        <w:rPr>
          <w:color w:val="000000"/>
          <w:spacing w:val="0"/>
          <w:w w:val="100"/>
          <w:position w:val="0"/>
        </w:rPr>
        <w:t>、</w:t>
        <w:tab/>
        <w:t>与上年度财务报告相比，合并报表范围发生变化的情况说明</w:t>
      </w:r>
      <w:bookmarkEnd w:id="473"/>
      <w:bookmarkEnd w:id="474"/>
      <w:bookmarkEnd w:id="476"/>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40"/>
        <w:keepNext w:val="0"/>
        <w:keepLines w:val="0"/>
        <w:widowControl w:val="0"/>
        <w:shd w:val="clear" w:color="auto" w:fill="auto"/>
        <w:bidi w:val="0"/>
        <w:spacing w:before="0"/>
        <w:ind w:left="0" w:right="0" w:firstLine="0"/>
        <w:jc w:val="left"/>
      </w:pPr>
      <w:r>
        <w:rPr>
          <w:color w:val="000000"/>
          <w:spacing w:val="0"/>
          <w:w w:val="100"/>
          <w:position w:val="0"/>
        </w:rPr>
        <w:t>报告期内，公司纳入合并范围子公司发生变动，减少赣州和仁子公司、和仁湘雅子公司。合并范围变更主体的 具体信息详见本报告</w:t>
      </w:r>
      <w:r>
        <w:rPr>
          <w:rFonts w:ascii="Times New Roman" w:eastAsia="Times New Roman" w:hAnsi="Times New Roman" w:cs="Times New Roman"/>
          <w:color w:val="000000"/>
          <w:spacing w:val="0"/>
          <w:w w:val="100"/>
          <w:position w:val="0"/>
        </w:rPr>
        <w:t>"</w:t>
      </w:r>
      <w:r>
        <w:rPr>
          <w:color w:val="000000"/>
          <w:spacing w:val="0"/>
          <w:w w:val="100"/>
          <w:position w:val="0"/>
        </w:rPr>
        <w:t>第十二节财务报告</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1"/>
        <w:keepNext/>
        <w:keepLines/>
        <w:widowControl w:val="0"/>
        <w:shd w:val="clear" w:color="auto" w:fill="auto"/>
        <w:tabs>
          <w:tab w:pos="522" w:val="left"/>
        </w:tabs>
        <w:bidi w:val="0"/>
        <w:spacing w:before="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八</w:t>
      </w:r>
      <w:bookmarkEnd w:id="479"/>
      <w:r>
        <w:rPr>
          <w:color w:val="000000"/>
          <w:spacing w:val="0"/>
          <w:w w:val="100"/>
          <w:position w:val="0"/>
        </w:rPr>
        <w:t>、</w:t>
        <w:tab/>
        <w:t>聘任、解聘会计师事务所情况</w:t>
      </w:r>
      <w:bookmarkEnd w:id="477"/>
      <w:bookmarkEnd w:id="478"/>
      <w:bookmarkEnd w:id="480"/>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郑俭、吴传淼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p>
        </w:tc>
      </w:tr>
    </w:tbl>
    <w:p>
      <w:pPr>
        <w:widowControl w:val="0"/>
        <w:spacing w:after="13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rPr>
        <w:t>九</w:t>
      </w:r>
      <w:bookmarkEnd w:id="483"/>
      <w:r>
        <w:rPr>
          <w:color w:val="000000"/>
          <w:spacing w:val="0"/>
          <w:w w:val="100"/>
          <w:position w:val="0"/>
        </w:rPr>
        <w:t>、年度报告披露后面临退市情况</w:t>
      </w:r>
      <w:bookmarkEnd w:id="481"/>
      <w:bookmarkEnd w:id="482"/>
      <w:bookmarkEnd w:id="484"/>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r>
        <w:rPr>
          <w:color w:val="000000"/>
          <w:spacing w:val="0"/>
          <w:w w:val="100"/>
          <w:position w:val="0"/>
        </w:rPr>
        <w:t>十、破产重整相关事项</w:t>
      </w:r>
      <w:bookmarkEnd w:id="485"/>
      <w:bookmarkEnd w:id="486"/>
      <w:bookmarkEnd w:id="487"/>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line="240" w:lineRule="auto"/>
        <w:ind w:left="0" w:right="0" w:firstLine="0"/>
        <w:jc w:val="left"/>
      </w:pPr>
      <w:bookmarkStart w:id="488" w:name="bookmark488"/>
      <w:bookmarkStart w:id="489" w:name="bookmark489"/>
      <w:bookmarkStart w:id="490" w:name="bookmark490"/>
      <w:r>
        <w:rPr>
          <w:color w:val="000000"/>
          <w:spacing w:val="0"/>
          <w:w w:val="100"/>
          <w:position w:val="0"/>
        </w:rPr>
        <w:t>十一、重大诉讼、仲裁事项</w:t>
      </w:r>
      <w:bookmarkEnd w:id="488"/>
      <w:bookmarkEnd w:id="489"/>
      <w:bookmarkEnd w:id="490"/>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59"/>
        <w:gridCol w:w="1085"/>
        <w:gridCol w:w="1267"/>
        <w:gridCol w:w="950"/>
        <w:gridCol w:w="1397"/>
        <w:gridCol w:w="1262"/>
        <w:gridCol w:w="1080"/>
        <w:gridCol w:w="10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60" w:right="0" w:hanging="26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和仁科技诉江苏 晓山信息产业股 份有限公司、锡山 区重点工程办公 室等建设工程合 同纠纷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苏</w:t>
            </w:r>
            <w:r>
              <w:rPr>
                <w:rFonts w:ascii="Times New Roman" w:eastAsia="Times New Roman" w:hAnsi="Times New Roman" w:cs="Times New Roman"/>
                <w:color w:val="000000"/>
                <w:spacing w:val="0"/>
                <w:w w:val="100"/>
                <w:position w:val="0"/>
                <w:sz w:val="18"/>
                <w:szCs w:val="18"/>
              </w:rPr>
              <w:t>0205</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 xml:space="preserve">5266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支持部分诉讼请 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根据生效调解</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书及合同约定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支付欠款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10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详见披露于 巨潮资讯网 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.cninfo.com.c 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年度报告》</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 年度报告》</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度报告》</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甘肃安数信息科 技有限公司诉和 仁科技买卖合同 纠纷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）甘 </w:t>
            </w:r>
            <w:r>
              <w:rPr>
                <w:rFonts w:ascii="Times New Roman" w:eastAsia="Times New Roman" w:hAnsi="Times New Roman" w:cs="Times New Roman"/>
                <w:color w:val="000000"/>
                <w:spacing w:val="0"/>
                <w:w w:val="100"/>
                <w:position w:val="0"/>
                <w:sz w:val="18"/>
                <w:szCs w:val="18"/>
              </w:rPr>
              <w:t>0102</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3215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原告错误诉讼并 无条件撤诉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无需执行项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详见披露于 巨潮资讯网 的</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.cninfO.com.c 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年度报告》</w:t>
            </w: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left"/>
      </w:pPr>
      <w:bookmarkStart w:id="491" w:name="bookmark491"/>
      <w:bookmarkStart w:id="492" w:name="bookmark492"/>
      <w:bookmarkStart w:id="493" w:name="bookmark493"/>
      <w:r>
        <w:rPr>
          <w:color w:val="000000"/>
          <w:spacing w:val="0"/>
          <w:w w:val="100"/>
          <w:position w:val="0"/>
        </w:rPr>
        <w:t>十二、处罚及整改情况</w:t>
      </w:r>
      <w:bookmarkEnd w:id="491"/>
      <w:bookmarkEnd w:id="492"/>
      <w:bookmarkEnd w:id="493"/>
    </w:p>
    <w:p>
      <w:pPr>
        <w:pStyle w:val="Style17"/>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494" w:name="bookmark494"/>
      <w:bookmarkEnd w:id="49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line="240" w:lineRule="auto"/>
        <w:ind w:left="0" w:right="0" w:firstLine="0"/>
        <w:jc w:val="left"/>
      </w:pPr>
      <w:bookmarkStart w:id="495" w:name="bookmark495"/>
      <w:bookmarkStart w:id="496" w:name="bookmark496"/>
      <w:bookmarkStart w:id="497" w:name="bookmark497"/>
      <w:r>
        <w:rPr>
          <w:color w:val="000000"/>
          <w:spacing w:val="0"/>
          <w:w w:val="100"/>
          <w:position w:val="0"/>
        </w:rPr>
        <w:t>十三、公司及其控股股东、实际控制人的诚信状况</w:t>
      </w:r>
      <w:bookmarkEnd w:id="495"/>
      <w:bookmarkEnd w:id="496"/>
      <w:bookmarkEnd w:id="497"/>
    </w:p>
    <w:p>
      <w:pPr>
        <w:pStyle w:val="Style17"/>
        <w:keepNext w:val="0"/>
        <w:keepLines w:val="0"/>
        <w:widowControl w:val="0"/>
        <w:numPr>
          <w:ilvl w:val="0"/>
          <w:numId w:val="7"/>
        </w:numPr>
        <w:shd w:val="clear" w:color="auto" w:fill="auto"/>
        <w:tabs>
          <w:tab w:pos="282" w:val="left"/>
        </w:tabs>
        <w:bidi w:val="0"/>
        <w:spacing w:before="0" w:after="360" w:line="240" w:lineRule="auto"/>
        <w:ind w:left="0" w:right="0" w:firstLine="0"/>
        <w:jc w:val="left"/>
      </w:pPr>
      <w:bookmarkStart w:id="498" w:name="bookmark498"/>
      <w:bookmarkEnd w:id="49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1"/>
        <w:keepNext/>
        <w:keepLines/>
        <w:widowControl w:val="0"/>
        <w:shd w:val="clear" w:color="auto" w:fill="auto"/>
        <w:bidi w:val="0"/>
        <w:spacing w:before="0" w:line="240" w:lineRule="auto"/>
        <w:ind w:left="0" w:right="0" w:firstLine="0"/>
        <w:jc w:val="both"/>
      </w:pPr>
      <w:bookmarkStart w:id="499" w:name="bookmark499"/>
      <w:bookmarkStart w:id="500" w:name="bookmark500"/>
      <w:bookmarkStart w:id="501" w:name="bookmark501"/>
      <w:r>
        <w:rPr>
          <w:color w:val="000000"/>
          <w:spacing w:val="0"/>
          <w:w w:val="100"/>
          <w:position w:val="0"/>
        </w:rPr>
        <w:t>十四、重大关联交易</w:t>
      </w:r>
      <w:bookmarkEnd w:id="499"/>
      <w:bookmarkEnd w:id="500"/>
      <w:bookmarkEnd w:id="501"/>
    </w:p>
    <w:p>
      <w:pPr>
        <w:pStyle w:val="Style26"/>
        <w:keepNext/>
        <w:keepLines/>
        <w:widowControl w:val="0"/>
        <w:shd w:val="clear" w:color="auto" w:fill="auto"/>
        <w:bidi w:val="0"/>
        <w:spacing w:before="0" w:line="240" w:lineRule="auto"/>
        <w:ind w:left="0" w:right="0" w:firstLine="0"/>
        <w:jc w:val="both"/>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1</w:t>
      </w:r>
      <w:bookmarkEnd w:id="504"/>
      <w:r>
        <w:rPr>
          <w:color w:val="000000"/>
          <w:spacing w:val="0"/>
          <w:w w:val="100"/>
          <w:position w:val="0"/>
        </w:rPr>
        <w:t>、与日常经营相关的关联交易</w:t>
      </w:r>
      <w:bookmarkEnd w:id="502"/>
      <w:bookmarkEnd w:id="503"/>
      <w:bookmarkEnd w:id="505"/>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易金额 （万</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占同类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额的比</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过获批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中原和仁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联营企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经常性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参照市 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货币资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详见巨 潮资讯 网</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r>
              <w:rPr>
                <w:color w:val="000000"/>
                <w:spacing w:val="0"/>
                <w:w w:val="100"/>
                <w:position w:val="0"/>
              </w:rPr>
              <w:t>）</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《关于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度日常 关联交 易预计 的公 告》（公 告编 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867.92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2</w:t>
      </w:r>
      <w:bookmarkEnd w:id="508"/>
      <w:r>
        <w:rPr>
          <w:color w:val="000000"/>
          <w:spacing w:val="0"/>
          <w:w w:val="100"/>
          <w:position w:val="0"/>
        </w:rPr>
        <w:t>、资产或股权收购、出售发生的关联交易</w:t>
      </w:r>
      <w:bookmarkEnd w:id="506"/>
      <w:bookmarkEnd w:id="507"/>
      <w:bookmarkEnd w:id="509"/>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公司报告期未发生资产或股权收购、出售的关联交易。</w:t>
      </w:r>
    </w:p>
    <w:p>
      <w:pPr>
        <w:pStyle w:val="Style26"/>
        <w:keepNext/>
        <w:keepLines/>
        <w:widowControl w:val="0"/>
        <w:shd w:val="clear" w:color="auto" w:fill="auto"/>
        <w:bidi w:val="0"/>
        <w:spacing w:before="0" w:line="240" w:lineRule="auto"/>
        <w:ind w:left="0" w:right="0" w:firstLine="0"/>
        <w:jc w:val="both"/>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3</w:t>
      </w:r>
      <w:bookmarkEnd w:id="512"/>
      <w:r>
        <w:rPr>
          <w:color w:val="000000"/>
          <w:spacing w:val="0"/>
          <w:w w:val="100"/>
          <w:position w:val="0"/>
        </w:rPr>
        <w:t>、共同对外投资的关联交易</w:t>
      </w:r>
      <w:bookmarkEnd w:id="510"/>
      <w:bookmarkEnd w:id="511"/>
      <w:bookmarkEnd w:id="513"/>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85"/>
        <w:gridCol w:w="1070"/>
        <w:gridCol w:w="1080"/>
        <w:gridCol w:w="1224"/>
        <w:gridCol w:w="1080"/>
        <w:gridCol w:w="1349"/>
        <w:gridCol w:w="1349"/>
        <w:gridCol w:w="134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被投资企业的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被投资企业的总 资产（万元）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利润（万元）</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中原和仁公 司、河南济云 智慧科技有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济源和仁健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康科技有限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软件开发；远 程健康管理服 务；数据处理 和存储支持服 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被投资企业的重大在建项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6"/>
        <w:keepNext/>
        <w:keepLines/>
        <w:widowControl w:val="0"/>
        <w:shd w:val="clear" w:color="auto" w:fill="auto"/>
        <w:tabs>
          <w:tab w:pos="378" w:val="left"/>
        </w:tabs>
        <w:bidi w:val="0"/>
        <w:spacing w:before="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4</w:t>
      </w:r>
      <w:bookmarkEnd w:id="516"/>
      <w:r>
        <w:rPr>
          <w:color w:val="000000"/>
          <w:spacing w:val="0"/>
          <w:w w:val="100"/>
          <w:position w:val="0"/>
        </w:rPr>
        <w:t>、</w:t>
        <w:tab/>
        <w:t>关联债权债务往来</w:t>
      </w:r>
      <w:bookmarkEnd w:id="514"/>
      <w:bookmarkEnd w:id="515"/>
      <w:bookmarkEnd w:id="517"/>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公司报告期不存在非经营性关联债权债务往来。</w:t>
      </w:r>
    </w:p>
    <w:p>
      <w:pPr>
        <w:pStyle w:val="Style26"/>
        <w:keepNext/>
        <w:keepLines/>
        <w:widowControl w:val="0"/>
        <w:shd w:val="clear" w:color="auto" w:fill="auto"/>
        <w:tabs>
          <w:tab w:pos="378" w:val="left"/>
        </w:tabs>
        <w:bidi w:val="0"/>
        <w:spacing w:before="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5</w:t>
      </w:r>
      <w:bookmarkEnd w:id="520"/>
      <w:r>
        <w:rPr>
          <w:color w:val="000000"/>
          <w:spacing w:val="0"/>
          <w:w w:val="100"/>
          <w:position w:val="0"/>
        </w:rPr>
        <w:t>、</w:t>
        <w:tab/>
        <w:t>与存在关联关系的财务公司的往来情况</w:t>
      </w:r>
      <w:bookmarkEnd w:id="518"/>
      <w:bookmarkEnd w:id="519"/>
      <w:bookmarkEnd w:id="521"/>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6"/>
        <w:keepNext/>
        <w:keepLines/>
        <w:widowControl w:val="0"/>
        <w:shd w:val="clear" w:color="auto" w:fill="auto"/>
        <w:tabs>
          <w:tab w:pos="378" w:val="left"/>
        </w:tabs>
        <w:bidi w:val="0"/>
        <w:spacing w:before="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6</w:t>
      </w:r>
      <w:bookmarkEnd w:id="524"/>
      <w:r>
        <w:rPr>
          <w:color w:val="000000"/>
          <w:spacing w:val="0"/>
          <w:w w:val="100"/>
          <w:position w:val="0"/>
        </w:rPr>
        <w:t>、</w:t>
        <w:tab/>
        <w:t>公司控股的财务公司与关联方的往来情况</w:t>
      </w:r>
      <w:bookmarkEnd w:id="522"/>
      <w:bookmarkEnd w:id="523"/>
      <w:bookmarkEnd w:id="525"/>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26"/>
        <w:keepNext/>
        <w:keepLines/>
        <w:widowControl w:val="0"/>
        <w:shd w:val="clear" w:color="auto" w:fill="auto"/>
        <w:tabs>
          <w:tab w:pos="373" w:val="left"/>
        </w:tabs>
        <w:bidi w:val="0"/>
        <w:spacing w:before="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7</w:t>
      </w:r>
      <w:bookmarkEnd w:id="528"/>
      <w:r>
        <w:rPr>
          <w:color w:val="000000"/>
          <w:spacing w:val="0"/>
          <w:w w:val="100"/>
          <w:position w:val="0"/>
        </w:rPr>
        <w:t>、</w:t>
        <w:tab/>
        <w:t>其他重大关联交易</w:t>
      </w:r>
      <w:bookmarkEnd w:id="526"/>
      <w:bookmarkEnd w:id="527"/>
      <w:bookmarkEnd w:id="529"/>
    </w:p>
    <w:p>
      <w:pPr>
        <w:pStyle w:val="Style17"/>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30" w:name="bookmark530"/>
      <w:bookmarkEnd w:id="53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1"/>
        <w:keepNext/>
        <w:keepLines/>
        <w:widowControl w:val="0"/>
        <w:shd w:val="clear" w:color="auto" w:fill="auto"/>
        <w:bidi w:val="0"/>
        <w:spacing w:before="0" w:line="240" w:lineRule="auto"/>
        <w:ind w:left="0" w:right="0" w:firstLine="0"/>
        <w:jc w:val="left"/>
      </w:pPr>
      <w:bookmarkStart w:id="531" w:name="bookmark531"/>
      <w:bookmarkStart w:id="532" w:name="bookmark532"/>
      <w:bookmarkStart w:id="533" w:name="bookmark533"/>
      <w:r>
        <w:rPr>
          <w:color w:val="000000"/>
          <w:spacing w:val="0"/>
          <w:w w:val="100"/>
          <w:position w:val="0"/>
        </w:rPr>
        <w:t>十五、重大合同及其履行情况</w:t>
      </w:r>
      <w:bookmarkEnd w:id="531"/>
      <w:bookmarkEnd w:id="532"/>
      <w:bookmarkEnd w:id="533"/>
    </w:p>
    <w:p>
      <w:pPr>
        <w:pStyle w:val="Style26"/>
        <w:keepNext/>
        <w:keepLines/>
        <w:widowControl w:val="0"/>
        <w:shd w:val="clear" w:color="auto" w:fill="auto"/>
        <w:bidi w:val="0"/>
        <w:spacing w:before="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1</w:t>
      </w:r>
      <w:bookmarkEnd w:id="536"/>
      <w:r>
        <w:rPr>
          <w:color w:val="000000"/>
          <w:spacing w:val="0"/>
          <w:w w:val="100"/>
          <w:position w:val="0"/>
        </w:rPr>
        <w:t>、托管、承包、租赁事项情况</w:t>
      </w:r>
      <w:bookmarkEnd w:id="534"/>
      <w:bookmarkEnd w:id="535"/>
      <w:bookmarkEnd w:id="537"/>
    </w:p>
    <w:p>
      <w:pPr>
        <w:pStyle w:val="Style31"/>
        <w:keepNext/>
        <w:keepLines/>
        <w:widowControl w:val="0"/>
        <w:shd w:val="clear" w:color="auto" w:fill="auto"/>
        <w:bidi w:val="0"/>
        <w:spacing w:before="0" w:after="36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w:t>
      </w:r>
      <w:bookmarkEnd w:id="540"/>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38"/>
      <w:bookmarkEnd w:id="539"/>
      <w:bookmarkEnd w:id="541"/>
    </w:p>
    <w:p>
      <w:pPr>
        <w:pStyle w:val="Style17"/>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42" w:name="bookmark542"/>
      <w:bookmarkEnd w:id="54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1"/>
        <w:keepNext/>
        <w:keepLines/>
        <w:widowControl w:val="0"/>
        <w:shd w:val="clear" w:color="auto" w:fill="auto"/>
        <w:tabs>
          <w:tab w:pos="493" w:val="left"/>
        </w:tabs>
        <w:bidi w:val="0"/>
        <w:spacing w:before="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rPr>
        <w:t>（</w:t>
      </w:r>
      <w:bookmarkEnd w:id="54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43"/>
      <w:bookmarkEnd w:id="544"/>
      <w:bookmarkEnd w:id="546"/>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1"/>
        <w:keepNext/>
        <w:keepLines/>
        <w:widowControl w:val="0"/>
        <w:shd w:val="clear" w:color="auto" w:fill="auto"/>
        <w:tabs>
          <w:tab w:pos="493" w:val="left"/>
        </w:tabs>
        <w:bidi w:val="0"/>
        <w:spacing w:before="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w:t>
      </w:r>
      <w:bookmarkEnd w:id="54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47"/>
      <w:bookmarkEnd w:id="548"/>
      <w:bookmarkEnd w:id="550"/>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租赁情况说明</w:t>
      </w:r>
    </w:p>
    <w:p>
      <w:pPr>
        <w:pStyle w:val="Style17"/>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本报告期，公司将位于杭州市滨江区新联路</w:t>
      </w: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号的部分房产用于出租。</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6"/>
        <w:keepNext/>
        <w:keepLines/>
        <w:widowControl w:val="0"/>
        <w:shd w:val="clear" w:color="auto" w:fill="auto"/>
        <w:tabs>
          <w:tab w:pos="378" w:val="left"/>
        </w:tabs>
        <w:bidi w:val="0"/>
        <w:spacing w:before="0" w:after="38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2</w:t>
      </w:r>
      <w:bookmarkEnd w:id="553"/>
      <w:r>
        <w:rPr>
          <w:color w:val="000000"/>
          <w:spacing w:val="0"/>
          <w:w w:val="100"/>
          <w:position w:val="0"/>
        </w:rPr>
        <w:t>、</w:t>
        <w:tab/>
        <w:t>重大担保</w:t>
      </w:r>
      <w:bookmarkEnd w:id="551"/>
      <w:bookmarkEnd w:id="552"/>
      <w:bookmarkEnd w:id="554"/>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26"/>
        <w:keepNext/>
        <w:keepLines/>
        <w:widowControl w:val="0"/>
        <w:shd w:val="clear" w:color="auto" w:fill="auto"/>
        <w:tabs>
          <w:tab w:pos="378" w:val="left"/>
        </w:tabs>
        <w:bidi w:val="0"/>
        <w:spacing w:before="0" w:after="38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3</w:t>
      </w:r>
      <w:bookmarkEnd w:id="557"/>
      <w:r>
        <w:rPr>
          <w:color w:val="000000"/>
          <w:spacing w:val="0"/>
          <w:w w:val="100"/>
          <w:position w:val="0"/>
        </w:rPr>
        <w:t>、</w:t>
        <w:tab/>
        <w:t>委托他人进行现金资产管理情况</w:t>
      </w:r>
      <w:bookmarkEnd w:id="555"/>
      <w:bookmarkEnd w:id="556"/>
      <w:bookmarkEnd w:id="558"/>
    </w:p>
    <w:p>
      <w:pPr>
        <w:pStyle w:val="Style31"/>
        <w:keepNext/>
        <w:keepLines/>
        <w:widowControl w:val="0"/>
        <w:shd w:val="clear" w:color="auto" w:fill="auto"/>
        <w:bidi w:val="0"/>
        <w:spacing w:before="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w:t>
      </w:r>
      <w:bookmarkEnd w:id="56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59"/>
      <w:bookmarkEnd w:id="560"/>
      <w:bookmarkEnd w:id="562"/>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单项金额重大或安全性较低、流动性较差的高风险委托理财具体情况</w:t>
      </w:r>
    </w:p>
    <w:p>
      <w:pPr>
        <w:pStyle w:val="Style17"/>
        <w:keepNext w:val="0"/>
        <w:keepLines w:val="0"/>
        <w:widowControl w:val="0"/>
        <w:numPr>
          <w:ilvl w:val="0"/>
          <w:numId w:val="7"/>
        </w:numPr>
        <w:shd w:val="clear" w:color="auto" w:fill="auto"/>
        <w:tabs>
          <w:tab w:pos="283" w:val="left"/>
        </w:tabs>
        <w:bidi w:val="0"/>
        <w:spacing w:before="0" w:after="140" w:line="240" w:lineRule="auto"/>
        <w:ind w:left="0" w:right="0" w:firstLine="0"/>
        <w:jc w:val="left"/>
      </w:pPr>
      <w:bookmarkStart w:id="563" w:name="bookmark563"/>
      <w:bookmarkEnd w:id="56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17"/>
        <w:keepNext w:val="0"/>
        <w:keepLines w:val="0"/>
        <w:widowControl w:val="0"/>
        <w:numPr>
          <w:ilvl w:val="0"/>
          <w:numId w:val="7"/>
        </w:numPr>
        <w:shd w:val="clear" w:color="auto" w:fill="auto"/>
        <w:tabs>
          <w:tab w:pos="283" w:val="left"/>
          <w:tab w:pos="728" w:val="left"/>
        </w:tabs>
        <w:bidi w:val="0"/>
        <w:spacing w:before="0" w:after="380" w:line="240" w:lineRule="auto"/>
        <w:ind w:left="0" w:right="0" w:firstLine="0"/>
        <w:jc w:val="left"/>
      </w:pPr>
      <w:bookmarkStart w:id="564" w:name="bookmark564"/>
      <w:bookmarkEnd w:id="564"/>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w:t>
      </w:r>
      <w:bookmarkEnd w:id="56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65"/>
      <w:bookmarkEnd w:id="566"/>
      <w:bookmarkEnd w:id="568"/>
    </w:p>
    <w:p>
      <w:pPr>
        <w:pStyle w:val="Style17"/>
        <w:keepNext w:val="0"/>
        <w:keepLines w:val="0"/>
        <w:widowControl w:val="0"/>
        <w:numPr>
          <w:ilvl w:val="0"/>
          <w:numId w:val="7"/>
        </w:numPr>
        <w:shd w:val="clear" w:color="auto" w:fill="auto"/>
        <w:tabs>
          <w:tab w:pos="283" w:val="left"/>
          <w:tab w:pos="728" w:val="left"/>
        </w:tabs>
        <w:bidi w:val="0"/>
        <w:spacing w:before="0" w:after="140" w:line="240" w:lineRule="auto"/>
        <w:ind w:left="0" w:right="0" w:firstLine="0"/>
        <w:jc w:val="left"/>
      </w:pPr>
      <w:bookmarkStart w:id="569" w:name="bookmark569"/>
      <w:bookmarkEnd w:id="569"/>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公司报告期不存在委托贷款。</w:t>
      </w:r>
      <w:r>
        <w:br w:type="page"/>
      </w:r>
    </w:p>
    <w:p>
      <w:pPr>
        <w:pStyle w:val="Style26"/>
        <w:keepNext/>
        <w:keepLines/>
        <w:widowControl w:val="0"/>
        <w:shd w:val="clear" w:color="auto" w:fill="auto"/>
        <w:bidi w:val="0"/>
        <w:spacing w:before="0" w:after="38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4</w:t>
      </w:r>
      <w:bookmarkEnd w:id="572"/>
      <w:r>
        <w:rPr>
          <w:color w:val="000000"/>
          <w:spacing w:val="0"/>
          <w:w w:val="100"/>
          <w:position w:val="0"/>
        </w:rPr>
        <w:t>、其他重大合同</w:t>
      </w:r>
      <w:bookmarkEnd w:id="570"/>
      <w:bookmarkEnd w:id="571"/>
      <w:bookmarkEnd w:id="573"/>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80" w:line="240" w:lineRule="auto"/>
        <w:ind w:left="0" w:right="0" w:firstLine="0"/>
        <w:jc w:val="left"/>
      </w:pPr>
      <w:bookmarkStart w:id="574" w:name="bookmark574"/>
      <w:bookmarkStart w:id="575" w:name="bookmark575"/>
      <w:bookmarkStart w:id="576" w:name="bookmark576"/>
      <w:r>
        <w:rPr>
          <w:color w:val="000000"/>
          <w:spacing w:val="0"/>
          <w:w w:val="100"/>
          <w:position w:val="0"/>
        </w:rPr>
        <w:t>十六、其他重大事项的说明</w:t>
      </w:r>
      <w:bookmarkEnd w:id="574"/>
      <w:bookmarkEnd w:id="575"/>
      <w:bookmarkEnd w:id="576"/>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1"/>
        <w:gridCol w:w="4810"/>
        <w:gridCol w:w="181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公告日期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年第一次临时股东大会的法律意见书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和仁科技：关于回购注销部分限制性股票的减资公告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和仁科技：股东关于持有公司股份权益变动超过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和仁科技：关于控股股东及一致行动人减持计划实施完毕的公 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和仁科技：关于控股股东部分股份解除质押及质押延期的公告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和仁科技：关于部分限制性股票回购注销完成的公告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和仁科技：信息披露管理制度（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和仁科技：内幕信息知情人登记管理制度（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和仁科技：关于修改公司章程的公告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和仁科技：公司章程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年年度报告摘要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和仁科技：董事会议事规则（</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和仁科技：独立董事述职报告（黄海）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和仁科技：独立董事述职报告（蔡钰茹）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和仁科技：关于使用闲置自有资金购买理财产品的公告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和仁科技：总经理工作细则（</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和仁科技：重大事项内部报告制度（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和仁科技：关联交易管理制度（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和仁科技：股东大会议事规则（</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和仁科技：对外投资管理制度（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和仁科技：对外担保管理制度（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和仁科技：独立董事工作制度（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和仁科技：浙江和仁科技股份有限公司募集资金年度存放与使 用情况鉴证报告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和仁科技：浙江和仁科技股份有限公司非经营性资金占用及其 他关联资金往来情况的专项审计说明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和仁科技:海通证券股份有限公司关于浙江和仁科技股份有限 公司使用闲置自有资金购买理财产品的核查意见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和仁科技:海通证券股份有限公司关于浙江和仁科技股份有限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061"/>
        <w:gridCol w:w="4810"/>
        <w:gridCol w:w="1810"/>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公司使用闲置募集资金进行现金管理的核查意见</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和仁科技:海通证券股份有限公司关于浙江和仁科技股份有限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年日常关联交易预计的核查意见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和仁科技:海通证券股份有限公司关于浙江和仁科技股份有限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年度内部控制自我评价报告的核查意见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和仁科技:海通证券股份有限公司关于浙江和仁科技股份有限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年度募集资金存放与使用情况的核查意见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和仁科技:海通证券股份有限公司关于浙江和仁科技股份有限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年度跟踪报告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年度股东大会通知的公告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和仁科技：关于续聘会计师事务所的公告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和仁科技：关于修订部分公司治理制度的公告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和仁科技：关于使用闲置募集资金进行现金管理的公告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和仁科技：关于拟对外出租资产的公告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和仁科技：关于举行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年度业绩网上说明会的通知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和仁科技：关于计提资产减值准备以及核销资产的公告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和仁科技：关于会计政策变更的公告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和仁科技：关于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年度募集资金年度存放与使用情况的专项 报告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和仁科技：独立董事述职报告（洪伟荣）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和仁科技：独立董事关于第三届董事会第十三届会议相关事项 的独立意见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和仁科技：独立董事关于第三届董事会第十三次会议相关事项 的事前认可意见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年度内部控制评价报告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年度监事会工作报告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年第一季度报告全文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和仁科技：一季报披露提示性公告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和仁科技：监事会决议公告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和仁科技：董事会决议公告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年年度审计报告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和仁科技：年报披露提示性公告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和仁科技：关于控股股东部分股份解除质押的公告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和仁科技：关于非公开发行限售股份上市流通提示性公告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和仁科技:海通证券股份有限公司关于浙江和仁科技股份有限 公司非公开发行限售股上市流通的核查意见</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bl>
    <w:p>
      <w:pPr>
        <w:sectPr>
          <w:footnotePr>
            <w:pos w:val="pageBottom"/>
            <w:numFmt w:val="decimal"/>
            <w:numRestart w:val="continuous"/>
          </w:footnotePr>
          <w:pgSz w:w="11900" w:h="16840"/>
          <w:pgMar w:top="1398" w:right="646" w:bottom="1451" w:left="828" w:header="0" w:footer="3" w:gutter="0"/>
          <w:cols w:space="720"/>
          <w:noEndnote/>
          <w:rtlGutter w:val="0"/>
          <w:docGrid w:linePitch="360"/>
        </w:sectPr>
      </w:pPr>
    </w:p>
    <w:tbl>
      <w:tblPr>
        <w:tblOverlap w:val="never"/>
        <w:jc w:val="center"/>
        <w:tblLayout w:type="fixed"/>
      </w:tblPr>
      <w:tblGrid>
        <w:gridCol w:w="1061"/>
        <w:gridCol w:w="4810"/>
        <w:gridCol w:w="181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和仁科技：关于完成工商变更登记的公告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和仁科技：关于控股股东部分股份解除质押的公告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和仁科技：关于控股股东部分股份质押的公告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和仁科技：浙江天册律师事务所关于和仁科技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 大会的法律意见书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和仁科技：关于公司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年限制性股票激励计划首次授予的第 三个解锁期及预留授予的第二个解锁期解锁条件成就可解锁 的公告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和仁科技：独立董事关于第三届董事会第十四次会议相关事项 的独立意见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和仁科技：浙江天册律师事务所关于和仁科技</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年度限制性 股票激励计划首次授予的第三个解锁期及预留授予的第二个 解锁期解锁事宜之法律意见书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年限制性股票激励计划首次授予部分第三个解 锁期及预留授予第二个解锁期可解锁激励对象名单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和仁科技：第三届监事会第十四次会议决议公告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和仁科技：第三届董事会第十四次会议决议公告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和仁科技：关于控股股东部分股份质押公告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和仁科技：关于控股股东部分股份解除质押的公告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和仁科技：关于控股股东部分股份解除质押的公告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和仁科技：关于公司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年限制性股票激励计划首次授予的第 三个解锁期及预留授予的第二个解锁期解锁股份上市流通的 提示性公告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年年度权益分派、转增股本实施公告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和仁科技：关于控股股东部分股份解除质押的公告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和仁科技：关于控股股东部分股份质押的公告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年第二次临时股东大会的通知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和仁科技：独立董事关于第三届董事会第十五次会议相关事项 的独立意见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和仁科技：董事会决议公告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和仁科技:海通证券关于浙江和仁科技股份有限公司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 半年定期现场检查报告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和仁科技:海通证券股份有限公司关于浙江和仁科技股份有限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半年度跟踪报告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和仁科技：关于增加注册资本、修改公司章程的公告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和仁科技：关于计提资产减值准备以及核销资产的公告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和仁科技：关于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年半年度募集资金存放与实际使用情况的 专项报告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和仁科技：公司章程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年半年度报告披露提示性公告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061"/>
        <w:gridCol w:w="4810"/>
        <w:gridCol w:w="181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和仁科技：监事会决议公告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年半年度报告摘要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和仁科技：浙江天册律师事务所关于和仁科技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 时股东大会法律意见书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和仁科技：独立董事关于第三届董事会第十六次会议相关事项 的独立意见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年第三次临时股东大会的通知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和仁科技：关于增选副董事长及变更总经理的公告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和仁科技：关于增设副董事长职务并修改公司章程的公告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和仁科技：关于计提资产减值准备以及核销资产的公告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和仁科技：公司章程（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和仁科技：董事会议事规则（</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和仁科技：第三届监事会第十六次会议决议的公告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和仁科技：第三届董事会第十六次会议决议的公告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年三季度报告披露提示性公告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年第三次临时股东大会的法律意见书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和仁科技：关于完成工商变更登记的公告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和仁科技：关于控股股东、实际控制人签署《股份转让协议》 并放弃表决权暨控股股东、实际控制人拟发生变更的提示性公 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和仁科技：关于日常经营合同中标的公告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和仁科技：简式权益变动报告（磐源投资及磐鸿投资）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和仁科技：关于股东权益变动的提示性公告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和仁科技：详式权益变动报告书（科学城（广州）信息科技集 团有限公司）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和仁科技：国泰君安证券股份有限公司关于浙江和仁科技股份 有限公司详式权益变动报告书之财务顾问核查意见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和仁科技：关于对深圳证券交易所关注函的回复公告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和仁科技：关于相关主体不构成一致行动关系的法律意见书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和仁科技：关于已披露日常经营合同签订正式合同的进展公告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和仁科技：第三届监事会第十七次会议决议的公告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和仁科技：关于召开</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年第一次临时股东大会的通知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和仁科技：关于调整限制性股票回购价格的公告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和仁科技：关于调整限制性股票回购价格及回购注销部分限制 性股票的法律意见书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和仁科技：关于减少注册资本、修改公司章程的公告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2114" w:bottom="1609" w:left="2106" w:header="0" w:footer="3" w:gutter="0"/>
          <w:cols w:space="720"/>
          <w:noEndnote/>
          <w:rtlGutter w:val="0"/>
          <w:docGrid w:linePitch="360"/>
        </w:sectPr>
      </w:pPr>
    </w:p>
    <w:tbl>
      <w:tblPr>
        <w:tblOverlap w:val="never"/>
        <w:jc w:val="center"/>
        <w:tblLayout w:type="fixed"/>
      </w:tblPr>
      <w:tblGrid>
        <w:gridCol w:w="1061"/>
        <w:gridCol w:w="4810"/>
        <w:gridCol w:w="181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和仁科技：关于回购注销部分限制性股票的公告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和仁科技：股东大会议事规则（</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和仁科技：公司章程（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和仁科技：独立董事关于第三届董事会第十七次会议相关事项 的独立意见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和仁科技：董事会议事规则（</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和仁科技：第三届董事会第十七次会议决议的公告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659" w:line="1" w:lineRule="exact"/>
      </w:pPr>
    </w:p>
    <w:p>
      <w:pPr>
        <w:pStyle w:val="Style21"/>
        <w:keepNext/>
        <w:keepLines/>
        <w:widowControl w:val="0"/>
        <w:shd w:val="clear" w:color="auto" w:fill="auto"/>
        <w:bidi w:val="0"/>
        <w:spacing w:before="0" w:after="380" w:line="240" w:lineRule="auto"/>
        <w:ind w:left="0" w:right="0" w:firstLine="740"/>
        <w:jc w:val="left"/>
      </w:pPr>
      <w:bookmarkStart w:id="577" w:name="bookmark577"/>
      <w:bookmarkStart w:id="578" w:name="bookmark578"/>
      <w:bookmarkStart w:id="579" w:name="bookmark579"/>
      <w:r>
        <w:rPr>
          <w:color w:val="000000"/>
          <w:spacing w:val="0"/>
          <w:w w:val="100"/>
          <w:position w:val="0"/>
        </w:rPr>
        <w:t>十七、公司子公司重大事项</w:t>
      </w:r>
      <w:bookmarkEnd w:id="577"/>
      <w:bookmarkEnd w:id="578"/>
      <w:bookmarkEnd w:id="579"/>
    </w:p>
    <w:p>
      <w:pPr>
        <w:pStyle w:val="Style17"/>
        <w:keepNext w:val="0"/>
        <w:keepLines w:val="0"/>
        <w:widowControl w:val="0"/>
        <w:shd w:val="clear" w:color="auto" w:fill="auto"/>
        <w:bidi w:val="0"/>
        <w:spacing w:before="0" w:after="140" w:line="240" w:lineRule="auto"/>
        <w:ind w:left="0" w:right="0" w:firstLine="7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740"/>
        <w:jc w:val="left"/>
      </w:pPr>
      <w:r>
        <w:rPr>
          <w:color w:val="000000"/>
          <w:spacing w:val="0"/>
          <w:w w:val="100"/>
          <w:position w:val="0"/>
        </w:rPr>
        <w:t>报告期内，公司因业务战略调整，清算赣州和仁子公司、湖南湘雅子公司，对生产经营及业绩无实质影响;</w:t>
      </w:r>
      <w:r>
        <w:br w:type="page"/>
      </w:r>
    </w:p>
    <w:p>
      <w:pPr>
        <w:pStyle w:val="Style9"/>
        <w:keepNext/>
        <w:keepLines/>
        <w:widowControl w:val="0"/>
        <w:shd w:val="clear" w:color="auto" w:fill="auto"/>
        <w:bidi w:val="0"/>
        <w:spacing w:before="0" w:line="240" w:lineRule="auto"/>
        <w:ind w:left="0" w:right="0" w:firstLine="0"/>
        <w:jc w:val="center"/>
      </w:pPr>
      <w:bookmarkStart w:id="580" w:name="bookmark580"/>
      <w:bookmarkStart w:id="581" w:name="bookmark581"/>
      <w:bookmarkStart w:id="582" w:name="bookmark582"/>
      <w:r>
        <w:rPr>
          <w:color w:val="000000"/>
          <w:spacing w:val="0"/>
          <w:w w:val="100"/>
          <w:position w:val="0"/>
        </w:rPr>
        <w:t>第七节股份变动及股东情况</w:t>
      </w:r>
      <w:bookmarkEnd w:id="580"/>
      <w:bookmarkEnd w:id="581"/>
      <w:bookmarkEnd w:id="582"/>
    </w:p>
    <w:p>
      <w:pPr>
        <w:pStyle w:val="Style21"/>
        <w:keepNext/>
        <w:keepLines/>
        <w:widowControl w:val="0"/>
        <w:shd w:val="clear" w:color="auto" w:fill="auto"/>
        <w:bidi w:val="0"/>
        <w:spacing w:before="0" w:line="240" w:lineRule="auto"/>
        <w:ind w:left="0" w:right="0" w:firstLine="740"/>
        <w:jc w:val="left"/>
      </w:pPr>
      <w:bookmarkStart w:id="583" w:name="bookmark583"/>
      <w:bookmarkStart w:id="584" w:name="bookmark584"/>
      <w:bookmarkStart w:id="585" w:name="bookmark585"/>
      <w:bookmarkStart w:id="586" w:name="bookmark586"/>
      <w:bookmarkStart w:id="587" w:name="bookmark587"/>
      <w:r>
        <w:rPr>
          <w:color w:val="000000"/>
          <w:spacing w:val="0"/>
          <w:w w:val="100"/>
          <w:position w:val="0"/>
        </w:rPr>
        <w:t>一</w:t>
      </w:r>
      <w:bookmarkEnd w:id="586"/>
      <w:r>
        <w:rPr>
          <w:color w:val="000000"/>
          <w:spacing w:val="0"/>
          <w:w w:val="100"/>
          <w:position w:val="0"/>
        </w:rPr>
        <w:t>、股份变动情况</w:t>
      </w:r>
      <w:bookmarkEnd w:id="584"/>
      <w:bookmarkEnd w:id="585"/>
      <w:bookmarkEnd w:id="587"/>
      <w:bookmarkEnd w:id="583"/>
    </w:p>
    <w:p>
      <w:pPr>
        <w:pStyle w:val="Style26"/>
        <w:keepNext/>
        <w:keepLines/>
        <w:widowControl w:val="0"/>
        <w:shd w:val="clear" w:color="auto" w:fill="auto"/>
        <w:bidi w:val="0"/>
        <w:spacing w:before="0" w:line="240" w:lineRule="auto"/>
        <w:ind w:left="0" w:right="0" w:firstLine="74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、股份变动情况</w:t>
      </w:r>
      <w:bookmarkEnd w:id="588"/>
      <w:bookmarkEnd w:id="589"/>
      <w:bookmarkEnd w:id="59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592"/>
        <w:gridCol w:w="1128"/>
        <w:gridCol w:w="782"/>
        <w:gridCol w:w="955"/>
        <w:gridCol w:w="950"/>
        <w:gridCol w:w="955"/>
        <w:gridCol w:w="955"/>
        <w:gridCol w:w="955"/>
        <w:gridCol w:w="1109"/>
        <w:gridCol w:w="74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r>
      <w:tr>
        <w:trPr>
          <w:trHeight w:val="5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30,339,583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1,058,196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-26,635,895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3,703,688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9,391,378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20,948,205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1,058,196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-18,302,713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-17,244,517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3,703,688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5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6,272,305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14,675,900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1,058,196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-10,972,212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3,703,688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159,589,675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74,654,787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101,702,078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261,291,753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w:t>
            </w:r>
          </w:p>
        </w:tc>
      </w:tr>
      <w:tr>
        <w:trPr>
          <w:trHeight w:val="5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159,589,675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74,654,787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101,702,078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261,291,753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189,929,258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75,712,983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-646,800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75,066,183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264,995,441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股份变动的原因</w:t>
      </w:r>
    </w:p>
    <w:p>
      <w:pPr>
        <w:pStyle w:val="Style17"/>
        <w:keepNext w:val="0"/>
        <w:keepLines w:val="0"/>
        <w:widowControl w:val="0"/>
        <w:shd w:val="clear" w:color="auto" w:fill="auto"/>
        <w:bidi w:val="0"/>
        <w:spacing w:before="0" w:after="120" w:line="240" w:lineRule="auto"/>
        <w:ind w:left="0" w:right="0" w:firstLine="7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740"/>
        <w:jc w:val="left"/>
      </w:pPr>
      <w:bookmarkStart w:id="592" w:name="bookmark592"/>
      <w:r>
        <w:rPr>
          <w:rFonts w:ascii="Times New Roman" w:eastAsia="Times New Roman" w:hAnsi="Times New Roman" w:cs="Times New Roman"/>
          <w:color w:val="000000"/>
          <w:spacing w:val="0"/>
          <w:w w:val="100"/>
          <w:position w:val="0"/>
          <w:sz w:val="18"/>
          <w:szCs w:val="18"/>
        </w:rPr>
        <w:t>1</w:t>
      </w:r>
      <w:bookmarkEnd w:id="592"/>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日办理完成离职激励对象的回购注销工作，公司股份总数由</w:t>
      </w:r>
      <w:r>
        <w:rPr>
          <w:rFonts w:ascii="Times New Roman" w:eastAsia="Times New Roman" w:hAnsi="Times New Roman" w:cs="Times New Roman"/>
          <w:color w:val="000000"/>
          <w:spacing w:val="0"/>
          <w:w w:val="100"/>
          <w:position w:val="0"/>
          <w:sz w:val="18"/>
          <w:szCs w:val="18"/>
        </w:rPr>
        <w:t>189,929,258</w:t>
      </w:r>
      <w:r>
        <w:rPr>
          <w:color w:val="000000"/>
          <w:spacing w:val="0"/>
          <w:w w:val="100"/>
          <w:position w:val="0"/>
        </w:rPr>
        <w:t>股减少为</w:t>
      </w:r>
      <w:r>
        <w:rPr>
          <w:rFonts w:ascii="Times New Roman" w:eastAsia="Times New Roman" w:hAnsi="Times New Roman" w:cs="Times New Roman"/>
          <w:color w:val="000000"/>
          <w:spacing w:val="0"/>
          <w:w w:val="100"/>
          <w:position w:val="0"/>
          <w:sz w:val="18"/>
          <w:szCs w:val="18"/>
        </w:rPr>
        <w:t>189,282,458</w:t>
      </w:r>
      <w:r>
        <w:rPr>
          <w:color w:val="000000"/>
          <w:spacing w:val="0"/>
          <w:w w:val="100"/>
          <w:position w:val="0"/>
        </w:rPr>
        <w:t>股。</w:t>
      </w:r>
    </w:p>
    <w:p>
      <w:pPr>
        <w:pStyle w:val="Style17"/>
        <w:keepNext w:val="0"/>
        <w:keepLines w:val="0"/>
        <w:widowControl w:val="0"/>
        <w:shd w:val="clear" w:color="auto" w:fill="auto"/>
        <w:bidi w:val="0"/>
        <w:spacing w:before="0" w:after="120" w:line="240" w:lineRule="auto"/>
        <w:ind w:left="0" w:right="0" w:firstLine="740"/>
        <w:jc w:val="left"/>
      </w:pPr>
      <w:bookmarkStart w:id="593" w:name="bookmark593"/>
      <w:r>
        <w:rPr>
          <w:rFonts w:ascii="Times New Roman" w:eastAsia="Times New Roman" w:hAnsi="Times New Roman" w:cs="Times New Roman"/>
          <w:color w:val="000000"/>
          <w:spacing w:val="0"/>
          <w:w w:val="100"/>
          <w:position w:val="0"/>
          <w:sz w:val="18"/>
          <w:szCs w:val="18"/>
        </w:rPr>
        <w:t>2</w:t>
      </w:r>
      <w:bookmarkEnd w:id="593"/>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日实施完成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年度权益分派，转增股本方案，公司总股本由</w:t>
      </w:r>
      <w:r>
        <w:rPr>
          <w:rFonts w:ascii="Times New Roman" w:eastAsia="Times New Roman" w:hAnsi="Times New Roman" w:cs="Times New Roman"/>
          <w:color w:val="000000"/>
          <w:spacing w:val="0"/>
          <w:w w:val="100"/>
          <w:position w:val="0"/>
          <w:sz w:val="18"/>
          <w:szCs w:val="18"/>
        </w:rPr>
        <w:t>189,282,458</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264,995,441</w:t>
      </w:r>
      <w:r>
        <w:rPr>
          <w:color w:val="000000"/>
          <w:spacing w:val="0"/>
          <w:w w:val="100"/>
          <w:position w:val="0"/>
        </w:rPr>
        <w:t>股。</w:t>
      </w:r>
    </w:p>
    <w:p>
      <w:pPr>
        <w:pStyle w:val="Style1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股份变动的批准情况</w:t>
      </w:r>
    </w:p>
    <w:p>
      <w:pPr>
        <w:pStyle w:val="Style17"/>
        <w:keepNext w:val="0"/>
        <w:keepLines w:val="0"/>
        <w:widowControl w:val="0"/>
        <w:shd w:val="clear" w:color="auto" w:fill="auto"/>
        <w:bidi w:val="0"/>
        <w:spacing w:before="0" w:after="120" w:line="240" w:lineRule="auto"/>
        <w:ind w:left="0" w:right="0" w:firstLine="7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316" w:lineRule="exact"/>
        <w:ind w:left="720" w:right="0" w:firstLine="20"/>
        <w:jc w:val="both"/>
      </w:pPr>
      <w:bookmarkStart w:id="594" w:name="bookmark594"/>
      <w:r>
        <w:rPr>
          <w:rFonts w:ascii="Times New Roman" w:eastAsia="Times New Roman" w:hAnsi="Times New Roman" w:cs="Times New Roman"/>
          <w:color w:val="000000"/>
          <w:spacing w:val="0"/>
          <w:w w:val="100"/>
          <w:position w:val="0"/>
          <w:sz w:val="18"/>
          <w:szCs w:val="18"/>
        </w:rPr>
        <w:t>1</w:t>
      </w:r>
      <w:bookmarkEnd w:id="594"/>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日召开第三届董事会第十一次会议，审议通过《关于回购注销部分限制性股票的议案》。因原激励 对象李峰离职，公司回购注销其已获授但尚未解锁的</w:t>
      </w:r>
      <w:r>
        <w:rPr>
          <w:rFonts w:ascii="Times New Roman" w:eastAsia="Times New Roman" w:hAnsi="Times New Roman" w:cs="Times New Roman"/>
          <w:color w:val="000000"/>
          <w:spacing w:val="0"/>
          <w:w w:val="100"/>
          <w:position w:val="0"/>
          <w:sz w:val="18"/>
          <w:szCs w:val="18"/>
        </w:rPr>
        <w:t>29,400</w:t>
      </w:r>
      <w:r>
        <w:rPr>
          <w:color w:val="000000"/>
          <w:spacing w:val="0"/>
          <w:w w:val="100"/>
          <w:position w:val="0"/>
        </w:rPr>
        <w:t>股限制性股票。该议案提交公司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年第四次临时股东大会审议 通过。</w:t>
      </w:r>
    </w:p>
    <w:p>
      <w:pPr>
        <w:pStyle w:val="Style17"/>
        <w:keepNext w:val="0"/>
        <w:keepLines w:val="0"/>
        <w:widowControl w:val="0"/>
        <w:shd w:val="clear" w:color="auto" w:fill="auto"/>
        <w:tabs>
          <w:tab w:pos="1074" w:val="left"/>
        </w:tabs>
        <w:bidi w:val="0"/>
        <w:spacing w:before="0" w:after="40" w:line="316" w:lineRule="exact"/>
        <w:ind w:left="720" w:right="0" w:firstLine="20"/>
        <w:jc w:val="both"/>
      </w:pPr>
      <w:bookmarkStart w:id="595" w:name="bookmark595"/>
      <w:r>
        <w:rPr>
          <w:rFonts w:ascii="Times New Roman" w:eastAsia="Times New Roman" w:hAnsi="Times New Roman" w:cs="Times New Roman"/>
          <w:color w:val="000000"/>
          <w:spacing w:val="0"/>
          <w:w w:val="100"/>
          <w:position w:val="0"/>
          <w:sz w:val="18"/>
          <w:szCs w:val="18"/>
        </w:rPr>
        <w:t>2</w:t>
      </w:r>
      <w:bookmarkEnd w:id="59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日召开第三届董事会第十二次会议，审议通过《关于回购注销部分限制性股票的议案》。因原激励 对象马雄伟、徐江民离职，公司回购注销其已获授但尚未解锁的</w:t>
      </w:r>
      <w:r>
        <w:rPr>
          <w:rFonts w:ascii="Times New Roman" w:eastAsia="Times New Roman" w:hAnsi="Times New Roman" w:cs="Times New Roman"/>
          <w:color w:val="000000"/>
          <w:spacing w:val="0"/>
          <w:w w:val="100"/>
          <w:position w:val="0"/>
          <w:sz w:val="18"/>
          <w:szCs w:val="18"/>
        </w:rPr>
        <w:t>617,400</w:t>
      </w:r>
      <w:r>
        <w:rPr>
          <w:color w:val="000000"/>
          <w:spacing w:val="0"/>
          <w:w w:val="100"/>
          <w:position w:val="0"/>
        </w:rPr>
        <w:t>股限制性股票。该议案提交公司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股东大会审议通过。</w:t>
      </w:r>
    </w:p>
    <w:p>
      <w:pPr>
        <w:pStyle w:val="Style17"/>
        <w:keepNext w:val="0"/>
        <w:keepLines w:val="0"/>
        <w:widowControl w:val="0"/>
        <w:shd w:val="clear" w:color="auto" w:fill="auto"/>
        <w:tabs>
          <w:tab w:pos="1074" w:val="left"/>
        </w:tabs>
        <w:bidi w:val="0"/>
        <w:spacing w:before="0" w:after="40" w:line="316" w:lineRule="exact"/>
        <w:ind w:left="720" w:right="0" w:firstLine="20"/>
        <w:jc w:val="both"/>
      </w:pPr>
      <w:bookmarkStart w:id="596" w:name="bookmark596"/>
      <w:r>
        <w:rPr>
          <w:rFonts w:ascii="Times New Roman" w:eastAsia="Times New Roman" w:hAnsi="Times New Roman" w:cs="Times New Roman"/>
          <w:color w:val="000000"/>
          <w:spacing w:val="0"/>
          <w:w w:val="100"/>
          <w:position w:val="0"/>
          <w:sz w:val="18"/>
          <w:szCs w:val="18"/>
        </w:rPr>
        <w:t>3</w:t>
      </w:r>
      <w:bookmarkEnd w:id="596"/>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年年度股东大会同意，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年的利润分配方案为以实施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年年度权益分配方案时股权登记日享有利润分 配、公积金转增股本权利的总股本为基数，向全体股东每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0.35</w:t>
      </w:r>
      <w:r>
        <w:rPr>
          <w:color w:val="000000"/>
          <w:spacing w:val="0"/>
          <w:w w:val="100"/>
          <w:position w:val="0"/>
        </w:rPr>
        <w:t>元（含税）、以资本公积金每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股、不送红股。权益分派方案已经于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日实施完毕，公司总股本增加至</w:t>
      </w:r>
      <w:r>
        <w:rPr>
          <w:rFonts w:ascii="Times New Roman" w:eastAsia="Times New Roman" w:hAnsi="Times New Roman" w:cs="Times New Roman"/>
          <w:color w:val="000000"/>
          <w:spacing w:val="0"/>
          <w:w w:val="100"/>
          <w:position w:val="0"/>
          <w:sz w:val="18"/>
          <w:szCs w:val="18"/>
        </w:rPr>
        <w:t>264,995,441</w:t>
      </w:r>
      <w:r>
        <w:rPr>
          <w:color w:val="000000"/>
          <w:spacing w:val="0"/>
          <w:w w:val="100"/>
          <w:position w:val="0"/>
        </w:rPr>
        <w:t>股。</w:t>
      </w:r>
    </w:p>
    <w:p>
      <w:pPr>
        <w:pStyle w:val="Style17"/>
        <w:keepNext w:val="0"/>
        <w:keepLines w:val="0"/>
        <w:widowControl w:val="0"/>
        <w:shd w:val="clear" w:color="auto" w:fill="auto"/>
        <w:bidi w:val="0"/>
        <w:spacing w:before="0" w:after="40" w:line="316" w:lineRule="exact"/>
        <w:ind w:left="0" w:right="0" w:firstLine="720"/>
        <w:jc w:val="both"/>
      </w:pPr>
      <w:r>
        <w:rPr>
          <w:color w:val="000000"/>
          <w:spacing w:val="0"/>
          <w:w w:val="100"/>
          <w:position w:val="0"/>
        </w:rPr>
        <w:t>股份变动的过户情况</w:t>
      </w:r>
    </w:p>
    <w:p>
      <w:pPr>
        <w:pStyle w:val="Style17"/>
        <w:keepNext w:val="0"/>
        <w:keepLines w:val="0"/>
        <w:widowControl w:val="0"/>
        <w:shd w:val="clear" w:color="auto" w:fill="auto"/>
        <w:bidi w:val="0"/>
        <w:spacing w:before="0" w:after="40" w:line="316" w:lineRule="exact"/>
        <w:ind w:left="0" w:right="0" w:firstLine="7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tabs>
          <w:tab w:pos="1064" w:val="left"/>
        </w:tabs>
        <w:bidi w:val="0"/>
        <w:spacing w:before="0" w:after="40" w:line="298" w:lineRule="exact"/>
        <w:ind w:left="720" w:right="0" w:firstLine="20"/>
        <w:jc w:val="both"/>
        <w:rPr>
          <w:sz w:val="18"/>
          <w:szCs w:val="18"/>
        </w:rPr>
      </w:pPr>
      <w:bookmarkStart w:id="597" w:name="bookmark597"/>
      <w:r>
        <w:rPr>
          <w:rFonts w:ascii="Times New Roman" w:eastAsia="Times New Roman" w:hAnsi="Times New Roman" w:cs="Times New Roman"/>
          <w:color w:val="000000"/>
          <w:spacing w:val="0"/>
          <w:w w:val="100"/>
          <w:position w:val="0"/>
          <w:sz w:val="18"/>
          <w:szCs w:val="18"/>
        </w:rPr>
        <w:t>1</w:t>
      </w:r>
      <w:bookmarkEnd w:id="597"/>
      <w:r>
        <w:rPr>
          <w:color w:val="000000"/>
          <w:spacing w:val="0"/>
          <w:w w:val="100"/>
          <w:position w:val="0"/>
          <w:sz w:val="17"/>
          <w:szCs w:val="17"/>
        </w:rPr>
        <w:t>、</w:t>
        <w:tab/>
        <w:t>根据股东大会的授权，公司在中国证券登记结算公司有限公司深圳分公司办理了限制性股票的回购注销工作。回购完成 后，公司股份总数由</w:t>
      </w:r>
      <w:r>
        <w:rPr>
          <w:rFonts w:ascii="Times New Roman" w:eastAsia="Times New Roman" w:hAnsi="Times New Roman" w:cs="Times New Roman"/>
          <w:color w:val="000000"/>
          <w:spacing w:val="0"/>
          <w:w w:val="100"/>
          <w:position w:val="0"/>
          <w:sz w:val="18"/>
          <w:szCs w:val="18"/>
        </w:rPr>
        <w:t>189,929,258</w:t>
      </w:r>
      <w:r>
        <w:rPr>
          <w:color w:val="000000"/>
          <w:spacing w:val="0"/>
          <w:w w:val="100"/>
          <w:position w:val="0"/>
          <w:sz w:val="17"/>
          <w:szCs w:val="17"/>
        </w:rPr>
        <w:t>股减少为</w:t>
      </w:r>
      <w:r>
        <w:rPr>
          <w:rFonts w:ascii="Times New Roman" w:eastAsia="Times New Roman" w:hAnsi="Times New Roman" w:cs="Times New Roman"/>
          <w:color w:val="000000"/>
          <w:spacing w:val="0"/>
          <w:w w:val="100"/>
          <w:position w:val="0"/>
          <w:sz w:val="18"/>
          <w:szCs w:val="18"/>
        </w:rPr>
        <w:t>189,282,458</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w:t>
      </w:r>
    </w:p>
    <w:p>
      <w:pPr>
        <w:pStyle w:val="Style17"/>
        <w:keepNext w:val="0"/>
        <w:keepLines w:val="0"/>
        <w:widowControl w:val="0"/>
        <w:shd w:val="clear" w:color="auto" w:fill="auto"/>
        <w:tabs>
          <w:tab w:pos="1074" w:val="left"/>
        </w:tabs>
        <w:bidi w:val="0"/>
        <w:spacing w:before="0" w:after="40" w:line="312" w:lineRule="exact"/>
        <w:ind w:left="720" w:right="0" w:firstLine="20"/>
        <w:jc w:val="both"/>
      </w:pPr>
      <w:bookmarkStart w:id="598" w:name="bookmark598"/>
      <w:r>
        <w:rPr>
          <w:rFonts w:ascii="Times New Roman" w:eastAsia="Times New Roman" w:hAnsi="Times New Roman" w:cs="Times New Roman"/>
          <w:color w:val="000000"/>
          <w:spacing w:val="0"/>
          <w:w w:val="100"/>
          <w:position w:val="0"/>
          <w:sz w:val="18"/>
          <w:szCs w:val="18"/>
        </w:rPr>
        <w:t>2</w:t>
      </w:r>
      <w:bookmarkEnd w:id="598"/>
      <w:r>
        <w:rPr>
          <w:color w:val="000000"/>
          <w:spacing w:val="0"/>
          <w:w w:val="100"/>
          <w:position w:val="0"/>
        </w:rPr>
        <w:t>、</w:t>
        <w:tab/>
        <w:t>经中国证券登记结算有限责任公司深圳分公司办理确认，公司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年权益分派方案已经于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日实施完毕，公司 总股本增加至</w:t>
      </w:r>
      <w:r>
        <w:rPr>
          <w:rFonts w:ascii="Times New Roman" w:eastAsia="Times New Roman" w:hAnsi="Times New Roman" w:cs="Times New Roman"/>
          <w:color w:val="000000"/>
          <w:spacing w:val="0"/>
          <w:w w:val="100"/>
          <w:position w:val="0"/>
          <w:sz w:val="18"/>
          <w:szCs w:val="18"/>
        </w:rPr>
        <w:t>264,995,441</w:t>
      </w:r>
      <w:r>
        <w:rPr>
          <w:color w:val="000000"/>
          <w:spacing w:val="0"/>
          <w:w w:val="100"/>
          <w:position w:val="0"/>
        </w:rPr>
        <w:t>股。</w:t>
      </w:r>
    </w:p>
    <w:p>
      <w:pPr>
        <w:pStyle w:val="Style17"/>
        <w:keepNext w:val="0"/>
        <w:keepLines w:val="0"/>
        <w:widowControl w:val="0"/>
        <w:shd w:val="clear" w:color="auto" w:fill="auto"/>
        <w:bidi w:val="0"/>
        <w:spacing w:before="0" w:after="40" w:line="316" w:lineRule="exact"/>
        <w:ind w:left="720" w:right="0" w:firstLine="2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7"/>
        <w:keepNext w:val="0"/>
        <w:keepLines w:val="0"/>
        <w:widowControl w:val="0"/>
        <w:shd w:val="clear" w:color="auto" w:fill="auto"/>
        <w:bidi w:val="0"/>
        <w:spacing w:before="0" w:after="80" w:line="316" w:lineRule="exact"/>
        <w:ind w:left="0" w:right="0" w:firstLine="7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9"/>
        <w:gridCol w:w="1982"/>
        <w:gridCol w:w="1838"/>
        <w:gridCol w:w="1704"/>
        <w:gridCol w:w="2990"/>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归属于公司普通股股东的每股净 资产</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5.96</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4.27</w:t>
            </w:r>
          </w:p>
        </w:tc>
      </w:tr>
      <w:tr>
        <w:trPr>
          <w:trHeight w:val="36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-28.33%</w:t>
            </w:r>
          </w:p>
        </w:tc>
      </w:tr>
    </w:tbl>
    <w:p>
      <w:pPr>
        <w:widowControl w:val="0"/>
        <w:spacing w:after="399" w:line="1" w:lineRule="exact"/>
      </w:pPr>
    </w:p>
    <w:p>
      <w:pPr>
        <w:pStyle w:val="Style17"/>
        <w:keepNext w:val="0"/>
        <w:keepLines w:val="0"/>
        <w:widowControl w:val="0"/>
        <w:shd w:val="clear" w:color="auto" w:fill="auto"/>
        <w:bidi w:val="0"/>
        <w:spacing w:before="0" w:after="140" w:line="240" w:lineRule="auto"/>
        <w:ind w:left="0" w:right="0" w:firstLine="720"/>
        <w:jc w:val="both"/>
      </w:pPr>
      <w:r>
        <w:rPr>
          <w:color w:val="000000"/>
          <w:spacing w:val="0"/>
          <w:w w:val="100"/>
          <w:position w:val="0"/>
        </w:rPr>
        <w:t>公司认为必要或证券监管机构要求披露的其他内容</w:t>
      </w:r>
    </w:p>
    <w:p>
      <w:pPr>
        <w:pStyle w:val="Style17"/>
        <w:keepNext w:val="0"/>
        <w:keepLines w:val="0"/>
        <w:widowControl w:val="0"/>
        <w:shd w:val="clear" w:color="auto" w:fill="auto"/>
        <w:bidi w:val="0"/>
        <w:spacing w:before="0" w:after="40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400" w:line="240" w:lineRule="auto"/>
        <w:ind w:left="0" w:right="0" w:firstLine="72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、限售股份变动情况</w:t>
      </w:r>
      <w:bookmarkEnd w:id="599"/>
      <w:bookmarkEnd w:id="600"/>
      <w:bookmarkEnd w:id="602"/>
    </w:p>
    <w:p>
      <w:pPr>
        <w:pStyle w:val="Style17"/>
        <w:keepNext w:val="0"/>
        <w:keepLines w:val="0"/>
        <w:widowControl w:val="0"/>
        <w:shd w:val="clear" w:color="auto" w:fill="auto"/>
        <w:bidi w:val="0"/>
        <w:spacing w:before="0" w:after="140" w:line="240" w:lineRule="auto"/>
        <w:ind w:left="0" w:right="0" w:firstLine="7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74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31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任洪明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882,000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股权激励限售 股、高管锁定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 股自授予日起 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个月激励对 象应在可解锁 日内按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的解锁比 例根据公司经</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审计业绩情况 和个人绩效考 核情况分期解 锁，详见公司 披露于巨潮资 讯网的《</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年限制性股票 激励计划》。</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姚建民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股权激励限售 股自授予日起 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个月激励对 象应在可解锁 日内按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的解锁比 例根据公司经 审计业绩情况 和个人绩效考 核情况分期解 锁，详见公司 披露于巨潮资 讯网的《</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年限制性股票 激励计划》。</w:t>
            </w:r>
          </w:p>
        </w:tc>
      </w:tr>
      <w:tr>
        <w:trPr>
          <w:trHeight w:val="53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股权激励限售 股、高管锁定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股权激励限售 股自授予日起 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个月激励对 象应在可解锁 日内按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的解锁比 例根据公司经 审计业绩情况 和个人绩效考 核情况分期解 锁，详见公司 披露于巨潮资 讯网的《</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年限制性股票</w:t>
            </w:r>
          </w:p>
        </w:tc>
      </w:tr>
    </w:tbl>
    <w:p>
      <w:pPr>
        <w:sectPr>
          <w:footnotePr>
            <w:pos w:val="pageBottom"/>
            <w:numFmt w:val="decimal"/>
            <w:numRestart w:val="continuous"/>
          </w:footnotePr>
          <w:pgSz w:w="11900" w:h="16840"/>
          <w:pgMar w:top="1383" w:right="389" w:bottom="1527" w:left="384" w:header="0" w:footer="3" w:gutter="0"/>
          <w:cols w:space="720"/>
          <w:noEndnote/>
          <w:rtlGutter w:val="0"/>
          <w:docGrid w:linePitch="360"/>
        </w:sectPr>
      </w:pPr>
    </w:p>
    <w:tbl>
      <w:tblPr>
        <w:tblOverlap w:val="never"/>
        <w:jc w:val="center"/>
        <w:tblLayout w:type="fixed"/>
      </w:tblPr>
      <w:tblGrid>
        <w:gridCol w:w="1214"/>
        <w:gridCol w:w="1488"/>
        <w:gridCol w:w="1488"/>
        <w:gridCol w:w="1488"/>
        <w:gridCol w:w="1488"/>
        <w:gridCol w:w="1205"/>
        <w:gridCol w:w="12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激励计划》。</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股权激励限售 股、高管锁定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股权激励限售 股自授予日起 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个月激励对 象应在可解锁 日内按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的解锁比 例根据公司经 审计业绩情况 和个人绩效考 核情况分期解 锁，详见公司 披露于巨潮资 讯网的《</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年限制性股票 激励计划》。</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股权激励限售 股自授予日起 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个月激励对 象应在可解锁 日内按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的解锁比 例根据公司经 审计业绩情况 和个人绩效考 核情况分期解 锁，详见公司 披露于巨潮资 讯网的《</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年限制性股票 激励计划》。</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股权激励限售 股、高管锁定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股权激励限售 股自授予日起 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个月激励对 象应在可解锁</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日内按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的解锁比 例根据公司经 审计业绩情况 和个人绩效考 核情况分期解 锁，详见公司 披露于巨潮资 讯网的《</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年限制性股票 激励计划》。</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赵晨晖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股权激励限售 股自授予日起 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个月激励对 象应在可解锁 日内按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的解锁比 例根据公司经 审计业绩情况 和个人绩效考 核情况分期解 锁，详见公司 披露于巨潮资 讯网的《</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年限制性股票 激励计划》。</w:t>
            </w:r>
          </w:p>
        </w:tc>
      </w:tr>
      <w:tr>
        <w:trPr>
          <w:trHeight w:val="44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陶朦朦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股权激励限售 股自授予日起 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个月激励对 象应在可解锁 日内按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的解锁比 例根据公司经 审计业绩情况 和个人绩效考 核情况分期解 锁，详见公司</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披露于巨潮资 讯网的《</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年限制性股票 激励计划》。</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 股自授予日起 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个月激励对 象应在可解锁 日内按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的解锁比 例根据公司经 审计业绩情况 和个人绩效考 核情况分期解 锁，详见公司 披露于巨潮资 讯网的《</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年限制性股票 激励计划》。</w:t>
            </w:r>
          </w:p>
        </w:tc>
      </w:tr>
      <w:tr>
        <w:trPr>
          <w:trHeight w:val="69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袁杰、柯金伟、 王大和、王媛 媛、周合军、 郑晓光、潘钦 员、李伟、梁 富宏、刘双双、 何必航、杨明 坤、黄国庆、 宋杰、卢敏坚、 李武、唐杰、 楼荣华、刁丁、 陆晓斌、刘剑、 李敏、陈涛、 陈刚、伍小阶、 范成林、柴永 吉、王瑛、解 光玖、李圣锦、 青岛城投金融 控股集团有限 公司、津联（天 津）资产管理 有限公司、浙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27,636,358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27,033,658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首发后限售 股、股权激励 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首发后限售股</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 开发行的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 股票）于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日解 除限售；股权 激励限售股自 授予日起满</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 xml:space="preserve">个 月激励对象应 在可解锁日内 按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的解 锁比例根据公 司经审计业绩 情况和个人绩 效考核情况分 期解锁，详见 公司披露于巨 潮资讯网的</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5"/>
        <w:gridCol w:w="1214"/>
      </w:tblGrid>
      <w:tr>
        <w:trPr>
          <w:trHeight w:val="137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江省发展资产 经营有限公 司、常州投资 集团有限公 司、太平洋资 管一招商银行 一太平洋卓越 臻惠一号产 品、潘旭虹、 浙江中大集团 投资有限公 司、传化控股 集团有限公 司、核心资本 管理（杭州） 有限公司一猎 鹰一号私募证 券投资基金、 倪佳燕、刘会 召、上汽颀臻 （上海）资产 管理有限公司 一上汽投资一 颀瑞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号、上 海量金资产管 理有限公司一 量金优利</w:t>
            </w:r>
            <w:r>
              <w:rPr>
                <w:rFonts w:ascii="Times New Roman" w:eastAsia="Times New Roman" w:hAnsi="Times New Roman" w:cs="Times New Roman"/>
                <w:color w:val="000000"/>
                <w:spacing w:val="0"/>
                <w:w w:val="100"/>
                <w:position w:val="0"/>
                <w:sz w:val="18"/>
                <w:szCs w:val="18"/>
              </w:rPr>
              <w:t xml:space="preserve">CTA </w:t>
            </w:r>
            <w:r>
              <w:rPr>
                <w:color w:val="000000"/>
                <w:spacing w:val="0"/>
                <w:w w:val="100"/>
                <w:position w:val="0"/>
              </w:rPr>
              <w:t>二号证券投资 基金、杭州韶 夏瑟茗投资管 理合伙企业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（有限合伙）、 徐江民、大成 基金一中国银 河证券股份有 限公司一大成 基金银河证券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号单一资产 管理计划、全 国社保基金一 一三组合、中 国银河证券股 份有限公司、 马雄伟、李峰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性股票激励计 划》。</w:t>
            </w:r>
          </w:p>
        </w:tc>
      </w:tr>
    </w:tbl>
    <w:p>
      <w:pPr>
        <w:widowControl w:val="0"/>
        <w:spacing w:line="1" w:lineRule="exact"/>
      </w:pPr>
    </w:p>
    <w:tbl>
      <w:tblPr>
        <w:tblOverlap w:val="never"/>
        <w:jc w:val="center"/>
        <w:tblLayout w:type="fixed"/>
      </w:tblPr>
      <w:tblGrid>
        <w:gridCol w:w="1214"/>
        <w:gridCol w:w="1488"/>
        <w:gridCol w:w="1488"/>
        <w:gridCol w:w="1488"/>
        <w:gridCol w:w="1488"/>
        <w:gridCol w:w="1205"/>
        <w:gridCol w:w="12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30,339,583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27,694,091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3,703,688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1"/>
        <w:keepNext/>
        <w:keepLines/>
        <w:widowControl w:val="0"/>
        <w:shd w:val="clear" w:color="auto" w:fill="auto"/>
        <w:tabs>
          <w:tab w:pos="517" w:val="left"/>
        </w:tabs>
        <w:bidi w:val="0"/>
        <w:spacing w:before="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二</w:t>
      </w:r>
      <w:bookmarkEnd w:id="608"/>
      <w:r>
        <w:rPr>
          <w:color w:val="000000"/>
          <w:spacing w:val="0"/>
          <w:w w:val="100"/>
          <w:position w:val="0"/>
        </w:rPr>
        <w:t>、</w:t>
        <w:tab/>
        <w:t>证券发行与上市情况</w:t>
      </w:r>
      <w:bookmarkEnd w:id="606"/>
      <w:bookmarkEnd w:id="607"/>
      <w:bookmarkEnd w:id="609"/>
    </w:p>
    <w:p>
      <w:pPr>
        <w:pStyle w:val="Style26"/>
        <w:keepNext/>
        <w:keepLines/>
        <w:widowControl w:val="0"/>
        <w:shd w:val="clear" w:color="auto" w:fill="auto"/>
        <w:tabs>
          <w:tab w:pos="384" w:val="left"/>
        </w:tabs>
        <w:bidi w:val="0"/>
        <w:spacing w:before="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w:t>
        <w:tab/>
        <w:t>报告期内证券发行（不含优先股）情况</w:t>
      </w:r>
      <w:bookmarkEnd w:id="610"/>
      <w:bookmarkEnd w:id="611"/>
      <w:bookmarkEnd w:id="613"/>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84" w:val="left"/>
        </w:tabs>
        <w:bidi w:val="0"/>
        <w:spacing w:before="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w:t>
        <w:tab/>
        <w:t>公司股份总数及股东结构的变动、公司资产和负债结构的变动情况说明</w:t>
      </w:r>
      <w:bookmarkEnd w:id="614"/>
      <w:bookmarkEnd w:id="615"/>
      <w:bookmarkEnd w:id="617"/>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bookmarkStart w:id="618" w:name="bookmark618"/>
      <w:r>
        <w:rPr>
          <w:rFonts w:ascii="Times New Roman" w:eastAsia="Times New Roman" w:hAnsi="Times New Roman" w:cs="Times New Roman"/>
          <w:color w:val="000000"/>
          <w:spacing w:val="0"/>
          <w:w w:val="100"/>
          <w:position w:val="0"/>
          <w:sz w:val="18"/>
          <w:szCs w:val="18"/>
        </w:rPr>
        <w:t>1</w:t>
      </w:r>
      <w:bookmarkEnd w:id="618"/>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日办理完成离职激励对象的回购注销工作，公司股份总数由</w:t>
      </w:r>
      <w:r>
        <w:rPr>
          <w:rFonts w:ascii="Times New Roman" w:eastAsia="Times New Roman" w:hAnsi="Times New Roman" w:cs="Times New Roman"/>
          <w:color w:val="000000"/>
          <w:spacing w:val="0"/>
          <w:w w:val="100"/>
          <w:position w:val="0"/>
          <w:sz w:val="18"/>
          <w:szCs w:val="18"/>
        </w:rPr>
        <w:t>189,929,258</w:t>
      </w:r>
      <w:r>
        <w:rPr>
          <w:color w:val="000000"/>
          <w:spacing w:val="0"/>
          <w:w w:val="100"/>
          <w:position w:val="0"/>
        </w:rPr>
        <w:t>股减少为</w:t>
      </w:r>
      <w:r>
        <w:rPr>
          <w:rFonts w:ascii="Times New Roman" w:eastAsia="Times New Roman" w:hAnsi="Times New Roman" w:cs="Times New Roman"/>
          <w:color w:val="000000"/>
          <w:spacing w:val="0"/>
          <w:w w:val="100"/>
          <w:position w:val="0"/>
          <w:sz w:val="18"/>
          <w:szCs w:val="18"/>
        </w:rPr>
        <w:t>189,282,458</w:t>
      </w:r>
      <w:r>
        <w:rPr>
          <w:color w:val="000000"/>
          <w:spacing w:val="0"/>
          <w:w w:val="100"/>
          <w:position w:val="0"/>
        </w:rPr>
        <w:t>股。</w:t>
      </w:r>
    </w:p>
    <w:p>
      <w:pPr>
        <w:pStyle w:val="Style17"/>
        <w:keepNext w:val="0"/>
        <w:keepLines w:val="0"/>
        <w:widowControl w:val="0"/>
        <w:shd w:val="clear" w:color="auto" w:fill="auto"/>
        <w:bidi w:val="0"/>
        <w:spacing w:before="0" w:after="720" w:line="240" w:lineRule="auto"/>
        <w:ind w:left="0" w:right="0" w:firstLine="0"/>
        <w:jc w:val="left"/>
      </w:pPr>
      <w:bookmarkStart w:id="619" w:name="bookmark619"/>
      <w:r>
        <w:rPr>
          <w:rFonts w:ascii="Times New Roman" w:eastAsia="Times New Roman" w:hAnsi="Times New Roman" w:cs="Times New Roman"/>
          <w:color w:val="000000"/>
          <w:spacing w:val="0"/>
          <w:w w:val="100"/>
          <w:position w:val="0"/>
          <w:sz w:val="18"/>
          <w:szCs w:val="18"/>
        </w:rPr>
        <w:t>2</w:t>
      </w:r>
      <w:bookmarkEnd w:id="619"/>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日实施完成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年度权益分派、转增股本方案，公司总股本由</w:t>
      </w:r>
      <w:r>
        <w:rPr>
          <w:rFonts w:ascii="Times New Roman" w:eastAsia="Times New Roman" w:hAnsi="Times New Roman" w:cs="Times New Roman"/>
          <w:color w:val="000000"/>
          <w:spacing w:val="0"/>
          <w:w w:val="100"/>
          <w:position w:val="0"/>
          <w:sz w:val="18"/>
          <w:szCs w:val="18"/>
        </w:rPr>
        <w:t>189,282,458</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264,995,441</w:t>
      </w:r>
      <w:r>
        <w:rPr>
          <w:color w:val="000000"/>
          <w:spacing w:val="0"/>
          <w:w w:val="100"/>
          <w:position w:val="0"/>
        </w:rPr>
        <w:t>股。</w:t>
      </w:r>
    </w:p>
    <w:p>
      <w:pPr>
        <w:pStyle w:val="Style26"/>
        <w:keepNext/>
        <w:keepLines/>
        <w:widowControl w:val="0"/>
        <w:shd w:val="clear" w:color="auto" w:fill="auto"/>
        <w:tabs>
          <w:tab w:pos="384" w:val="left"/>
        </w:tabs>
        <w:bidi w:val="0"/>
        <w:spacing w:before="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3</w:t>
      </w:r>
      <w:bookmarkEnd w:id="622"/>
      <w:r>
        <w:rPr>
          <w:color w:val="000000"/>
          <w:spacing w:val="0"/>
          <w:w w:val="100"/>
          <w:position w:val="0"/>
        </w:rPr>
        <w:t>、</w:t>
        <w:tab/>
        <w:t>现存的内部职工股情况</w:t>
      </w:r>
      <w:bookmarkEnd w:id="620"/>
      <w:bookmarkEnd w:id="621"/>
      <w:bookmarkEnd w:id="623"/>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三</w:t>
      </w:r>
      <w:bookmarkEnd w:id="626"/>
      <w:r>
        <w:rPr>
          <w:color w:val="000000"/>
          <w:spacing w:val="0"/>
          <w:w w:val="100"/>
          <w:position w:val="0"/>
        </w:rPr>
        <w:t>、</w:t>
        <w:tab/>
        <w:t>股东和实际控制人情况</w:t>
      </w:r>
      <w:bookmarkEnd w:id="624"/>
      <w:bookmarkEnd w:id="625"/>
      <w:bookmarkEnd w:id="627"/>
    </w:p>
    <w:p>
      <w:pPr>
        <w:pStyle w:val="Style26"/>
        <w:keepNext/>
        <w:keepLines/>
        <w:widowControl w:val="0"/>
        <w:shd w:val="clear" w:color="auto" w:fill="auto"/>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、公司股东数量及持股情况</w:t>
      </w:r>
      <w:bookmarkEnd w:id="628"/>
      <w:bookmarkEnd w:id="629"/>
      <w:bookmarkEnd w:id="63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758"/>
        <w:gridCol w:w="874"/>
        <w:gridCol w:w="869"/>
        <w:gridCol w:w="864"/>
        <w:gridCol w:w="878"/>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9,876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表决权恢</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复的优先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股股东总 数（如有）</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（参见注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 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杭州磐源 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116,454,98</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3,075,618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116,454, 980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69,617,200</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杭州磐鸿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伙企业（有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14,240,800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3,068,800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4"/>
        <w:gridCol w:w="979"/>
        <w:gridCol w:w="758"/>
        <w:gridCol w:w="874"/>
        <w:gridCol w:w="869"/>
        <w:gridCol w:w="869"/>
        <w:gridCol w:w="758"/>
        <w:gridCol w:w="1742"/>
        <w:gridCol w:w="174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武汉雷石瑞 丰股权投资 合伙企业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2,240,000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尤飞煌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6,267,247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1,544,642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廖群娣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3,840,831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3,840,831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青岛城投金 融控股集团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3,569,607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1,019,888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解光玖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3,262,215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-183,722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王秀梅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3,206,773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920,721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李圣锦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3,150,327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600,608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、杭州磐源投资有限公司为实际控制人杨一兵、杨波控制的企业；杭州磐鸿投资管理合伙企业 （有限合伙）为实际控制人杨一兵控制的企业。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、杨一兵、杨波已签署《一致行动人协议》，为</w:t>
            </w:r>
          </w:p>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一致行动人。除此之外，公司未知其余前十名股东之间是否有关联关系或者一致行动关系。</w:t>
            </w:r>
          </w:p>
        </w:tc>
      </w:tr>
      <w:tr>
        <w:trPr>
          <w:trHeight w:val="351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日，公司控股股东杭州磐源投资有限公司（以下简称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磐源投资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 杨一兵先生、杨波先生与科学城（广州）信息科技集团有限公司（以下简称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科学城信科集团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共同签署了《关于浙江和仁科技股份有限公司之股份转让协议》（以下简称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《股份转让协议厂'）。 同日，磐源投资、杭州磐鸿投资管理合伙企业（有限合伙）（以下简称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磐鸿投资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）、杨一兵、杨 波与科学城信科集团签署了《表决权放弃协议》。根据《股份转让协议》约定，磐源投资将其持 有的</w:t>
            </w:r>
            <w:r>
              <w:rPr>
                <w:rFonts w:ascii="Times New Roman" w:eastAsia="Times New Roman" w:hAnsi="Times New Roman" w:cs="Times New Roman"/>
                <w:color w:val="000000"/>
                <w:spacing w:val="0"/>
                <w:w w:val="100"/>
                <w:position w:val="0"/>
                <w:sz w:val="18"/>
                <w:szCs w:val="18"/>
              </w:rPr>
              <w:t>79,400,000</w:t>
            </w:r>
            <w:r>
              <w:rPr>
                <w:color w:val="000000"/>
                <w:spacing w:val="0"/>
                <w:w w:val="100"/>
                <w:position w:val="0"/>
              </w:rPr>
              <w:t>股公司股份，转让给科学城信科集团，转让总价</w:t>
            </w:r>
            <w:r>
              <w:rPr>
                <w:rFonts w:ascii="Times New Roman" w:eastAsia="Times New Roman" w:hAnsi="Times New Roman" w:cs="Times New Roman"/>
                <w:color w:val="000000"/>
                <w:spacing w:val="0"/>
                <w:w w:val="100"/>
                <w:position w:val="0"/>
                <w:sz w:val="18"/>
                <w:szCs w:val="18"/>
              </w:rPr>
              <w:t>1,078,252,000.00</w:t>
            </w:r>
            <w:r>
              <w:rPr>
                <w:color w:val="000000"/>
                <w:spacing w:val="0"/>
                <w:w w:val="100"/>
                <w:position w:val="0"/>
              </w:rPr>
              <w:t>元（大写：拾 亿零柒仟捌佰贰拾伍万贰仟元整）（以下简称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）。截止年报披露日，《股份转让协议中》 所规定的两项生效条件之一 “通过监管部门的经营者集中审查”已经成就，另一生效条件“甲方 取得国有资产监督管理部门的同意”在相关审核程序中。本次交易完成后，科学城信科集团将持 有公司</w:t>
            </w:r>
            <w:r>
              <w:rPr>
                <w:rFonts w:ascii="Times New Roman" w:eastAsia="Times New Roman" w:hAnsi="Times New Roman" w:cs="Times New Roman"/>
                <w:color w:val="000000"/>
                <w:spacing w:val="0"/>
                <w:w w:val="100"/>
                <w:position w:val="0"/>
                <w:sz w:val="18"/>
                <w:szCs w:val="18"/>
              </w:rPr>
              <w:t>79,400,000</w:t>
            </w:r>
            <w:r>
              <w:rPr>
                <w:color w:val="000000"/>
                <w:spacing w:val="0"/>
                <w:w w:val="100"/>
                <w:position w:val="0"/>
              </w:rPr>
              <w:t>股，约占公司总股本比例为</w:t>
            </w:r>
            <w:r>
              <w:rPr>
                <w:rFonts w:ascii="Times New Roman" w:eastAsia="Times New Roman" w:hAnsi="Times New Roman" w:cs="Times New Roman"/>
                <w:color w:val="000000"/>
                <w:spacing w:val="0"/>
                <w:w w:val="100"/>
                <w:position w:val="0"/>
                <w:sz w:val="18"/>
                <w:szCs w:val="18"/>
              </w:rPr>
              <w:t>29.97%</w:t>
            </w:r>
            <w:r>
              <w:rPr>
                <w:color w:val="000000"/>
                <w:spacing w:val="0"/>
                <w:w w:val="100"/>
                <w:position w:val="0"/>
              </w:rPr>
              <w:t>，磐源投资持有公司</w:t>
            </w:r>
            <w:r>
              <w:rPr>
                <w:rFonts w:ascii="Times New Roman" w:eastAsia="Times New Roman" w:hAnsi="Times New Roman" w:cs="Times New Roman"/>
                <w:color w:val="000000"/>
                <w:spacing w:val="0"/>
                <w:w w:val="100"/>
                <w:position w:val="0"/>
                <w:sz w:val="18"/>
                <w:szCs w:val="18"/>
              </w:rPr>
              <w:t>37,054,980</w:t>
            </w:r>
            <w:r>
              <w:rPr>
                <w:color w:val="000000"/>
                <w:spacing w:val="0"/>
                <w:w w:val="100"/>
                <w:position w:val="0"/>
              </w:rPr>
              <w:t>股股份，占 总股本比例为</w:t>
            </w:r>
            <w:r>
              <w:rPr>
                <w:rFonts w:ascii="Times New Roman" w:eastAsia="Times New Roman" w:hAnsi="Times New Roman" w:cs="Times New Roman"/>
                <w:color w:val="000000"/>
                <w:spacing w:val="0"/>
                <w:w w:val="100"/>
                <w:position w:val="0"/>
                <w:sz w:val="18"/>
                <w:szCs w:val="18"/>
              </w:rPr>
              <w:t>13.99%</w:t>
            </w:r>
            <w:r>
              <w:rPr>
                <w:color w:val="000000"/>
                <w:spacing w:val="0"/>
                <w:w w:val="100"/>
                <w:position w:val="0"/>
              </w:rPr>
              <w:t>。</w:t>
            </w:r>
          </w:p>
        </w:tc>
      </w:tr>
      <w:tr>
        <w:trPr>
          <w:trHeight w:val="686"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1973"/>
        <w:gridCol w:w="4128"/>
        <w:gridCol w:w="1742"/>
        <w:gridCol w:w="174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杭州磐源投资有限公司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116,454,980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116,454,980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杭州磐鸿投资管理合伙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武汉雷石瑞丰股权投资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尤飞煌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6,267,247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廖群娣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3,840,831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青岛城投金融控股集团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3,569,607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解光玖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3,262,215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王秀梅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3,206,773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李圣锦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3,150,327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、杭州磐源投资有限公司为实际控制人杨一兵、杨波控制的企业；杭州磐鸿投资管理合伙企业 （有限合伙）为实际控制人杨一兵控制的企业。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、杨一兵、杨波已签署《一致行动人协议》，为 一致行动人。除此之外，公司未知其余前十名股东之间是否有关联关系或者一致行动关系。</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日，根据中国登记结算公司深圳分公司下发的股东名册，股东杭州磐源投 资除通过普通证券账户持有</w:t>
            </w:r>
            <w:r>
              <w:rPr>
                <w:rFonts w:ascii="Times New Roman" w:eastAsia="Times New Roman" w:hAnsi="Times New Roman" w:cs="Times New Roman"/>
                <w:color w:val="000000"/>
                <w:spacing w:val="0"/>
                <w:w w:val="100"/>
                <w:position w:val="0"/>
                <w:sz w:val="18"/>
                <w:szCs w:val="18"/>
              </w:rPr>
              <w:t>99,199,980</w:t>
            </w:r>
            <w:r>
              <w:rPr>
                <w:color w:val="000000"/>
                <w:spacing w:val="0"/>
                <w:w w:val="100"/>
                <w:position w:val="0"/>
              </w:rPr>
              <w:t>股外，还通过客户信用交易担保证券账户持有</w:t>
            </w:r>
            <w:r>
              <w:rPr>
                <w:rFonts w:ascii="Times New Roman" w:eastAsia="Times New Roman" w:hAnsi="Times New Roman" w:cs="Times New Roman"/>
                <w:color w:val="000000"/>
                <w:spacing w:val="0"/>
                <w:w w:val="100"/>
                <w:position w:val="0"/>
                <w:sz w:val="18"/>
                <w:szCs w:val="18"/>
              </w:rPr>
              <w:t xml:space="preserve">17,255,000 </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116,454,980</w:t>
            </w:r>
            <w:r>
              <w:rPr>
                <w:color w:val="000000"/>
                <w:spacing w:val="0"/>
                <w:w w:val="100"/>
                <w:position w:val="0"/>
              </w:rPr>
              <w:t xml:space="preserve">股。杭州磐鸿投资管理合伙企业（有限合伙）通过普通证券账户持有 </w:t>
            </w:r>
            <w:r>
              <w:rPr>
                <w:rFonts w:ascii="Times New Roman" w:eastAsia="Times New Roman" w:hAnsi="Times New Roman" w:cs="Times New Roman"/>
                <w:color w:val="000000"/>
                <w:spacing w:val="0"/>
                <w:w w:val="100"/>
                <w:position w:val="0"/>
                <w:sz w:val="18"/>
                <w:szCs w:val="18"/>
              </w:rPr>
              <w:t>1,640,800</w:t>
            </w:r>
            <w:r>
              <w:rPr>
                <w:color w:val="000000"/>
                <w:spacing w:val="0"/>
                <w:w w:val="100"/>
                <w:position w:val="0"/>
              </w:rPr>
              <w:t>股外，还通过客户信用交易担保证券账户持有</w:t>
            </w:r>
            <w:r>
              <w:rPr>
                <w:rFonts w:ascii="Times New Roman" w:eastAsia="Times New Roman" w:hAnsi="Times New Roman" w:cs="Times New Roman"/>
                <w:color w:val="000000"/>
                <w:spacing w:val="0"/>
                <w:w w:val="100"/>
                <w:position w:val="0"/>
                <w:sz w:val="18"/>
                <w:szCs w:val="18"/>
              </w:rPr>
              <w:t>12,600,000</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14,240,800</w:t>
            </w:r>
            <w:r>
              <w:rPr>
                <w:color w:val="000000"/>
                <w:spacing w:val="0"/>
                <w:w w:val="100"/>
                <w:position w:val="0"/>
              </w:rPr>
              <w:t>股。 股东廖群娣通过信用客户信用交易担保证券账户持有</w:t>
            </w:r>
            <w:r>
              <w:rPr>
                <w:rFonts w:ascii="Times New Roman" w:eastAsia="Times New Roman" w:hAnsi="Times New Roman" w:cs="Times New Roman"/>
                <w:color w:val="000000"/>
                <w:spacing w:val="0"/>
                <w:w w:val="100"/>
                <w:position w:val="0"/>
                <w:sz w:val="18"/>
                <w:szCs w:val="18"/>
              </w:rPr>
              <w:t>3,840,831</w:t>
            </w:r>
            <w:r>
              <w:rPr>
                <w:color w:val="000000"/>
                <w:spacing w:val="0"/>
                <w:w w:val="100"/>
                <w:position w:val="0"/>
              </w:rPr>
              <w:t>股。股东袁晓通过信用客户信用 交易担保证券账户持有</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股。</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公司是否具有表决权差异安排</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6"/>
        <w:keepNext/>
        <w:keepLines/>
        <w:widowControl w:val="0"/>
        <w:shd w:val="clear" w:color="auto" w:fill="auto"/>
        <w:bidi w:val="0"/>
        <w:spacing w:before="0" w:after="38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、公司控股股东情况</w:t>
      </w:r>
      <w:bookmarkEnd w:id="632"/>
      <w:bookmarkEnd w:id="633"/>
      <w:bookmarkEnd w:id="635"/>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8"/>
        <w:gridCol w:w="1790"/>
        <w:gridCol w:w="1594"/>
        <w:gridCol w:w="1752"/>
        <w:gridCol w:w="224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widowControl w:val="0"/>
        <w:spacing w:line="1" w:lineRule="exact"/>
      </w:pPr>
      <w:r>
        <w:br w:type="page"/>
      </w:r>
    </w:p>
    <w:tbl>
      <w:tblPr>
        <w:tblOverlap w:val="never"/>
        <w:jc w:val="center"/>
        <w:tblLayout w:type="fixed"/>
      </w:tblPr>
      <w:tblGrid>
        <w:gridCol w:w="2208"/>
        <w:gridCol w:w="1790"/>
        <w:gridCol w:w="1594"/>
        <w:gridCol w:w="1752"/>
        <w:gridCol w:w="224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杭州磐源投资有限公司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91330108056735639T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一般项目：社会经济咨询服 务；财务咨询；采购代理服 务；光通信设备销售；计算 机软硬件及辅助设备批发； 云计算设备销售；金属材料 销售；建筑材料销售；机械 设备销售；以自有资金从事 投资活动;化工产品销售（不 含许可类化工产品）</w:t>
            </w:r>
            <w:r>
              <w:rPr>
                <w:color w:val="000000"/>
                <w:spacing w:val="0"/>
                <w:w w:val="100"/>
                <w:position w:val="0"/>
                <w:sz w:val="18"/>
                <w:szCs w:val="18"/>
              </w:rPr>
              <w:t>（</w:t>
            </w:r>
            <w:r>
              <w:rPr>
                <w:color w:val="000000"/>
                <w:spacing w:val="0"/>
                <w:w w:val="100"/>
                <w:position w:val="0"/>
              </w:rPr>
              <w:t>除依法 须经批准的项目外，凭营业 执照依法自主开展经营活 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6"/>
        <w:keepNext/>
        <w:keepLines/>
        <w:widowControl w:val="0"/>
        <w:shd w:val="clear" w:color="auto" w:fill="auto"/>
        <w:bidi w:val="0"/>
        <w:spacing w:before="0" w:after="24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3</w:t>
      </w:r>
      <w:bookmarkEnd w:id="638"/>
      <w:r>
        <w:rPr>
          <w:color w:val="000000"/>
          <w:spacing w:val="0"/>
          <w:w w:val="100"/>
          <w:position w:val="0"/>
        </w:rPr>
        <w:t>、公司实际控制人及其一致行动人</w:t>
      </w:r>
      <w:bookmarkEnd w:id="636"/>
      <w:bookmarkEnd w:id="637"/>
      <w:bookmarkEnd w:id="639"/>
    </w:p>
    <w:p>
      <w:pPr>
        <w:pStyle w:val="Style17"/>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杨一兵，男，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年出生，中国国籍，无境外永久居留权，工业自动化专业博士学历。</w:t>
            </w:r>
            <w:r>
              <w:rPr>
                <w:rFonts w:ascii="Times New Roman" w:eastAsia="Times New Roman" w:hAnsi="Times New Roman" w:cs="Times New Roman"/>
                <w:color w:val="000000"/>
                <w:spacing w:val="0"/>
                <w:w w:val="100"/>
                <w:position w:val="0"/>
                <w:sz w:val="18"/>
                <w:szCs w:val="18"/>
              </w:rPr>
              <w:t xml:space="preserve">1996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年，担任浙江大学教师；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年，历任浙江浙大中控信息技术有限公 司副总经理、总工程师、副总裁；</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年，担任北京和仁中控数字医疗技术有限 公司董事、总经理；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月，担任公司董事长、总经理；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担任公司董事长，目前担任公司董事长、总经理。</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杨波，男，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年出生，中国国籍，希腊共和国永久居留权，工业设计专业本科学历。</w:t>
            </w: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年，担任浙江易商软件有限公司网站设计工程师；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年，历任浙江 浙大中控信息技术有限公司智能建筑事业部商务总监、智能建筑事业部副总经理、智能建筑 事业部商务中心总监；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年至今，担任公司董事、副总经理。</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17"/>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26758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596130" cy="2675890"/>
                    </a:xfrm>
                    <a:prstGeom prst="rect"/>
                  </pic:spPr>
                </pic:pic>
              </a:graphicData>
            </a:graphic>
          </wp:inline>
        </w:drawing>
      </w:r>
    </w:p>
    <w:p>
      <w:pPr>
        <w:widowControl w:val="0"/>
        <w:spacing w:after="259" w:line="1" w:lineRule="exact"/>
      </w:pPr>
    </w:p>
    <w:p>
      <w:pPr>
        <w:pStyle w:val="Style17"/>
        <w:keepNext w:val="0"/>
        <w:keepLines w:val="0"/>
        <w:widowControl w:val="0"/>
        <w:shd w:val="clear" w:color="auto" w:fill="auto"/>
        <w:bidi w:val="0"/>
        <w:spacing w:before="0" w:after="40" w:line="307" w:lineRule="exact"/>
        <w:ind w:left="0" w:right="0" w:firstLine="0"/>
        <w:jc w:val="both"/>
      </w:pPr>
      <w:r>
        <w:rPr>
          <w:color w:val="000000"/>
          <w:spacing w:val="0"/>
          <w:w w:val="100"/>
          <w:position w:val="0"/>
        </w:rPr>
        <w:t>方框图中的持股情况为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日的情况，截止年度报告披露日，因和仁科技办理完成回购注销限制性股票的业务， 总股本减少至</w:t>
      </w:r>
      <w:r>
        <w:rPr>
          <w:rFonts w:ascii="Times New Roman" w:eastAsia="Times New Roman" w:hAnsi="Times New Roman" w:cs="Times New Roman"/>
          <w:color w:val="000000"/>
          <w:spacing w:val="0"/>
          <w:w w:val="100"/>
          <w:position w:val="0"/>
          <w:sz w:val="18"/>
          <w:szCs w:val="18"/>
        </w:rPr>
        <w:t>264,885,681</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，磐源投资的持股比例为</w:t>
      </w:r>
      <w:r>
        <w:rPr>
          <w:rFonts w:ascii="Times New Roman" w:eastAsia="Times New Roman" w:hAnsi="Times New Roman" w:cs="Times New Roman"/>
          <w:color w:val="000000"/>
          <w:spacing w:val="0"/>
          <w:w w:val="100"/>
          <w:position w:val="0"/>
          <w:sz w:val="18"/>
          <w:szCs w:val="18"/>
        </w:rPr>
        <w:t>43.96%</w:t>
      </w:r>
      <w:r>
        <w:rPr>
          <w:color w:val="000000"/>
          <w:spacing w:val="0"/>
          <w:w w:val="100"/>
          <w:position w:val="0"/>
        </w:rPr>
        <w:t>，磐鸿投资的持股比例为</w:t>
      </w:r>
      <w:r>
        <w:rPr>
          <w:rFonts w:ascii="Times New Roman" w:eastAsia="Times New Roman" w:hAnsi="Times New Roman" w:cs="Times New Roman"/>
          <w:color w:val="000000"/>
          <w:spacing w:val="0"/>
          <w:w w:val="100"/>
          <w:position w:val="0"/>
          <w:sz w:val="18"/>
          <w:szCs w:val="18"/>
        </w:rPr>
        <w:t>5.38%</w:t>
      </w:r>
      <w:r>
        <w:rPr>
          <w:color w:val="000000"/>
          <w:spacing w:val="0"/>
          <w:w w:val="100"/>
          <w:position w:val="0"/>
        </w:rPr>
        <w:t>。</w:t>
      </w:r>
    </w:p>
    <w:p>
      <w:pPr>
        <w:pStyle w:val="Style17"/>
        <w:keepNext w:val="0"/>
        <w:keepLines w:val="0"/>
        <w:widowControl w:val="0"/>
        <w:shd w:val="clear" w:color="auto" w:fill="auto"/>
        <w:bidi w:val="0"/>
        <w:spacing w:before="0" w:after="140" w:line="307" w:lineRule="exact"/>
        <w:ind w:left="0" w:right="0" w:firstLine="0"/>
        <w:jc w:val="both"/>
      </w:pPr>
      <w:r>
        <w:rPr>
          <w:color w:val="000000"/>
          <w:spacing w:val="0"/>
          <w:w w:val="100"/>
          <w:position w:val="0"/>
        </w:rPr>
        <w:t>实际控制人通过信托或其他资产管理方式控制公司</w:t>
      </w:r>
    </w:p>
    <w:p>
      <w:pPr>
        <w:pStyle w:val="Style1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80" w:line="240" w:lineRule="auto"/>
        <w:ind w:left="0" w:right="0" w:firstLine="0"/>
        <w:jc w:val="both"/>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4</w:t>
      </w:r>
      <w:bookmarkEnd w:id="642"/>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40"/>
      <w:bookmarkEnd w:id="641"/>
      <w:bookmarkEnd w:id="643"/>
    </w:p>
    <w:p>
      <w:pPr>
        <w:pStyle w:val="Style1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260" w:line="240" w:lineRule="auto"/>
        <w:ind w:left="0" w:right="0" w:firstLine="0"/>
        <w:jc w:val="both"/>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5</w:t>
      </w:r>
      <w:bookmarkEnd w:id="64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4"/>
      <w:bookmarkEnd w:id="645"/>
      <w:bookmarkEnd w:id="647"/>
    </w:p>
    <w:p>
      <w:pPr>
        <w:pStyle w:val="Style17"/>
        <w:keepNext w:val="0"/>
        <w:keepLines w:val="0"/>
        <w:widowControl w:val="0"/>
        <w:numPr>
          <w:ilvl w:val="0"/>
          <w:numId w:val="9"/>
        </w:numPr>
        <w:shd w:val="clear" w:color="auto" w:fill="auto"/>
        <w:tabs>
          <w:tab w:pos="282" w:val="left"/>
        </w:tabs>
        <w:bidi w:val="0"/>
        <w:spacing w:before="0" w:after="380" w:line="307" w:lineRule="exact"/>
        <w:ind w:left="0" w:right="0" w:firstLine="0"/>
        <w:jc w:val="both"/>
      </w:pPr>
      <w:bookmarkStart w:id="648" w:name="bookmark648"/>
      <w:bookmarkEnd w:id="64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378" w:val="left"/>
        </w:tabs>
        <w:bidi w:val="0"/>
        <w:spacing w:before="0" w:after="260" w:line="240" w:lineRule="auto"/>
        <w:ind w:left="0" w:right="0" w:firstLine="0"/>
        <w:jc w:val="both"/>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6</w:t>
      </w:r>
      <w:bookmarkEnd w:id="651"/>
      <w:r>
        <w:rPr>
          <w:color w:val="000000"/>
          <w:spacing w:val="0"/>
          <w:w w:val="100"/>
          <w:position w:val="0"/>
        </w:rPr>
        <w:t>、</w:t>
        <w:tab/>
        <w:t>控股股东、实际控制人、重组方及其他承诺主体股份限制减持情况</w:t>
      </w:r>
      <w:bookmarkEnd w:id="649"/>
      <w:bookmarkEnd w:id="650"/>
      <w:bookmarkEnd w:id="652"/>
    </w:p>
    <w:p>
      <w:pPr>
        <w:pStyle w:val="Style17"/>
        <w:keepNext w:val="0"/>
        <w:keepLines w:val="0"/>
        <w:widowControl w:val="0"/>
        <w:numPr>
          <w:ilvl w:val="0"/>
          <w:numId w:val="9"/>
        </w:numPr>
        <w:shd w:val="clear" w:color="auto" w:fill="auto"/>
        <w:tabs>
          <w:tab w:pos="282" w:val="left"/>
        </w:tabs>
        <w:bidi w:val="0"/>
        <w:spacing w:before="0" w:after="380" w:line="307" w:lineRule="exact"/>
        <w:ind w:left="0" w:right="0" w:firstLine="0"/>
        <w:jc w:val="both"/>
      </w:pPr>
      <w:bookmarkStart w:id="653" w:name="bookmark653"/>
      <w:bookmarkEnd w:id="65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both"/>
      </w:pPr>
      <w:bookmarkStart w:id="654" w:name="bookmark654"/>
      <w:bookmarkStart w:id="655" w:name="bookmark655"/>
      <w:bookmarkStart w:id="656" w:name="bookmark656"/>
      <w:bookmarkStart w:id="657" w:name="bookmark657"/>
      <w:r>
        <w:rPr>
          <w:color w:val="000000"/>
          <w:spacing w:val="0"/>
          <w:w w:val="100"/>
          <w:position w:val="0"/>
        </w:rPr>
        <w:t>四</w:t>
      </w:r>
      <w:bookmarkEnd w:id="656"/>
      <w:r>
        <w:rPr>
          <w:color w:val="000000"/>
          <w:spacing w:val="0"/>
          <w:w w:val="100"/>
          <w:position w:val="0"/>
        </w:rPr>
        <w:t>、股份回购在报告期的具体实施情况</w:t>
      </w:r>
      <w:bookmarkEnd w:id="654"/>
      <w:bookmarkEnd w:id="655"/>
      <w:bookmarkEnd w:id="657"/>
    </w:p>
    <w:p>
      <w:pPr>
        <w:pStyle w:val="Style17"/>
        <w:keepNext w:val="0"/>
        <w:keepLines w:val="0"/>
        <w:widowControl w:val="0"/>
        <w:shd w:val="clear" w:color="auto" w:fill="auto"/>
        <w:bidi w:val="0"/>
        <w:spacing w:before="0" w:after="40" w:line="307" w:lineRule="exact"/>
        <w:ind w:left="0" w:right="0" w:firstLine="0"/>
        <w:jc w:val="both"/>
      </w:pPr>
      <w:r>
        <w:rPr>
          <w:color w:val="000000"/>
          <w:spacing w:val="0"/>
          <w:w w:val="100"/>
          <w:position w:val="0"/>
        </w:rPr>
        <w:t>股份回购的实施进展情况</w:t>
      </w:r>
    </w:p>
    <w:p>
      <w:pPr>
        <w:pStyle w:val="Style17"/>
        <w:keepNext w:val="0"/>
        <w:keepLines w:val="0"/>
        <w:widowControl w:val="0"/>
        <w:numPr>
          <w:ilvl w:val="0"/>
          <w:numId w:val="9"/>
        </w:numPr>
        <w:shd w:val="clear" w:color="auto" w:fill="auto"/>
        <w:tabs>
          <w:tab w:pos="282" w:val="left"/>
        </w:tabs>
        <w:bidi w:val="0"/>
        <w:spacing w:before="0" w:after="40" w:line="307" w:lineRule="exact"/>
        <w:ind w:left="0" w:right="0" w:firstLine="0"/>
        <w:jc w:val="both"/>
      </w:pPr>
      <w:bookmarkStart w:id="658" w:name="bookmark658"/>
      <w:bookmarkEnd w:id="65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7"/>
        <w:keepNext w:val="0"/>
        <w:keepLines w:val="0"/>
        <w:widowControl w:val="0"/>
        <w:shd w:val="clear" w:color="auto" w:fill="auto"/>
        <w:bidi w:val="0"/>
        <w:spacing w:before="0" w:after="40" w:line="307" w:lineRule="exact"/>
        <w:ind w:left="0" w:right="0" w:firstLine="0"/>
        <w:jc w:val="both"/>
      </w:pPr>
      <w:r>
        <w:rPr>
          <w:color w:val="000000"/>
          <w:spacing w:val="0"/>
          <w:w w:val="100"/>
          <w:position w:val="0"/>
        </w:rPr>
        <w:t>采用集中竞价方式减持回购股份的实施进展情况</w:t>
      </w:r>
    </w:p>
    <w:p>
      <w:pPr>
        <w:pStyle w:val="Style17"/>
        <w:keepNext w:val="0"/>
        <w:keepLines w:val="0"/>
        <w:widowControl w:val="0"/>
        <w:numPr>
          <w:ilvl w:val="0"/>
          <w:numId w:val="9"/>
        </w:numPr>
        <w:shd w:val="clear" w:color="auto" w:fill="auto"/>
        <w:tabs>
          <w:tab w:pos="282" w:val="left"/>
        </w:tabs>
        <w:bidi w:val="0"/>
        <w:spacing w:before="0" w:after="260" w:line="307" w:lineRule="exact"/>
        <w:ind w:left="0" w:right="0" w:firstLine="0"/>
        <w:jc w:val="both"/>
      </w:pPr>
      <w:bookmarkStart w:id="659" w:name="bookmark659"/>
      <w:bookmarkEnd w:id="65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2650490</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603" w:name="bookmark603"/>
                            <w:bookmarkStart w:id="604" w:name="bookmark604"/>
                            <w:bookmarkStart w:id="605" w:name="bookmark605"/>
                            <w:r>
                              <w:rPr>
                                <w:color w:val="000000"/>
                                <w:spacing w:val="0"/>
                                <w:w w:val="100"/>
                                <w:position w:val="0"/>
                              </w:rPr>
                              <w:t>第八节优先股相关情况</w:t>
                            </w:r>
                            <w:bookmarkEnd w:id="603"/>
                            <w:bookmarkEnd w:id="604"/>
                            <w:bookmarkEnd w:id="605"/>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08.70000000000002pt;margin-top:0;width:170.90000000000001pt;height:19.199999999999999pt;z-index:-125829375;mso-wrap-distance-left:0;mso-wrap-distance-right:0;mso-wrap-distance-bottom:21.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603" w:name="bookmark603"/>
                      <w:bookmarkStart w:id="604" w:name="bookmark604"/>
                      <w:bookmarkStart w:id="605" w:name="bookmark605"/>
                      <w:r>
                        <w:rPr>
                          <w:color w:val="000000"/>
                          <w:spacing w:val="0"/>
                          <w:w w:val="100"/>
                          <w:position w:val="0"/>
                        </w:rPr>
                        <w:t>第八节优先股相关情况</w:t>
                      </w:r>
                      <w:bookmarkEnd w:id="603"/>
                      <w:bookmarkEnd w:id="604"/>
                      <w:bookmarkEnd w:id="605"/>
                    </w:p>
                  </w:txbxContent>
                </v:textbox>
                <w10:wrap type="topAndBottom" anchorx="page"/>
              </v:shape>
            </w:pict>
          </mc:Fallback>
        </mc:AlternateContent>
      </w:r>
    </w:p>
    <w:p>
      <w:pPr>
        <w:pStyle w:val="Style17"/>
        <w:keepNext w:val="0"/>
        <w:keepLines w:val="0"/>
        <w:widowControl w:val="0"/>
        <w:shd w:val="clear" w:color="auto" w:fill="auto"/>
        <w:bidi w:val="0"/>
        <w:spacing w:before="0" w:after="140" w:line="240" w:lineRule="auto"/>
        <w:ind w:left="0" w:right="0" w:firstLine="0"/>
        <w:jc w:val="left"/>
      </w:pPr>
      <w:bookmarkStart w:id="660" w:name="bookmark66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60"/>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087" w:bottom="1460" w:left="1039"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17"/>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61" w:name="bookmark66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61"/>
    </w:p>
    <w:p>
      <w:pPr>
        <w:pStyle w:val="Style9"/>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62" w:name="bookmark662"/>
      <w:bookmarkStart w:id="663" w:name="bookmark663"/>
      <w:bookmarkStart w:id="664" w:name="bookmark664"/>
      <w:r>
        <w:rPr>
          <w:color w:val="000000"/>
          <w:spacing w:val="0"/>
          <w:w w:val="100"/>
          <w:position w:val="0"/>
        </w:rPr>
        <w:t>第九节债券相关情况</w:t>
      </w:r>
      <w:bookmarkEnd w:id="662"/>
      <w:bookmarkEnd w:id="663"/>
      <w:bookmarkEnd w:id="664"/>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9"/>
        <w:keepNext/>
        <w:keepLines/>
        <w:widowControl w:val="0"/>
        <w:shd w:val="clear" w:color="auto" w:fill="auto"/>
        <w:bidi w:val="0"/>
        <w:spacing w:before="780" w:after="540" w:line="240" w:lineRule="auto"/>
        <w:ind w:left="0" w:right="0" w:firstLine="0"/>
        <w:jc w:val="center"/>
      </w:pPr>
      <w:bookmarkStart w:id="665" w:name="bookmark665"/>
      <w:bookmarkStart w:id="666" w:name="bookmark666"/>
      <w:bookmarkStart w:id="667" w:name="bookmark667"/>
      <w:r>
        <w:rPr>
          <w:color w:val="000000"/>
          <w:spacing w:val="0"/>
          <w:w w:val="100"/>
          <w:position w:val="0"/>
        </w:rPr>
        <w:t>第十节财务报告</w:t>
      </w:r>
      <w:bookmarkEnd w:id="665"/>
      <w:bookmarkEnd w:id="666"/>
      <w:bookmarkEnd w:id="667"/>
    </w:p>
    <w:p>
      <w:pPr>
        <w:pStyle w:val="Style21"/>
        <w:keepNext/>
        <w:keepLines/>
        <w:widowControl w:val="0"/>
        <w:shd w:val="clear" w:color="auto" w:fill="auto"/>
        <w:bidi w:val="0"/>
        <w:spacing w:before="0" w:after="320" w:line="240" w:lineRule="auto"/>
        <w:ind w:left="0" w:right="0" w:firstLine="0"/>
        <w:jc w:val="left"/>
      </w:pPr>
      <w:bookmarkStart w:id="668" w:name="bookmark668"/>
      <w:bookmarkStart w:id="669" w:name="bookmark669"/>
      <w:bookmarkStart w:id="670" w:name="bookmark670"/>
      <w:bookmarkStart w:id="671" w:name="bookmark671"/>
      <w:bookmarkStart w:id="672" w:name="bookmark672"/>
      <w:r>
        <w:rPr>
          <w:color w:val="000000"/>
          <w:spacing w:val="0"/>
          <w:w w:val="100"/>
          <w:position w:val="0"/>
        </w:rPr>
        <w:t>一</w:t>
      </w:r>
      <w:bookmarkEnd w:id="671"/>
      <w:r>
        <w:rPr>
          <w:color w:val="000000"/>
          <w:spacing w:val="0"/>
          <w:w w:val="100"/>
          <w:position w:val="0"/>
        </w:rPr>
        <w:t>、审计报告</w:t>
      </w:r>
      <w:bookmarkEnd w:id="669"/>
      <w:bookmarkEnd w:id="670"/>
      <w:bookmarkEnd w:id="672"/>
      <w:bookmarkEnd w:id="66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4338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郑俭、吴传淼</w:t>
            </w:r>
          </w:p>
        </w:tc>
      </w:tr>
    </w:tbl>
    <w:p>
      <w:pPr>
        <w:pStyle w:val="Style23"/>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17"/>
        <w:keepNext w:val="0"/>
        <w:keepLines w:val="0"/>
        <w:widowControl w:val="0"/>
        <w:shd w:val="clear" w:color="auto" w:fill="auto"/>
        <w:tabs>
          <w:tab w:pos="795" w:val="left"/>
        </w:tabs>
        <w:bidi w:val="0"/>
        <w:spacing w:before="0" w:after="0" w:line="314" w:lineRule="exact"/>
        <w:ind w:left="0" w:right="0"/>
        <w:jc w:val="both"/>
      </w:pPr>
      <w:bookmarkStart w:id="673" w:name="bookmark673"/>
      <w:r>
        <w:rPr>
          <w:color w:val="000000"/>
          <w:spacing w:val="0"/>
          <w:w w:val="100"/>
          <w:position w:val="0"/>
        </w:rPr>
        <w:t>一</w:t>
      </w:r>
      <w:bookmarkEnd w:id="673"/>
      <w:r>
        <w:rPr>
          <w:color w:val="000000"/>
          <w:spacing w:val="0"/>
          <w:w w:val="100"/>
          <w:position w:val="0"/>
        </w:rPr>
        <w:t>、</w:t>
        <w:tab/>
        <w:t>审计意见</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我们审计了浙江和仁科技股份有限公司（以下简称和仁科技公司）财务报表，包括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年度的合并及母公司利润表、合并及母公司现金流量表、合并及母公司所有者权益变动表，以及相关财 务报表附注。</w:t>
      </w:r>
    </w:p>
    <w:p>
      <w:pPr>
        <w:pStyle w:val="Style17"/>
        <w:keepNext w:val="0"/>
        <w:keepLines w:val="0"/>
        <w:widowControl w:val="0"/>
        <w:shd w:val="clear" w:color="auto" w:fill="auto"/>
        <w:bidi w:val="0"/>
        <w:spacing w:before="0" w:after="380" w:line="307" w:lineRule="exact"/>
        <w:ind w:left="0" w:right="0"/>
        <w:jc w:val="both"/>
      </w:pPr>
      <w:r>
        <w:rPr>
          <w:color w:val="000000"/>
          <w:spacing w:val="0"/>
          <w:w w:val="100"/>
          <w:position w:val="0"/>
        </w:rPr>
        <w:t>我们认为，后附的财务报表在所有重大方面按照企业会计准则的规定编制，公允反映了和仁科技公司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17"/>
        <w:keepNext w:val="0"/>
        <w:keepLines w:val="0"/>
        <w:widowControl w:val="0"/>
        <w:shd w:val="clear" w:color="auto" w:fill="auto"/>
        <w:tabs>
          <w:tab w:pos="795" w:val="left"/>
        </w:tabs>
        <w:bidi w:val="0"/>
        <w:spacing w:before="0" w:after="0" w:line="314" w:lineRule="exact"/>
        <w:ind w:left="0" w:right="0"/>
        <w:jc w:val="both"/>
      </w:pPr>
      <w:bookmarkStart w:id="674" w:name="bookmark674"/>
      <w:r>
        <w:rPr>
          <w:color w:val="000000"/>
          <w:spacing w:val="0"/>
          <w:w w:val="100"/>
          <w:position w:val="0"/>
        </w:rPr>
        <w:t>二</w:t>
      </w:r>
      <w:bookmarkEnd w:id="674"/>
      <w:r>
        <w:rPr>
          <w:color w:val="000000"/>
          <w:spacing w:val="0"/>
          <w:w w:val="100"/>
          <w:position w:val="0"/>
        </w:rPr>
        <w:t>、</w:t>
        <w:tab/>
        <w:t>形成审计意见的基础</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阐述了我们在这些准则下的责任。按照中国注册会计师职业道德守则，我们独立于和仁科技公司，并履行了职业道德方面的 其他责任。我们相信，我们获取的审计证据是充分、适当的，为发表审计意见提供了基础。</w:t>
      </w:r>
    </w:p>
    <w:p>
      <w:pPr>
        <w:pStyle w:val="Style17"/>
        <w:keepNext w:val="0"/>
        <w:keepLines w:val="0"/>
        <w:widowControl w:val="0"/>
        <w:shd w:val="clear" w:color="auto" w:fill="auto"/>
        <w:tabs>
          <w:tab w:pos="795" w:val="left"/>
        </w:tabs>
        <w:bidi w:val="0"/>
        <w:spacing w:before="0" w:after="0" w:line="314" w:lineRule="exact"/>
        <w:ind w:left="0" w:right="0"/>
        <w:jc w:val="both"/>
      </w:pPr>
      <w:bookmarkStart w:id="675" w:name="bookmark675"/>
      <w:r>
        <w:rPr>
          <w:color w:val="000000"/>
          <w:spacing w:val="0"/>
          <w:w w:val="100"/>
          <w:position w:val="0"/>
        </w:rPr>
        <w:t>三</w:t>
      </w:r>
      <w:bookmarkEnd w:id="675"/>
      <w:r>
        <w:rPr>
          <w:color w:val="000000"/>
          <w:spacing w:val="0"/>
          <w:w w:val="100"/>
          <w:position w:val="0"/>
        </w:rPr>
        <w:t>、</w:t>
        <w:tab/>
        <w:t>关键审计事项</w:t>
      </w:r>
    </w:p>
    <w:p>
      <w:pPr>
        <w:pStyle w:val="Style17"/>
        <w:keepNext w:val="0"/>
        <w:keepLines w:val="0"/>
        <w:widowControl w:val="0"/>
        <w:shd w:val="clear" w:color="auto" w:fill="auto"/>
        <w:bidi w:val="0"/>
        <w:spacing w:before="0" w:after="14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17"/>
        <w:keepNext w:val="0"/>
        <w:keepLines w:val="0"/>
        <w:widowControl w:val="0"/>
        <w:shd w:val="clear" w:color="auto" w:fill="auto"/>
        <w:bidi w:val="0"/>
        <w:spacing w:before="0" w:after="0" w:line="360" w:lineRule="auto"/>
        <w:ind w:left="0" w:right="0"/>
        <w:jc w:val="both"/>
      </w:pPr>
      <w:bookmarkStart w:id="676" w:name="bookmark676"/>
      <w:r>
        <w:rPr>
          <w:rFonts w:ascii="Times New Roman" w:eastAsia="Times New Roman" w:hAnsi="Times New Roman" w:cs="Times New Roman"/>
          <w:color w:val="000000"/>
          <w:spacing w:val="0"/>
          <w:w w:val="100"/>
          <w:position w:val="0"/>
          <w:sz w:val="18"/>
          <w:szCs w:val="18"/>
        </w:rPr>
        <w:t>（</w:t>
      </w:r>
      <w:bookmarkEnd w:id="676"/>
      <w:r>
        <w:rPr>
          <w:color w:val="000000"/>
          <w:spacing w:val="0"/>
          <w:w w:val="100"/>
          <w:position w:val="0"/>
        </w:rPr>
        <w:t>一</w:t>
      </w:r>
      <w:r>
        <w:rPr>
          <w:color w:val="000000"/>
          <w:spacing w:val="0"/>
          <w:w w:val="100"/>
          <w:position w:val="0"/>
          <w:sz w:val="18"/>
          <w:szCs w:val="18"/>
        </w:rPr>
        <w:t>）</w:t>
      </w:r>
      <w:r>
        <w:rPr>
          <w:color w:val="000000"/>
          <w:spacing w:val="0"/>
          <w:w w:val="100"/>
          <w:position w:val="0"/>
        </w:rPr>
        <w:t>收入确认</w:t>
      </w:r>
    </w:p>
    <w:p>
      <w:pPr>
        <w:pStyle w:val="Style17"/>
        <w:keepNext w:val="0"/>
        <w:keepLines w:val="0"/>
        <w:widowControl w:val="0"/>
        <w:numPr>
          <w:ilvl w:val="0"/>
          <w:numId w:val="11"/>
        </w:numPr>
        <w:shd w:val="clear" w:color="auto" w:fill="auto"/>
        <w:tabs>
          <w:tab w:pos="670" w:val="left"/>
        </w:tabs>
        <w:bidi w:val="0"/>
        <w:spacing w:before="0" w:after="0" w:line="360" w:lineRule="auto"/>
        <w:ind w:left="0" w:right="0"/>
        <w:jc w:val="both"/>
      </w:pPr>
      <w:bookmarkStart w:id="677" w:name="bookmark677"/>
      <w:bookmarkEnd w:id="677"/>
      <w:r>
        <w:rPr>
          <w:color w:val="000000"/>
          <w:spacing w:val="0"/>
          <w:w w:val="100"/>
          <w:position w:val="0"/>
        </w:rPr>
        <w:t>事项描述</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和仁科技公司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年度合并营业收入为人民币</w:t>
      </w:r>
      <w:r>
        <w:rPr>
          <w:rFonts w:ascii="Times New Roman" w:eastAsia="Times New Roman" w:hAnsi="Times New Roman" w:cs="Times New Roman"/>
          <w:color w:val="000000"/>
          <w:spacing w:val="0"/>
          <w:w w:val="100"/>
          <w:position w:val="0"/>
          <w:sz w:val="18"/>
          <w:szCs w:val="18"/>
        </w:rPr>
        <w:t>46,419.97</w:t>
      </w:r>
      <w:r>
        <w:rPr>
          <w:color w:val="000000"/>
          <w:spacing w:val="0"/>
          <w:w w:val="100"/>
          <w:position w:val="0"/>
        </w:rPr>
        <w:t>万元，和仁科技公司的主要经营活动是医疗信息系统软件及数 字化场景应用系统的研发销售、实施集成、服务支持。其中，医疗信息系统软件的销售与开发属于在某一时点履行的履约义 务，在完成履约义务并经客户确认、已收取款项或者享有现时收款权利时确认收入；数字化场景应用系统的实施属于在某一 时段内履行履约义务，根据投入法按照已交付的产品或已确认的工程量确定履约进度。</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针对某一时点履行的履约义务，涉及和仁科技公司管理层（以下简称管理层）需要根据相关依据判断客户是否已取得商 品控制权；针对某一时段内履行履约义务，在确定履约进度时，需要对已经实际发生的合同成本进行计量，对预计合同总成 本进行估计，并在项目执行过程中持续评估和修订，涉及管理层的重大会计估计和判断。</w:t>
      </w:r>
    </w:p>
    <w:p>
      <w:pPr>
        <w:pStyle w:val="Style17"/>
        <w:keepNext w:val="0"/>
        <w:keepLines w:val="0"/>
        <w:widowControl w:val="0"/>
        <w:shd w:val="clear" w:color="auto" w:fill="auto"/>
        <w:bidi w:val="0"/>
        <w:spacing w:before="0" w:after="140" w:line="317" w:lineRule="exact"/>
        <w:ind w:left="0" w:right="0"/>
        <w:jc w:val="both"/>
      </w:pPr>
      <w:r>
        <w:rPr>
          <w:color w:val="000000"/>
          <w:spacing w:val="0"/>
          <w:w w:val="100"/>
          <w:position w:val="0"/>
        </w:rPr>
        <w:t>由于营业收入是和仁科技公司关键业绩指标之一，可能存在管理层通过不恰当的收入确认以达到特定目标或预期的固有 风险。同时，收入确认涉及重大管理层判断。因此，我们将收入确认确定为关键审计事项。</w:t>
      </w:r>
    </w:p>
    <w:p>
      <w:pPr>
        <w:pStyle w:val="Style17"/>
        <w:keepNext w:val="0"/>
        <w:keepLines w:val="0"/>
        <w:widowControl w:val="0"/>
        <w:numPr>
          <w:ilvl w:val="0"/>
          <w:numId w:val="11"/>
        </w:numPr>
        <w:shd w:val="clear" w:color="auto" w:fill="auto"/>
        <w:tabs>
          <w:tab w:pos="680" w:val="left"/>
        </w:tabs>
        <w:bidi w:val="0"/>
        <w:spacing w:before="0" w:after="0" w:line="360" w:lineRule="auto"/>
        <w:ind w:left="0" w:right="0"/>
        <w:jc w:val="both"/>
      </w:pPr>
      <w:bookmarkStart w:id="678" w:name="bookmark678"/>
      <w:bookmarkEnd w:id="678"/>
      <w:r>
        <w:rPr>
          <w:color w:val="000000"/>
          <w:spacing w:val="0"/>
          <w:w w:val="100"/>
          <w:position w:val="0"/>
        </w:rPr>
        <w:t>审计应对</w:t>
      </w:r>
    </w:p>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针对收入确认，我们实施的审计程序主要包括：</w:t>
      </w:r>
    </w:p>
    <w:p>
      <w:pPr>
        <w:pStyle w:val="Style17"/>
        <w:keepNext w:val="0"/>
        <w:keepLines w:val="0"/>
        <w:widowControl w:val="0"/>
        <w:numPr>
          <w:ilvl w:val="0"/>
          <w:numId w:val="13"/>
        </w:numPr>
        <w:shd w:val="clear" w:color="auto" w:fill="auto"/>
        <w:tabs>
          <w:tab w:pos="762" w:val="left"/>
        </w:tabs>
        <w:bidi w:val="0"/>
        <w:spacing w:before="0" w:after="0" w:line="317" w:lineRule="exact"/>
        <w:ind w:left="0" w:right="0" w:firstLine="380"/>
        <w:jc w:val="both"/>
      </w:pPr>
      <w:bookmarkStart w:id="679" w:name="bookmark679"/>
      <w:bookmarkEnd w:id="679"/>
      <w:r>
        <w:rPr>
          <w:color w:val="000000"/>
          <w:spacing w:val="0"/>
          <w:w w:val="100"/>
          <w:position w:val="0"/>
        </w:rPr>
        <w:t>了解与收入确认相关的关键内部控制，评价这些控制的设计，确定其是否得到执行，并测试相关内部控制的运行有 效性；</w:t>
      </w:r>
    </w:p>
    <w:p>
      <w:pPr>
        <w:pStyle w:val="Style17"/>
        <w:keepNext w:val="0"/>
        <w:keepLines w:val="0"/>
        <w:widowControl w:val="0"/>
        <w:numPr>
          <w:ilvl w:val="0"/>
          <w:numId w:val="13"/>
        </w:numPr>
        <w:shd w:val="clear" w:color="auto" w:fill="auto"/>
        <w:tabs>
          <w:tab w:pos="786" w:val="left"/>
        </w:tabs>
        <w:bidi w:val="0"/>
        <w:spacing w:before="0" w:after="0" w:line="317" w:lineRule="exact"/>
        <w:ind w:left="0" w:right="0" w:firstLine="380"/>
        <w:jc w:val="both"/>
      </w:pPr>
      <w:bookmarkStart w:id="680" w:name="bookmark680"/>
      <w:bookmarkEnd w:id="680"/>
      <w:r>
        <w:rPr>
          <w:color w:val="000000"/>
          <w:spacing w:val="0"/>
          <w:w w:val="100"/>
          <w:position w:val="0"/>
        </w:rPr>
        <w:t>检查项目合同，了解主要合同条款或条件，评价收入确认方法是否适当；</w:t>
      </w:r>
    </w:p>
    <w:p>
      <w:pPr>
        <w:pStyle w:val="Style17"/>
        <w:keepNext w:val="0"/>
        <w:keepLines w:val="0"/>
        <w:widowControl w:val="0"/>
        <w:numPr>
          <w:ilvl w:val="0"/>
          <w:numId w:val="13"/>
        </w:numPr>
        <w:shd w:val="clear" w:color="auto" w:fill="auto"/>
        <w:tabs>
          <w:tab w:pos="766" w:val="left"/>
        </w:tabs>
        <w:bidi w:val="0"/>
        <w:spacing w:before="0" w:after="0" w:line="324" w:lineRule="exact"/>
        <w:ind w:left="0" w:right="0" w:firstLine="380"/>
        <w:jc w:val="both"/>
      </w:pPr>
      <w:bookmarkStart w:id="681" w:name="bookmark681"/>
      <w:bookmarkEnd w:id="681"/>
      <w:r>
        <w:rPr>
          <w:color w:val="000000"/>
          <w:spacing w:val="0"/>
          <w:w w:val="100"/>
          <w:position w:val="0"/>
        </w:rPr>
        <w:t>以抽样方式检查管理层预计总收入和预计总成本所依据的合同和成本预算资料，评价管理层所作估计是否合理、依 据是否充分；</w:t>
      </w:r>
    </w:p>
    <w:p>
      <w:pPr>
        <w:pStyle w:val="Style17"/>
        <w:keepNext w:val="0"/>
        <w:keepLines w:val="0"/>
        <w:widowControl w:val="0"/>
        <w:numPr>
          <w:ilvl w:val="0"/>
          <w:numId w:val="13"/>
        </w:numPr>
        <w:shd w:val="clear" w:color="auto" w:fill="auto"/>
        <w:tabs>
          <w:tab w:pos="762" w:val="left"/>
        </w:tabs>
        <w:bidi w:val="0"/>
        <w:spacing w:before="0" w:after="0" w:line="324" w:lineRule="exact"/>
        <w:ind w:left="0" w:right="0" w:firstLine="380"/>
        <w:jc w:val="both"/>
      </w:pPr>
      <w:bookmarkStart w:id="682" w:name="bookmark682"/>
      <w:bookmarkEnd w:id="682"/>
      <w:r>
        <w:rPr>
          <w:color w:val="000000"/>
          <w:spacing w:val="0"/>
          <w:w w:val="100"/>
          <w:position w:val="0"/>
        </w:rPr>
        <w:t>检查上线确认书、验收报告、签收资料等外部依据；抽样走访项目实施现场，抽样视频或电话访谈客户，了解项目 执行情况；</w:t>
      </w:r>
    </w:p>
    <w:p>
      <w:pPr>
        <w:pStyle w:val="Style17"/>
        <w:keepNext w:val="0"/>
        <w:keepLines w:val="0"/>
        <w:widowControl w:val="0"/>
        <w:numPr>
          <w:ilvl w:val="0"/>
          <w:numId w:val="13"/>
        </w:numPr>
        <w:shd w:val="clear" w:color="auto" w:fill="auto"/>
        <w:tabs>
          <w:tab w:pos="786" w:val="left"/>
        </w:tabs>
        <w:bidi w:val="0"/>
        <w:spacing w:before="0" w:after="0" w:line="324" w:lineRule="exact"/>
        <w:ind w:left="0" w:right="0" w:firstLine="380"/>
        <w:jc w:val="both"/>
      </w:pPr>
      <w:bookmarkStart w:id="683" w:name="bookmark683"/>
      <w:bookmarkEnd w:id="683"/>
      <w:r>
        <w:rPr>
          <w:color w:val="000000"/>
          <w:spacing w:val="0"/>
          <w:w w:val="100"/>
          <w:position w:val="0"/>
        </w:rPr>
        <w:t>向主要客户函证合同情况、项目进度、以及材料、构配件、设备等报验清单、开票收款内容；</w:t>
      </w:r>
    </w:p>
    <w:p>
      <w:pPr>
        <w:pStyle w:val="Style17"/>
        <w:keepNext w:val="0"/>
        <w:keepLines w:val="0"/>
        <w:widowControl w:val="0"/>
        <w:numPr>
          <w:ilvl w:val="0"/>
          <w:numId w:val="13"/>
        </w:numPr>
        <w:shd w:val="clear" w:color="auto" w:fill="auto"/>
        <w:tabs>
          <w:tab w:pos="786" w:val="left"/>
        </w:tabs>
        <w:bidi w:val="0"/>
        <w:spacing w:before="0" w:after="0" w:line="317" w:lineRule="exact"/>
        <w:ind w:left="0" w:right="0" w:firstLine="380"/>
        <w:jc w:val="both"/>
      </w:pPr>
      <w:bookmarkStart w:id="684" w:name="bookmark684"/>
      <w:bookmarkEnd w:id="684"/>
      <w:r>
        <w:rPr>
          <w:color w:val="000000"/>
          <w:spacing w:val="0"/>
          <w:w w:val="100"/>
          <w:position w:val="0"/>
        </w:rPr>
        <w:t>复核对履约进度和按照履约进度确认收入的计算是否准确；</w:t>
      </w:r>
    </w:p>
    <w:p>
      <w:pPr>
        <w:pStyle w:val="Style17"/>
        <w:keepNext w:val="0"/>
        <w:keepLines w:val="0"/>
        <w:widowControl w:val="0"/>
        <w:numPr>
          <w:ilvl w:val="0"/>
          <w:numId w:val="13"/>
        </w:numPr>
        <w:shd w:val="clear" w:color="auto" w:fill="auto"/>
        <w:tabs>
          <w:tab w:pos="786" w:val="left"/>
        </w:tabs>
        <w:bidi w:val="0"/>
        <w:spacing w:before="0" w:after="140" w:line="317" w:lineRule="exact"/>
        <w:ind w:left="0" w:right="0" w:firstLine="380"/>
        <w:jc w:val="both"/>
      </w:pPr>
      <w:bookmarkStart w:id="685" w:name="bookmark685"/>
      <w:bookmarkEnd w:id="685"/>
      <w:r>
        <w:rPr>
          <w:color w:val="000000"/>
          <w:spacing w:val="0"/>
          <w:w w:val="100"/>
          <w:position w:val="0"/>
        </w:rPr>
        <w:t>检查与营业收入相关的信息是否已在财务报表中作出恰当列报。</w:t>
      </w:r>
    </w:p>
    <w:p>
      <w:pPr>
        <w:pStyle w:val="Style17"/>
        <w:keepNext w:val="0"/>
        <w:keepLines w:val="0"/>
        <w:widowControl w:val="0"/>
        <w:numPr>
          <w:ilvl w:val="0"/>
          <w:numId w:val="15"/>
        </w:numPr>
        <w:shd w:val="clear" w:color="auto" w:fill="auto"/>
        <w:bidi w:val="0"/>
        <w:spacing w:before="0" w:after="0" w:line="360" w:lineRule="auto"/>
        <w:ind w:left="0" w:right="0" w:firstLine="380"/>
        <w:jc w:val="both"/>
      </w:pPr>
      <w:bookmarkStart w:id="686" w:name="bookmark686"/>
      <w:bookmarkEnd w:id="686"/>
      <w:r>
        <w:rPr>
          <w:color w:val="000000"/>
          <w:spacing w:val="0"/>
          <w:w w:val="100"/>
          <w:position w:val="0"/>
        </w:rPr>
        <w:t>应收账款及合同资产减值</w:t>
      </w:r>
    </w:p>
    <w:p>
      <w:pPr>
        <w:pStyle w:val="Style17"/>
        <w:keepNext w:val="0"/>
        <w:keepLines w:val="0"/>
        <w:widowControl w:val="0"/>
        <w:numPr>
          <w:ilvl w:val="0"/>
          <w:numId w:val="17"/>
        </w:numPr>
        <w:shd w:val="clear" w:color="auto" w:fill="auto"/>
        <w:tabs>
          <w:tab w:pos="681" w:val="left"/>
        </w:tabs>
        <w:bidi w:val="0"/>
        <w:spacing w:before="0" w:after="0" w:line="360" w:lineRule="auto"/>
        <w:ind w:left="0" w:right="0" w:firstLine="380"/>
        <w:jc w:val="both"/>
      </w:pPr>
      <w:bookmarkStart w:id="687" w:name="bookmark687"/>
      <w:bookmarkEnd w:id="687"/>
      <w:r>
        <w:rPr>
          <w:color w:val="000000"/>
          <w:spacing w:val="0"/>
          <w:w w:val="100"/>
          <w:position w:val="0"/>
        </w:rPr>
        <w:t>事项描述</w:t>
      </w:r>
    </w:p>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二十五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日，和仁科技公司应收账款账面余额为</w:t>
      </w:r>
      <w:r>
        <w:rPr>
          <w:rFonts w:ascii="Times New Roman" w:eastAsia="Times New Roman" w:hAnsi="Times New Roman" w:cs="Times New Roman"/>
          <w:color w:val="000000"/>
          <w:spacing w:val="0"/>
          <w:w w:val="100"/>
          <w:position w:val="0"/>
          <w:sz w:val="18"/>
          <w:szCs w:val="18"/>
        </w:rPr>
        <w:t>35,568.02</w:t>
      </w:r>
      <w:r>
        <w:rPr>
          <w:color w:val="000000"/>
          <w:spacing w:val="0"/>
          <w:w w:val="100"/>
          <w:position w:val="0"/>
        </w:rPr>
        <w:t>万元，坏账准备为</w:t>
      </w:r>
      <w:r>
        <w:rPr>
          <w:rFonts w:ascii="Times New Roman" w:eastAsia="Times New Roman" w:hAnsi="Times New Roman" w:cs="Times New Roman"/>
          <w:color w:val="000000"/>
          <w:spacing w:val="0"/>
          <w:w w:val="100"/>
          <w:position w:val="0"/>
          <w:sz w:val="18"/>
          <w:szCs w:val="18"/>
        </w:rPr>
        <w:t>10,617.06</w:t>
      </w:r>
      <w:r>
        <w:rPr>
          <w:color w:val="000000"/>
          <w:spacing w:val="0"/>
          <w:w w:val="100"/>
          <w:position w:val="0"/>
        </w:rPr>
        <w:t xml:space="preserve">万元，账面价值为 </w:t>
      </w:r>
      <w:r>
        <w:rPr>
          <w:rFonts w:ascii="Times New Roman" w:eastAsia="Times New Roman" w:hAnsi="Times New Roman" w:cs="Times New Roman"/>
          <w:color w:val="000000"/>
          <w:spacing w:val="0"/>
          <w:w w:val="100"/>
          <w:position w:val="0"/>
          <w:sz w:val="18"/>
          <w:szCs w:val="18"/>
        </w:rPr>
        <w:t>24,950.96</w:t>
      </w:r>
      <w:r>
        <w:rPr>
          <w:color w:val="000000"/>
          <w:spacing w:val="0"/>
          <w:w w:val="100"/>
          <w:position w:val="0"/>
        </w:rPr>
        <w:t>万元，合同资产账面余额为</w:t>
      </w:r>
      <w:r>
        <w:rPr>
          <w:rFonts w:ascii="Times New Roman" w:eastAsia="Times New Roman" w:hAnsi="Times New Roman" w:cs="Times New Roman"/>
          <w:color w:val="000000"/>
          <w:spacing w:val="0"/>
          <w:w w:val="100"/>
          <w:position w:val="0"/>
          <w:sz w:val="18"/>
          <w:szCs w:val="18"/>
        </w:rPr>
        <w:t>28,733.34</w:t>
      </w:r>
      <w:r>
        <w:rPr>
          <w:color w:val="000000"/>
          <w:spacing w:val="0"/>
          <w:w w:val="100"/>
          <w:position w:val="0"/>
        </w:rPr>
        <w:t>万元，减值准备为</w:t>
      </w:r>
      <w:r>
        <w:rPr>
          <w:rFonts w:ascii="Times New Roman" w:eastAsia="Times New Roman" w:hAnsi="Times New Roman" w:cs="Times New Roman"/>
          <w:color w:val="000000"/>
          <w:spacing w:val="0"/>
          <w:w w:val="100"/>
          <w:position w:val="0"/>
          <w:sz w:val="18"/>
          <w:szCs w:val="18"/>
        </w:rPr>
        <w:t>2,184.72</w:t>
      </w:r>
      <w:r>
        <w:rPr>
          <w:color w:val="000000"/>
          <w:spacing w:val="0"/>
          <w:w w:val="100"/>
          <w:position w:val="0"/>
        </w:rPr>
        <w:t>万元，账面价值为</w:t>
      </w:r>
      <w:r>
        <w:rPr>
          <w:rFonts w:ascii="Times New Roman" w:eastAsia="Times New Roman" w:hAnsi="Times New Roman" w:cs="Times New Roman"/>
          <w:color w:val="000000"/>
          <w:spacing w:val="0"/>
          <w:w w:val="100"/>
          <w:position w:val="0"/>
          <w:sz w:val="18"/>
          <w:szCs w:val="18"/>
        </w:rPr>
        <w:t>26,548.62</w:t>
      </w:r>
      <w:r>
        <w:rPr>
          <w:color w:val="000000"/>
          <w:spacing w:val="0"/>
          <w:w w:val="100"/>
          <w:position w:val="0"/>
        </w:rPr>
        <w:t>万元。</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管理层根据各项应收账款及合同资产的信用风险特征，以单项应收账款或应收账款组合为基础，按照相当于整个存续期 内的预期信用损失金额计量其损失准备。对于以组合为基础计量预期信用损失的应收账款和合同资产，管理层以账龄为依据 划分组合，参照历史信用损失经验，并根据前瞻性估计予以调整，编制应收账款账龄与预期信用损失率对照表，据此确定应 计提的坏账准备或减值准备。</w:t>
      </w:r>
    </w:p>
    <w:p>
      <w:pPr>
        <w:pStyle w:val="Style17"/>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由于应收账款及合同资产金额重大，且应收账款及合同资产减值涉及重大管理层判断，我们将应收账款及合同资产减值 确定为关键审计事项。</w:t>
      </w:r>
    </w:p>
    <w:p>
      <w:pPr>
        <w:pStyle w:val="Style17"/>
        <w:keepNext w:val="0"/>
        <w:keepLines w:val="0"/>
        <w:widowControl w:val="0"/>
        <w:numPr>
          <w:ilvl w:val="0"/>
          <w:numId w:val="17"/>
        </w:numPr>
        <w:shd w:val="clear" w:color="auto" w:fill="auto"/>
        <w:tabs>
          <w:tab w:pos="700" w:val="left"/>
        </w:tabs>
        <w:bidi w:val="0"/>
        <w:spacing w:before="0" w:after="0" w:line="360" w:lineRule="auto"/>
        <w:ind w:left="0" w:right="0" w:firstLine="380"/>
        <w:jc w:val="both"/>
      </w:pPr>
      <w:bookmarkStart w:id="688" w:name="bookmark688"/>
      <w:bookmarkEnd w:id="688"/>
      <w:r>
        <w:rPr>
          <w:color w:val="000000"/>
          <w:spacing w:val="0"/>
          <w:w w:val="100"/>
          <w:position w:val="0"/>
        </w:rPr>
        <w:t>审计应对</w:t>
      </w:r>
    </w:p>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针对应收账款及合同资产减值，我们实施的审计程序主要包括：</w:t>
      </w:r>
    </w:p>
    <w:p>
      <w:pPr>
        <w:pStyle w:val="Style17"/>
        <w:keepNext w:val="0"/>
        <w:keepLines w:val="0"/>
        <w:widowControl w:val="0"/>
        <w:numPr>
          <w:ilvl w:val="0"/>
          <w:numId w:val="19"/>
        </w:numPr>
        <w:shd w:val="clear" w:color="auto" w:fill="auto"/>
        <w:tabs>
          <w:tab w:pos="757" w:val="left"/>
        </w:tabs>
        <w:bidi w:val="0"/>
        <w:spacing w:before="0" w:after="0" w:line="312" w:lineRule="exact"/>
        <w:ind w:left="0" w:right="0" w:firstLine="380"/>
        <w:jc w:val="both"/>
      </w:pPr>
      <w:bookmarkStart w:id="689" w:name="bookmark689"/>
      <w:bookmarkEnd w:id="689"/>
      <w:r>
        <w:rPr>
          <w:color w:val="000000"/>
          <w:spacing w:val="0"/>
          <w:w w:val="100"/>
          <w:position w:val="0"/>
        </w:rPr>
        <w:t>了解与应收账款及合同资产减值相关的关键内部控制，评价这些控制的设计，确定其是否得到执行，并测试相关内 部控制的运行有效性；</w:t>
      </w:r>
    </w:p>
    <w:p>
      <w:pPr>
        <w:pStyle w:val="Style17"/>
        <w:keepNext w:val="0"/>
        <w:keepLines w:val="0"/>
        <w:widowControl w:val="0"/>
        <w:numPr>
          <w:ilvl w:val="0"/>
          <w:numId w:val="19"/>
        </w:numPr>
        <w:shd w:val="clear" w:color="auto" w:fill="auto"/>
        <w:tabs>
          <w:tab w:pos="786" w:val="left"/>
        </w:tabs>
        <w:bidi w:val="0"/>
        <w:spacing w:before="0" w:after="0" w:line="317" w:lineRule="exact"/>
        <w:ind w:left="0" w:right="0" w:firstLine="380"/>
        <w:jc w:val="both"/>
      </w:pPr>
      <w:bookmarkStart w:id="690" w:name="bookmark690"/>
      <w:bookmarkEnd w:id="690"/>
      <w:r>
        <w:rPr>
          <w:color w:val="000000"/>
          <w:spacing w:val="0"/>
          <w:w w:val="100"/>
          <w:position w:val="0"/>
        </w:rPr>
        <w:t>复核以前年度已计提坏账准备的应收账款及合同资产的后续实际核销或转回情况，评价管理层过往预测的准确性；</w:t>
      </w:r>
    </w:p>
    <w:p>
      <w:pPr>
        <w:pStyle w:val="Style17"/>
        <w:keepNext w:val="0"/>
        <w:keepLines w:val="0"/>
        <w:widowControl w:val="0"/>
        <w:numPr>
          <w:ilvl w:val="0"/>
          <w:numId w:val="19"/>
        </w:numPr>
        <w:shd w:val="clear" w:color="auto" w:fill="auto"/>
        <w:tabs>
          <w:tab w:pos="762" w:val="left"/>
        </w:tabs>
        <w:bidi w:val="0"/>
        <w:spacing w:before="0" w:after="0" w:line="322" w:lineRule="exact"/>
        <w:ind w:left="0" w:right="0" w:firstLine="380"/>
        <w:jc w:val="both"/>
      </w:pPr>
      <w:bookmarkStart w:id="691" w:name="bookmark691"/>
      <w:bookmarkEnd w:id="691"/>
      <w:r>
        <w:rPr>
          <w:color w:val="000000"/>
          <w:spacing w:val="0"/>
          <w:w w:val="100"/>
          <w:position w:val="0"/>
        </w:rPr>
        <w:t>复核管理层对应收账款及合同资产进行信用风险评估的相关考虑和客观证据，评价管理层是否恰当识别各项应收账 款的信用风险特征；</w:t>
      </w:r>
    </w:p>
    <w:p>
      <w:pPr>
        <w:pStyle w:val="Style17"/>
        <w:keepNext w:val="0"/>
        <w:keepLines w:val="0"/>
        <w:widowControl w:val="0"/>
        <w:numPr>
          <w:ilvl w:val="0"/>
          <w:numId w:val="19"/>
        </w:numPr>
        <w:shd w:val="clear" w:color="auto" w:fill="auto"/>
        <w:tabs>
          <w:tab w:pos="762" w:val="left"/>
        </w:tabs>
        <w:bidi w:val="0"/>
        <w:spacing w:before="0" w:after="0" w:line="317" w:lineRule="exact"/>
        <w:ind w:left="0" w:right="0" w:firstLine="380"/>
        <w:jc w:val="both"/>
      </w:pPr>
      <w:bookmarkStart w:id="692" w:name="bookmark692"/>
      <w:bookmarkEnd w:id="692"/>
      <w:r>
        <w:rPr>
          <w:color w:val="000000"/>
          <w:spacing w:val="0"/>
          <w:w w:val="100"/>
          <w:position w:val="0"/>
        </w:rPr>
        <w:t>对于采用组合方式进行减值测试的应收账款及合同资产，评价管理层按信用风险特征划分组合的合理性；评价管理 层根据历史信用损失经验及前瞻性估计确定的应收账款及合同资产账龄与预期信用损失率对照表的合理性;测试管理层使用 数据(包括账龄、历史损失率等)的准确性和完整性以及对坏账准备的计算是否准确；</w:t>
      </w:r>
    </w:p>
    <w:p>
      <w:pPr>
        <w:pStyle w:val="Style17"/>
        <w:keepNext w:val="0"/>
        <w:keepLines w:val="0"/>
        <w:widowControl w:val="0"/>
        <w:numPr>
          <w:ilvl w:val="0"/>
          <w:numId w:val="19"/>
        </w:numPr>
        <w:shd w:val="clear" w:color="auto" w:fill="auto"/>
        <w:tabs>
          <w:tab w:pos="786" w:val="left"/>
        </w:tabs>
        <w:bidi w:val="0"/>
        <w:spacing w:before="0" w:after="0" w:line="317" w:lineRule="exact"/>
        <w:ind w:left="0" w:right="0" w:firstLine="380"/>
        <w:jc w:val="both"/>
      </w:pPr>
      <w:bookmarkStart w:id="693" w:name="bookmark693"/>
      <w:bookmarkEnd w:id="693"/>
      <w:r>
        <w:rPr>
          <w:color w:val="000000"/>
          <w:spacing w:val="0"/>
          <w:w w:val="100"/>
          <w:position w:val="0"/>
        </w:rPr>
        <w:t>检查应收账款的期后回款情况，评价管理层计提应收账款坏账准备的合理性；</w:t>
      </w:r>
    </w:p>
    <w:p>
      <w:pPr>
        <w:pStyle w:val="Style17"/>
        <w:keepNext w:val="0"/>
        <w:keepLines w:val="0"/>
        <w:widowControl w:val="0"/>
        <w:numPr>
          <w:ilvl w:val="0"/>
          <w:numId w:val="19"/>
        </w:numPr>
        <w:shd w:val="clear" w:color="auto" w:fill="auto"/>
        <w:tabs>
          <w:tab w:pos="762" w:val="left"/>
        </w:tabs>
        <w:bidi w:val="0"/>
        <w:spacing w:before="0" w:after="0" w:line="326" w:lineRule="exact"/>
        <w:ind w:left="0" w:right="0" w:firstLine="380"/>
        <w:jc w:val="both"/>
      </w:pPr>
      <w:bookmarkStart w:id="694" w:name="bookmark694"/>
      <w:bookmarkEnd w:id="694"/>
      <w:r>
        <w:rPr>
          <w:color w:val="000000"/>
          <w:spacing w:val="0"/>
          <w:w w:val="100"/>
          <w:position w:val="0"/>
        </w:rPr>
        <w:t>向主要客户函证合同内容、项目进度、以及材料、构配件、设备等报验清单、开票收款等信息，确认应收账款的权 利；</w:t>
      </w:r>
    </w:p>
    <w:p>
      <w:pPr>
        <w:pStyle w:val="Style17"/>
        <w:keepNext w:val="0"/>
        <w:keepLines w:val="0"/>
        <w:widowControl w:val="0"/>
        <w:numPr>
          <w:ilvl w:val="0"/>
          <w:numId w:val="19"/>
        </w:numPr>
        <w:shd w:val="clear" w:color="auto" w:fill="auto"/>
        <w:tabs>
          <w:tab w:pos="786" w:val="left"/>
        </w:tabs>
        <w:bidi w:val="0"/>
        <w:spacing w:before="0" w:after="0" w:line="326" w:lineRule="exact"/>
        <w:ind w:left="0" w:right="0" w:firstLine="380"/>
        <w:jc w:val="both"/>
      </w:pPr>
      <w:bookmarkStart w:id="695" w:name="bookmark695"/>
      <w:bookmarkEnd w:id="695"/>
      <w:r>
        <w:rPr>
          <w:color w:val="000000"/>
          <w:spacing w:val="0"/>
          <w:w w:val="100"/>
          <w:position w:val="0"/>
        </w:rPr>
        <w:t>访谈部分大额应收账款客户，了解项目决算及付款延迟的原因；</w:t>
      </w:r>
    </w:p>
    <w:p>
      <w:pPr>
        <w:pStyle w:val="Style17"/>
        <w:keepNext w:val="0"/>
        <w:keepLines w:val="0"/>
        <w:widowControl w:val="0"/>
        <w:numPr>
          <w:ilvl w:val="0"/>
          <w:numId w:val="19"/>
        </w:numPr>
        <w:shd w:val="clear" w:color="auto" w:fill="auto"/>
        <w:tabs>
          <w:tab w:pos="786" w:val="left"/>
        </w:tabs>
        <w:bidi w:val="0"/>
        <w:spacing w:before="0" w:after="380" w:line="317" w:lineRule="exact"/>
        <w:ind w:left="0" w:right="0" w:firstLine="380"/>
        <w:jc w:val="both"/>
      </w:pPr>
      <w:bookmarkStart w:id="696" w:name="bookmark696"/>
      <w:bookmarkEnd w:id="696"/>
      <w:r>
        <w:rPr>
          <w:color w:val="000000"/>
          <w:spacing w:val="0"/>
          <w:w w:val="100"/>
          <w:position w:val="0"/>
        </w:rPr>
        <w:t>检查与应收账款及合同资产减值相关的信息是否已在财务报表中作出恰当列报。</w:t>
      </w:r>
    </w:p>
    <w:p>
      <w:pPr>
        <w:pStyle w:val="Style17"/>
        <w:keepNext w:val="0"/>
        <w:keepLines w:val="0"/>
        <w:widowControl w:val="0"/>
        <w:shd w:val="clear" w:color="auto" w:fill="auto"/>
        <w:bidi w:val="0"/>
        <w:spacing w:before="0" w:after="0" w:line="317" w:lineRule="exact"/>
        <w:ind w:left="0" w:right="0" w:firstLine="380"/>
        <w:jc w:val="both"/>
      </w:pPr>
      <w:bookmarkStart w:id="697" w:name="bookmark697"/>
      <w:r>
        <w:rPr>
          <w:color w:val="000000"/>
          <w:spacing w:val="0"/>
          <w:w w:val="100"/>
          <w:position w:val="0"/>
        </w:rPr>
        <w:t>四</w:t>
      </w:r>
      <w:bookmarkEnd w:id="697"/>
      <w:r>
        <w:rPr>
          <w:color w:val="000000"/>
          <w:spacing w:val="0"/>
          <w:w w:val="100"/>
          <w:position w:val="0"/>
        </w:rPr>
        <w:t>、其他信息</w:t>
      </w:r>
    </w:p>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管理层对其他信息负责。其他信息包括年度报告中涵盖的信息，但不包括财务报表和我们的审计报告。</w:t>
      </w:r>
    </w:p>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17"/>
        <w:keepNext w:val="0"/>
        <w:keepLines w:val="0"/>
        <w:widowControl w:val="0"/>
        <w:shd w:val="clear" w:color="auto" w:fill="auto"/>
        <w:bidi w:val="0"/>
        <w:spacing w:before="0" w:after="40" w:line="312"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7"/>
        <w:keepNext w:val="0"/>
        <w:keepLines w:val="0"/>
        <w:widowControl w:val="0"/>
        <w:shd w:val="clear" w:color="auto" w:fill="auto"/>
        <w:bidi w:val="0"/>
        <w:spacing w:before="0" w:after="38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7"/>
        <w:keepNext w:val="0"/>
        <w:keepLines w:val="0"/>
        <w:widowControl w:val="0"/>
        <w:shd w:val="clear" w:color="auto" w:fill="auto"/>
        <w:tabs>
          <w:tab w:pos="779" w:val="left"/>
        </w:tabs>
        <w:bidi w:val="0"/>
        <w:spacing w:before="0" w:after="40" w:line="313" w:lineRule="exact"/>
        <w:ind w:left="0" w:right="0"/>
        <w:jc w:val="both"/>
      </w:pPr>
      <w:bookmarkStart w:id="698" w:name="bookmark698"/>
      <w:r>
        <w:rPr>
          <w:color w:val="000000"/>
          <w:spacing w:val="0"/>
          <w:w w:val="100"/>
          <w:position w:val="0"/>
        </w:rPr>
        <w:t>五</w:t>
      </w:r>
      <w:bookmarkEnd w:id="698"/>
      <w:r>
        <w:rPr>
          <w:color w:val="000000"/>
          <w:spacing w:val="0"/>
          <w:w w:val="100"/>
          <w:position w:val="0"/>
        </w:rPr>
        <w:t>、</w:t>
        <w:tab/>
        <w:t>管理层和治理层对财务报表的责任</w:t>
      </w:r>
    </w:p>
    <w:p>
      <w:pPr>
        <w:pStyle w:val="Style17"/>
        <w:keepNext w:val="0"/>
        <w:keepLines w:val="0"/>
        <w:widowControl w:val="0"/>
        <w:shd w:val="clear" w:color="auto" w:fill="auto"/>
        <w:bidi w:val="0"/>
        <w:spacing w:before="0" w:after="40" w:line="317"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7"/>
        <w:keepNext w:val="0"/>
        <w:keepLines w:val="0"/>
        <w:widowControl w:val="0"/>
        <w:shd w:val="clear" w:color="auto" w:fill="auto"/>
        <w:bidi w:val="0"/>
        <w:spacing w:before="0" w:after="40" w:line="312" w:lineRule="exact"/>
        <w:ind w:left="0" w:right="0"/>
        <w:jc w:val="both"/>
      </w:pPr>
      <w:r>
        <w:rPr>
          <w:color w:val="000000"/>
          <w:spacing w:val="0"/>
          <w:w w:val="100"/>
          <w:position w:val="0"/>
        </w:rPr>
        <w:t>在编制财务报表时，管理层负责评估和仁科技公司的持续经营能力，披露与持续经营相关的事项（如适用），并运用持 续经营假设，除非计划进行清算、终止运营或别无其他现实的选择。</w:t>
      </w:r>
    </w:p>
    <w:p>
      <w:pPr>
        <w:pStyle w:val="Style17"/>
        <w:keepNext w:val="0"/>
        <w:keepLines w:val="0"/>
        <w:widowControl w:val="0"/>
        <w:shd w:val="clear" w:color="auto" w:fill="auto"/>
        <w:bidi w:val="0"/>
        <w:spacing w:before="0" w:after="380" w:line="313" w:lineRule="exact"/>
        <w:ind w:left="0" w:right="0"/>
        <w:jc w:val="both"/>
      </w:pPr>
      <w:r>
        <w:rPr>
          <w:color w:val="000000"/>
          <w:spacing w:val="0"/>
          <w:w w:val="100"/>
          <w:position w:val="0"/>
        </w:rPr>
        <w:t>和仁科技公司治理层（以下简称治理层）负责监督和仁科技公司的财务报告过程。</w:t>
      </w:r>
    </w:p>
    <w:p>
      <w:pPr>
        <w:pStyle w:val="Style17"/>
        <w:keepNext w:val="0"/>
        <w:keepLines w:val="0"/>
        <w:widowControl w:val="0"/>
        <w:shd w:val="clear" w:color="auto" w:fill="auto"/>
        <w:tabs>
          <w:tab w:pos="779" w:val="left"/>
        </w:tabs>
        <w:bidi w:val="0"/>
        <w:spacing w:before="0" w:after="40" w:line="313" w:lineRule="exact"/>
        <w:ind w:left="0" w:right="0"/>
        <w:jc w:val="both"/>
      </w:pPr>
      <w:bookmarkStart w:id="699" w:name="bookmark699"/>
      <w:r>
        <w:rPr>
          <w:color w:val="000000"/>
          <w:spacing w:val="0"/>
          <w:w w:val="100"/>
          <w:position w:val="0"/>
        </w:rPr>
        <w:t>六</w:t>
      </w:r>
      <w:bookmarkEnd w:id="699"/>
      <w:r>
        <w:rPr>
          <w:color w:val="000000"/>
          <w:spacing w:val="0"/>
          <w:w w:val="100"/>
          <w:position w:val="0"/>
        </w:rPr>
        <w:t>、</w:t>
        <w:tab/>
        <w:t>注册会计师对财务报表审计的责任</w:t>
      </w:r>
    </w:p>
    <w:p>
      <w:pPr>
        <w:pStyle w:val="Style17"/>
        <w:keepNext w:val="0"/>
        <w:keepLines w:val="0"/>
        <w:widowControl w:val="0"/>
        <w:shd w:val="clear" w:color="auto" w:fill="auto"/>
        <w:bidi w:val="0"/>
        <w:spacing w:before="0" w:after="40" w:line="310"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7"/>
        <w:keepNext w:val="0"/>
        <w:keepLines w:val="0"/>
        <w:widowControl w:val="0"/>
        <w:shd w:val="clear" w:color="auto" w:fill="auto"/>
        <w:bidi w:val="0"/>
        <w:spacing w:before="0" w:after="40" w:line="313"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17"/>
        <w:keepNext w:val="0"/>
        <w:keepLines w:val="0"/>
        <w:widowControl w:val="0"/>
        <w:shd w:val="clear" w:color="auto" w:fill="auto"/>
        <w:tabs>
          <w:tab w:pos="837" w:val="left"/>
        </w:tabs>
        <w:bidi w:val="0"/>
        <w:spacing w:before="0" w:after="140" w:line="314" w:lineRule="exact"/>
        <w:ind w:left="0" w:right="0"/>
        <w:jc w:val="both"/>
      </w:pPr>
      <w:bookmarkStart w:id="700" w:name="bookmark700"/>
      <w:r>
        <w:rPr>
          <w:rFonts w:ascii="Times New Roman" w:eastAsia="Times New Roman" w:hAnsi="Times New Roman" w:cs="Times New Roman"/>
          <w:color w:val="000000"/>
          <w:spacing w:val="0"/>
          <w:w w:val="100"/>
          <w:position w:val="0"/>
          <w:sz w:val="18"/>
          <w:szCs w:val="18"/>
        </w:rPr>
        <w:t>（</w:t>
      </w:r>
      <w:bookmarkEnd w:id="700"/>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7"/>
        <w:keepNext w:val="0"/>
        <w:keepLines w:val="0"/>
        <w:widowControl w:val="0"/>
        <w:shd w:val="clear" w:color="auto" w:fill="auto"/>
        <w:tabs>
          <w:tab w:pos="842" w:val="left"/>
        </w:tabs>
        <w:bidi w:val="0"/>
        <w:spacing w:before="0" w:after="40" w:line="360" w:lineRule="auto"/>
        <w:ind w:left="0" w:right="0"/>
        <w:jc w:val="both"/>
      </w:pPr>
      <w:bookmarkStart w:id="701" w:name="bookmark701"/>
      <w:r>
        <w:rPr>
          <w:rFonts w:ascii="Times New Roman" w:eastAsia="Times New Roman" w:hAnsi="Times New Roman" w:cs="Times New Roman"/>
          <w:color w:val="000000"/>
          <w:spacing w:val="0"/>
          <w:w w:val="100"/>
          <w:position w:val="0"/>
          <w:sz w:val="18"/>
          <w:szCs w:val="18"/>
        </w:rPr>
        <w:t>（</w:t>
      </w:r>
      <w:bookmarkEnd w:id="701"/>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了解与审计相关的内部控制，以设计恰当的审计程序，但目的并非对内部控制的有效性发表意见。</w:t>
      </w:r>
    </w:p>
    <w:p>
      <w:pPr>
        <w:pStyle w:val="Style17"/>
        <w:keepNext w:val="0"/>
        <w:keepLines w:val="0"/>
        <w:widowControl w:val="0"/>
        <w:shd w:val="clear" w:color="auto" w:fill="auto"/>
        <w:tabs>
          <w:tab w:pos="842" w:val="left"/>
        </w:tabs>
        <w:bidi w:val="0"/>
        <w:spacing w:before="0" w:after="0" w:line="360" w:lineRule="auto"/>
        <w:ind w:left="0" w:right="0"/>
        <w:jc w:val="both"/>
      </w:pPr>
      <w:bookmarkStart w:id="702" w:name="bookmark702"/>
      <w:r>
        <w:rPr>
          <w:rFonts w:ascii="Times New Roman" w:eastAsia="Times New Roman" w:hAnsi="Times New Roman" w:cs="Times New Roman"/>
          <w:color w:val="000000"/>
          <w:spacing w:val="0"/>
          <w:w w:val="100"/>
          <w:position w:val="0"/>
          <w:sz w:val="18"/>
          <w:szCs w:val="18"/>
        </w:rPr>
        <w:t>（</w:t>
      </w:r>
      <w:bookmarkEnd w:id="702"/>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评价管理层选用会计政策的恰当性和作出会计估计及相关披露的合理性。</w:t>
      </w:r>
    </w:p>
    <w:p>
      <w:pPr>
        <w:pStyle w:val="Style17"/>
        <w:keepNext w:val="0"/>
        <w:keepLines w:val="0"/>
        <w:widowControl w:val="0"/>
        <w:shd w:val="clear" w:color="auto" w:fill="auto"/>
        <w:tabs>
          <w:tab w:pos="837" w:val="left"/>
        </w:tabs>
        <w:bidi w:val="0"/>
        <w:spacing w:before="0" w:after="140" w:line="314" w:lineRule="exact"/>
        <w:ind w:left="0" w:right="0"/>
        <w:jc w:val="both"/>
      </w:pPr>
      <w:bookmarkStart w:id="703" w:name="bookmark703"/>
      <w:r>
        <w:rPr>
          <w:rFonts w:ascii="Times New Roman" w:eastAsia="Times New Roman" w:hAnsi="Times New Roman" w:cs="Times New Roman"/>
          <w:color w:val="000000"/>
          <w:spacing w:val="0"/>
          <w:w w:val="100"/>
          <w:position w:val="0"/>
          <w:sz w:val="18"/>
          <w:szCs w:val="18"/>
        </w:rPr>
        <w:t>（</w:t>
      </w:r>
      <w:bookmarkEnd w:id="703"/>
      <w:r>
        <w:rPr>
          <w:color w:val="000000"/>
          <w:spacing w:val="0"/>
          <w:w w:val="100"/>
          <w:position w:val="0"/>
        </w:rPr>
        <w:t>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对管理层使用持续经营假设的恰当性得出结论。同时，根据获取的审计证据，就可能导致对和仁科技公司持续经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论基于截至审计报告日可获得的信息。然而，未来的事项或情况可能导致和仁科技公司不能持续经营。</w:t>
      </w:r>
    </w:p>
    <w:p>
      <w:pPr>
        <w:pStyle w:val="Style17"/>
        <w:keepNext w:val="0"/>
        <w:keepLines w:val="0"/>
        <w:widowControl w:val="0"/>
        <w:shd w:val="clear" w:color="auto" w:fill="auto"/>
        <w:tabs>
          <w:tab w:pos="842" w:val="left"/>
        </w:tabs>
        <w:bidi w:val="0"/>
        <w:spacing w:before="0" w:after="0" w:line="360" w:lineRule="auto"/>
        <w:ind w:left="0" w:right="0"/>
        <w:jc w:val="both"/>
      </w:pPr>
      <w:bookmarkStart w:id="704" w:name="bookmark704"/>
      <w:r>
        <w:rPr>
          <w:rFonts w:ascii="Times New Roman" w:eastAsia="Times New Roman" w:hAnsi="Times New Roman" w:cs="Times New Roman"/>
          <w:color w:val="000000"/>
          <w:spacing w:val="0"/>
          <w:w w:val="100"/>
          <w:position w:val="0"/>
          <w:sz w:val="18"/>
          <w:szCs w:val="18"/>
        </w:rPr>
        <w:t>（</w:t>
      </w:r>
      <w:bookmarkEnd w:id="704"/>
      <w:r>
        <w:rPr>
          <w:color w:val="000000"/>
          <w:spacing w:val="0"/>
          <w:w w:val="100"/>
          <w:position w:val="0"/>
        </w:rPr>
        <w:t>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评价财务报表的总体列报、结构和内容，并评价财务报表是否公允反映相关交易和事项。</w:t>
      </w:r>
    </w:p>
    <w:p>
      <w:pPr>
        <w:pStyle w:val="Style17"/>
        <w:keepNext w:val="0"/>
        <w:keepLines w:val="0"/>
        <w:widowControl w:val="0"/>
        <w:shd w:val="clear" w:color="auto" w:fill="auto"/>
        <w:bidi w:val="0"/>
        <w:spacing w:before="0" w:after="40" w:line="312" w:lineRule="exact"/>
        <w:ind w:left="0" w:right="0"/>
        <w:jc w:val="both"/>
      </w:pPr>
      <w:bookmarkStart w:id="705" w:name="bookmark705"/>
      <w:r>
        <w:rPr>
          <w:rFonts w:ascii="Times New Roman" w:eastAsia="Times New Roman" w:hAnsi="Times New Roman" w:cs="Times New Roman"/>
          <w:color w:val="000000"/>
          <w:spacing w:val="0"/>
          <w:w w:val="100"/>
          <w:position w:val="0"/>
          <w:sz w:val="18"/>
          <w:szCs w:val="18"/>
        </w:rPr>
        <w:t>（</w:t>
      </w:r>
      <w:bookmarkEnd w:id="705"/>
      <w:r>
        <w:rPr>
          <w:color w:val="000000"/>
          <w:spacing w:val="0"/>
          <w:w w:val="100"/>
          <w:position w:val="0"/>
        </w:rPr>
        <w:t>六</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就和仁科技公司中实体或业务活动的财务信息获取充分、适当的审计证据，以对财务报表发表审计意见。我们负 责指导、监督和执行集团审计，并对审计意见承担全部责任。</w:t>
      </w:r>
    </w:p>
    <w:p>
      <w:pPr>
        <w:pStyle w:val="Style17"/>
        <w:keepNext w:val="0"/>
        <w:keepLines w:val="0"/>
        <w:widowControl w:val="0"/>
        <w:shd w:val="clear" w:color="auto" w:fill="auto"/>
        <w:bidi w:val="0"/>
        <w:spacing w:before="0" w:after="40" w:line="312"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7"/>
        <w:keepNext w:val="0"/>
        <w:keepLines w:val="0"/>
        <w:widowControl w:val="0"/>
        <w:shd w:val="clear" w:color="auto" w:fill="auto"/>
        <w:bidi w:val="0"/>
        <w:spacing w:before="0" w:after="40" w:line="317"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7"/>
        <w:keepNext w:val="0"/>
        <w:keepLines w:val="0"/>
        <w:widowControl w:val="0"/>
        <w:shd w:val="clear" w:color="auto" w:fill="auto"/>
        <w:bidi w:val="0"/>
        <w:spacing w:before="0" w:after="380" w:line="310"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1"/>
        <w:keepNext/>
        <w:keepLines/>
        <w:widowControl w:val="0"/>
        <w:shd w:val="clear" w:color="auto" w:fill="auto"/>
        <w:bidi w:val="0"/>
        <w:spacing w:before="0" w:after="260" w:line="240" w:lineRule="auto"/>
        <w:ind w:left="0" w:right="0" w:firstLine="0"/>
        <w:jc w:val="left"/>
      </w:pPr>
      <w:bookmarkStart w:id="706" w:name="bookmark706"/>
      <w:bookmarkStart w:id="707" w:name="bookmark707"/>
      <w:bookmarkStart w:id="708" w:name="bookmark708"/>
      <w:bookmarkStart w:id="709" w:name="bookmark709"/>
      <w:r>
        <w:rPr>
          <w:color w:val="000000"/>
          <w:spacing w:val="0"/>
          <w:w w:val="100"/>
          <w:position w:val="0"/>
        </w:rPr>
        <w:t>二</w:t>
      </w:r>
      <w:bookmarkEnd w:id="708"/>
      <w:r>
        <w:rPr>
          <w:color w:val="000000"/>
          <w:spacing w:val="0"/>
          <w:w w:val="100"/>
          <w:position w:val="0"/>
        </w:rPr>
        <w:t>、财务报表</w:t>
      </w:r>
      <w:bookmarkEnd w:id="706"/>
      <w:bookmarkEnd w:id="707"/>
      <w:bookmarkEnd w:id="709"/>
    </w:p>
    <w:p>
      <w:pPr>
        <w:pStyle w:val="Style17"/>
        <w:keepNext w:val="0"/>
        <w:keepLines w:val="0"/>
        <w:widowControl w:val="0"/>
        <w:shd w:val="clear" w:color="auto" w:fill="auto"/>
        <w:bidi w:val="0"/>
        <w:spacing w:before="0" w:after="40" w:line="313" w:lineRule="exact"/>
        <w:ind w:left="0" w:right="0" w:firstLine="0"/>
        <w:jc w:val="left"/>
      </w:pPr>
      <w:r>
        <w:rPr>
          <w:color w:val="000000"/>
          <w:spacing w:val="0"/>
          <w:w w:val="100"/>
          <w:position w:val="0"/>
        </w:rPr>
        <w:t>财务附注中报表的单位为：元</w:t>
      </w:r>
      <w:r>
        <w:br w:type="page"/>
      </w:r>
    </w:p>
    <w:p>
      <w:pPr>
        <w:pStyle w:val="Style26"/>
        <w:keepNext/>
        <w:keepLines/>
        <w:widowControl w:val="0"/>
        <w:shd w:val="clear" w:color="auto" w:fill="auto"/>
        <w:bidi w:val="0"/>
        <w:spacing w:before="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1</w:t>
      </w:r>
      <w:bookmarkEnd w:id="712"/>
      <w:r>
        <w:rPr>
          <w:color w:val="000000"/>
          <w:spacing w:val="0"/>
          <w:w w:val="100"/>
          <w:position w:val="0"/>
        </w:rPr>
        <w:t>、合并资产负债表</w:t>
      </w:r>
      <w:bookmarkEnd w:id="710"/>
      <w:bookmarkEnd w:id="711"/>
      <w:bookmarkEnd w:id="713"/>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编制单位：浙江和仁科技股份有限公司</w:t>
      </w:r>
    </w:p>
    <w:p>
      <w:pPr>
        <w:pStyle w:val="Style44"/>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455,596,266.47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440,209,354.52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185,360,000.00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372,380,000.00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249,509,574.68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220,023,307.50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3,788,870.42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3,307,143.51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23,883,398.20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19,289,775.42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58,948,535.81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50,006,256.76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265,486,202.76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195,834,206.56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8,348,394.36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6,128,905.02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1,250,921,242.70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1,307,178,949.29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16,678,031.48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20,594,661.25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62,941,400.43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66,882,263.12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78,975,656.61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83,703,260.54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4,961,441.91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2,698,337.22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50,416,798.94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8,210,067.59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12,560,739.22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31,593,011.51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926,638.80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926,638.80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27,055,138.63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3,143,321.00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14,714,115.52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14,032,445.37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269,466,856.85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255,147,111.09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1,520,388,099.55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1,562,326,060.38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70,400,833.34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130,109,694.44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7,282,916.64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16,974,086.04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172,798,119.34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132,787,363.66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1,377,723.31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24,327,749.16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69,855,618.15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35,516,189.76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27,218,196.40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17,111,057.67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9,544,736.53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22,751,344.05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43,842,652.23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241,232.50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1,739,534.54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3,053,407.47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4,258,949.77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356,358,875.28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434,922,858.69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736,545.19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1,806,909.44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2,363,931.96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2,543,454.63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2,363,931.96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358,902,329.91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437,286,790.65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264,995,441.00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189,929,258.00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626,655,451.95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714,983,018.88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15,362,345.00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37,080,562.50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30,046,835.47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27,354,733.62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225,386,596.72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199,896,285.06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1,131,721,980.14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1,095,082,733.06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29,763,789.50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29,956,536.67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1,161,485,769.64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1,125,039,269.73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1,520,388,099.55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1,562,326,060.38</w:t>
            </w:r>
          </w:p>
        </w:tc>
      </w:tr>
    </w:tbl>
    <w:p>
      <w:pPr>
        <w:pStyle w:val="Style26"/>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80" behindDoc="0" locked="0" layoutInCell="1" allowOverlap="1">
                <wp:simplePos x="0" y="0"/>
                <wp:positionH relativeFrom="page">
                  <wp:posOffset>699770</wp:posOffset>
                </wp:positionH>
                <wp:positionV relativeFrom="margin">
                  <wp:posOffset>1456690</wp:posOffset>
                </wp:positionV>
                <wp:extent cx="1054735" cy="149225"/>
                <wp:wrapTopAndBottom/>
                <wp:docPr id="4" name="Shape 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法定代表人：杨一兵</w:t>
                            </w:r>
                          </w:p>
                        </w:txbxContent>
                      </wps:txbx>
                      <wps:bodyPr wrap="none" lIns="0" tIns="0" rIns="0" bIns="0">
                        <a:noAutoFit/>
                      </wps:bodyPr>
                    </wps:wsp>
                  </a:graphicData>
                </a:graphic>
              </wp:anchor>
            </w:drawing>
          </mc:Choice>
          <mc:Fallback>
            <w:pict>
              <v:shape id="_x0000_s1030" type="#_x0000_t202" style="position:absolute;margin-left:55.100000000000001pt;margin-top:114.7pt;width:83.049999999999997pt;height:11.75pt;z-index:-125829373;mso-wrap-distance-left:9.pt;mso-wrap-distance-top:11.pt;mso-wrap-distance-right:405.44999999999999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法定代表人：杨一兵</w:t>
                      </w:r>
                    </w:p>
                  </w:txbxContent>
                </v:textbox>
                <w10:wrap type="topAndBottom" anchorx="page" anchory="margin"/>
              </v:shape>
            </w:pict>
          </mc:Fallback>
        </mc:AlternateContent>
      </w:r>
      <w:r>
        <mc:AlternateContent>
          <mc:Choice Requires="wps">
            <w:drawing>
              <wp:anchor distT="139700" distB="3175" distL="2293620" distR="2519045" simplePos="0" relativeHeight="125829382" behindDoc="0" locked="0" layoutInCell="1" allowOverlap="1">
                <wp:simplePos x="0" y="0"/>
                <wp:positionH relativeFrom="page">
                  <wp:posOffset>2879090</wp:posOffset>
                </wp:positionH>
                <wp:positionV relativeFrom="margin">
                  <wp:posOffset>1456690</wp:posOffset>
                </wp:positionV>
                <wp:extent cx="1505585" cy="146050"/>
                <wp:wrapTopAndBottom/>
                <wp:docPr id="6" name="Shape 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主管会计工作负责人：张雪峰</w:t>
                            </w:r>
                          </w:p>
                        </w:txbxContent>
                      </wps:txbx>
                      <wps:bodyPr wrap="none" lIns="0" tIns="0" rIns="0" bIns="0">
                        <a:noAutoFit/>
                      </wps:bodyPr>
                    </wps:wsp>
                  </a:graphicData>
                </a:graphic>
              </wp:anchor>
            </w:drawing>
          </mc:Choice>
          <mc:Fallback>
            <w:pict>
              <v:shape id="_x0000_s1032" type="#_x0000_t202" style="position:absolute;margin-left:226.70000000000002pt;margin-top:114.7pt;width:118.55pt;height:11.5pt;z-index:-125829371;mso-wrap-distance-left:180.59999999999999pt;mso-wrap-distance-top:11.pt;mso-wrap-distance-right:198.34999999999999pt;mso-wrap-distance-bottom:0.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主管会计工作负责人：张雪峰</w:t>
                      </w:r>
                    </w:p>
                  </w:txbxContent>
                </v:textbox>
                <w10:wrap type="topAndBottom" anchorx="page" anchory="margin"/>
              </v:shape>
            </w:pict>
          </mc:Fallback>
        </mc:AlternateContent>
      </w:r>
      <w:r>
        <mc:AlternateContent>
          <mc:Choice Requires="wps">
            <w:drawing>
              <wp:anchor distT="139700" distB="0" distL="4918075" distR="113665" simplePos="0" relativeHeight="125829384" behindDoc="0" locked="0" layoutInCell="1" allowOverlap="1">
                <wp:simplePos x="0" y="0"/>
                <wp:positionH relativeFrom="page">
                  <wp:posOffset>5503545</wp:posOffset>
                </wp:positionH>
                <wp:positionV relativeFrom="margin">
                  <wp:posOffset>1456690</wp:posOffset>
                </wp:positionV>
                <wp:extent cx="1286510" cy="149225"/>
                <wp:wrapTopAndBottom/>
                <wp:docPr id="8" name="Shape 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会计机构负责人：刘双双</w:t>
                            </w:r>
                          </w:p>
                        </w:txbxContent>
                      </wps:txbx>
                      <wps:bodyPr wrap="none" lIns="0" tIns="0" rIns="0" bIns="0">
                        <a:noAutoFit/>
                      </wps:bodyPr>
                    </wps:wsp>
                  </a:graphicData>
                </a:graphic>
              </wp:anchor>
            </w:drawing>
          </mc:Choice>
          <mc:Fallback>
            <w:pict>
              <v:shape id="_x0000_s1034" type="#_x0000_t202" style="position:absolute;margin-left:433.35000000000002pt;margin-top:114.7pt;width:101.3pt;height:11.75pt;z-index:-125829369;mso-wrap-distance-left:387.25pt;mso-wrap-distance-top:11.pt;mso-wrap-distance-right:8.9500000000000011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会计机构负责人：刘双双</w:t>
                      </w:r>
                    </w:p>
                  </w:txbxContent>
                </v:textbox>
                <w10:wrap type="topAndBottom" anchorx="page" anchory="margin"/>
              </v:shape>
            </w:pict>
          </mc:Fallback>
        </mc:AlternateContent>
      </w: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2</w:t>
      </w:r>
      <w:bookmarkEnd w:id="716"/>
      <w:r>
        <w:rPr>
          <w:color w:val="000000"/>
          <w:spacing w:val="0"/>
          <w:w w:val="100"/>
          <w:position w:val="0"/>
        </w:rPr>
        <w:t>、母公司资产负债表</w:t>
      </w:r>
      <w:bookmarkEnd w:id="714"/>
      <w:bookmarkEnd w:id="715"/>
      <w:bookmarkEnd w:id="71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448,047,562.15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434,536,833.16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191,490,556.49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198,036,223.02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7,202,111.12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2,523,774.95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23,215,183.38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19,342,157.46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58,652,908.74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50,807,609.07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262,987,107.41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194,538,212.56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8,284,586.42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5,785,722.98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1,183,880,015.71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1,234,570,533.20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16,678,031.48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20,594,661.25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56,784,633.24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70,071,190.24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62,941,400.43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66,882,263.12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78,418,964.93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82,485,685.82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4,961,441.91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1,792,592.16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50,266,327.47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6,791,678.70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12,560,739.22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31,593,011.51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27,028,295.81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3,093,470.22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13,993,759.48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13,486,936.76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322,964,744.22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321,060,339.53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1,506,844,759.93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1,555,630,872.73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70,400,833.34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130,109,694.44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7,282,916.64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16,974,086.04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171,745,484.15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129,223,798.26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1,377,723.31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331,561.47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24,307,749.16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70,988,123.30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34,790,584.27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26,317,267.36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16,569,662.79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8,720,637.46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22,584,697.61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43,684,361.32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241,232.50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1,130,490.73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2,491,407.47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4,206,900.07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352,681,549.47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430,556,429.72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703,699.70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1,807,778.44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2,175,676.98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2,511,478.14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2,175,676.98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355,193,027.61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432,732,106.70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264,995,441.00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189,929,258.00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633,890,294.55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722,217,861.48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15,362,345.00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37,080,562.50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30,046,835.47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27,354,733.62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238,081,506.30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220,477,475.43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1,151,651,732.32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1,122,898,766.03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1,506,844,759.93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1,555,630,872.73</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3</w:t>
      </w:r>
      <w:bookmarkEnd w:id="720"/>
      <w:r>
        <w:rPr>
          <w:color w:val="000000"/>
          <w:spacing w:val="0"/>
          <w:w w:val="100"/>
          <w:position w:val="0"/>
        </w:rPr>
        <w:t>、合并利润表</w:t>
      </w:r>
      <w:bookmarkEnd w:id="718"/>
      <w:bookmarkEnd w:id="719"/>
      <w:bookmarkEnd w:id="721"/>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464,199,738.03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454,738,265.15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464,199,738.03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454,738,265.15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428,255,164.62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396,055,525.62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303,040,106.53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258,912,979.79</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5,849,611.23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6,441,334.12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30,018,287.01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32,633,465.36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38,421,629.32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52,923,179.19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53,828,483.52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45,718,691.00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-2,902,952.99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-574,123.84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2,530,972.52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2,774,922.24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5,641,048.08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3,547,686.95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8,724,840.87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19,822,464.01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8,114,476.52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3,145,253.84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-1,798,119.70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-8,209,601.74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-27,991,596.49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-9,155,586.47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-5,786,757.56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-24,190.37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35,374,514.05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47,847,912.96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918,634.67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117,216.52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1,119,416.26</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35,265,099.77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47,647,131.37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650,547.67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5,600,881.35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34,614,552.10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42,046,250.02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34,614,552.10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42,046,250.02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34,807,299.27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43,142,792.75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-1,096,542.73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34,614,552.10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42,046,250.02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34,807,299.27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43,142,792.75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-1,096,542.73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17"/>
        <w:keepNext w:val="0"/>
        <w:keepLines w:val="0"/>
        <w:widowControl w:val="0"/>
        <w:shd w:val="clear" w:color="auto" w:fill="auto"/>
        <w:tabs>
          <w:tab w:pos="3427" w:val="left"/>
          <w:tab w:pos="7560" w:val="left"/>
        </w:tabs>
        <w:bidi w:val="0"/>
        <w:spacing w:before="0" w:after="380" w:line="240" w:lineRule="auto"/>
        <w:ind w:left="0" w:right="0" w:firstLine="0"/>
        <w:jc w:val="left"/>
      </w:pPr>
      <w:r>
        <w:rPr>
          <w:color w:val="000000"/>
          <w:spacing w:val="0"/>
          <w:w w:val="100"/>
          <w:position w:val="0"/>
        </w:rPr>
        <w:t>法定代表人：杨一兵</w:t>
        <w:tab/>
        <w:t>主管会计工作负责人：张雪峰</w:t>
        <w:tab/>
        <w:t>会计机构负责人：刘双双</w:t>
      </w:r>
    </w:p>
    <w:p>
      <w:pPr>
        <w:pStyle w:val="Style26"/>
        <w:keepNext/>
        <w:keepLines/>
        <w:widowControl w:val="0"/>
        <w:shd w:val="clear" w:color="auto" w:fill="auto"/>
        <w:bidi w:val="0"/>
        <w:spacing w:before="0" w:after="38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4</w:t>
      </w:r>
      <w:bookmarkEnd w:id="724"/>
      <w:r>
        <w:rPr>
          <w:color w:val="000000"/>
          <w:spacing w:val="0"/>
          <w:w w:val="100"/>
          <w:position w:val="0"/>
        </w:rPr>
        <w:t>、母公司利润表</w:t>
      </w:r>
      <w:bookmarkEnd w:id="722"/>
      <w:bookmarkEnd w:id="723"/>
      <w:bookmarkEnd w:id="72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454,302,171.35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440,245,241.38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300,943,291.94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253,910,518.25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5,782,646.18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6,300,071.96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25,004,761.44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25,665,682.77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33,333,404.82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47,906,984.56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51,845,349.48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38,398,105.21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-2,937,163.65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-536,926.41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2,487,400.12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2,774,922.24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5,622,671.63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3,500,166.07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8,686,309.90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19,360,026.19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-6,388,004.98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8,125,735.79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-1,798,119.70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-6,457,478.23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-28,768,341.27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-8,903,642.99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-5,719,189.06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-23,291.47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27,222,876.30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61,575,745.22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166,828.63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1,048,544.66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27,133,873.96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60,694,029.19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212,855.48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5,499,627.94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26,921,018.48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55,194,401.25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26,921,018.48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55,194,401.25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26,921,018.48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55,194,401.25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5</w:t>
      </w:r>
      <w:bookmarkEnd w:id="728"/>
      <w:r>
        <w:rPr>
          <w:color w:val="000000"/>
          <w:spacing w:val="0"/>
          <w:w w:val="100"/>
          <w:position w:val="0"/>
        </w:rPr>
        <w:t>、合并现金流量表</w:t>
      </w:r>
      <w:bookmarkEnd w:id="726"/>
      <w:bookmarkEnd w:id="727"/>
      <w:bookmarkEnd w:id="72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390,122,379.56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324,736,018.89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6,751,782.31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13,150,651.58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14,563,212.84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29,517,406.14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411,437,374.71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367,404,076.61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215,484,506.38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215,644,510.35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存放中央银行和同业款项净增加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149,123,097.48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135,935,765.71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26,861,392.69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41,848,667.60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37,799,207.54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41,537,612.59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429,268,204.09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434,966,556.25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-17,830,829.38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-67,562,479.64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1,316,480,000.00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477,553,500.00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8,355,867.43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5,363,380.89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284,743.26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168,803.78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58,828,000.00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1,391,220,610.69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541,913,684.67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76,405,680.72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63,451,472.50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1,110,860,000.00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625,703,500.00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27,862,824.86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70,808,000.00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1,276,465,680.72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787,825,797.36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114,754,929.97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-245,912,112.69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499,617,592.57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629,617,592.57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8,864,747.47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15,842,697.27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5,366,538.00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9,165,803.70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6,571,520.62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208,030,551.17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102,414,217.89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-78,030,551.17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527,203,374.68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18,893,549.42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213,728,782.35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431,447,035.91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217,718,253.56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450,340,585.33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431,447,035.91</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6</w:t>
      </w:r>
      <w:bookmarkEnd w:id="732"/>
      <w:r>
        <w:rPr>
          <w:color w:val="000000"/>
          <w:spacing w:val="0"/>
          <w:w w:val="100"/>
          <w:position w:val="0"/>
        </w:rPr>
        <w:t>、母公司现金流量表</w:t>
      </w:r>
      <w:bookmarkEnd w:id="730"/>
      <w:bookmarkEnd w:id="731"/>
      <w:bookmarkEnd w:id="73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376,167,528.21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313,486,526.19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6,751,782.31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12,893,774.01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14,311,189.30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28,456,948.42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397,230,499.82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354,837,248.62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218,300,805.55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227,745,085.76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142,530,117.07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118,186,115.88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25,785,205.88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39,790,837.76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33,194,745.82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36,678,565.06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419,810,874.32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422,400,604.46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-22,580,374.50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-67,563,355.84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1,247,609,284.27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454,431,318.54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8,110,658.66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13,109,036.95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284,743.26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163,253.78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59,086,275.31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1,278,084,686.19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526,789,884.58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76,172,529.56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63,233,570.72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1,084,980,000.00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642,870,100.00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58,933,000.00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1,161,152,529.56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765,036,670.72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116,932,156.63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-238,246,786.14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499,617,592.57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629,617,592.57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8,864,747.47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10,476,159.27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8,469,668.20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6,429,484.48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207,334,415.67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96,905,643.75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-77,334,415.67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532,711,948.82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17,017,366.46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226,901,806.84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425,774,514.55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198,872,707.71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442,791,881.01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425,774,514.55</w:t>
            </w: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7</w:t>
      </w:r>
      <w:bookmarkEnd w:id="736"/>
      <w:r>
        <w:rPr>
          <w:color w:val="000000"/>
          <w:spacing w:val="0"/>
          <w:w w:val="100"/>
          <w:position w:val="0"/>
        </w:rPr>
        <w:t>、合并所有者权益变动表</w:t>
      </w:r>
      <w:bookmarkEnd w:id="734"/>
      <w:bookmarkEnd w:id="735"/>
      <w:bookmarkEnd w:id="737"/>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714,98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3,018.</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37,080 </w:t>
            </w:r>
            <w:r>
              <w:rPr>
                <w:rFonts w:ascii="Times New Roman" w:eastAsia="Times New Roman" w:hAnsi="Times New Roman" w:cs="Times New Roman"/>
                <w:color w:val="000000"/>
                <w:spacing w:val="0"/>
                <w:w w:val="100"/>
                <w:position w:val="0"/>
                <w:sz w:val="18"/>
                <w:szCs w:val="18"/>
              </w:rPr>
              <w:t xml:space="preserve">,562.5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27,354 </w:t>
            </w:r>
            <w:r>
              <w:rPr>
                <w:rFonts w:ascii="Times New Roman" w:eastAsia="Times New Roman" w:hAnsi="Times New Roman" w:cs="Times New Roman"/>
                <w:color w:val="000000"/>
                <w:spacing w:val="0"/>
                <w:w w:val="100"/>
                <w:position w:val="0"/>
                <w:sz w:val="18"/>
                <w:szCs w:val="18"/>
              </w:rPr>
              <w:t xml:space="preserve">,733.6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082,73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039,26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714,98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3,018.</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37,080 </w:t>
            </w:r>
            <w:r>
              <w:rPr>
                <w:rFonts w:ascii="Times New Roman" w:eastAsia="Times New Roman" w:hAnsi="Times New Roman" w:cs="Times New Roman"/>
                <w:color w:val="000000"/>
                <w:spacing w:val="0"/>
                <w:w w:val="100"/>
                <w:position w:val="0"/>
                <w:sz w:val="18"/>
                <w:szCs w:val="18"/>
              </w:rPr>
              <w:t xml:space="preserve">,562.5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27,354 </w:t>
            </w:r>
            <w:r>
              <w:rPr>
                <w:rFonts w:ascii="Times New Roman" w:eastAsia="Times New Roman" w:hAnsi="Times New Roman" w:cs="Times New Roman"/>
                <w:color w:val="000000"/>
                <w:spacing w:val="0"/>
                <w:w w:val="100"/>
                <w:position w:val="0"/>
                <w:sz w:val="18"/>
                <w:szCs w:val="18"/>
              </w:rPr>
              <w:t xml:space="preserve">,733.6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082,73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039,26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-88,32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36,446</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34,807 </w:t>
            </w:r>
            <w:r>
              <w:rPr>
                <w:rFonts w:ascii="Times New Roman" w:eastAsia="Times New Roman" w:hAnsi="Times New Roman" w:cs="Times New Roman"/>
                <w:color w:val="000000"/>
                <w:spacing w:val="0"/>
                <w:w w:val="100"/>
                <w:position w:val="0"/>
                <w:sz w:val="18"/>
                <w:szCs w:val="18"/>
              </w:rPr>
              <w:t xml:space="preserve">,299.2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34,807 </w:t>
            </w:r>
            <w:r>
              <w:rPr>
                <w:rFonts w:ascii="Times New Roman" w:eastAsia="Times New Roman" w:hAnsi="Times New Roman" w:cs="Times New Roman"/>
                <w:color w:val="000000"/>
                <w:spacing w:val="0"/>
                <w:w w:val="100"/>
                <w:position w:val="0"/>
                <w:sz w:val="18"/>
                <w:szCs w:val="18"/>
              </w:rPr>
              <w:t xml:space="preserve">,299.2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4,583.</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-5,281, 983.93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-5,281, 983.93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-5,281, 983.93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-9,316,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-2,692, 101.85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2,983.</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2,983.</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5,451.</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15,362 </w:t>
            </w:r>
            <w:r>
              <w:rPr>
                <w:rFonts w:ascii="Times New Roman" w:eastAsia="Times New Roman" w:hAnsi="Times New Roman" w:cs="Times New Roman"/>
                <w:color w:val="000000"/>
                <w:spacing w:val="0"/>
                <w:w w:val="100"/>
                <w:position w:val="0"/>
                <w:sz w:val="18"/>
                <w:szCs w:val="18"/>
              </w:rPr>
              <w:t xml:space="preserve">,345.0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29,763 </w:t>
            </w:r>
            <w:r>
              <w:rPr>
                <w:rFonts w:ascii="Times New Roman" w:eastAsia="Times New Roman" w:hAnsi="Times New Roman" w:cs="Times New Roman"/>
                <w:color w:val="000000"/>
                <w:spacing w:val="0"/>
                <w:w w:val="100"/>
                <w:position w:val="0"/>
                <w:sz w:val="18"/>
                <w:szCs w:val="18"/>
              </w:rPr>
              <w:t xml:space="preserve">,789.5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55,114 </w:t>
            </w:r>
            <w:r>
              <w:rPr>
                <w:rFonts w:ascii="Times New Roman" w:eastAsia="Times New Roman" w:hAnsi="Times New Roman" w:cs="Times New Roman"/>
                <w:color w:val="000000"/>
                <w:spacing w:val="0"/>
                <w:w w:val="100"/>
                <w:position w:val="0"/>
                <w:sz w:val="18"/>
                <w:szCs w:val="18"/>
              </w:rPr>
              <w:t xml:space="preserve">,837.5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29,429 </w:t>
            </w:r>
            <w:r>
              <w:rPr>
                <w:rFonts w:ascii="Times New Roman" w:eastAsia="Times New Roman" w:hAnsi="Times New Roman" w:cs="Times New Roman"/>
                <w:color w:val="000000"/>
                <w:spacing w:val="0"/>
                <w:w w:val="100"/>
                <w:position w:val="0"/>
                <w:sz w:val="18"/>
                <w:szCs w:val="18"/>
              </w:rPr>
              <w:t xml:space="preserve">,952.1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,511.84</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-7,594, 658.61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0,255.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55,114 </w:t>
            </w:r>
            <w:r>
              <w:rPr>
                <w:rFonts w:ascii="Times New Roman" w:eastAsia="Times New Roman" w:hAnsi="Times New Roman" w:cs="Times New Roman"/>
                <w:color w:val="000000"/>
                <w:spacing w:val="0"/>
                <w:w w:val="100"/>
                <w:position w:val="0"/>
                <w:sz w:val="18"/>
                <w:szCs w:val="18"/>
              </w:rPr>
              <w:t xml:space="preserve">,837.5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21,835 </w:t>
            </w:r>
            <w:r>
              <w:rPr>
                <w:rFonts w:ascii="Times New Roman" w:eastAsia="Times New Roman" w:hAnsi="Times New Roman" w:cs="Times New Roman"/>
                <w:color w:val="000000"/>
                <w:spacing w:val="0"/>
                <w:w w:val="100"/>
                <w:position w:val="0"/>
                <w:sz w:val="18"/>
                <w:szCs w:val="18"/>
              </w:rPr>
              <w:t xml:space="preserve">,293.4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11,118, </w:t>
            </w:r>
            <w:r>
              <w:rPr>
                <w:rFonts w:ascii="Times New Roman" w:eastAsia="Times New Roman" w:hAnsi="Times New Roman" w:cs="Times New Roman"/>
                <w:color w:val="000000"/>
                <w:spacing w:val="0"/>
                <w:w w:val="100"/>
                <w:position w:val="0"/>
                <w:sz w:val="18"/>
                <w:szCs w:val="18"/>
              </w:rPr>
              <w:t>047.94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551,483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,168.69</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3,258</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2,763.</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31,177 </w:t>
            </w:r>
            <w:r>
              <w:rPr>
                <w:rFonts w:ascii="Times New Roman" w:eastAsia="Times New Roman" w:hAnsi="Times New Roman" w:cs="Times New Roman"/>
                <w:color w:val="000000"/>
                <w:spacing w:val="0"/>
                <w:w w:val="100"/>
                <w:position w:val="0"/>
                <w:sz w:val="18"/>
                <w:szCs w:val="18"/>
              </w:rPr>
              <w:t>,875.3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18,838,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573,556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43,142 </w:t>
            </w:r>
            <w:r>
              <w:rPr>
                <w:rFonts w:ascii="Times New Roman" w:eastAsia="Times New Roman" w:hAnsi="Times New Roman" w:cs="Times New Roman"/>
                <w:color w:val="000000"/>
                <w:spacing w:val="0"/>
                <w:w w:val="100"/>
                <w:position w:val="0"/>
                <w:sz w:val="18"/>
                <w:szCs w:val="18"/>
              </w:rPr>
              <w:t xml:space="preserve">,792.7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43,142 </w:t>
            </w:r>
            <w:r>
              <w:rPr>
                <w:rFonts w:ascii="Times New Roman" w:eastAsia="Times New Roman" w:hAnsi="Times New Roman" w:cs="Times New Roman"/>
                <w:color w:val="000000"/>
                <w:spacing w:val="0"/>
                <w:w w:val="100"/>
                <w:position w:val="0"/>
                <w:sz w:val="18"/>
                <w:szCs w:val="18"/>
              </w:rPr>
              <w:t xml:space="preserve">,792.7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7,058</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474,78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518,52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518,526 </w:t>
            </w:r>
            <w:r>
              <w:rPr>
                <w:rFonts w:ascii="Times New Roman" w:eastAsia="Times New Roman" w:hAnsi="Times New Roman" w:cs="Times New Roman"/>
                <w:color w:val="000000"/>
                <w:spacing w:val="0"/>
                <w:w w:val="100"/>
                <w:position w:val="0"/>
                <w:sz w:val="18"/>
                <w:szCs w:val="18"/>
              </w:rPr>
              <w:t>,160.35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2,558</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470,45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496,319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,609.10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16,629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6,200</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501.44</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6,200</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714,98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37,080 </w:t>
            </w:r>
            <w:r>
              <w:rPr>
                <w:rFonts w:ascii="Times New Roman" w:eastAsia="Times New Roman" w:hAnsi="Times New Roman" w:cs="Times New Roman"/>
                <w:color w:val="000000"/>
                <w:spacing w:val="0"/>
                <w:w w:val="100"/>
                <w:position w:val="0"/>
                <w:sz w:val="18"/>
                <w:szCs w:val="18"/>
              </w:rPr>
              <w:t xml:space="preserve">,562.5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27,354 </w:t>
            </w:r>
            <w:r>
              <w:rPr>
                <w:rFonts w:ascii="Times New Roman" w:eastAsia="Times New Roman" w:hAnsi="Times New Roman" w:cs="Times New Roman"/>
                <w:color w:val="000000"/>
                <w:spacing w:val="0"/>
                <w:w w:val="100"/>
                <w:position w:val="0"/>
                <w:sz w:val="18"/>
                <w:szCs w:val="18"/>
              </w:rPr>
              <w:t xml:space="preserve">,733.6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082,73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8</w:t>
      </w:r>
      <w:bookmarkEnd w:id="740"/>
      <w:r>
        <w:rPr>
          <w:color w:val="000000"/>
          <w:spacing w:val="0"/>
          <w:w w:val="100"/>
          <w:position w:val="0"/>
        </w:rPr>
        <w:t>、母公司所有者权益变动表</w:t>
      </w:r>
      <w:bookmarkEnd w:id="738"/>
      <w:bookmarkEnd w:id="739"/>
      <w:bookmarkEnd w:id="741"/>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827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9,258.0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722,217,</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27,354,7</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1,122,898,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9,258.0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722,217,</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27,354,7</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1,122,898,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-88,327, 566.93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2,692,10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17,604,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28,752,96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26,921,01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-646,80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-12,614, 583.93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-21,885,</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8,624,123.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-5,281,983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-646,80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-21,885,</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2,692,10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-9,316,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2,692,10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-2,692, 101.85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-6,792,175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75,712, </w:t>
            </w:r>
            <w:r>
              <w:rPr>
                <w:rFonts w:ascii="Times New Roman" w:eastAsia="Times New Roman" w:hAnsi="Times New Roman" w:cs="Times New Roman"/>
                <w:color w:val="000000"/>
                <w:spacing w:val="0"/>
                <w:w w:val="100"/>
                <w:position w:val="0"/>
                <w:sz w:val="18"/>
                <w:szCs w:val="18"/>
              </w:rPr>
              <w:t>983.00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-75,712,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75,712, </w:t>
            </w:r>
            <w:r>
              <w:rPr>
                <w:rFonts w:ascii="Times New Roman" w:eastAsia="Times New Roman" w:hAnsi="Times New Roman" w:cs="Times New Roman"/>
                <w:color w:val="000000"/>
                <w:spacing w:val="0"/>
                <w:w w:val="100"/>
                <w:position w:val="0"/>
                <w:sz w:val="18"/>
                <w:szCs w:val="18"/>
              </w:rPr>
              <w:t>983.00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633,890,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15,362,3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732.32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294,307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55,114,8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245,599,9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631,528,71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2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-7,594,6</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-68,351,9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-75,946,586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294,307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55,114,8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177,247,9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555,582,13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72,623 </w:t>
            </w:r>
            <w:r>
              <w:rPr>
                <w:rFonts w:ascii="Times New Roman" w:eastAsia="Times New Roman" w:hAnsi="Times New Roman" w:cs="Times New Roman"/>
                <w:color w:val="000000"/>
                <w:spacing w:val="0"/>
                <w:w w:val="100"/>
                <w:position w:val="0"/>
                <w:sz w:val="18"/>
                <w:szCs w:val="18"/>
              </w:rPr>
              <w:t xml:space="preserve">,258.0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427,910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-18,034,</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5,519,4</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43,229,48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567,316,63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55,194,40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55,194,401.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25,747 </w:t>
            </w:r>
            <w:r>
              <w:rPr>
                <w:rFonts w:ascii="Times New Roman" w:eastAsia="Times New Roman" w:hAnsi="Times New Roman" w:cs="Times New Roman"/>
                <w:color w:val="000000"/>
                <w:spacing w:val="0"/>
                <w:w w:val="100"/>
                <w:position w:val="0"/>
                <w:sz w:val="18"/>
                <w:szCs w:val="18"/>
              </w:rPr>
              <w:t xml:space="preserve">,058.0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474,786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-17,992,</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518,526,16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25,862 </w:t>
            </w:r>
            <w:r>
              <w:rPr>
                <w:rFonts w:ascii="Times New Roman" w:eastAsia="Times New Roman" w:hAnsi="Times New Roman" w:cs="Times New Roman"/>
                <w:color w:val="000000"/>
                <w:spacing w:val="0"/>
                <w:w w:val="100"/>
                <w:position w:val="0"/>
                <w:sz w:val="18"/>
                <w:szCs w:val="18"/>
              </w:rPr>
              <w:t xml:space="preserve">,558.0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470,457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496,319,60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5,577,5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5,577,551.2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-1,248,2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-17,992,</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16,629,000.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5,519,4</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5,519,4</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-5,519,44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46,876 </w:t>
            </w:r>
            <w:r>
              <w:rPr>
                <w:rFonts w:ascii="Times New Roman" w:eastAsia="Times New Roman" w:hAnsi="Times New Roman" w:cs="Times New Roman"/>
                <w:color w:val="000000"/>
                <w:spacing w:val="0"/>
                <w:w w:val="100"/>
                <w:position w:val="0"/>
                <w:sz w:val="18"/>
                <w:szCs w:val="18"/>
              </w:rPr>
              <w:t xml:space="preserve">,200.0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-46,876,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46,876 </w:t>
            </w:r>
            <w:r>
              <w:rPr>
                <w:rFonts w:ascii="Times New Roman" w:eastAsia="Times New Roman" w:hAnsi="Times New Roman" w:cs="Times New Roman"/>
                <w:color w:val="000000"/>
                <w:spacing w:val="0"/>
                <w:w w:val="100"/>
                <w:position w:val="0"/>
                <w:sz w:val="18"/>
                <w:szCs w:val="18"/>
              </w:rPr>
              <w:t xml:space="preserve">,200.0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-46,876,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722,217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1,122,898,7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w:t>
            </w:r>
          </w:p>
        </w:tc>
      </w:tr>
    </w:tbl>
    <w:p>
      <w:pPr>
        <w:widowControl w:val="0"/>
        <w:spacing w:after="339" w:line="1" w:lineRule="exact"/>
      </w:pPr>
    </w:p>
    <w:p>
      <w:pPr>
        <w:pStyle w:val="Style21"/>
        <w:keepNext/>
        <w:keepLines/>
        <w:widowControl w:val="0"/>
        <w:shd w:val="clear" w:color="auto" w:fill="auto"/>
        <w:bidi w:val="0"/>
        <w:spacing w:before="0" w:after="260" w:line="240" w:lineRule="auto"/>
        <w:ind w:left="0" w:right="0" w:firstLine="0"/>
        <w:jc w:val="left"/>
      </w:pPr>
      <w:bookmarkStart w:id="742" w:name="bookmark742"/>
      <w:bookmarkStart w:id="743" w:name="bookmark743"/>
      <w:bookmarkStart w:id="744" w:name="bookmark744"/>
      <w:bookmarkStart w:id="745" w:name="bookmark745"/>
      <w:r>
        <w:rPr>
          <w:color w:val="000000"/>
          <w:spacing w:val="0"/>
          <w:w w:val="100"/>
          <w:position w:val="0"/>
        </w:rPr>
        <w:t>三</w:t>
      </w:r>
      <w:bookmarkEnd w:id="744"/>
      <w:r>
        <w:rPr>
          <w:color w:val="000000"/>
          <w:spacing w:val="0"/>
          <w:w w:val="100"/>
          <w:position w:val="0"/>
        </w:rPr>
        <w:t>、公司基本情况</w:t>
      </w:r>
      <w:bookmarkEnd w:id="742"/>
      <w:bookmarkEnd w:id="743"/>
      <w:bookmarkEnd w:id="745"/>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浙江和仁科技股份有限公司（以下简称公司或本公司）系由浙江和仁科技有限公司整体变更设立的股份有限公司，于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日在杭州市工商局高新区（滨江）分局登记注册，总部位于浙江省杭州市。公司现持有统一社会信用代码 为</w:t>
      </w:r>
      <w:r>
        <w:rPr>
          <w:rFonts w:ascii="Times New Roman" w:eastAsia="Times New Roman" w:hAnsi="Times New Roman" w:cs="Times New Roman"/>
          <w:color w:val="000000"/>
          <w:spacing w:val="0"/>
          <w:w w:val="100"/>
          <w:position w:val="0"/>
          <w:sz w:val="18"/>
          <w:szCs w:val="18"/>
        </w:rPr>
        <w:t>91330100563023775L</w:t>
      </w:r>
      <w:r>
        <w:rPr>
          <w:color w:val="000000"/>
          <w:spacing w:val="0"/>
          <w:w w:val="100"/>
          <w:position w:val="0"/>
        </w:rPr>
        <w:t>的营业执照，注册资本</w:t>
      </w:r>
      <w:r>
        <w:rPr>
          <w:rFonts w:ascii="Times New Roman" w:eastAsia="Times New Roman" w:hAnsi="Times New Roman" w:cs="Times New Roman"/>
          <w:color w:val="000000"/>
          <w:spacing w:val="0"/>
          <w:w w:val="100"/>
          <w:position w:val="0"/>
          <w:sz w:val="18"/>
          <w:szCs w:val="18"/>
        </w:rPr>
        <w:t>264,885,681</w:t>
      </w:r>
      <w:r>
        <w:rPr>
          <w:color w:val="000000"/>
          <w:spacing w:val="0"/>
          <w:w w:val="100"/>
          <w:position w:val="0"/>
        </w:rPr>
        <w:t>元，股份总数</w:t>
      </w:r>
      <w:r>
        <w:rPr>
          <w:rFonts w:ascii="Times New Roman" w:eastAsia="Times New Roman" w:hAnsi="Times New Roman" w:cs="Times New Roman"/>
          <w:color w:val="000000"/>
          <w:spacing w:val="0"/>
          <w:w w:val="100"/>
          <w:position w:val="0"/>
          <w:sz w:val="18"/>
          <w:szCs w:val="18"/>
        </w:rPr>
        <w:t>264,885,681</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元）。其中，有限售 条件的流通股份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3,593,928</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261,291,753</w:t>
      </w:r>
      <w:r>
        <w:rPr>
          <w:color w:val="000000"/>
          <w:spacing w:val="0"/>
          <w:w w:val="100"/>
          <w:position w:val="0"/>
        </w:rPr>
        <w:t>股。公司股票已于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日在深圳证 券交易所挂牌交易。</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本公司属软件与信息服务行业。公司主要经营活动是医疗机构的医疗信息系统及数字化场景应用系统的研发销售、实施 集成、服务支持。主要产品或提供的劳务：医疗信息系统的相关产品及开发与服务、数字化场景应用系统的实施。</w:t>
      </w:r>
    </w:p>
    <w:p>
      <w:pPr>
        <w:pStyle w:val="Style17"/>
        <w:keepNext w:val="0"/>
        <w:keepLines w:val="0"/>
        <w:widowControl w:val="0"/>
        <w:shd w:val="clear" w:color="auto" w:fill="auto"/>
        <w:bidi w:val="0"/>
        <w:spacing w:before="0" w:after="400" w:line="313" w:lineRule="exact"/>
        <w:ind w:left="0" w:right="0" w:firstLine="380"/>
        <w:jc w:val="both"/>
      </w:pPr>
      <w:r>
        <w:rPr>
          <w:color w:val="000000"/>
          <w:spacing w:val="0"/>
          <w:w w:val="100"/>
          <w:position w:val="0"/>
        </w:rPr>
        <w:t>本财务报表业经公司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日三届十八次董事会批准对外报出。</w:t>
      </w:r>
    </w:p>
    <w:p>
      <w:pPr>
        <w:pStyle w:val="Style17"/>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本公司将和仁（天津）科技有限公司、西安和仁汇达信息科技有限公司、江苏和仁泰颐智能科技有限公司、杭州云医健 康服务有限公司、中锦（天津）商业保理有限公司（以下分别简称天津和仁公司、西安和仁公司、江苏和仁公司、杭州云医 公司、中锦保理公司）等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家子公司纳入报告期合并财务报表范围，情况详见本财务报表附注八和九之说明。</w:t>
      </w:r>
    </w:p>
    <w:p>
      <w:pPr>
        <w:pStyle w:val="Style21"/>
        <w:keepNext/>
        <w:keepLines/>
        <w:widowControl w:val="0"/>
        <w:shd w:val="clear" w:color="auto" w:fill="auto"/>
        <w:bidi w:val="0"/>
        <w:spacing w:before="0" w:after="340" w:line="240" w:lineRule="auto"/>
        <w:ind w:left="0" w:right="0" w:firstLine="0"/>
        <w:jc w:val="both"/>
      </w:pPr>
      <w:bookmarkStart w:id="746" w:name="bookmark746"/>
      <w:bookmarkStart w:id="747" w:name="bookmark747"/>
      <w:bookmarkStart w:id="748" w:name="bookmark748"/>
      <w:bookmarkStart w:id="749" w:name="bookmark749"/>
      <w:r>
        <w:rPr>
          <w:color w:val="000000"/>
          <w:spacing w:val="0"/>
          <w:w w:val="100"/>
          <w:position w:val="0"/>
        </w:rPr>
        <w:t>四</w:t>
      </w:r>
      <w:bookmarkEnd w:id="748"/>
      <w:r>
        <w:rPr>
          <w:color w:val="000000"/>
          <w:spacing w:val="0"/>
          <w:w w:val="100"/>
          <w:position w:val="0"/>
        </w:rPr>
        <w:t>、财务报表的编制基础</w:t>
      </w:r>
      <w:bookmarkEnd w:id="746"/>
      <w:bookmarkEnd w:id="747"/>
      <w:bookmarkEnd w:id="749"/>
    </w:p>
    <w:p>
      <w:pPr>
        <w:pStyle w:val="Style26"/>
        <w:keepNext/>
        <w:keepLines/>
        <w:widowControl w:val="0"/>
        <w:shd w:val="clear" w:color="auto" w:fill="auto"/>
        <w:bidi w:val="0"/>
        <w:spacing w:before="0" w:after="260" w:line="240" w:lineRule="auto"/>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1</w:t>
      </w:r>
      <w:bookmarkEnd w:id="752"/>
      <w:r>
        <w:rPr>
          <w:color w:val="000000"/>
          <w:spacing w:val="0"/>
          <w:w w:val="100"/>
          <w:position w:val="0"/>
        </w:rPr>
        <w:t>、编制基础</w:t>
      </w:r>
      <w:bookmarkEnd w:id="750"/>
      <w:bookmarkEnd w:id="751"/>
      <w:bookmarkEnd w:id="753"/>
    </w:p>
    <w:p>
      <w:pPr>
        <w:pStyle w:val="Style17"/>
        <w:keepNext w:val="0"/>
        <w:keepLines w:val="0"/>
        <w:widowControl w:val="0"/>
        <w:shd w:val="clear" w:color="auto" w:fill="auto"/>
        <w:bidi w:val="0"/>
        <w:spacing w:before="0" w:after="720" w:line="313" w:lineRule="exact"/>
        <w:ind w:left="0" w:right="0" w:firstLine="380"/>
        <w:jc w:val="both"/>
      </w:pPr>
      <w:r>
        <w:rPr>
          <w:color w:val="000000"/>
          <w:spacing w:val="0"/>
          <w:w w:val="100"/>
          <w:position w:val="0"/>
        </w:rPr>
        <w:t>本公司财务报表以持续经营为编制基础。</w:t>
      </w:r>
    </w:p>
    <w:p>
      <w:pPr>
        <w:pStyle w:val="Style26"/>
        <w:keepNext/>
        <w:keepLines/>
        <w:widowControl w:val="0"/>
        <w:shd w:val="clear" w:color="auto" w:fill="auto"/>
        <w:bidi w:val="0"/>
        <w:spacing w:before="0" w:after="400" w:line="240" w:lineRule="auto"/>
        <w:ind w:left="0" w:right="0" w:firstLine="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2</w:t>
      </w:r>
      <w:bookmarkEnd w:id="756"/>
      <w:r>
        <w:rPr>
          <w:color w:val="000000"/>
          <w:spacing w:val="0"/>
          <w:w w:val="100"/>
          <w:position w:val="0"/>
        </w:rPr>
        <w:t>、持续经营</w:t>
      </w:r>
      <w:bookmarkEnd w:id="754"/>
      <w:bookmarkEnd w:id="755"/>
      <w:bookmarkEnd w:id="757"/>
    </w:p>
    <w:p>
      <w:pPr>
        <w:pStyle w:val="Style17"/>
        <w:keepNext w:val="0"/>
        <w:keepLines w:val="0"/>
        <w:widowControl w:val="0"/>
        <w:shd w:val="clear" w:color="auto" w:fill="auto"/>
        <w:bidi w:val="0"/>
        <w:spacing w:before="0" w:after="340" w:line="240" w:lineRule="auto"/>
        <w:ind w:left="0" w:right="0" w:firstLine="38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个月内的持续经营能力产生重大疑虑的事项或情况。</w:t>
      </w:r>
    </w:p>
    <w:p>
      <w:pPr>
        <w:pStyle w:val="Style21"/>
        <w:keepNext/>
        <w:keepLines/>
        <w:widowControl w:val="0"/>
        <w:shd w:val="clear" w:color="auto" w:fill="auto"/>
        <w:bidi w:val="0"/>
        <w:spacing w:before="0" w:after="260" w:line="240" w:lineRule="auto"/>
        <w:ind w:left="0" w:right="0" w:firstLine="0"/>
        <w:jc w:val="left"/>
      </w:pPr>
      <w:bookmarkStart w:id="758" w:name="bookmark758"/>
      <w:bookmarkStart w:id="759" w:name="bookmark759"/>
      <w:bookmarkStart w:id="760" w:name="bookmark760"/>
      <w:bookmarkStart w:id="761" w:name="bookmark761"/>
      <w:r>
        <w:rPr>
          <w:color w:val="000000"/>
          <w:spacing w:val="0"/>
          <w:w w:val="100"/>
          <w:position w:val="0"/>
        </w:rPr>
        <w:t>五</w:t>
      </w:r>
      <w:bookmarkEnd w:id="760"/>
      <w:r>
        <w:rPr>
          <w:color w:val="000000"/>
          <w:spacing w:val="0"/>
          <w:w w:val="100"/>
          <w:position w:val="0"/>
        </w:rPr>
        <w:t>、重要会计政策及会计估计</w:t>
      </w:r>
      <w:bookmarkEnd w:id="758"/>
      <w:bookmarkEnd w:id="759"/>
      <w:bookmarkEnd w:id="761"/>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具体会计政策和会计估计提示：</w:t>
      </w:r>
    </w:p>
    <w:p>
      <w:pPr>
        <w:pStyle w:val="Style17"/>
        <w:keepNext w:val="0"/>
        <w:keepLines w:val="0"/>
        <w:widowControl w:val="0"/>
        <w:shd w:val="clear" w:color="auto" w:fill="auto"/>
        <w:bidi w:val="0"/>
        <w:spacing w:before="0" w:after="740" w:line="312" w:lineRule="exact"/>
        <w:ind w:left="0" w:right="0" w:firstLine="380"/>
        <w:jc w:val="both"/>
      </w:pPr>
      <w:r>
        <w:rPr>
          <w:color w:val="000000"/>
          <w:spacing w:val="0"/>
          <w:w w:val="100"/>
          <w:position w:val="0"/>
        </w:rPr>
        <w:t>重要提示：本公司根据实际生产经营特点针对金融工具减值、固定资产折旧、使用权资产折旧、无形资产摊销、收入确 认等交易或事项制定了具体会计政策和会计估计。</w:t>
      </w:r>
    </w:p>
    <w:p>
      <w:pPr>
        <w:pStyle w:val="Style26"/>
        <w:keepNext/>
        <w:keepLines/>
        <w:widowControl w:val="0"/>
        <w:shd w:val="clear" w:color="auto" w:fill="auto"/>
        <w:bidi w:val="0"/>
        <w:spacing w:before="0" w:after="26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color w:val="000000"/>
          <w:spacing w:val="0"/>
          <w:w w:val="100"/>
          <w:position w:val="0"/>
        </w:rPr>
        <w:t>、遵循企业会计准则的声明</w:t>
      </w:r>
      <w:bookmarkEnd w:id="762"/>
      <w:bookmarkEnd w:id="763"/>
      <w:bookmarkEnd w:id="765"/>
    </w:p>
    <w:p>
      <w:pPr>
        <w:pStyle w:val="Style17"/>
        <w:keepNext w:val="0"/>
        <w:keepLines w:val="0"/>
        <w:widowControl w:val="0"/>
        <w:shd w:val="clear" w:color="auto" w:fill="auto"/>
        <w:bidi w:val="0"/>
        <w:spacing w:before="0" w:after="740" w:line="312" w:lineRule="exact"/>
        <w:ind w:left="0" w:right="0" w:firstLine="380"/>
        <w:jc w:val="both"/>
      </w:pPr>
      <w:r>
        <w:rPr>
          <w:color w:val="000000"/>
          <w:spacing w:val="0"/>
          <w:w w:val="100"/>
          <w:position w:val="0"/>
        </w:rPr>
        <w:t>本公司所编制的财务报表符合企业会计准则的要求，真实、完整地反映了公司的财务状况、经营成果和现金流量等有关 信息。</w:t>
      </w:r>
    </w:p>
    <w:p>
      <w:pPr>
        <w:pStyle w:val="Style26"/>
        <w:keepNext/>
        <w:keepLines/>
        <w:widowControl w:val="0"/>
        <w:shd w:val="clear" w:color="auto" w:fill="auto"/>
        <w:tabs>
          <w:tab w:pos="378" w:val="left"/>
        </w:tabs>
        <w:bidi w:val="0"/>
        <w:spacing w:before="0" w:after="380" w:line="240" w:lineRule="auto"/>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2</w:t>
      </w:r>
      <w:bookmarkEnd w:id="768"/>
      <w:r>
        <w:rPr>
          <w:color w:val="000000"/>
          <w:spacing w:val="0"/>
          <w:w w:val="100"/>
          <w:position w:val="0"/>
        </w:rPr>
        <w:t>、</w:t>
        <w:tab/>
        <w:t>会计期间</w:t>
      </w:r>
      <w:bookmarkEnd w:id="766"/>
      <w:bookmarkEnd w:id="767"/>
      <w:bookmarkEnd w:id="769"/>
    </w:p>
    <w:p>
      <w:pPr>
        <w:pStyle w:val="Style17"/>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6"/>
        <w:keepNext/>
        <w:keepLines/>
        <w:widowControl w:val="0"/>
        <w:shd w:val="clear" w:color="auto" w:fill="auto"/>
        <w:tabs>
          <w:tab w:pos="378" w:val="left"/>
        </w:tabs>
        <w:bidi w:val="0"/>
        <w:spacing w:before="0" w:after="380" w:line="240"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3</w:t>
      </w:r>
      <w:bookmarkEnd w:id="772"/>
      <w:r>
        <w:rPr>
          <w:color w:val="000000"/>
          <w:spacing w:val="0"/>
          <w:w w:val="100"/>
          <w:position w:val="0"/>
        </w:rPr>
        <w:t>、</w:t>
        <w:tab/>
        <w:t>营业周期</w:t>
      </w:r>
      <w:bookmarkEnd w:id="770"/>
      <w:bookmarkEnd w:id="771"/>
      <w:bookmarkEnd w:id="773"/>
    </w:p>
    <w:p>
      <w:pPr>
        <w:pStyle w:val="Style17"/>
        <w:keepNext w:val="0"/>
        <w:keepLines w:val="0"/>
        <w:widowControl w:val="0"/>
        <w:shd w:val="clear" w:color="auto" w:fill="auto"/>
        <w:bidi w:val="0"/>
        <w:spacing w:before="0" w:after="740" w:line="240" w:lineRule="auto"/>
        <w:ind w:left="0" w:right="0" w:firstLine="380"/>
        <w:jc w:val="both"/>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个月作为资产和负债的流动性划分标准。</w:t>
      </w:r>
    </w:p>
    <w:p>
      <w:pPr>
        <w:pStyle w:val="Style26"/>
        <w:keepNext/>
        <w:keepLines/>
        <w:widowControl w:val="0"/>
        <w:shd w:val="clear" w:color="auto" w:fill="auto"/>
        <w:bidi w:val="0"/>
        <w:spacing w:before="0" w:after="380" w:line="240" w:lineRule="auto"/>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4</w:t>
      </w:r>
      <w:bookmarkEnd w:id="776"/>
      <w:r>
        <w:rPr>
          <w:color w:val="000000"/>
          <w:spacing w:val="0"/>
          <w:w w:val="100"/>
          <w:position w:val="0"/>
        </w:rPr>
        <w:t>、记账本位币</w:t>
      </w:r>
      <w:bookmarkEnd w:id="774"/>
      <w:bookmarkEnd w:id="775"/>
      <w:bookmarkEnd w:id="777"/>
    </w:p>
    <w:p>
      <w:pPr>
        <w:pStyle w:val="Style17"/>
        <w:keepNext w:val="0"/>
        <w:keepLines w:val="0"/>
        <w:widowControl w:val="0"/>
        <w:shd w:val="clear" w:color="auto" w:fill="auto"/>
        <w:bidi w:val="0"/>
        <w:spacing w:before="0" w:after="740" w:line="240" w:lineRule="auto"/>
        <w:ind w:left="0" w:right="0" w:firstLine="380"/>
        <w:jc w:val="both"/>
      </w:pPr>
      <w:r>
        <w:rPr>
          <w:color w:val="000000"/>
          <w:spacing w:val="0"/>
          <w:w w:val="100"/>
          <w:position w:val="0"/>
        </w:rPr>
        <w:t>采用人民币为记账本位币。</w:t>
      </w:r>
    </w:p>
    <w:p>
      <w:pPr>
        <w:pStyle w:val="Style26"/>
        <w:keepNext/>
        <w:keepLines/>
        <w:widowControl w:val="0"/>
        <w:shd w:val="clear" w:color="auto" w:fill="auto"/>
        <w:tabs>
          <w:tab w:pos="378" w:val="left"/>
        </w:tabs>
        <w:bidi w:val="0"/>
        <w:spacing w:before="0" w:after="38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5</w:t>
      </w:r>
      <w:bookmarkEnd w:id="780"/>
      <w:r>
        <w:rPr>
          <w:color w:val="000000"/>
          <w:spacing w:val="0"/>
          <w:w w:val="100"/>
          <w:position w:val="0"/>
        </w:rPr>
        <w:t>、</w:t>
        <w:tab/>
        <w:t>同一控制下和非同一控制下企业合并的会计处理方法</w:t>
      </w:r>
      <w:bookmarkEnd w:id="778"/>
      <w:bookmarkEnd w:id="779"/>
      <w:bookmarkEnd w:id="781"/>
    </w:p>
    <w:p>
      <w:pPr>
        <w:pStyle w:val="Style17"/>
        <w:keepNext w:val="0"/>
        <w:keepLines w:val="0"/>
        <w:widowControl w:val="0"/>
        <w:numPr>
          <w:ilvl w:val="0"/>
          <w:numId w:val="21"/>
        </w:numPr>
        <w:shd w:val="clear" w:color="auto" w:fill="auto"/>
        <w:tabs>
          <w:tab w:pos="681" w:val="left"/>
        </w:tabs>
        <w:bidi w:val="0"/>
        <w:spacing w:before="0" w:after="0" w:line="360" w:lineRule="auto"/>
        <w:ind w:left="0" w:right="0" w:firstLine="380"/>
        <w:jc w:val="both"/>
      </w:pPr>
      <w:bookmarkStart w:id="782" w:name="bookmark782"/>
      <w:bookmarkEnd w:id="782"/>
      <w:r>
        <w:rPr>
          <w:color w:val="000000"/>
          <w:spacing w:val="0"/>
          <w:w w:val="100"/>
          <w:position w:val="0"/>
        </w:rPr>
        <w:t>同一控制下企业合并的会计处理方法</w:t>
      </w:r>
    </w:p>
    <w:p>
      <w:pPr>
        <w:pStyle w:val="Style17"/>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公司在企业合并中取得的资产和负债，按照合并日被合并方在最终控制方合并财务报表中的账面价值计量。公司按照被 合并方所有者权益在最终控制方合并财务报表中的账面价值份额与支付的合并对价账面价值或发行股份面值总额的差额，调 整资本公积；资本公积不足冲减的，调整留存收益。</w:t>
      </w:r>
    </w:p>
    <w:p>
      <w:pPr>
        <w:pStyle w:val="Style17"/>
        <w:keepNext w:val="0"/>
        <w:keepLines w:val="0"/>
        <w:widowControl w:val="0"/>
        <w:numPr>
          <w:ilvl w:val="0"/>
          <w:numId w:val="21"/>
        </w:numPr>
        <w:shd w:val="clear" w:color="auto" w:fill="auto"/>
        <w:tabs>
          <w:tab w:pos="700" w:val="left"/>
        </w:tabs>
        <w:bidi w:val="0"/>
        <w:spacing w:before="0" w:after="0" w:line="360" w:lineRule="auto"/>
        <w:ind w:left="0" w:right="0" w:firstLine="380"/>
        <w:jc w:val="both"/>
      </w:pPr>
      <w:bookmarkStart w:id="783" w:name="bookmark783"/>
      <w:bookmarkEnd w:id="783"/>
      <w:r>
        <w:rPr>
          <w:color w:val="000000"/>
          <w:spacing w:val="0"/>
          <w:w w:val="100"/>
          <w:position w:val="0"/>
        </w:rPr>
        <w:t>非同一控制下企业合并的会计处理方法</w:t>
      </w:r>
    </w:p>
    <w:p>
      <w:pPr>
        <w:pStyle w:val="Style17"/>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公司在购买日对合并成本大于合并中取得的被购买方可辨认净资产公允价值份额的差额，确认为商誉；如果合并成本小 于合并中取得的被购买方可辨认净资产公允价值份额，首先对取得的被购买方各项可辨认资产、负债及或有负债的公允价值 以及合并成本的计量进行复核，经复核后合并成本仍小于合并中取得的被购买方可辨认净资产公允价值份额的，其差额计入 当期损益。</w:t>
      </w:r>
    </w:p>
    <w:p>
      <w:pPr>
        <w:pStyle w:val="Style26"/>
        <w:keepNext/>
        <w:keepLines/>
        <w:widowControl w:val="0"/>
        <w:shd w:val="clear" w:color="auto" w:fill="auto"/>
        <w:tabs>
          <w:tab w:pos="378" w:val="left"/>
        </w:tabs>
        <w:bidi w:val="0"/>
        <w:spacing w:before="0" w:after="26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6</w:t>
      </w:r>
      <w:bookmarkEnd w:id="786"/>
      <w:r>
        <w:rPr>
          <w:color w:val="000000"/>
          <w:spacing w:val="0"/>
          <w:w w:val="100"/>
          <w:position w:val="0"/>
        </w:rPr>
        <w:t>、</w:t>
        <w:tab/>
        <w:t>合并财务报表的编制方法</w:t>
      </w:r>
      <w:bookmarkEnd w:id="784"/>
      <w:bookmarkEnd w:id="785"/>
      <w:bookmarkEnd w:id="787"/>
    </w:p>
    <w:p>
      <w:pPr>
        <w:pStyle w:val="Style1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母公司将其控制的所有子公司纳入合并财务报表的合并范围。合并财务报表以母公司及其子公司的财务报表为基础，根 据其他有关资料，由母公司按照《企业会计准则第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号——合并财务报表》编制。</w:t>
      </w:r>
    </w:p>
    <w:p>
      <w:pPr>
        <w:pStyle w:val="Style26"/>
        <w:keepNext/>
        <w:keepLines/>
        <w:widowControl w:val="0"/>
        <w:shd w:val="clear" w:color="auto" w:fill="auto"/>
        <w:tabs>
          <w:tab w:pos="373" w:val="left"/>
        </w:tabs>
        <w:bidi w:val="0"/>
        <w:spacing w:before="0" w:after="28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7</w:t>
      </w:r>
      <w:bookmarkEnd w:id="790"/>
      <w:r>
        <w:rPr>
          <w:color w:val="000000"/>
          <w:spacing w:val="0"/>
          <w:w w:val="100"/>
          <w:position w:val="0"/>
        </w:rPr>
        <w:t>、</w:t>
        <w:tab/>
        <w:t>现金及现金等价物的确定标准</w:t>
      </w:r>
      <w:bookmarkEnd w:id="788"/>
      <w:bookmarkEnd w:id="789"/>
      <w:bookmarkEnd w:id="791"/>
    </w:p>
    <w:p>
      <w:pPr>
        <w:pStyle w:val="Style17"/>
        <w:keepNext w:val="0"/>
        <w:keepLines w:val="0"/>
        <w:widowControl w:val="0"/>
        <w:shd w:val="clear" w:color="auto" w:fill="auto"/>
        <w:bidi w:val="0"/>
        <w:spacing w:before="0" w:after="720" w:line="307" w:lineRule="exact"/>
        <w:ind w:left="0" w:right="0" w:firstLine="380"/>
        <w:jc w:val="left"/>
      </w:pPr>
      <w:r>
        <w:rPr>
          <w:color w:val="000000"/>
          <w:spacing w:val="0"/>
          <w:w w:val="100"/>
          <w:position w:val="0"/>
        </w:rPr>
        <w:t>列示于现金流量表中的现金是指库存现金以及可以随时用于支付的存款。现金等价物是指企业持有的期限短、流动性强、 易于转换为已知金额现金、价值变动风险很小的投资。</w:t>
      </w:r>
    </w:p>
    <w:p>
      <w:pPr>
        <w:pStyle w:val="Style26"/>
        <w:keepNext/>
        <w:keepLines/>
        <w:widowControl w:val="0"/>
        <w:shd w:val="clear" w:color="auto" w:fill="auto"/>
        <w:tabs>
          <w:tab w:pos="378" w:val="left"/>
        </w:tabs>
        <w:bidi w:val="0"/>
        <w:spacing w:before="0" w:after="28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8</w:t>
      </w:r>
      <w:bookmarkEnd w:id="794"/>
      <w:r>
        <w:rPr>
          <w:color w:val="000000"/>
          <w:spacing w:val="0"/>
          <w:w w:val="100"/>
          <w:position w:val="0"/>
        </w:rPr>
        <w:t>、</w:t>
        <w:tab/>
        <w:t>外币业务和外币报表折算</w:t>
      </w:r>
      <w:bookmarkEnd w:id="792"/>
      <w:bookmarkEnd w:id="793"/>
      <w:bookmarkEnd w:id="795"/>
    </w:p>
    <w:p>
      <w:pPr>
        <w:pStyle w:val="Style17"/>
        <w:keepNext w:val="0"/>
        <w:keepLines w:val="0"/>
        <w:widowControl w:val="0"/>
        <w:shd w:val="clear" w:color="auto" w:fill="auto"/>
        <w:bidi w:val="0"/>
        <w:spacing w:before="0" w:after="400" w:line="308" w:lineRule="exact"/>
        <w:ind w:left="0" w:right="0" w:firstLine="380"/>
        <w:jc w:val="both"/>
      </w:pPr>
      <w:r>
        <w:rPr>
          <w:color w:val="000000"/>
          <w:spacing w:val="0"/>
          <w:w w:val="100"/>
          <w:position w:val="0"/>
        </w:rPr>
        <w:t>外币交易在初始确认时，采用交易发生日即期汇率的近似汇率折算为人民币金额。资产负债表日，外币货币性项目采用 资产负债表日即期汇率折算，因汇率不同而产生的汇兑差额，除与购建符合资本化条件资产有关的外币专门借款本金及利息 的汇兑差额外，计入当期损益；以历史成本计量的外币非货币性项目仍采用交易发生日即期汇率的近似汇率折算，不改变其 人民币金额；以公允价值计量的外币非货币性项目，采用公允价值确定日的即期汇率折算，差额计入当期损益或其他综合收 益。</w:t>
      </w:r>
    </w:p>
    <w:p>
      <w:pPr>
        <w:pStyle w:val="Style26"/>
        <w:keepNext/>
        <w:keepLines/>
        <w:widowControl w:val="0"/>
        <w:shd w:val="clear" w:color="auto" w:fill="auto"/>
        <w:tabs>
          <w:tab w:pos="378" w:val="left"/>
        </w:tabs>
        <w:bidi w:val="0"/>
        <w:spacing w:before="0" w:after="40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9</w:t>
      </w:r>
      <w:bookmarkEnd w:id="798"/>
      <w:r>
        <w:rPr>
          <w:color w:val="000000"/>
          <w:spacing w:val="0"/>
          <w:w w:val="100"/>
          <w:position w:val="0"/>
        </w:rPr>
        <w:t>、</w:t>
        <w:tab/>
        <w:t>金融工具</w:t>
      </w:r>
      <w:bookmarkEnd w:id="796"/>
      <w:bookmarkEnd w:id="797"/>
      <w:bookmarkEnd w:id="799"/>
    </w:p>
    <w:p>
      <w:pPr>
        <w:pStyle w:val="Style17"/>
        <w:keepNext w:val="0"/>
        <w:keepLines w:val="0"/>
        <w:widowControl w:val="0"/>
        <w:numPr>
          <w:ilvl w:val="0"/>
          <w:numId w:val="23"/>
        </w:numPr>
        <w:shd w:val="clear" w:color="auto" w:fill="auto"/>
        <w:tabs>
          <w:tab w:pos="681" w:val="left"/>
        </w:tabs>
        <w:bidi w:val="0"/>
        <w:spacing w:before="0" w:after="0" w:line="360" w:lineRule="auto"/>
        <w:ind w:left="0" w:right="0" w:firstLine="380"/>
        <w:jc w:val="both"/>
      </w:pPr>
      <w:bookmarkStart w:id="800" w:name="bookmark800"/>
      <w:bookmarkEnd w:id="800"/>
      <w:r>
        <w:rPr>
          <w:color w:val="000000"/>
          <w:spacing w:val="0"/>
          <w:w w:val="100"/>
          <w:position w:val="0"/>
        </w:rPr>
        <w:t>金融资产和金融负债的分类</w:t>
      </w:r>
    </w:p>
    <w:p>
      <w:pPr>
        <w:pStyle w:val="Style17"/>
        <w:keepNext w:val="0"/>
        <w:keepLines w:val="0"/>
        <w:widowControl w:val="0"/>
        <w:shd w:val="clear" w:color="auto" w:fill="auto"/>
        <w:bidi w:val="0"/>
        <w:spacing w:before="0" w:after="40" w:line="307" w:lineRule="exact"/>
        <w:ind w:left="0" w:right="0" w:firstLine="380"/>
        <w:jc w:val="left"/>
      </w:pPr>
      <w:r>
        <w:rPr>
          <w:color w:val="000000"/>
          <w:spacing w:val="0"/>
          <w:w w:val="100"/>
          <w:position w:val="0"/>
        </w:rPr>
        <w:t>金融资产在初始确认时划分为以下三类：</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以摊余成本计量的金融资产；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以公允价值计量且其变动计入其他综合 收益的金融资产；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以公允价值计量且其变动计入当期损益的金融资产。</w:t>
      </w:r>
    </w:p>
    <w:p>
      <w:pPr>
        <w:pStyle w:val="Style17"/>
        <w:keepNext w:val="0"/>
        <w:keepLines w:val="0"/>
        <w:widowControl w:val="0"/>
        <w:shd w:val="clear" w:color="auto" w:fill="auto"/>
        <w:bidi w:val="0"/>
        <w:spacing w:before="0" w:after="0" w:line="310" w:lineRule="exact"/>
        <w:ind w:left="0" w:right="0" w:firstLine="380"/>
        <w:jc w:val="left"/>
      </w:pPr>
      <w:r>
        <w:rPr>
          <w:color w:val="000000"/>
          <w:spacing w:val="0"/>
          <w:w w:val="100"/>
          <w:position w:val="0"/>
          <w:shd w:val="clear" w:color="auto" w:fill="FFFFFF"/>
        </w:rPr>
        <w:t>金融负债在初始确认时划分为以下四类：</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以公允价值计量且其变动计入当期损益的金融负债；</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2）</w:t>
      </w:r>
      <w:r>
        <w:rPr>
          <w:color w:val="000000"/>
          <w:spacing w:val="0"/>
          <w:w w:val="100"/>
          <w:position w:val="0"/>
          <w:shd w:val="clear" w:color="auto" w:fill="FFFFFF"/>
        </w:rPr>
        <w:t>金融资产转移不 符合终止确认条件或继续涉入被转移金融资产所形成的金融负债；</w:t>
      </w:r>
      <w:r>
        <w:rPr>
          <w:rFonts w:ascii="Times New Roman" w:eastAsia="Times New Roman" w:hAnsi="Times New Roman" w:cs="Times New Roman"/>
          <w:color w:val="000000"/>
          <w:spacing w:val="0"/>
          <w:w w:val="100"/>
          <w:position w:val="0"/>
          <w:sz w:val="18"/>
          <w:szCs w:val="18"/>
          <w:shd w:val="clear" w:color="auto" w:fill="FFFFFF"/>
        </w:rPr>
        <w:t>（3）</w:t>
      </w:r>
      <w:r>
        <w:rPr>
          <w:color w:val="000000"/>
          <w:spacing w:val="0"/>
          <w:w w:val="100"/>
          <w:position w:val="0"/>
          <w:shd w:val="clear" w:color="auto" w:fill="FFFFFF"/>
        </w:rPr>
        <w:t>不属于上述</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或</w:t>
      </w:r>
      <w:r>
        <w:rPr>
          <w:rFonts w:ascii="Times New Roman" w:eastAsia="Times New Roman" w:hAnsi="Times New Roman" w:cs="Times New Roman"/>
          <w:color w:val="000000"/>
          <w:spacing w:val="0"/>
          <w:w w:val="100"/>
          <w:position w:val="0"/>
          <w:sz w:val="18"/>
          <w:szCs w:val="18"/>
          <w:shd w:val="clear" w:color="auto" w:fill="FFFFFF"/>
        </w:rPr>
        <w:t>（2）</w:t>
      </w:r>
      <w:r>
        <w:rPr>
          <w:color w:val="000000"/>
          <w:spacing w:val="0"/>
          <w:w w:val="100"/>
          <w:position w:val="0"/>
          <w:shd w:val="clear" w:color="auto" w:fill="FFFFFF"/>
        </w:rPr>
        <w:t>的财务担保合同，以及不属于上述</w:t>
      </w:r>
    </w:p>
    <w:p>
      <w:pPr>
        <w:pStyle w:val="Style17"/>
        <w:keepNext w:val="0"/>
        <w:keepLines w:val="0"/>
        <w:widowControl w:val="0"/>
        <w:shd w:val="clear" w:color="auto" w:fill="auto"/>
        <w:bidi w:val="0"/>
        <w:spacing w:before="0" w:after="40" w:line="310" w:lineRule="exact"/>
        <w:ind w:left="0" w:right="0" w:firstLine="0"/>
        <w:jc w:val="left"/>
      </w:pPr>
      <w:bookmarkStart w:id="801" w:name="bookmark801"/>
      <w:r>
        <w:rPr>
          <w:rFonts w:ascii="Times New Roman" w:eastAsia="Times New Roman" w:hAnsi="Times New Roman" w:cs="Times New Roman"/>
          <w:color w:val="000000"/>
          <w:spacing w:val="0"/>
          <w:w w:val="100"/>
          <w:position w:val="0"/>
          <w:sz w:val="18"/>
          <w:szCs w:val="18"/>
        </w:rPr>
        <w:t>（</w:t>
      </w:r>
      <w:bookmarkEnd w:id="8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并以低于市场利率贷款的贷款承诺；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以摊余成本计量的金融负债。</w:t>
      </w:r>
    </w:p>
    <w:p>
      <w:pPr>
        <w:pStyle w:val="Style17"/>
        <w:keepNext w:val="0"/>
        <w:keepLines w:val="0"/>
        <w:widowControl w:val="0"/>
        <w:numPr>
          <w:ilvl w:val="0"/>
          <w:numId w:val="23"/>
        </w:numPr>
        <w:shd w:val="clear" w:color="auto" w:fill="auto"/>
        <w:tabs>
          <w:tab w:pos="700" w:val="left"/>
        </w:tabs>
        <w:bidi w:val="0"/>
        <w:spacing w:before="0" w:after="40" w:line="309" w:lineRule="exact"/>
        <w:ind w:left="0" w:right="0" w:firstLine="380"/>
        <w:jc w:val="left"/>
      </w:pPr>
      <w:bookmarkStart w:id="802" w:name="bookmark802"/>
      <w:bookmarkEnd w:id="802"/>
      <w:r>
        <w:rPr>
          <w:color w:val="000000"/>
          <w:spacing w:val="0"/>
          <w:w w:val="100"/>
          <w:position w:val="0"/>
        </w:rPr>
        <w:t>金融资产和金融负债的确认依据、计量方法和终止确认条件</w:t>
      </w:r>
    </w:p>
    <w:p>
      <w:pPr>
        <w:pStyle w:val="Style17"/>
        <w:keepNext w:val="0"/>
        <w:keepLines w:val="0"/>
        <w:widowControl w:val="0"/>
        <w:shd w:val="clear" w:color="auto" w:fill="auto"/>
        <w:tabs>
          <w:tab w:pos="786" w:val="left"/>
        </w:tabs>
        <w:bidi w:val="0"/>
        <w:spacing w:before="0" w:after="40" w:line="309" w:lineRule="exact"/>
        <w:ind w:left="0" w:right="0" w:firstLine="380"/>
        <w:jc w:val="left"/>
      </w:pPr>
      <w:bookmarkStart w:id="803" w:name="bookmark803"/>
      <w:r>
        <w:rPr>
          <w:rFonts w:ascii="Times New Roman" w:eastAsia="Times New Roman" w:hAnsi="Times New Roman" w:cs="Times New Roman"/>
          <w:color w:val="000000"/>
          <w:spacing w:val="0"/>
          <w:w w:val="100"/>
          <w:position w:val="0"/>
          <w:sz w:val="18"/>
          <w:szCs w:val="18"/>
        </w:rPr>
        <w:t>（</w:t>
      </w:r>
      <w:bookmarkEnd w:id="803"/>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金融资产和金融负债的确认依据和初始计量方法</w:t>
      </w:r>
    </w:p>
    <w:p>
      <w:pPr>
        <w:pStyle w:val="Style17"/>
        <w:keepNext w:val="0"/>
        <w:keepLines w:val="0"/>
        <w:widowControl w:val="0"/>
        <w:shd w:val="clear" w:color="auto" w:fill="auto"/>
        <w:bidi w:val="0"/>
        <w:spacing w:before="0" w:after="140" w:line="309" w:lineRule="exact"/>
        <w:ind w:left="0" w:right="0" w:firstLine="380"/>
        <w:jc w:val="left"/>
      </w:pPr>
      <w:r>
        <w:rPr>
          <w:color w:val="000000"/>
          <w:spacing w:val="0"/>
          <w:w w:val="100"/>
          <w:position w:val="0"/>
        </w:rPr>
        <w:t>公司成为金融工具合同的一方时，确认一项金融资产或金融负债。初始确认金融资产或金融负债时，按照公允价值计量； 对于以公允价值计量且其变动计入当期损益的金融资产和金融负债，相关交易费用直接计入当期损益；对于其他类别的金融 资产或金融负债，相关交易费用计入初始确认金额。但是，公司初始确认的应收账款未包含重大融资成分或公司不考虑未超 过一年的合同中的融资成分的，按照《企业会计准则第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号——收入》所定义的交易价格进行初始计量。</w:t>
      </w:r>
    </w:p>
    <w:p>
      <w:pPr>
        <w:pStyle w:val="Style17"/>
        <w:keepNext w:val="0"/>
        <w:keepLines w:val="0"/>
        <w:widowControl w:val="0"/>
        <w:shd w:val="clear" w:color="auto" w:fill="auto"/>
        <w:tabs>
          <w:tab w:pos="786" w:val="left"/>
        </w:tabs>
        <w:bidi w:val="0"/>
        <w:spacing w:before="0" w:after="40" w:line="360" w:lineRule="auto"/>
        <w:ind w:left="0" w:right="0" w:firstLine="380"/>
        <w:jc w:val="left"/>
      </w:pPr>
      <w:bookmarkStart w:id="804" w:name="bookmark804"/>
      <w:r>
        <w:rPr>
          <w:rFonts w:ascii="Times New Roman" w:eastAsia="Times New Roman" w:hAnsi="Times New Roman" w:cs="Times New Roman"/>
          <w:color w:val="000000"/>
          <w:spacing w:val="0"/>
          <w:w w:val="100"/>
          <w:position w:val="0"/>
          <w:sz w:val="18"/>
          <w:szCs w:val="18"/>
        </w:rPr>
        <w:t>（</w:t>
      </w:r>
      <w:bookmarkEnd w:id="804"/>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金融资产的后续计量方法</w:t>
      </w:r>
    </w:p>
    <w:p>
      <w:pPr>
        <w:pStyle w:val="Style17"/>
        <w:keepNext w:val="0"/>
        <w:keepLines w:val="0"/>
        <w:widowControl w:val="0"/>
        <w:shd w:val="clear" w:color="auto" w:fill="auto"/>
        <w:tabs>
          <w:tab w:pos="710" w:val="left"/>
        </w:tabs>
        <w:bidi w:val="0"/>
        <w:spacing w:before="0" w:after="0" w:line="360" w:lineRule="auto"/>
        <w:ind w:left="0" w:right="0" w:firstLine="380"/>
        <w:jc w:val="left"/>
      </w:pPr>
      <w:bookmarkStart w:id="805" w:name="bookmark805"/>
      <w:r>
        <w:rPr>
          <w:rFonts w:ascii="Times New Roman" w:eastAsia="Times New Roman" w:hAnsi="Times New Roman" w:cs="Times New Roman"/>
          <w:color w:val="000000"/>
          <w:spacing w:val="0"/>
          <w:w w:val="100"/>
          <w:position w:val="0"/>
          <w:sz w:val="18"/>
          <w:szCs w:val="18"/>
        </w:rPr>
        <w:t>1</w:t>
      </w:r>
      <w:bookmarkEnd w:id="8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以摊余成本计量的金融资产</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采用实际利率法，按照摊余成本进行后续计量。以摊余成本计量且不属于任何套期关系的一部分的金融资产所产生的利 得或损失，在终止确认、重分类、按照实际利率法摊销或确认减值时，计入当期损益。</w:t>
      </w:r>
    </w:p>
    <w:p>
      <w:pPr>
        <w:pStyle w:val="Style17"/>
        <w:keepNext w:val="0"/>
        <w:keepLines w:val="0"/>
        <w:widowControl w:val="0"/>
        <w:shd w:val="clear" w:color="auto" w:fill="auto"/>
        <w:tabs>
          <w:tab w:pos="729" w:val="left"/>
        </w:tabs>
        <w:bidi w:val="0"/>
        <w:spacing w:before="0" w:after="40" w:line="309" w:lineRule="exact"/>
        <w:ind w:left="0" w:right="0" w:firstLine="380"/>
        <w:jc w:val="both"/>
      </w:pPr>
      <w:bookmarkStart w:id="806" w:name="bookmark806"/>
      <w:r>
        <w:rPr>
          <w:rFonts w:ascii="Times New Roman" w:eastAsia="Times New Roman" w:hAnsi="Times New Roman" w:cs="Times New Roman"/>
          <w:color w:val="000000"/>
          <w:spacing w:val="0"/>
          <w:w w:val="100"/>
          <w:position w:val="0"/>
          <w:sz w:val="18"/>
          <w:szCs w:val="18"/>
        </w:rPr>
        <w:t>2</w:t>
      </w:r>
      <w:bookmarkEnd w:id="8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以公允价值计量且其变动计入其他综合收益的债务工具投资</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采用公允价值进行后续计量。采用实际利率法计算的利息、减值损失或利得及汇兑损益计入当期损益，其他利得或损失 计入其他综合收益。终止确认时，将之前计入其他综合收益的累计利得或损失从其他综合收益中转出，计入当期损益。</w:t>
      </w:r>
    </w:p>
    <w:p>
      <w:pPr>
        <w:pStyle w:val="Style17"/>
        <w:keepNext w:val="0"/>
        <w:keepLines w:val="0"/>
        <w:widowControl w:val="0"/>
        <w:shd w:val="clear" w:color="auto" w:fill="auto"/>
        <w:tabs>
          <w:tab w:pos="729" w:val="left"/>
        </w:tabs>
        <w:bidi w:val="0"/>
        <w:spacing w:before="0" w:after="40" w:line="309" w:lineRule="exact"/>
        <w:ind w:left="0" w:right="0" w:firstLine="380"/>
        <w:jc w:val="both"/>
      </w:pPr>
      <w:bookmarkStart w:id="807" w:name="bookmark807"/>
      <w:r>
        <w:rPr>
          <w:rFonts w:ascii="Times New Roman" w:eastAsia="Times New Roman" w:hAnsi="Times New Roman" w:cs="Times New Roman"/>
          <w:color w:val="000000"/>
          <w:spacing w:val="0"/>
          <w:w w:val="100"/>
          <w:position w:val="0"/>
          <w:sz w:val="18"/>
          <w:szCs w:val="18"/>
        </w:rPr>
        <w:t>3</w:t>
      </w:r>
      <w:bookmarkEnd w:id="8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以公允价值计量且其变动计入其他综合收益的权益工具投资</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采用公允价值进行后续计量。获得的股利（属于投资成本收回部分的除外）计入当期损益，其他利得或损失计入其他综 合收益。终止确认时，将之前计入其他综合收益的累计利得或损失从其他综合收益中转出，计入留存收益。</w:t>
      </w:r>
    </w:p>
    <w:p>
      <w:pPr>
        <w:pStyle w:val="Style17"/>
        <w:keepNext w:val="0"/>
        <w:keepLines w:val="0"/>
        <w:widowControl w:val="0"/>
        <w:shd w:val="clear" w:color="auto" w:fill="auto"/>
        <w:tabs>
          <w:tab w:pos="729" w:val="left"/>
        </w:tabs>
        <w:bidi w:val="0"/>
        <w:spacing w:before="0" w:after="40" w:line="309" w:lineRule="exact"/>
        <w:ind w:left="0" w:right="0" w:firstLine="380"/>
        <w:jc w:val="both"/>
      </w:pPr>
      <w:bookmarkStart w:id="808" w:name="bookmark808"/>
      <w:r>
        <w:rPr>
          <w:rFonts w:ascii="Times New Roman" w:eastAsia="Times New Roman" w:hAnsi="Times New Roman" w:cs="Times New Roman"/>
          <w:color w:val="000000"/>
          <w:spacing w:val="0"/>
          <w:w w:val="100"/>
          <w:position w:val="0"/>
          <w:sz w:val="18"/>
          <w:szCs w:val="18"/>
        </w:rPr>
        <w:t>4</w:t>
      </w:r>
      <w:bookmarkEnd w:id="8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以公允价值计量且其变动计入当期损益的金融资产</w:t>
      </w:r>
    </w:p>
    <w:p>
      <w:pPr>
        <w:pStyle w:val="Style1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采用公允价值进行后续计量，产生的利得或损失（包括利息和股利收入）计入当期损益，除非该金融资产属于套期关系 的一部分。</w:t>
      </w:r>
    </w:p>
    <w:p>
      <w:pPr>
        <w:pStyle w:val="Style17"/>
        <w:keepNext w:val="0"/>
        <w:keepLines w:val="0"/>
        <w:widowControl w:val="0"/>
        <w:shd w:val="clear" w:color="auto" w:fill="auto"/>
        <w:tabs>
          <w:tab w:pos="786" w:val="left"/>
        </w:tabs>
        <w:bidi w:val="0"/>
        <w:spacing w:before="0" w:after="40" w:line="360" w:lineRule="auto"/>
        <w:ind w:left="0" w:right="0" w:firstLine="380"/>
        <w:jc w:val="both"/>
      </w:pPr>
      <w:bookmarkStart w:id="809" w:name="bookmark809"/>
      <w:r>
        <w:rPr>
          <w:rFonts w:ascii="Times New Roman" w:eastAsia="Times New Roman" w:hAnsi="Times New Roman" w:cs="Times New Roman"/>
          <w:color w:val="000000"/>
          <w:spacing w:val="0"/>
          <w:w w:val="100"/>
          <w:position w:val="0"/>
          <w:sz w:val="18"/>
          <w:szCs w:val="18"/>
        </w:rPr>
        <w:t>（</w:t>
      </w:r>
      <w:bookmarkEnd w:id="809"/>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金融负债的后续计量方法</w:t>
      </w:r>
    </w:p>
    <w:p>
      <w:pPr>
        <w:pStyle w:val="Style17"/>
        <w:keepNext w:val="0"/>
        <w:keepLines w:val="0"/>
        <w:widowControl w:val="0"/>
        <w:shd w:val="clear" w:color="auto" w:fill="auto"/>
        <w:tabs>
          <w:tab w:pos="682" w:val="left"/>
        </w:tabs>
        <w:bidi w:val="0"/>
        <w:spacing w:before="0" w:after="0" w:line="312" w:lineRule="exact"/>
        <w:ind w:left="0" w:right="0" w:firstLine="380"/>
        <w:jc w:val="both"/>
      </w:pPr>
      <w:bookmarkStart w:id="810" w:name="bookmark810"/>
      <w:r>
        <w:rPr>
          <w:rFonts w:ascii="Times New Roman" w:eastAsia="Times New Roman" w:hAnsi="Times New Roman" w:cs="Times New Roman"/>
          <w:color w:val="000000"/>
          <w:spacing w:val="0"/>
          <w:w w:val="100"/>
          <w:position w:val="0"/>
          <w:sz w:val="18"/>
          <w:szCs w:val="18"/>
        </w:rPr>
        <w:t>1</w:t>
      </w:r>
      <w:bookmarkEnd w:id="8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以公允价值计量且其变动计入当期损益的金融负债</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此类金融负债包括交易性金融负债（含属于金融负债的衍生工具）和指定为以公允价值计量且其变动计入当期损益的金 融负债。对于此类金融负债以公允价值进行后续计量。因公司自身信用风险变动引起的指定为以公允价值计量且其变动计入 当期损益的金融负债的公允价值变动金额计入其他综合收益，除非该处理会造成或扩大损益中的会计错配。此类金融负债产 生的其他利得或损失（包括利息费用、除因公司自身信用风险变动引起的公允价值变动）计入当期损益，除非该金融负债属 于套期关系的一部分。终止确认时，将之前计入其他综合收益的累计利得或损失从其他综合收益中转出，计入留存收益。</w:t>
      </w:r>
    </w:p>
    <w:p>
      <w:pPr>
        <w:pStyle w:val="Style17"/>
        <w:keepNext w:val="0"/>
        <w:keepLines w:val="0"/>
        <w:widowControl w:val="0"/>
        <w:shd w:val="clear" w:color="auto" w:fill="auto"/>
        <w:tabs>
          <w:tab w:pos="701" w:val="left"/>
        </w:tabs>
        <w:bidi w:val="0"/>
        <w:spacing w:before="0" w:after="0" w:line="312" w:lineRule="exact"/>
        <w:ind w:left="0" w:right="0" w:firstLine="380"/>
        <w:jc w:val="both"/>
      </w:pPr>
      <w:bookmarkStart w:id="811" w:name="bookmark811"/>
      <w:r>
        <w:rPr>
          <w:rFonts w:ascii="Times New Roman" w:eastAsia="Times New Roman" w:hAnsi="Times New Roman" w:cs="Times New Roman"/>
          <w:color w:val="000000"/>
          <w:spacing w:val="0"/>
          <w:w w:val="100"/>
          <w:position w:val="0"/>
          <w:sz w:val="18"/>
          <w:szCs w:val="18"/>
        </w:rPr>
        <w:t>2</w:t>
      </w:r>
      <w:bookmarkEnd w:id="8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金融资产转移不符合终止确认条件或继续涉入被转移金融资产所形成的金融负债</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号——金融资产转移》相关规定进行计量。</w:t>
      </w:r>
    </w:p>
    <w:p>
      <w:pPr>
        <w:pStyle w:val="Style17"/>
        <w:keepNext w:val="0"/>
        <w:keepLines w:val="0"/>
        <w:widowControl w:val="0"/>
        <w:shd w:val="clear" w:color="auto" w:fill="auto"/>
        <w:tabs>
          <w:tab w:pos="701" w:val="left"/>
        </w:tabs>
        <w:bidi w:val="0"/>
        <w:spacing w:before="0" w:after="0" w:line="312" w:lineRule="exact"/>
        <w:ind w:left="0" w:right="0" w:firstLine="380"/>
        <w:jc w:val="both"/>
      </w:pPr>
      <w:bookmarkStart w:id="812" w:name="bookmark812"/>
      <w:r>
        <w:rPr>
          <w:rFonts w:ascii="Times New Roman" w:eastAsia="Times New Roman" w:hAnsi="Times New Roman" w:cs="Times New Roman"/>
          <w:color w:val="000000"/>
          <w:spacing w:val="0"/>
          <w:w w:val="100"/>
          <w:position w:val="0"/>
          <w:sz w:val="18"/>
          <w:szCs w:val="18"/>
        </w:rPr>
        <w:t>3</w:t>
      </w:r>
      <w:bookmarkEnd w:id="8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并以低于市场利率贷款的贷款承诺</w:t>
      </w:r>
    </w:p>
    <w:p>
      <w:pPr>
        <w:pStyle w:val="Style17"/>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在初始确认后按照下列两项金额之中的较高者进行后续计量：①按照金融工具的减值规定确定的损失准备金额；②初 始确认金额扣除按照《企业会计准则第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号——收入》相关规定所确定的累计摊销额后的余额。</w:t>
      </w:r>
    </w:p>
    <w:p>
      <w:pPr>
        <w:pStyle w:val="Style17"/>
        <w:keepNext w:val="0"/>
        <w:keepLines w:val="0"/>
        <w:widowControl w:val="0"/>
        <w:shd w:val="clear" w:color="auto" w:fill="auto"/>
        <w:tabs>
          <w:tab w:pos="701" w:val="left"/>
        </w:tabs>
        <w:bidi w:val="0"/>
        <w:spacing w:before="0" w:after="0" w:line="312" w:lineRule="exact"/>
        <w:ind w:left="0" w:right="0" w:firstLine="380"/>
        <w:jc w:val="both"/>
      </w:pPr>
      <w:bookmarkStart w:id="813" w:name="bookmark813"/>
      <w:r>
        <w:rPr>
          <w:rFonts w:ascii="Times New Roman" w:eastAsia="Times New Roman" w:hAnsi="Times New Roman" w:cs="Times New Roman"/>
          <w:color w:val="000000"/>
          <w:spacing w:val="0"/>
          <w:w w:val="100"/>
          <w:position w:val="0"/>
          <w:sz w:val="18"/>
          <w:szCs w:val="18"/>
        </w:rPr>
        <w:t>4</w:t>
      </w:r>
      <w:bookmarkEnd w:id="8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以摊余成本计量的金融负债</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采用实际利率法以摊余成本计量。以摊余成本计量且不属于任何套期关系的一部分的金融负债所产生的利得或损失，在 终止确认、按照实际利率法摊销时计入当期损益。</w:t>
      </w:r>
    </w:p>
    <w:p>
      <w:pPr>
        <w:pStyle w:val="Style17"/>
        <w:keepNext w:val="0"/>
        <w:keepLines w:val="0"/>
        <w:widowControl w:val="0"/>
        <w:shd w:val="clear" w:color="auto" w:fill="auto"/>
        <w:bidi w:val="0"/>
        <w:spacing w:before="0" w:after="0" w:line="312" w:lineRule="exact"/>
        <w:ind w:left="0" w:right="0" w:firstLine="380"/>
        <w:jc w:val="both"/>
      </w:pPr>
      <w:bookmarkStart w:id="814" w:name="bookmark814"/>
      <w:r>
        <w:rPr>
          <w:rFonts w:ascii="Times New Roman" w:eastAsia="Times New Roman" w:hAnsi="Times New Roman" w:cs="Times New Roman"/>
          <w:color w:val="000000"/>
          <w:spacing w:val="0"/>
          <w:w w:val="100"/>
          <w:position w:val="0"/>
          <w:sz w:val="18"/>
          <w:szCs w:val="18"/>
        </w:rPr>
        <w:t>（</w:t>
      </w:r>
      <w:bookmarkEnd w:id="814"/>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金融资产和金融负债的终止确认</w:t>
      </w:r>
    </w:p>
    <w:p>
      <w:pPr>
        <w:pStyle w:val="Style17"/>
        <w:keepNext w:val="0"/>
        <w:keepLines w:val="0"/>
        <w:widowControl w:val="0"/>
        <w:shd w:val="clear" w:color="auto" w:fill="auto"/>
        <w:tabs>
          <w:tab w:pos="682" w:val="left"/>
        </w:tabs>
        <w:bidi w:val="0"/>
        <w:spacing w:before="0" w:after="0" w:line="312" w:lineRule="exact"/>
        <w:ind w:left="0" w:right="0" w:firstLine="380"/>
        <w:jc w:val="both"/>
      </w:pPr>
      <w:bookmarkStart w:id="815" w:name="bookmark815"/>
      <w:r>
        <w:rPr>
          <w:rFonts w:ascii="Times New Roman" w:eastAsia="Times New Roman" w:hAnsi="Times New Roman" w:cs="Times New Roman"/>
          <w:color w:val="000000"/>
          <w:spacing w:val="0"/>
          <w:w w:val="100"/>
          <w:position w:val="0"/>
          <w:sz w:val="18"/>
          <w:szCs w:val="18"/>
        </w:rPr>
        <w:t>1</w:t>
      </w:r>
      <w:bookmarkEnd w:id="8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当满足下列条件之一时，终止确认金融资产：</w:t>
      </w:r>
    </w:p>
    <w:p>
      <w:pPr>
        <w:pStyle w:val="Style17"/>
        <w:keepNext w:val="0"/>
        <w:keepLines w:val="0"/>
        <w:widowControl w:val="0"/>
        <w:numPr>
          <w:ilvl w:val="0"/>
          <w:numId w:val="25"/>
        </w:numPr>
        <w:shd w:val="clear" w:color="auto" w:fill="auto"/>
        <w:tabs>
          <w:tab w:pos="725" w:val="left"/>
        </w:tabs>
        <w:bidi w:val="0"/>
        <w:spacing w:before="0" w:after="0" w:line="312" w:lineRule="exact"/>
        <w:ind w:left="0" w:right="0" w:firstLine="380"/>
        <w:jc w:val="both"/>
      </w:pPr>
      <w:bookmarkStart w:id="816" w:name="bookmark816"/>
      <w:bookmarkEnd w:id="816"/>
      <w:r>
        <w:rPr>
          <w:color w:val="000000"/>
          <w:spacing w:val="0"/>
          <w:w w:val="100"/>
          <w:position w:val="0"/>
        </w:rPr>
        <w:t>收取金融资产现金流量的合同权利已终止；</w:t>
      </w:r>
    </w:p>
    <w:p>
      <w:pPr>
        <w:pStyle w:val="Style17"/>
        <w:keepNext w:val="0"/>
        <w:keepLines w:val="0"/>
        <w:widowControl w:val="0"/>
        <w:numPr>
          <w:ilvl w:val="0"/>
          <w:numId w:val="25"/>
        </w:numPr>
        <w:shd w:val="clear" w:color="auto" w:fill="auto"/>
        <w:tabs>
          <w:tab w:pos="725" w:val="left"/>
        </w:tabs>
        <w:bidi w:val="0"/>
        <w:spacing w:before="0" w:after="0" w:line="312" w:lineRule="exact"/>
        <w:ind w:left="0" w:right="0" w:firstLine="380"/>
        <w:jc w:val="both"/>
      </w:pPr>
      <w:bookmarkStart w:id="817" w:name="bookmark817"/>
      <w:bookmarkEnd w:id="817"/>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号——金融资产转移》关于金融资产终止确认的规定。</w:t>
      </w:r>
    </w:p>
    <w:p>
      <w:pPr>
        <w:pStyle w:val="Style17"/>
        <w:keepNext w:val="0"/>
        <w:keepLines w:val="0"/>
        <w:widowControl w:val="0"/>
        <w:shd w:val="clear" w:color="auto" w:fill="auto"/>
        <w:tabs>
          <w:tab w:pos="701" w:val="left"/>
        </w:tabs>
        <w:bidi w:val="0"/>
        <w:spacing w:before="0" w:after="0" w:line="312" w:lineRule="exact"/>
        <w:ind w:left="0" w:right="0" w:firstLine="380"/>
        <w:jc w:val="both"/>
      </w:pPr>
      <w:bookmarkStart w:id="818" w:name="bookmark818"/>
      <w:r>
        <w:rPr>
          <w:rFonts w:ascii="Times New Roman" w:eastAsia="Times New Roman" w:hAnsi="Times New Roman" w:cs="Times New Roman"/>
          <w:color w:val="000000"/>
          <w:spacing w:val="0"/>
          <w:w w:val="100"/>
          <w:position w:val="0"/>
          <w:sz w:val="18"/>
          <w:szCs w:val="18"/>
        </w:rPr>
        <w:t>2</w:t>
      </w:r>
      <w:bookmarkEnd w:id="8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当金融负债（或其一部分）的现时义务已经解除时，相应终止确认该金融负债（或该部分金融负债）。</w:t>
      </w:r>
    </w:p>
    <w:p>
      <w:pPr>
        <w:pStyle w:val="Style17"/>
        <w:keepNext w:val="0"/>
        <w:keepLines w:val="0"/>
        <w:widowControl w:val="0"/>
        <w:numPr>
          <w:ilvl w:val="0"/>
          <w:numId w:val="23"/>
        </w:numPr>
        <w:shd w:val="clear" w:color="auto" w:fill="auto"/>
        <w:tabs>
          <w:tab w:pos="663" w:val="left"/>
        </w:tabs>
        <w:bidi w:val="0"/>
        <w:spacing w:before="0" w:after="0" w:line="312" w:lineRule="exact"/>
        <w:ind w:left="0" w:right="0" w:firstLine="380"/>
        <w:jc w:val="both"/>
      </w:pPr>
      <w:bookmarkStart w:id="819" w:name="bookmark819"/>
      <w:bookmarkEnd w:id="819"/>
      <w:r>
        <w:rPr>
          <w:color w:val="000000"/>
          <w:spacing w:val="0"/>
          <w:w w:val="100"/>
          <w:position w:val="0"/>
        </w:rPr>
        <w:t>金融资产转移的确认依据和计量方法</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公司转移了金融资产所有权上几乎所有的风险和报酬的，终止确认该金融资产，并将转移中产生或保留的权利和义务单 独确认为资产或负债；保留了金融资产所有权上几乎所有的风险和报酬的，继续确认所转移的金融资产。公司既没有转移也 没有保留金融资产所有权上几乎所有的风险和报酬的，分别下列情况处理：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未保留对该金融资产控制的，终止确认该金 融资产，并将转移中产生或保留的权利和义务单独确认为资产或负债；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保留了对该金融资产控制的，按照继续涉入所转 移金融资产的程度确认有关金融资产，并相应确认有关负债。</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金融资产整体转移满足终止确认条件的，将下列两项金额的差额计入当期损益：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所转移金融资产在终止确认日的账 面价值；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因转移金融资产而收到的对价，与原直接计入其他综合收益的公允价值变动累计额中对应终止确认部分的金额 （涉及转移的金融资产为以公允价值计量且其变动计入其他综合收益的债务工具投资）之和。转移了金融资产的一部分，且 该被转移部分整体满足终止确认条件的，将转移前金融资产整体的账面价值，在终止确认部分和继续确认部分之间，按照转 移日各自的相对公允价值进行分摊，并将下列两项金额的差额计入当期损益：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终止确认部分的账面价值；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终止确认 部分的对价，与原直接计入其他综合收益的公允价值变动累计额中对应终止确认部分的金额（涉及转移的金融资产为以公允 价值计量且其变动计入其他综合收益的债务工具投资）之和。</w:t>
      </w:r>
    </w:p>
    <w:p>
      <w:pPr>
        <w:pStyle w:val="Style17"/>
        <w:keepNext w:val="0"/>
        <w:keepLines w:val="0"/>
        <w:widowControl w:val="0"/>
        <w:numPr>
          <w:ilvl w:val="0"/>
          <w:numId w:val="23"/>
        </w:numPr>
        <w:shd w:val="clear" w:color="auto" w:fill="auto"/>
        <w:tabs>
          <w:tab w:pos="672" w:val="left"/>
        </w:tabs>
        <w:bidi w:val="0"/>
        <w:spacing w:before="0" w:after="0" w:line="312" w:lineRule="exact"/>
        <w:ind w:left="0" w:right="0" w:firstLine="380"/>
        <w:jc w:val="both"/>
      </w:pPr>
      <w:bookmarkStart w:id="820" w:name="bookmark820"/>
      <w:bookmarkEnd w:id="820"/>
      <w:r>
        <w:rPr>
          <w:color w:val="000000"/>
          <w:spacing w:val="0"/>
          <w:w w:val="100"/>
          <w:position w:val="0"/>
        </w:rPr>
        <w:t>金融资产和金融负债的公允价值确定方法</w:t>
      </w:r>
    </w:p>
    <w:p>
      <w:pPr>
        <w:pStyle w:val="Style17"/>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公司采用在当前情况下适用并且有足够可利用数据和其他信息支持的估值技术确定相关金融资产和金融负债的公允价 值。公司将估值技术使用的输入值分以下层级，并依次使用：</w:t>
      </w:r>
    </w:p>
    <w:p>
      <w:pPr>
        <w:pStyle w:val="Style17"/>
        <w:keepNext w:val="0"/>
        <w:keepLines w:val="0"/>
        <w:widowControl w:val="0"/>
        <w:shd w:val="clear" w:color="auto" w:fill="auto"/>
        <w:tabs>
          <w:tab w:pos="759" w:val="left"/>
        </w:tabs>
        <w:bidi w:val="0"/>
        <w:spacing w:before="0" w:after="0" w:line="360" w:lineRule="auto"/>
        <w:ind w:left="0" w:right="0" w:firstLine="380"/>
        <w:jc w:val="both"/>
      </w:pPr>
      <w:bookmarkStart w:id="821" w:name="bookmark821"/>
      <w:r>
        <w:rPr>
          <w:rFonts w:ascii="Times New Roman" w:eastAsia="Times New Roman" w:hAnsi="Times New Roman" w:cs="Times New Roman"/>
          <w:color w:val="000000"/>
          <w:spacing w:val="0"/>
          <w:w w:val="100"/>
          <w:position w:val="0"/>
          <w:sz w:val="18"/>
          <w:szCs w:val="18"/>
        </w:rPr>
        <w:t>（</w:t>
      </w:r>
      <w:bookmarkEnd w:id="821"/>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第一层次输入值是在计量日能够取得的相同资产或负债在活跃市场上未经调整的报价；</w:t>
      </w:r>
    </w:p>
    <w:p>
      <w:pPr>
        <w:pStyle w:val="Style17"/>
        <w:keepNext w:val="0"/>
        <w:keepLines w:val="0"/>
        <w:widowControl w:val="0"/>
        <w:shd w:val="clear" w:color="auto" w:fill="auto"/>
        <w:tabs>
          <w:tab w:pos="729" w:val="left"/>
        </w:tabs>
        <w:bidi w:val="0"/>
        <w:spacing w:before="0" w:after="0" w:line="317" w:lineRule="exact"/>
        <w:ind w:left="0" w:right="0" w:firstLine="380"/>
        <w:jc w:val="both"/>
      </w:pPr>
      <w:bookmarkStart w:id="822" w:name="bookmark822"/>
      <w:r>
        <w:rPr>
          <w:rFonts w:ascii="Times New Roman" w:eastAsia="Times New Roman" w:hAnsi="Times New Roman" w:cs="Times New Roman"/>
          <w:color w:val="000000"/>
          <w:spacing w:val="0"/>
          <w:w w:val="100"/>
          <w:position w:val="0"/>
          <w:sz w:val="18"/>
          <w:szCs w:val="18"/>
        </w:rPr>
        <w:t>（</w:t>
      </w:r>
      <w:bookmarkEnd w:id="822"/>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第二层次输入值是除第一层次输入值外相关资产或负债直接或间接可观察的输入值，包括：活跃市场中类似资产或 负债的报价；非活跃市场中相同或类似资产或负债的报价；除报价以外的其他可观察输入值，如在正常报价间隔期间可观察 的利率和收益率曲线等；市场验证的输入值等；</w:t>
      </w:r>
    </w:p>
    <w:p>
      <w:pPr>
        <w:pStyle w:val="Style17"/>
        <w:keepNext w:val="0"/>
        <w:keepLines w:val="0"/>
        <w:widowControl w:val="0"/>
        <w:shd w:val="clear" w:color="auto" w:fill="auto"/>
        <w:tabs>
          <w:tab w:pos="734" w:val="left"/>
        </w:tabs>
        <w:bidi w:val="0"/>
        <w:spacing w:before="0" w:after="140" w:line="322" w:lineRule="exact"/>
        <w:ind w:left="0" w:right="0" w:firstLine="380"/>
        <w:jc w:val="both"/>
      </w:pPr>
      <w:bookmarkStart w:id="823" w:name="bookmark823"/>
      <w:r>
        <w:rPr>
          <w:rFonts w:ascii="Times New Roman" w:eastAsia="Times New Roman" w:hAnsi="Times New Roman" w:cs="Times New Roman"/>
          <w:color w:val="000000"/>
          <w:spacing w:val="0"/>
          <w:w w:val="100"/>
          <w:position w:val="0"/>
          <w:sz w:val="18"/>
          <w:szCs w:val="18"/>
        </w:rPr>
        <w:t>（</w:t>
      </w:r>
      <w:bookmarkEnd w:id="823"/>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第三层次输入值是相关资产或负债的不可观察输入值，包括不能直接观察或无法由可观察市场数据验证的利率、股 票波动率、企业合并中承担的弃置义务的未来现金流量、使用自身数据作出的财务预测等。</w:t>
      </w:r>
    </w:p>
    <w:p>
      <w:pPr>
        <w:pStyle w:val="Style17"/>
        <w:keepNext w:val="0"/>
        <w:keepLines w:val="0"/>
        <w:widowControl w:val="0"/>
        <w:numPr>
          <w:ilvl w:val="0"/>
          <w:numId w:val="23"/>
        </w:numPr>
        <w:shd w:val="clear" w:color="auto" w:fill="auto"/>
        <w:bidi w:val="0"/>
        <w:spacing w:before="0" w:after="0" w:line="240" w:lineRule="auto"/>
        <w:ind w:left="0" w:right="0" w:firstLine="380"/>
        <w:jc w:val="both"/>
      </w:pPr>
      <w:bookmarkStart w:id="824" w:name="bookmark824"/>
      <w:bookmarkEnd w:id="824"/>
      <w:r>
        <w:rPr>
          <w:color w:val="000000"/>
          <w:spacing w:val="0"/>
          <w:w w:val="100"/>
          <w:position w:val="0"/>
        </w:rPr>
        <w:t>金融工具减值</w:t>
      </w:r>
    </w:p>
    <w:p>
      <w:pPr>
        <w:pStyle w:val="Style17"/>
        <w:keepNext w:val="0"/>
        <w:keepLines w:val="0"/>
        <w:widowControl w:val="0"/>
        <w:numPr>
          <w:ilvl w:val="0"/>
          <w:numId w:val="27"/>
        </w:numPr>
        <w:shd w:val="clear" w:color="auto" w:fill="auto"/>
        <w:bidi w:val="0"/>
        <w:spacing w:before="0" w:after="0" w:line="312" w:lineRule="exact"/>
        <w:ind w:left="0" w:right="0"/>
        <w:jc w:val="both"/>
      </w:pPr>
      <w:bookmarkStart w:id="825" w:name="bookmark825"/>
      <w:bookmarkEnd w:id="825"/>
      <w:r>
        <w:rPr>
          <w:color w:val="000000"/>
          <w:spacing w:val="0"/>
          <w:w w:val="100"/>
          <w:position w:val="0"/>
        </w:rPr>
        <w:t>金融工具减值计量和会计处理</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公司以预期信用损失为基础，对以摊余成本计量的金融资产、以公允价值计量且其变动计入其他综合收益的债务工具投 资、合同资产、租赁应收款、分类为以公允价值计量且其变动计入当期损益的金融负债以外的贷款承诺、不属于以公允价值 计量且其变动计入当期损益的金融负债或不属于金融资产转移不符合终止确认条件或继续涉入被转移金融资产所形成的金 融负债的财务担保合同进行减值处理并确认损失准备。</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预期信用损失，是指以发生违约的风险为权重的金融工具信用损失的加权平均值。信用损失，是指公司按照原实际利率 折现的、根据合同应收的所有合同现金流量与预期收取的所有现金流量之间的差额，即全部现金短缺的现值。其中，对于公 司购买或源生的已发生信用减值的金融资产，按照该金融资产经信用调整的实际利率折现。</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对于购买或源生的已发生信用减值的金融资产，公司在资产负债表日仅将自初始确认后整个存续期内预期信用损失的累 计变动确认为损失准备。</w:t>
      </w:r>
    </w:p>
    <w:p>
      <w:pPr>
        <w:pStyle w:val="Style17"/>
        <w:keepNext w:val="0"/>
        <w:keepLines w:val="0"/>
        <w:widowControl w:val="0"/>
        <w:shd w:val="clear" w:color="auto" w:fill="auto"/>
        <w:bidi w:val="0"/>
        <w:spacing w:before="0" w:after="0" w:line="326" w:lineRule="exact"/>
        <w:ind w:left="0" w:right="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号——收入》规范的交易形成，且不含重大融资成分或者公司不考虑不超过一年的合同中 的融资成分的应收款项及合同资产，公司运用简化计量方法，按照相当于整个存续期内的预期信用损失金额计量损失准备。</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对于租赁应收款、由《企业会计准则第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号——收入》规范的交易形成且包含重大融资成分的应收款项及合同资产， 公司运用简化计量方法，按照相当于整个存续期内的预期信用损失金额计量损失准备。</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除上述计量方法以外的金融资产，公司在每个资产负债表日评估其信用风险自初始确认后是否已经显著增加。如果信用 风险自初始确认后已显著增加，公司按照整个存续期内预期信用损失的金额计量损失准备；如果信用风险自初始确认后未显 著增加，公司按照该金融工具未来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公司利用可获得的合理且有依据的信息，包括前瞻性信息，通过比较金融工具在资产负债表日发生违约的风险与在初始 确认日发生违约的风险，以确定金融工具的信用风险自初始确认后是否已显著增加。</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于资产负债表日，若公司判断金融工具只具有较低的信用风险，则假定该金融工具的信用风险自初始确认后并未显著增 加。</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公司以单项金融工具或金融工具组合为基础评估预期信用风险和计量预期信用损失。当以金融工具组合为基础时，公司 以共同风险特征为依据，将金融工具划分为不同组合。</w:t>
      </w:r>
    </w:p>
    <w:p>
      <w:pPr>
        <w:pStyle w:val="Style17"/>
        <w:keepNext w:val="0"/>
        <w:keepLines w:val="0"/>
        <w:widowControl w:val="0"/>
        <w:shd w:val="clear" w:color="auto" w:fill="auto"/>
        <w:bidi w:val="0"/>
        <w:spacing w:before="0" w:after="120" w:line="314" w:lineRule="exact"/>
        <w:ind w:left="0" w:right="0"/>
        <w:jc w:val="both"/>
      </w:pPr>
      <w:r>
        <w:rPr>
          <w:color w:val="000000"/>
          <w:spacing w:val="0"/>
          <w:w w:val="100"/>
          <w:position w:val="0"/>
        </w:rPr>
        <w:t>公司在每个资产负债表日重新计量预期信用损失，由此形成的损失准备的增加或转回金额，作为减值损失或利得计入当 期损益。对于以摊余成本计量的金融资产，损失准备抵减该金融资产在资产负债表中列示的账面价值；对于以公允价值计量 且其变动计入其他综合收益的债权投资，公司在其他综合收益中确认其损失准备，不抵减该金融资产的账面价值。</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按组合评估预期信用风险和计量预期信用损失的金融工具</w:t>
      </w:r>
    </w:p>
    <w:tbl>
      <w:tblPr>
        <w:tblOverlap w:val="never"/>
        <w:jc w:val="center"/>
        <w:tblLayout w:type="fixed"/>
      </w:tblPr>
      <w:tblGrid>
        <w:gridCol w:w="2947"/>
        <w:gridCol w:w="2126"/>
        <w:gridCol w:w="3461"/>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计量预期信用损失的方法</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其他应收款一应收增值税退税 款组合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60"/>
              <w:jc w:val="left"/>
            </w:pPr>
            <w:r>
              <w:rPr>
                <w:color w:val="000000"/>
                <w:spacing w:val="0"/>
                <w:w w:val="100"/>
                <w:position w:val="0"/>
              </w:rPr>
              <w:t>款项性质</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参考历史信用损失经验，结合当前状况 以及对未来经济状况的预测，通过违约风险 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 用损失率，计算预期信用损失</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其他应收款一账龄组合</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账龄</w:t>
            </w: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长期应收款一账龄组合</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17"/>
        <w:keepNext w:val="0"/>
        <w:keepLines w:val="0"/>
        <w:widowControl w:val="0"/>
        <w:shd w:val="clear" w:color="auto" w:fill="auto"/>
        <w:bidi w:val="0"/>
        <w:spacing w:before="0" w:after="0" w:line="365" w:lineRule="exact"/>
        <w:ind w:left="0" w:right="0"/>
        <w:jc w:val="both"/>
      </w:pPr>
      <w:r>
        <w:rPr>
          <w:rFonts w:ascii="Times New Roman" w:eastAsia="Times New Roman" w:hAnsi="Times New Roman" w:cs="Times New Roman"/>
          <w:color w:val="000000"/>
          <w:spacing w:val="0"/>
          <w:w w:val="100"/>
          <w:position w:val="0"/>
          <w:sz w:val="18"/>
          <w:szCs w:val="18"/>
          <w:shd w:val="clear" w:color="auto" w:fill="FFFFFF"/>
        </w:rPr>
        <w:t>(3)</w:t>
      </w:r>
      <w:r>
        <w:rPr>
          <w:color w:val="000000"/>
          <w:spacing w:val="0"/>
          <w:w w:val="100"/>
          <w:position w:val="0"/>
          <w:shd w:val="clear" w:color="auto" w:fill="FFFFFF"/>
        </w:rPr>
        <w:t>按组合计量预期信用损失的应收款项及合同资产</w:t>
      </w:r>
    </w:p>
    <w:p>
      <w:pPr>
        <w:pStyle w:val="Style17"/>
        <w:keepNext w:val="0"/>
        <w:keepLines w:val="0"/>
        <w:widowControl w:val="0"/>
        <w:numPr>
          <w:ilvl w:val="0"/>
          <w:numId w:val="29"/>
        </w:numPr>
        <w:shd w:val="clear" w:color="auto" w:fill="auto"/>
        <w:bidi w:val="0"/>
        <w:spacing w:before="0" w:after="60" w:line="365" w:lineRule="exact"/>
        <w:ind w:left="0" w:right="0"/>
        <w:jc w:val="both"/>
      </w:pPr>
      <w:bookmarkStart w:id="826" w:name="bookmark826"/>
      <w:bookmarkEnd w:id="826"/>
      <w:r>
        <w:rPr>
          <w:color w:val="000000"/>
          <w:spacing w:val="0"/>
          <w:w w:val="100"/>
          <w:position w:val="0"/>
        </w:rPr>
        <w:t>具体组合及计量预期信用损失的方法</w:t>
      </w:r>
    </w:p>
    <w:tbl>
      <w:tblPr>
        <w:tblOverlap w:val="never"/>
        <w:jc w:val="center"/>
        <w:tblLayout w:type="fixed"/>
      </w:tblPr>
      <w:tblGrid>
        <w:gridCol w:w="2808"/>
        <w:gridCol w:w="2266"/>
        <w:gridCol w:w="3461"/>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计量预期信用损失的方法</w:t>
            </w:r>
          </w:p>
        </w:tc>
      </w:tr>
      <w:tr>
        <w:trPr>
          <w:trHeight w:val="13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60"/>
              <w:jc w:val="left"/>
            </w:pPr>
            <w:r>
              <w:rPr>
                <w:color w:val="000000"/>
                <w:spacing w:val="0"/>
                <w:w w:val="100"/>
                <w:position w:val="0"/>
              </w:rPr>
              <w:t>应收银行承兑汇票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60"/>
              <w:jc w:val="left"/>
            </w:pPr>
            <w:r>
              <w:rPr>
                <w:color w:val="000000"/>
                <w:spacing w:val="0"/>
                <w:w w:val="100"/>
                <w:position w:val="0"/>
              </w:rPr>
              <w:t>票据类型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参考历史信用损失经验，结合当前状况 以及对未来经济状况的预测，通过违约风险 敞口和整个存续期预期信用损失率，计算预 期信用损失</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参考历史信用损失经验，结合当前状况</w:t>
            </w:r>
          </w:p>
        </w:tc>
      </w:tr>
    </w:tbl>
    <w:p>
      <w:pPr>
        <w:widowControl w:val="0"/>
        <w:spacing w:line="1" w:lineRule="exact"/>
      </w:pPr>
    </w:p>
    <w:tbl>
      <w:tblPr>
        <w:tblOverlap w:val="never"/>
        <w:jc w:val="center"/>
        <w:tblLayout w:type="fixed"/>
      </w:tblPr>
      <w:tblGrid>
        <w:gridCol w:w="2808"/>
        <w:gridCol w:w="2266"/>
        <w:gridCol w:w="3461"/>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应收账款一账龄组合</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以及对未来经济状况的预测，编制应收账款 账龄与整个存续期预期信用损失率对照表， 计算预期信用损失</w:t>
            </w:r>
          </w:p>
        </w:tc>
      </w:tr>
      <w:tr>
        <w:trPr>
          <w:trHeight w:val="59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合同资产</w:t>
            </w:r>
            <w:r>
              <w:rPr>
                <w:color w:val="000000"/>
                <w:spacing w:val="0"/>
                <w:w w:val="100"/>
                <w:position w:val="0"/>
                <w:sz w:val="18"/>
                <w:szCs w:val="18"/>
              </w:rPr>
              <w:t>一一</w:t>
            </w:r>
            <w:r>
              <w:rPr>
                <w:color w:val="000000"/>
                <w:spacing w:val="0"/>
                <w:w w:val="100"/>
                <w:position w:val="0"/>
              </w:rPr>
              <w:t>账龄组合</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应收账款——账龄组合与整个存续期预期信用损失率对照表</w:t>
      </w:r>
    </w:p>
    <w:tbl>
      <w:tblPr>
        <w:tblOverlap w:val="never"/>
        <w:jc w:val="left"/>
        <w:tblLayout w:type="fixed"/>
      </w:tblPr>
      <w:tblGrid>
        <w:gridCol w:w="4526"/>
        <w:gridCol w:w="2035"/>
      </w:tblGrid>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560"/>
              <w:jc w:val="left"/>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应收账款</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预期信用损失率</w:t>
            </w: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7"/>
        <w:keepNext w:val="0"/>
        <w:keepLines w:val="0"/>
        <w:widowControl w:val="0"/>
        <w:numPr>
          <w:ilvl w:val="0"/>
          <w:numId w:val="23"/>
        </w:numPr>
        <w:shd w:val="clear" w:color="auto" w:fill="auto"/>
        <w:bidi w:val="0"/>
        <w:spacing w:before="0" w:after="0" w:line="312" w:lineRule="exact"/>
        <w:ind w:left="0" w:right="0" w:firstLine="380"/>
        <w:jc w:val="both"/>
      </w:pPr>
      <w:bookmarkStart w:id="827" w:name="bookmark827"/>
      <w:bookmarkEnd w:id="827"/>
      <w:r>
        <w:rPr>
          <w:color w:val="000000"/>
          <w:spacing w:val="0"/>
          <w:w w:val="100"/>
          <w:position w:val="0"/>
        </w:rPr>
        <w:t>金融资产和金融负债的抵销</w:t>
      </w:r>
    </w:p>
    <w:p>
      <w:pPr>
        <w:pStyle w:val="Style1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金融资产和金融负债在资产负债表内分别列示，不相互抵销。但同时满足下列条件的，公司以相互抵销后的净额在资产 负债表内列示：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公司具有抵销已确认金额的法定权利，且该种法定权利是当前可执行的；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公司计划以净额结算，或 同时变现该金融资产和清偿该金融负债。</w:t>
      </w:r>
    </w:p>
    <w:p>
      <w:pPr>
        <w:pStyle w:val="Style1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不满足终止确认条件的金融资产转移，公司不对已转移的金融资产和相关负债进行抵销。</w:t>
      </w:r>
    </w:p>
    <w:p>
      <w:pPr>
        <w:pStyle w:val="Style26"/>
        <w:keepNext/>
        <w:keepLines/>
        <w:widowControl w:val="0"/>
        <w:shd w:val="clear" w:color="auto" w:fill="auto"/>
        <w:bidi w:val="0"/>
        <w:spacing w:before="0" w:after="380" w:line="240" w:lineRule="auto"/>
        <w:ind w:left="0" w:right="0" w:firstLine="0"/>
        <w:jc w:val="left"/>
      </w:pPr>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828"/>
      <w:bookmarkEnd w:id="829"/>
      <w:bookmarkEnd w:id="830"/>
    </w:p>
    <w:p>
      <w:pPr>
        <w:pStyle w:val="Style17"/>
        <w:keepNext w:val="0"/>
        <w:keepLines w:val="0"/>
        <w:widowControl w:val="0"/>
        <w:numPr>
          <w:ilvl w:val="0"/>
          <w:numId w:val="31"/>
        </w:numPr>
        <w:shd w:val="clear" w:color="auto" w:fill="auto"/>
        <w:tabs>
          <w:tab w:pos="681" w:val="left"/>
        </w:tabs>
        <w:bidi w:val="0"/>
        <w:spacing w:before="0" w:after="0" w:line="360" w:lineRule="auto"/>
        <w:ind w:left="0" w:right="0" w:firstLine="380"/>
        <w:jc w:val="both"/>
      </w:pPr>
      <w:bookmarkStart w:id="831" w:name="bookmark831"/>
      <w:bookmarkEnd w:id="831"/>
      <w:r>
        <w:rPr>
          <w:color w:val="000000"/>
          <w:spacing w:val="0"/>
          <w:w w:val="100"/>
          <w:position w:val="0"/>
        </w:rPr>
        <w:t>存货的分类</w:t>
      </w:r>
    </w:p>
    <w:p>
      <w:pPr>
        <w:pStyle w:val="Style1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存货包括在日常活动中持有以备出售的产成品或商品、处于开发过程中的软件产品或施工过程中的系统集成工程，在生 产过程或提供劳务过程中耗用的材料和物料等。</w:t>
      </w:r>
    </w:p>
    <w:p>
      <w:pPr>
        <w:pStyle w:val="Style17"/>
        <w:keepNext w:val="0"/>
        <w:keepLines w:val="0"/>
        <w:widowControl w:val="0"/>
        <w:numPr>
          <w:ilvl w:val="0"/>
          <w:numId w:val="31"/>
        </w:numPr>
        <w:shd w:val="clear" w:color="auto" w:fill="auto"/>
        <w:tabs>
          <w:tab w:pos="700" w:val="left"/>
        </w:tabs>
        <w:bidi w:val="0"/>
        <w:spacing w:before="0" w:after="0" w:line="360" w:lineRule="auto"/>
        <w:ind w:left="0" w:right="0" w:firstLine="380"/>
        <w:jc w:val="both"/>
      </w:pPr>
      <w:bookmarkStart w:id="832" w:name="bookmark832"/>
      <w:bookmarkEnd w:id="832"/>
      <w:r>
        <w:rPr>
          <w:color w:val="000000"/>
          <w:spacing w:val="0"/>
          <w:w w:val="100"/>
          <w:position w:val="0"/>
        </w:rPr>
        <w:t>发出存货的计价方法</w:t>
      </w:r>
    </w:p>
    <w:p>
      <w:pPr>
        <w:pStyle w:val="Style1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发出存货采用个别计价法。</w:t>
      </w:r>
    </w:p>
    <w:p>
      <w:pPr>
        <w:pStyle w:val="Style17"/>
        <w:keepNext w:val="0"/>
        <w:keepLines w:val="0"/>
        <w:widowControl w:val="0"/>
        <w:numPr>
          <w:ilvl w:val="0"/>
          <w:numId w:val="31"/>
        </w:numPr>
        <w:shd w:val="clear" w:color="auto" w:fill="auto"/>
        <w:tabs>
          <w:tab w:pos="700" w:val="left"/>
        </w:tabs>
        <w:bidi w:val="0"/>
        <w:spacing w:before="0" w:after="0" w:line="360" w:lineRule="auto"/>
        <w:ind w:left="0" w:right="0" w:firstLine="380"/>
        <w:jc w:val="both"/>
      </w:pPr>
      <w:bookmarkStart w:id="833" w:name="bookmark833"/>
      <w:bookmarkEnd w:id="833"/>
      <w:r>
        <w:rPr>
          <w:color w:val="000000"/>
          <w:spacing w:val="0"/>
          <w:w w:val="100"/>
          <w:position w:val="0"/>
        </w:rPr>
        <w:t>存货可变现净值的确定依据</w:t>
      </w:r>
    </w:p>
    <w:p>
      <w:pPr>
        <w:pStyle w:val="Style1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资产负债表日，存货采用成本与可变现净值孰低计量，按照单个存货成本高于可变现净值的差额计提存货跌价准备。直 接用于出售的存货，在正常生产经营过程中以该存货的估计售价减去估计的销售费用和相关税费后的金额确定其可变现净 值；需要经过加工的存货，在正常生产经营过程中以所生产的产成品的估计售价减去至完工时估计将要发生的成本、估计的 销售费用和相关税费后的金额确定其可变现净值；资产负债表日，同一项存货中一部分有合同价格约定、其他部分不存在合 同价格的，分别确定其可变现净值，并与其对应的成本进行比较，分别确定存货跌价准备的计提或转回的金额。</w:t>
      </w:r>
    </w:p>
    <w:p>
      <w:pPr>
        <w:pStyle w:val="Style17"/>
        <w:keepNext w:val="0"/>
        <w:keepLines w:val="0"/>
        <w:widowControl w:val="0"/>
        <w:numPr>
          <w:ilvl w:val="0"/>
          <w:numId w:val="31"/>
        </w:numPr>
        <w:shd w:val="clear" w:color="auto" w:fill="auto"/>
        <w:tabs>
          <w:tab w:pos="700" w:val="left"/>
        </w:tabs>
        <w:bidi w:val="0"/>
        <w:spacing w:before="0" w:after="0" w:line="360" w:lineRule="auto"/>
        <w:ind w:left="0" w:right="0" w:firstLine="380"/>
        <w:jc w:val="both"/>
      </w:pPr>
      <w:bookmarkStart w:id="834" w:name="bookmark834"/>
      <w:bookmarkEnd w:id="834"/>
      <w:r>
        <w:rPr>
          <w:color w:val="000000"/>
          <w:spacing w:val="0"/>
          <w:w w:val="100"/>
          <w:position w:val="0"/>
        </w:rPr>
        <w:t>存货的盘存制度</w:t>
      </w:r>
    </w:p>
    <w:p>
      <w:pPr>
        <w:pStyle w:val="Style1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存货的盘存制度为永续盘存制。</w:t>
      </w:r>
    </w:p>
    <w:p>
      <w:pPr>
        <w:pStyle w:val="Style17"/>
        <w:keepNext w:val="0"/>
        <w:keepLines w:val="0"/>
        <w:widowControl w:val="0"/>
        <w:numPr>
          <w:ilvl w:val="0"/>
          <w:numId w:val="31"/>
        </w:numPr>
        <w:shd w:val="clear" w:color="auto" w:fill="auto"/>
        <w:tabs>
          <w:tab w:pos="700" w:val="left"/>
        </w:tabs>
        <w:bidi w:val="0"/>
        <w:spacing w:before="0" w:after="0" w:line="360" w:lineRule="auto"/>
        <w:ind w:left="0" w:right="0" w:firstLine="380"/>
        <w:jc w:val="both"/>
      </w:pPr>
      <w:bookmarkStart w:id="835" w:name="bookmark835"/>
      <w:bookmarkEnd w:id="835"/>
      <w:r>
        <w:rPr>
          <w:color w:val="000000"/>
          <w:spacing w:val="0"/>
          <w:w w:val="100"/>
          <w:position w:val="0"/>
        </w:rPr>
        <w:t>低值易耗品和包装物的摊销方法</w:t>
      </w:r>
    </w:p>
    <w:p>
      <w:pPr>
        <w:pStyle w:val="Style17"/>
        <w:keepNext w:val="0"/>
        <w:keepLines w:val="0"/>
        <w:widowControl w:val="0"/>
        <w:shd w:val="clear" w:color="auto" w:fill="auto"/>
        <w:tabs>
          <w:tab w:pos="786" w:val="left"/>
        </w:tabs>
        <w:bidi w:val="0"/>
        <w:spacing w:before="0" w:after="0" w:line="360" w:lineRule="auto"/>
        <w:ind w:left="0" w:right="0" w:firstLine="380"/>
        <w:jc w:val="both"/>
      </w:pPr>
      <w:bookmarkStart w:id="836" w:name="bookmark836"/>
      <w:r>
        <w:rPr>
          <w:rFonts w:ascii="Times New Roman" w:eastAsia="Times New Roman" w:hAnsi="Times New Roman" w:cs="Times New Roman"/>
          <w:color w:val="000000"/>
          <w:spacing w:val="0"/>
          <w:w w:val="100"/>
          <w:position w:val="0"/>
          <w:sz w:val="18"/>
          <w:szCs w:val="18"/>
        </w:rPr>
        <w:t>（</w:t>
      </w:r>
      <w:bookmarkEnd w:id="836"/>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低值易耗品</w:t>
      </w:r>
    </w:p>
    <w:p>
      <w:pPr>
        <w:pStyle w:val="Style1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按照使用一次转销法进行摊销。</w:t>
      </w:r>
    </w:p>
    <w:p>
      <w:pPr>
        <w:pStyle w:val="Style17"/>
        <w:keepNext w:val="0"/>
        <w:keepLines w:val="0"/>
        <w:widowControl w:val="0"/>
        <w:shd w:val="clear" w:color="auto" w:fill="auto"/>
        <w:tabs>
          <w:tab w:pos="786" w:val="left"/>
        </w:tabs>
        <w:bidi w:val="0"/>
        <w:spacing w:before="0" w:after="0" w:line="360" w:lineRule="auto"/>
        <w:ind w:left="0" w:right="0" w:firstLine="380"/>
        <w:jc w:val="both"/>
      </w:pPr>
      <w:bookmarkStart w:id="837" w:name="bookmark837"/>
      <w:r>
        <w:rPr>
          <w:rFonts w:ascii="Times New Roman" w:eastAsia="Times New Roman" w:hAnsi="Times New Roman" w:cs="Times New Roman"/>
          <w:color w:val="000000"/>
          <w:spacing w:val="0"/>
          <w:w w:val="100"/>
          <w:position w:val="0"/>
          <w:sz w:val="18"/>
          <w:szCs w:val="18"/>
        </w:rPr>
        <w:t>（</w:t>
      </w:r>
      <w:bookmarkEnd w:id="837"/>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包装物</w:t>
      </w:r>
    </w:p>
    <w:p>
      <w:pPr>
        <w:pStyle w:val="Style1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按照一次转销法进行摊销。</w:t>
      </w:r>
    </w:p>
    <w:p>
      <w:pPr>
        <w:pStyle w:val="Style26"/>
        <w:keepNext/>
        <w:keepLines/>
        <w:widowControl w:val="0"/>
        <w:shd w:val="clear" w:color="auto" w:fill="auto"/>
        <w:bidi w:val="0"/>
        <w:spacing w:before="0" w:after="26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1</w:t>
      </w:r>
      <w:r>
        <w:rPr>
          <w:color w:val="000000"/>
          <w:spacing w:val="0"/>
          <w:w w:val="100"/>
          <w:position w:val="0"/>
        </w:rPr>
        <w:t>、合同资产</w:t>
      </w:r>
      <w:bookmarkEnd w:id="838"/>
      <w:bookmarkEnd w:id="839"/>
      <w:bookmarkEnd w:id="841"/>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公司根据履行履约义务与客户付款之间的关系在资产负债表中列示合同资产或合同负债。公司将同一合同下的合同资产 和合同负债相互抵销后以净额列示。</w:t>
      </w:r>
    </w:p>
    <w:p>
      <w:pPr>
        <w:pStyle w:val="Style17"/>
        <w:keepNext w:val="0"/>
        <w:keepLines w:val="0"/>
        <w:widowControl w:val="0"/>
        <w:shd w:val="clear" w:color="auto" w:fill="auto"/>
        <w:bidi w:val="0"/>
        <w:spacing w:before="0" w:after="720" w:line="312" w:lineRule="exact"/>
        <w:ind w:left="0" w:right="0" w:firstLine="380"/>
        <w:jc w:val="both"/>
      </w:pPr>
      <w:r>
        <w:rPr>
          <w:color w:val="000000"/>
          <w:spacing w:val="0"/>
          <w:w w:val="100"/>
          <w:position w:val="0"/>
        </w:rPr>
        <w:t>公司将拥有的、无条件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向客户收取对价的权利作为应收款项列示，将已向客户转让商品而有权 收取对价的权利（该权利取决于时间流逝之外的其他因素）作为合同资产列示。</w:t>
      </w:r>
    </w:p>
    <w:p>
      <w:pPr>
        <w:pStyle w:val="Style26"/>
        <w:keepNext/>
        <w:keepLines/>
        <w:widowControl w:val="0"/>
        <w:shd w:val="clear" w:color="auto" w:fill="auto"/>
        <w:tabs>
          <w:tab w:pos="580" w:val="left"/>
        </w:tabs>
        <w:bidi w:val="0"/>
        <w:spacing w:before="0" w:after="26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合同成本</w:t>
      </w:r>
      <w:bookmarkEnd w:id="842"/>
      <w:bookmarkEnd w:id="843"/>
      <w:bookmarkEnd w:id="845"/>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与合同成本有关的资产包括合同取得成本和合同履约成本。</w:t>
      </w:r>
    </w:p>
    <w:p>
      <w:pPr>
        <w:pStyle w:val="Style17"/>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公司为取得合同发生的增量成本预期能够收回的，作为合同取得成本确认为一项资产。如果合同取得成本的摊销期限不 超过一年，在发生时直接计入当期损益。</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公司为履行合同发生的成本，不适用存货、固定资产或无形资产等相关准则的规范范围且同时满足下列条件的，作为合 同履约成本确认为一项资产：</w:t>
      </w:r>
    </w:p>
    <w:p>
      <w:pPr>
        <w:pStyle w:val="Style17"/>
        <w:keepNext w:val="0"/>
        <w:keepLines w:val="0"/>
        <w:widowControl w:val="0"/>
        <w:numPr>
          <w:ilvl w:val="0"/>
          <w:numId w:val="33"/>
        </w:numPr>
        <w:shd w:val="clear" w:color="auto" w:fill="auto"/>
        <w:tabs>
          <w:tab w:pos="654" w:val="left"/>
        </w:tabs>
        <w:bidi w:val="0"/>
        <w:spacing w:before="0" w:after="40" w:line="317" w:lineRule="exact"/>
        <w:ind w:left="0" w:right="0" w:firstLine="380"/>
        <w:jc w:val="both"/>
      </w:pPr>
      <w:bookmarkStart w:id="846" w:name="bookmark846"/>
      <w:bookmarkEnd w:id="846"/>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17"/>
        <w:keepNext w:val="0"/>
        <w:keepLines w:val="0"/>
        <w:widowControl w:val="0"/>
        <w:numPr>
          <w:ilvl w:val="0"/>
          <w:numId w:val="33"/>
        </w:numPr>
        <w:shd w:val="clear" w:color="auto" w:fill="auto"/>
        <w:tabs>
          <w:tab w:pos="684" w:val="left"/>
        </w:tabs>
        <w:bidi w:val="0"/>
        <w:spacing w:before="0" w:after="40" w:line="312" w:lineRule="exact"/>
        <w:ind w:left="0" w:right="0" w:firstLine="380"/>
        <w:jc w:val="both"/>
      </w:pPr>
      <w:bookmarkStart w:id="847" w:name="bookmark847"/>
      <w:bookmarkEnd w:id="847"/>
      <w:r>
        <w:rPr>
          <w:color w:val="000000"/>
          <w:spacing w:val="0"/>
          <w:w w:val="100"/>
          <w:position w:val="0"/>
        </w:rPr>
        <w:t>该成本增加了公司未来用于履行履约义务的资源；</w:t>
      </w:r>
    </w:p>
    <w:p>
      <w:pPr>
        <w:pStyle w:val="Style17"/>
        <w:keepNext w:val="0"/>
        <w:keepLines w:val="0"/>
        <w:widowControl w:val="0"/>
        <w:numPr>
          <w:ilvl w:val="0"/>
          <w:numId w:val="33"/>
        </w:numPr>
        <w:shd w:val="clear" w:color="auto" w:fill="auto"/>
        <w:tabs>
          <w:tab w:pos="684" w:val="left"/>
        </w:tabs>
        <w:bidi w:val="0"/>
        <w:spacing w:before="0" w:after="40" w:line="312" w:lineRule="exact"/>
        <w:ind w:left="0" w:right="0" w:firstLine="380"/>
        <w:jc w:val="both"/>
      </w:pPr>
      <w:bookmarkStart w:id="848" w:name="bookmark848"/>
      <w:bookmarkEnd w:id="848"/>
      <w:r>
        <w:rPr>
          <w:color w:val="000000"/>
          <w:spacing w:val="0"/>
          <w:w w:val="100"/>
          <w:position w:val="0"/>
        </w:rPr>
        <w:t>该成本预期能够收回。</w:t>
      </w:r>
    </w:p>
    <w:p>
      <w:pPr>
        <w:pStyle w:val="Style17"/>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公司对于与合同成本有关的资产采用与该资产相关的商品或服务收入确认相同的基础进行摊销，计入当期损益。</w:t>
      </w:r>
    </w:p>
    <w:p>
      <w:pPr>
        <w:pStyle w:val="Style17"/>
        <w:keepNext w:val="0"/>
        <w:keepLines w:val="0"/>
        <w:widowControl w:val="0"/>
        <w:shd w:val="clear" w:color="auto" w:fill="auto"/>
        <w:bidi w:val="0"/>
        <w:spacing w:before="0" w:after="380" w:line="310" w:lineRule="exact"/>
        <w:ind w:left="0" w:right="0" w:firstLine="380"/>
        <w:jc w:val="left"/>
      </w:pPr>
      <w:r>
        <w:rPr>
          <w:color w:val="000000"/>
          <w:spacing w:val="0"/>
          <w:w w:val="100"/>
          <w:position w:val="0"/>
        </w:rPr>
        <w:t>如果与合同成本有关的资产的账面价值高于因转让与该资产相关的商品或服务预期能够取得的剩余对价减去估计将要 发生的成本，公司对超出部分计提减值准备，并确认为资产减值损失。以前期间减值的因素之后发生变化，使得转让该资产 相关的商品或服务预期能够取得的剩余对价减去估计将要发生的成本高于该资产账面价值的，转回原已计提的资产减值准 备，并计入当期损益，但转回后的资产账面价值不超过假定不计提减值准备情况下该资产在转回日的账面价值。</w:t>
      </w:r>
    </w:p>
    <w:p>
      <w:pPr>
        <w:pStyle w:val="Style26"/>
        <w:keepNext/>
        <w:keepLines/>
        <w:widowControl w:val="0"/>
        <w:shd w:val="clear" w:color="auto" w:fill="auto"/>
        <w:tabs>
          <w:tab w:pos="580" w:val="left"/>
        </w:tabs>
        <w:bidi w:val="0"/>
        <w:spacing w:before="0" w:after="26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w:t>
      </w:r>
      <w:bookmarkEnd w:id="849"/>
      <w:bookmarkEnd w:id="850"/>
      <w:bookmarkEnd w:id="852"/>
    </w:p>
    <w:p>
      <w:pPr>
        <w:pStyle w:val="Style17"/>
        <w:keepNext w:val="0"/>
        <w:keepLines w:val="0"/>
        <w:widowControl w:val="0"/>
        <w:numPr>
          <w:ilvl w:val="0"/>
          <w:numId w:val="35"/>
        </w:numPr>
        <w:shd w:val="clear" w:color="auto" w:fill="auto"/>
        <w:tabs>
          <w:tab w:pos="665" w:val="left"/>
        </w:tabs>
        <w:bidi w:val="0"/>
        <w:spacing w:before="0" w:after="40" w:line="312" w:lineRule="exact"/>
        <w:ind w:left="0" w:right="0" w:firstLine="380"/>
        <w:jc w:val="both"/>
      </w:pPr>
      <w:bookmarkStart w:id="853" w:name="bookmark853"/>
      <w:bookmarkEnd w:id="853"/>
      <w:r>
        <w:rPr>
          <w:color w:val="000000"/>
          <w:spacing w:val="0"/>
          <w:w w:val="100"/>
          <w:position w:val="0"/>
        </w:rPr>
        <w:t>共同控制、重大影响的判断</w:t>
      </w:r>
    </w:p>
    <w:p>
      <w:pPr>
        <w:pStyle w:val="Style17"/>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按照相关约定对某项安排存在共有的控制，并且该安排的相关活动必须经过分享控制权的参与方一致同意后才能决策， 认定为共同控制。对被投资单位的财务和经营政策有参与决策的权力，但并不能够控制或者与其他方一起共同控制这些政策 的制定，认定为重大影响。</w:t>
      </w:r>
    </w:p>
    <w:p>
      <w:pPr>
        <w:pStyle w:val="Style17"/>
        <w:keepNext w:val="0"/>
        <w:keepLines w:val="0"/>
        <w:widowControl w:val="0"/>
        <w:numPr>
          <w:ilvl w:val="0"/>
          <w:numId w:val="35"/>
        </w:numPr>
        <w:shd w:val="clear" w:color="auto" w:fill="auto"/>
        <w:tabs>
          <w:tab w:pos="684" w:val="left"/>
        </w:tabs>
        <w:bidi w:val="0"/>
        <w:spacing w:before="0" w:after="40" w:line="312" w:lineRule="exact"/>
        <w:ind w:left="0" w:right="0" w:firstLine="380"/>
        <w:jc w:val="both"/>
      </w:pPr>
      <w:bookmarkStart w:id="854" w:name="bookmark854"/>
      <w:bookmarkEnd w:id="854"/>
      <w:r>
        <w:rPr>
          <w:color w:val="000000"/>
          <w:spacing w:val="0"/>
          <w:w w:val="100"/>
          <w:position w:val="0"/>
        </w:rPr>
        <w:t>投资成本的确定</w:t>
      </w:r>
    </w:p>
    <w:p>
      <w:pPr>
        <w:pStyle w:val="Style17"/>
        <w:keepNext w:val="0"/>
        <w:keepLines w:val="0"/>
        <w:widowControl w:val="0"/>
        <w:shd w:val="clear" w:color="auto" w:fill="auto"/>
        <w:tabs>
          <w:tab w:pos="750" w:val="left"/>
        </w:tabs>
        <w:bidi w:val="0"/>
        <w:spacing w:before="0" w:after="40" w:line="314" w:lineRule="exact"/>
        <w:ind w:left="0" w:right="0" w:firstLine="380"/>
        <w:jc w:val="both"/>
      </w:pPr>
      <w:bookmarkStart w:id="855" w:name="bookmark855"/>
      <w:r>
        <w:rPr>
          <w:rFonts w:ascii="Times New Roman" w:eastAsia="Times New Roman" w:hAnsi="Times New Roman" w:cs="Times New Roman"/>
          <w:color w:val="000000"/>
          <w:spacing w:val="0"/>
          <w:w w:val="100"/>
          <w:position w:val="0"/>
          <w:sz w:val="18"/>
          <w:szCs w:val="18"/>
        </w:rPr>
        <w:t>（</w:t>
      </w:r>
      <w:bookmarkEnd w:id="855"/>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同一控制下的企业合并形成的，合并方以支付现金、转让非现金资产、承担债务或发行权益性证券作为合并对价的， 在合并日按照取得被合并方所有者权益在最终控制方合并财务报表中的账面价值的份额作为其初始投资成本。长期股权投资 初始投资成本与支付的合并对价的账面价值或发行股份的面值总额之间的差额调整资本公积；资本公积不足冲减的，调整留 存收益。</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的，在合并日，根据合并后应享有被合并方 净资产在最终控制方合并财务报表中的账面价值的份额确定初始投资成本。合并日长期股权投资的初始投资成本，与达到合 并前的长期股权投资账面价值加上合并日进一步取得股份新支付对价的账面价值之和的差额，调整资本公积；资本公积不足 冲减的，调整留存收益。</w:t>
      </w:r>
    </w:p>
    <w:p>
      <w:pPr>
        <w:pStyle w:val="Style17"/>
        <w:keepNext w:val="0"/>
        <w:keepLines w:val="0"/>
        <w:widowControl w:val="0"/>
        <w:shd w:val="clear" w:color="auto" w:fill="auto"/>
        <w:tabs>
          <w:tab w:pos="770" w:val="left"/>
        </w:tabs>
        <w:bidi w:val="0"/>
        <w:spacing w:before="0" w:after="40" w:line="312" w:lineRule="exact"/>
        <w:ind w:left="0" w:right="0" w:firstLine="380"/>
        <w:jc w:val="both"/>
      </w:pPr>
      <w:bookmarkStart w:id="856" w:name="bookmark856"/>
      <w:r>
        <w:rPr>
          <w:rFonts w:ascii="Times New Roman" w:eastAsia="Times New Roman" w:hAnsi="Times New Roman" w:cs="Times New Roman"/>
          <w:color w:val="000000"/>
          <w:spacing w:val="0"/>
          <w:w w:val="100"/>
          <w:position w:val="0"/>
          <w:sz w:val="18"/>
          <w:szCs w:val="18"/>
        </w:rPr>
        <w:t>（</w:t>
      </w:r>
      <w:bookmarkEnd w:id="856"/>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非同一控制下的企业合并形成的，在购买日按照支付的合并对价的公允价值作为其初始投资成本。</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 xml:space="preserve">公司通过多次交易分步实现非同一控制下企业合并形成的长期股权投资，区分个别财务报表和合并财务报表进行相关会 </w:t>
      </w:r>
      <w:r>
        <w:rPr>
          <w:color w:val="000000"/>
          <w:spacing w:val="0"/>
          <w:w w:val="100"/>
          <w:position w:val="0"/>
        </w:rPr>
        <w:t>计处理：</w:t>
      </w:r>
    </w:p>
    <w:p>
      <w:pPr>
        <w:pStyle w:val="Style17"/>
        <w:keepNext w:val="0"/>
        <w:keepLines w:val="0"/>
        <w:widowControl w:val="0"/>
        <w:numPr>
          <w:ilvl w:val="0"/>
          <w:numId w:val="37"/>
        </w:numPr>
        <w:shd w:val="clear" w:color="auto" w:fill="auto"/>
        <w:tabs>
          <w:tab w:pos="683" w:val="left"/>
        </w:tabs>
        <w:bidi w:val="0"/>
        <w:spacing w:before="0" w:after="40" w:line="298" w:lineRule="exact"/>
        <w:ind w:left="0" w:right="0" w:firstLine="380"/>
        <w:jc w:val="both"/>
      </w:pPr>
      <w:bookmarkStart w:id="857" w:name="bookmark857"/>
      <w:bookmarkEnd w:id="857"/>
      <w:r>
        <w:rPr>
          <w:color w:val="000000"/>
          <w:spacing w:val="0"/>
          <w:w w:val="100"/>
          <w:position w:val="0"/>
        </w:rPr>
        <w:t>在个别财务报表中，按照原持有的股权投资的账面价值加上新增投资成本之和，作为改按成本法核算的初始投资成 本。</w:t>
      </w:r>
    </w:p>
    <w:p>
      <w:pPr>
        <w:pStyle w:val="Style17"/>
        <w:keepNext w:val="0"/>
        <w:keepLines w:val="0"/>
        <w:widowControl w:val="0"/>
        <w:numPr>
          <w:ilvl w:val="0"/>
          <w:numId w:val="37"/>
        </w:numPr>
        <w:shd w:val="clear" w:color="auto" w:fill="auto"/>
        <w:tabs>
          <w:tab w:pos="683" w:val="left"/>
        </w:tabs>
        <w:bidi w:val="0"/>
        <w:spacing w:before="0" w:after="40" w:line="314" w:lineRule="exact"/>
        <w:ind w:left="0" w:right="0" w:firstLine="380"/>
        <w:jc w:val="both"/>
      </w:pPr>
      <w:bookmarkStart w:id="858" w:name="bookmark858"/>
      <w:bookmarkEnd w:id="858"/>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的，把各项交易作为一项取得控制权的交易进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的，对于购买日之前持有的被购买方的股权，按照该股权在购买日的公允价值进行重新计 量，公允价值与其账面价值的差额计入当期投资收益；购买日之前持有的被购买方的股权涉及权益法核算下的其他综合收益 等的，与其相关的其他综合收益等转为购买日所属当期收益。但由于被投资方重新计量设定受益计划净负债或净资产变动而 产生的其他综合收益除外。</w:t>
      </w:r>
    </w:p>
    <w:p>
      <w:pPr>
        <w:pStyle w:val="Style17"/>
        <w:keepNext w:val="0"/>
        <w:keepLines w:val="0"/>
        <w:widowControl w:val="0"/>
        <w:numPr>
          <w:ilvl w:val="0"/>
          <w:numId w:val="39"/>
        </w:numPr>
        <w:shd w:val="clear" w:color="auto" w:fill="auto"/>
        <w:bidi w:val="0"/>
        <w:spacing w:before="0" w:after="40" w:line="315" w:lineRule="exact"/>
        <w:ind w:left="0" w:right="0" w:firstLine="380"/>
        <w:jc w:val="both"/>
      </w:pPr>
      <w:bookmarkStart w:id="859" w:name="bookmark859"/>
      <w:bookmarkEnd w:id="859"/>
      <w:r>
        <w:rPr>
          <w:color w:val="000000"/>
          <w:spacing w:val="0"/>
          <w:w w:val="100"/>
          <w:position w:val="0"/>
        </w:rPr>
        <w:t>除企业合并形成以外的：以支付现金取得的，按照实际支付的购买价款作为其初始投资成本；以发行权益性证券取 得的，按照发行权益性证券的公允价值作为其初始投资成本；以债务重组方式取得的，按《企业会计准则第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 重组》确定其初始投资成本；以非货币性资产交换取得的，按《企业会计准则第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号——非货币性资产交换》确定其初始投 资成本。</w:t>
      </w:r>
    </w:p>
    <w:p>
      <w:pPr>
        <w:pStyle w:val="Style17"/>
        <w:keepNext w:val="0"/>
        <w:keepLines w:val="0"/>
        <w:widowControl w:val="0"/>
        <w:numPr>
          <w:ilvl w:val="0"/>
          <w:numId w:val="35"/>
        </w:numPr>
        <w:shd w:val="clear" w:color="auto" w:fill="auto"/>
        <w:tabs>
          <w:tab w:pos="674" w:val="left"/>
        </w:tabs>
        <w:bidi w:val="0"/>
        <w:spacing w:before="0" w:after="40" w:line="312" w:lineRule="exact"/>
        <w:ind w:left="0" w:right="0" w:firstLine="380"/>
        <w:jc w:val="both"/>
      </w:pPr>
      <w:bookmarkStart w:id="860" w:name="bookmark860"/>
      <w:bookmarkEnd w:id="860"/>
      <w:r>
        <w:rPr>
          <w:color w:val="000000"/>
          <w:spacing w:val="0"/>
          <w:w w:val="100"/>
          <w:position w:val="0"/>
        </w:rPr>
        <w:t>后续计量及损益确认方法</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对被投资单位实施控制的长期股权投资采用成本法核算；对联营企业和合营企业的长期股权投资，采用权益法核算。</w:t>
      </w:r>
    </w:p>
    <w:p>
      <w:pPr>
        <w:pStyle w:val="Style17"/>
        <w:keepNext w:val="0"/>
        <w:keepLines w:val="0"/>
        <w:widowControl w:val="0"/>
        <w:numPr>
          <w:ilvl w:val="0"/>
          <w:numId w:val="35"/>
        </w:numPr>
        <w:shd w:val="clear" w:color="auto" w:fill="auto"/>
        <w:tabs>
          <w:tab w:pos="683" w:val="left"/>
        </w:tabs>
        <w:bidi w:val="0"/>
        <w:spacing w:before="0" w:after="40" w:line="312" w:lineRule="exact"/>
        <w:ind w:left="0" w:right="0" w:firstLine="380"/>
        <w:jc w:val="both"/>
      </w:pPr>
      <w:bookmarkStart w:id="861" w:name="bookmark861"/>
      <w:bookmarkEnd w:id="861"/>
      <w:r>
        <w:rPr>
          <w:color w:val="000000"/>
          <w:spacing w:val="0"/>
          <w:w w:val="100"/>
          <w:position w:val="0"/>
        </w:rPr>
        <w:t>通过多次交易分步处置对子公司投资至丧失控制权的处理方法</w:t>
      </w:r>
    </w:p>
    <w:p>
      <w:pPr>
        <w:pStyle w:val="Style17"/>
        <w:keepNext w:val="0"/>
        <w:keepLines w:val="0"/>
        <w:widowControl w:val="0"/>
        <w:numPr>
          <w:ilvl w:val="0"/>
          <w:numId w:val="41"/>
        </w:numPr>
        <w:shd w:val="clear" w:color="auto" w:fill="auto"/>
        <w:tabs>
          <w:tab w:pos="770" w:val="left"/>
        </w:tabs>
        <w:bidi w:val="0"/>
        <w:spacing w:before="0" w:after="40" w:line="312" w:lineRule="exact"/>
        <w:ind w:left="0" w:right="0" w:firstLine="380"/>
        <w:jc w:val="both"/>
      </w:pPr>
      <w:bookmarkStart w:id="862" w:name="bookmark862"/>
      <w:bookmarkEnd w:id="862"/>
      <w:r>
        <w:rPr>
          <w:color w:val="000000"/>
          <w:spacing w:val="0"/>
          <w:w w:val="100"/>
          <w:position w:val="0"/>
        </w:rPr>
        <w:t>个别财务报表</w:t>
      </w:r>
    </w:p>
    <w:p>
      <w:pPr>
        <w:pStyle w:val="Style17"/>
        <w:keepNext w:val="0"/>
        <w:keepLines w:val="0"/>
        <w:widowControl w:val="0"/>
        <w:shd w:val="clear" w:color="auto" w:fill="auto"/>
        <w:bidi w:val="0"/>
        <w:spacing w:before="0" w:after="40" w:line="305" w:lineRule="exact"/>
        <w:ind w:left="0" w:right="0" w:firstLine="380"/>
        <w:jc w:val="both"/>
      </w:pPr>
      <w:r>
        <w:rPr>
          <w:color w:val="000000"/>
          <w:spacing w:val="0"/>
          <w:w w:val="100"/>
          <w:position w:val="0"/>
        </w:rPr>
        <w:t>对处置的股权，其账面价值与实际取得价款之间的差额，计入当期损益。对于剩余股权，对被投资单位仍具有重大影响 或者与其他方一起实施共同控制的，转为权益法核算；不能再对被投资单位实施控制、共同控制或重大影响的，按照《企业 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号——金融工具确认和计量》的相关规定进行核算。</w:t>
      </w:r>
    </w:p>
    <w:p>
      <w:pPr>
        <w:pStyle w:val="Style17"/>
        <w:keepNext w:val="0"/>
        <w:keepLines w:val="0"/>
        <w:widowControl w:val="0"/>
        <w:numPr>
          <w:ilvl w:val="0"/>
          <w:numId w:val="41"/>
        </w:numPr>
        <w:shd w:val="clear" w:color="auto" w:fill="auto"/>
        <w:tabs>
          <w:tab w:pos="770" w:val="left"/>
        </w:tabs>
        <w:bidi w:val="0"/>
        <w:spacing w:before="0" w:after="40" w:line="312" w:lineRule="exact"/>
        <w:ind w:left="0" w:right="0" w:firstLine="380"/>
        <w:jc w:val="both"/>
      </w:pPr>
      <w:bookmarkStart w:id="863" w:name="bookmark863"/>
      <w:bookmarkEnd w:id="863"/>
      <w:r>
        <w:rPr>
          <w:color w:val="000000"/>
          <w:spacing w:val="0"/>
          <w:w w:val="100"/>
          <w:position w:val="0"/>
        </w:rPr>
        <w:t>合并财务报表</w:t>
      </w:r>
    </w:p>
    <w:p>
      <w:pPr>
        <w:pStyle w:val="Style17"/>
        <w:keepNext w:val="0"/>
        <w:keepLines w:val="0"/>
        <w:widowControl w:val="0"/>
        <w:numPr>
          <w:ilvl w:val="0"/>
          <w:numId w:val="43"/>
        </w:numPr>
        <w:shd w:val="clear" w:color="auto" w:fill="auto"/>
        <w:tabs>
          <w:tab w:pos="693" w:val="left"/>
        </w:tabs>
        <w:bidi w:val="0"/>
        <w:spacing w:before="0" w:after="40" w:line="312" w:lineRule="exact"/>
        <w:ind w:left="0" w:right="0" w:firstLine="380"/>
        <w:jc w:val="both"/>
      </w:pPr>
      <w:bookmarkStart w:id="864" w:name="bookmark864"/>
      <w:bookmarkEnd w:id="864"/>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在丧失控制权之前，处置价款与处置长期股权投资相对应享有子公司自购买日或合并日开始持续计算的净资产份额之间 的差额，调整资本公积(资本溢价)，资本溢价不足冲减的，冲减留存收益。</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丧失对原子公司控制权时，对于剩余股权，按照其在丧失控制权日的公允价值进行重新计量。处置股权取得的对价与剩 余股权公允价值之和，减去按原持股比例计算应享有原有子公司自购买日或合并日开始持续计算的净资产的份额之间的差 额，计入丧失控制权当期的投资收益，同时冲减商誉。与原有子公司股权投资相关的其他综合收益等，应当在丧失控制权时 转为当期投资收益。</w:t>
      </w:r>
    </w:p>
    <w:p>
      <w:pPr>
        <w:pStyle w:val="Style17"/>
        <w:keepNext w:val="0"/>
        <w:keepLines w:val="0"/>
        <w:widowControl w:val="0"/>
        <w:numPr>
          <w:ilvl w:val="0"/>
          <w:numId w:val="43"/>
        </w:numPr>
        <w:shd w:val="clear" w:color="auto" w:fill="auto"/>
        <w:tabs>
          <w:tab w:pos="712" w:val="left"/>
        </w:tabs>
        <w:bidi w:val="0"/>
        <w:spacing w:before="0" w:after="40" w:line="312" w:lineRule="exact"/>
        <w:ind w:left="0" w:right="0" w:firstLine="380"/>
        <w:jc w:val="both"/>
      </w:pPr>
      <w:bookmarkStart w:id="865" w:name="bookmark865"/>
      <w:bookmarkEnd w:id="865"/>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1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将各项交易作为一项处置子公司并丧失控制权的交易进行会计处理。但是，在丧失控制权之前每一次处置价款与处置投 资对应的享有该子公司净资产份额的差额，在合并财务报表中确认为其他综合收益，在丧失控制权时一并转入丧失控制权当 期的损益。</w:t>
      </w:r>
    </w:p>
    <w:p>
      <w:pPr>
        <w:pStyle w:val="Style26"/>
        <w:keepNext/>
        <w:keepLines/>
        <w:widowControl w:val="0"/>
        <w:shd w:val="clear" w:color="auto" w:fill="auto"/>
        <w:bidi w:val="0"/>
        <w:spacing w:before="0" w:after="280" w:line="240" w:lineRule="auto"/>
        <w:ind w:left="0" w:right="0" w:firstLine="0"/>
        <w:jc w:val="both"/>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866"/>
      <w:bookmarkEnd w:id="867"/>
      <w:bookmarkEnd w:id="869"/>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投资性房地产计量模式</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成本法计量</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折旧或摊销方法</w:t>
      </w:r>
    </w:p>
    <w:p>
      <w:pPr>
        <w:pStyle w:val="Style17"/>
        <w:keepNext w:val="0"/>
        <w:keepLines w:val="0"/>
        <w:widowControl w:val="0"/>
        <w:numPr>
          <w:ilvl w:val="0"/>
          <w:numId w:val="45"/>
        </w:numPr>
        <w:shd w:val="clear" w:color="auto" w:fill="auto"/>
        <w:tabs>
          <w:tab w:pos="664" w:val="left"/>
        </w:tabs>
        <w:bidi w:val="0"/>
        <w:spacing w:before="0" w:after="40" w:line="322" w:lineRule="exact"/>
        <w:ind w:left="0" w:right="0" w:firstLine="380"/>
        <w:jc w:val="both"/>
      </w:pPr>
      <w:bookmarkStart w:id="870" w:name="bookmark870"/>
      <w:bookmarkEnd w:id="870"/>
      <w:r>
        <w:rPr>
          <w:color w:val="000000"/>
          <w:spacing w:val="0"/>
          <w:w w:val="100"/>
          <w:position w:val="0"/>
        </w:rPr>
        <w:t>投资性房地产包括已出租的土地使用权、持有并准备增值后转让的土地使用权和已出租的建筑物。</w:t>
      </w:r>
    </w:p>
    <w:p>
      <w:pPr>
        <w:pStyle w:val="Style17"/>
        <w:keepNext w:val="0"/>
        <w:keepLines w:val="0"/>
        <w:widowControl w:val="0"/>
        <w:numPr>
          <w:ilvl w:val="0"/>
          <w:numId w:val="45"/>
        </w:numPr>
        <w:shd w:val="clear" w:color="auto" w:fill="auto"/>
        <w:tabs>
          <w:tab w:pos="654" w:val="left"/>
        </w:tabs>
        <w:bidi w:val="0"/>
        <w:spacing w:before="0" w:after="40" w:line="322" w:lineRule="exact"/>
        <w:ind w:left="0" w:right="0" w:firstLine="380"/>
        <w:jc w:val="both"/>
      </w:pPr>
      <w:bookmarkStart w:id="871" w:name="bookmark871"/>
      <w:bookmarkEnd w:id="871"/>
      <w:r>
        <w:rPr>
          <w:color w:val="000000"/>
          <w:spacing w:val="0"/>
          <w:w w:val="100"/>
          <w:position w:val="0"/>
        </w:rPr>
        <w:t>投资性房地产按照成本进行初始计量，采用成本模式进行后续计量，并采用与固定资产和无形资产相同的方法计提 折旧或进行摊销。</w:t>
      </w:r>
    </w:p>
    <w:p>
      <w:pPr>
        <w:pStyle w:val="Style26"/>
        <w:keepNext/>
        <w:keepLines/>
        <w:widowControl w:val="0"/>
        <w:shd w:val="clear" w:color="auto" w:fill="auto"/>
        <w:bidi w:val="0"/>
        <w:spacing w:before="0" w:after="38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72"/>
      <w:bookmarkEnd w:id="873"/>
      <w:bookmarkEnd w:id="875"/>
    </w:p>
    <w:p>
      <w:pPr>
        <w:pStyle w:val="Style31"/>
        <w:keepNext/>
        <w:keepLines/>
        <w:widowControl w:val="0"/>
        <w:shd w:val="clear" w:color="auto" w:fill="auto"/>
        <w:bidi w:val="0"/>
        <w:spacing w:before="0" w:after="280" w:line="240" w:lineRule="auto"/>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76"/>
      <w:bookmarkEnd w:id="877"/>
      <w:bookmarkEnd w:id="879"/>
    </w:p>
    <w:p>
      <w:pPr>
        <w:pStyle w:val="Style1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固定资产是指为生产商品、提供劳务、出租或经营管理而持有的，使用年限超过一个会计年度的有形资产。固定资产在同时 满足经济利益很可能流入、成本能够可靠计量时予以确认。</w:t>
      </w:r>
    </w:p>
    <w:p>
      <w:pPr>
        <w:pStyle w:val="Style31"/>
        <w:keepNext/>
        <w:keepLines/>
        <w:widowControl w:val="0"/>
        <w:shd w:val="clear" w:color="auto" w:fill="auto"/>
        <w:bidi w:val="0"/>
        <w:spacing w:before="0" w:after="320" w:line="240" w:lineRule="auto"/>
        <w:ind w:left="0" w:right="0" w:firstLine="0"/>
        <w:jc w:val="both"/>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80"/>
      <w:bookmarkEnd w:id="881"/>
      <w:bookmarkEnd w:id="883"/>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both"/>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4"/>
      <w:bookmarkEnd w:id="885"/>
      <w:bookmarkEnd w:id="887"/>
    </w:p>
    <w:p>
      <w:pPr>
        <w:pStyle w:val="Style17"/>
        <w:keepNext w:val="0"/>
        <w:keepLines w:val="0"/>
        <w:widowControl w:val="0"/>
        <w:shd w:val="clear" w:color="auto" w:fill="auto"/>
        <w:bidi w:val="0"/>
        <w:spacing w:before="0" w:after="380" w:line="318" w:lineRule="exact"/>
        <w:ind w:left="0" w:right="0" w:firstLine="0"/>
        <w:jc w:val="both"/>
      </w:pPr>
      <w:r>
        <w:rPr>
          <w:color w:val="000000"/>
          <w:spacing w:val="0"/>
          <w:w w:val="100"/>
          <w:position w:val="0"/>
        </w:rPr>
        <w:t>无</w:t>
      </w:r>
    </w:p>
    <w:p>
      <w:pPr>
        <w:pStyle w:val="Style26"/>
        <w:keepNext/>
        <w:keepLines/>
        <w:widowControl w:val="0"/>
        <w:shd w:val="clear" w:color="auto" w:fill="auto"/>
        <w:tabs>
          <w:tab w:pos="584" w:val="left"/>
        </w:tabs>
        <w:bidi w:val="0"/>
        <w:spacing w:before="0" w:after="280" w:line="240"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888"/>
      <w:bookmarkEnd w:id="889"/>
      <w:bookmarkEnd w:id="891"/>
    </w:p>
    <w:p>
      <w:pPr>
        <w:pStyle w:val="Style17"/>
        <w:keepNext w:val="0"/>
        <w:keepLines w:val="0"/>
        <w:widowControl w:val="0"/>
        <w:numPr>
          <w:ilvl w:val="0"/>
          <w:numId w:val="47"/>
        </w:numPr>
        <w:shd w:val="clear" w:color="auto" w:fill="auto"/>
        <w:tabs>
          <w:tab w:pos="670" w:val="left"/>
        </w:tabs>
        <w:bidi w:val="0"/>
        <w:spacing w:before="0" w:after="0" w:line="312" w:lineRule="exact"/>
        <w:ind w:left="0" w:right="0" w:firstLine="380"/>
        <w:jc w:val="both"/>
      </w:pPr>
      <w:bookmarkStart w:id="892" w:name="bookmark892"/>
      <w:bookmarkEnd w:id="892"/>
      <w:r>
        <w:rPr>
          <w:color w:val="000000"/>
          <w:spacing w:val="0"/>
          <w:w w:val="100"/>
          <w:position w:val="0"/>
        </w:rPr>
        <w:t>在建工程同时满足经济利益很可能流入、成本能够可靠计量则予以确认。在建工程按建造该项资产达到预定可使用 状态前所发生的实际成本计量。</w:t>
      </w:r>
    </w:p>
    <w:p>
      <w:pPr>
        <w:pStyle w:val="Style17"/>
        <w:keepNext w:val="0"/>
        <w:keepLines w:val="0"/>
        <w:widowControl w:val="0"/>
        <w:numPr>
          <w:ilvl w:val="0"/>
          <w:numId w:val="47"/>
        </w:numPr>
        <w:shd w:val="clear" w:color="auto" w:fill="auto"/>
        <w:tabs>
          <w:tab w:pos="670" w:val="left"/>
        </w:tabs>
        <w:bidi w:val="0"/>
        <w:spacing w:before="0" w:after="380" w:line="322" w:lineRule="exact"/>
        <w:ind w:left="0" w:right="0" w:firstLine="380"/>
        <w:jc w:val="both"/>
      </w:pPr>
      <w:bookmarkStart w:id="893" w:name="bookmark893"/>
      <w:bookmarkEnd w:id="893"/>
      <w:r>
        <w:rPr>
          <w:color w:val="000000"/>
          <w:spacing w:val="0"/>
          <w:w w:val="100"/>
          <w:position w:val="0"/>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Style26"/>
        <w:keepNext/>
        <w:keepLines/>
        <w:widowControl w:val="0"/>
        <w:shd w:val="clear" w:color="auto" w:fill="auto"/>
        <w:tabs>
          <w:tab w:pos="584" w:val="left"/>
        </w:tabs>
        <w:bidi w:val="0"/>
        <w:spacing w:before="0" w:after="38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94"/>
      <w:bookmarkEnd w:id="895"/>
      <w:bookmarkEnd w:id="897"/>
    </w:p>
    <w:p>
      <w:pPr>
        <w:pStyle w:val="Style17"/>
        <w:keepNext w:val="0"/>
        <w:keepLines w:val="0"/>
        <w:widowControl w:val="0"/>
        <w:numPr>
          <w:ilvl w:val="0"/>
          <w:numId w:val="49"/>
        </w:numPr>
        <w:shd w:val="clear" w:color="auto" w:fill="auto"/>
        <w:tabs>
          <w:tab w:pos="681" w:val="left"/>
        </w:tabs>
        <w:bidi w:val="0"/>
        <w:spacing w:before="0" w:after="0" w:line="360" w:lineRule="auto"/>
        <w:ind w:left="0" w:right="0" w:firstLine="380"/>
        <w:jc w:val="both"/>
      </w:pPr>
      <w:bookmarkStart w:id="898" w:name="bookmark898"/>
      <w:bookmarkEnd w:id="898"/>
      <w:r>
        <w:rPr>
          <w:color w:val="000000"/>
          <w:spacing w:val="0"/>
          <w:w w:val="100"/>
          <w:position w:val="0"/>
        </w:rPr>
        <w:t>借款费用资本化的确认原则</w:t>
      </w:r>
    </w:p>
    <w:p>
      <w:pPr>
        <w:pStyle w:val="Style17"/>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公司发生的借款费用，可直接归属于符合资本化条件的资产的购建或者生产的，予以资本化，计入相关资产成本；其他 借款费用，在发生时确认为费用，计入当期损益。</w:t>
      </w:r>
    </w:p>
    <w:p>
      <w:pPr>
        <w:pStyle w:val="Style17"/>
        <w:keepNext w:val="0"/>
        <w:keepLines w:val="0"/>
        <w:widowControl w:val="0"/>
        <w:numPr>
          <w:ilvl w:val="0"/>
          <w:numId w:val="49"/>
        </w:numPr>
        <w:shd w:val="clear" w:color="auto" w:fill="auto"/>
        <w:tabs>
          <w:tab w:pos="700" w:val="left"/>
        </w:tabs>
        <w:bidi w:val="0"/>
        <w:spacing w:before="0" w:after="0" w:line="360" w:lineRule="auto"/>
        <w:ind w:left="0" w:right="0" w:firstLine="380"/>
        <w:jc w:val="both"/>
      </w:pPr>
      <w:bookmarkStart w:id="899" w:name="bookmark899"/>
      <w:bookmarkEnd w:id="899"/>
      <w:r>
        <w:rPr>
          <w:color w:val="000000"/>
          <w:spacing w:val="0"/>
          <w:w w:val="100"/>
          <w:position w:val="0"/>
        </w:rPr>
        <w:t>借款费用资本化期间</w:t>
      </w:r>
    </w:p>
    <w:p>
      <w:pPr>
        <w:pStyle w:val="Style17"/>
        <w:keepNext w:val="0"/>
        <w:keepLines w:val="0"/>
        <w:widowControl w:val="0"/>
        <w:shd w:val="clear" w:color="auto" w:fill="auto"/>
        <w:tabs>
          <w:tab w:pos="757" w:val="left"/>
        </w:tabs>
        <w:bidi w:val="0"/>
        <w:spacing w:before="0" w:after="0" w:line="324" w:lineRule="exact"/>
        <w:ind w:left="0" w:right="0" w:firstLine="380"/>
        <w:jc w:val="both"/>
      </w:pPr>
      <w:bookmarkStart w:id="900" w:name="bookmark900"/>
      <w:r>
        <w:rPr>
          <w:rFonts w:ascii="Times New Roman" w:eastAsia="Times New Roman" w:hAnsi="Times New Roman" w:cs="Times New Roman"/>
          <w:color w:val="000000"/>
          <w:spacing w:val="0"/>
          <w:w w:val="100"/>
          <w:position w:val="0"/>
          <w:sz w:val="18"/>
          <w:szCs w:val="18"/>
        </w:rPr>
        <w:t>（</w:t>
      </w:r>
      <w:bookmarkEnd w:id="900"/>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为使资产达到预 定可使用或可销售状态所必要的购建或者生产活动已经开始。</w:t>
      </w:r>
    </w:p>
    <w:p>
      <w:pPr>
        <w:pStyle w:val="Style17"/>
        <w:keepNext w:val="0"/>
        <w:keepLines w:val="0"/>
        <w:widowControl w:val="0"/>
        <w:shd w:val="clear" w:color="auto" w:fill="auto"/>
        <w:tabs>
          <w:tab w:pos="757" w:val="left"/>
        </w:tabs>
        <w:bidi w:val="0"/>
        <w:spacing w:before="0" w:after="0" w:line="324" w:lineRule="exact"/>
        <w:ind w:left="0" w:right="0" w:firstLine="380"/>
        <w:jc w:val="both"/>
      </w:pPr>
      <w:bookmarkStart w:id="901" w:name="bookmark901"/>
      <w:r>
        <w:rPr>
          <w:rFonts w:ascii="Times New Roman" w:eastAsia="Times New Roman" w:hAnsi="Times New Roman" w:cs="Times New Roman"/>
          <w:color w:val="000000"/>
          <w:spacing w:val="0"/>
          <w:w w:val="100"/>
          <w:position w:val="0"/>
          <w:sz w:val="18"/>
          <w:szCs w:val="18"/>
        </w:rPr>
        <w:t>（</w:t>
      </w:r>
      <w:bookmarkEnd w:id="901"/>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 资本化；中断期间发生的借款费用确认为当期费用，直至资产的购建或者生产活动重新开始。</w:t>
      </w:r>
    </w:p>
    <w:p>
      <w:pPr>
        <w:pStyle w:val="Style17"/>
        <w:keepNext w:val="0"/>
        <w:keepLines w:val="0"/>
        <w:widowControl w:val="0"/>
        <w:shd w:val="clear" w:color="auto" w:fill="auto"/>
        <w:tabs>
          <w:tab w:pos="786" w:val="left"/>
        </w:tabs>
        <w:bidi w:val="0"/>
        <w:spacing w:before="0" w:after="140" w:line="324" w:lineRule="exact"/>
        <w:ind w:left="0" w:right="0" w:firstLine="380"/>
        <w:jc w:val="both"/>
      </w:pPr>
      <w:bookmarkStart w:id="902" w:name="bookmark902"/>
      <w:r>
        <w:rPr>
          <w:rFonts w:ascii="Times New Roman" w:eastAsia="Times New Roman" w:hAnsi="Times New Roman" w:cs="Times New Roman"/>
          <w:color w:val="000000"/>
          <w:spacing w:val="0"/>
          <w:w w:val="100"/>
          <w:position w:val="0"/>
          <w:sz w:val="18"/>
          <w:szCs w:val="18"/>
        </w:rPr>
        <w:t>（</w:t>
      </w:r>
      <w:bookmarkEnd w:id="902"/>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当所购建或者生产符合资本化条件的资产达到预定可使用或可销售状态时，借款费用停止资本化。</w:t>
      </w:r>
    </w:p>
    <w:p>
      <w:pPr>
        <w:pStyle w:val="Style17"/>
        <w:keepNext w:val="0"/>
        <w:keepLines w:val="0"/>
        <w:widowControl w:val="0"/>
        <w:numPr>
          <w:ilvl w:val="0"/>
          <w:numId w:val="49"/>
        </w:numPr>
        <w:shd w:val="clear" w:color="auto" w:fill="auto"/>
        <w:tabs>
          <w:tab w:pos="700" w:val="left"/>
        </w:tabs>
        <w:bidi w:val="0"/>
        <w:spacing w:before="0" w:after="0" w:line="360" w:lineRule="auto"/>
        <w:ind w:left="0" w:right="0" w:firstLine="380"/>
        <w:jc w:val="both"/>
      </w:pPr>
      <w:bookmarkStart w:id="903" w:name="bookmark903"/>
      <w:bookmarkEnd w:id="903"/>
      <w:r>
        <w:rPr>
          <w:color w:val="000000"/>
          <w:spacing w:val="0"/>
          <w:w w:val="100"/>
          <w:position w:val="0"/>
        </w:rPr>
        <w:t>借款费用资本化率以及资本化金额</w:t>
      </w:r>
    </w:p>
    <w:p>
      <w:pPr>
        <w:pStyle w:val="Style17"/>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为购建或者生产符合资本化条件的资产而借入专门借款的，以专门借款当期实际发生的利息费用（包括按照实际利率法 确定的折价或溢价的摊销），减去将尚未动用的借款资金存入银行取得的利息收入或进行暂时性投资取得的投资收益后的金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款的资产支出加权平均数乘以占用一般借款的资本化率，计算确定一般借款应予资本化的利息金额。</w:t>
      </w:r>
    </w:p>
    <w:p>
      <w:pPr>
        <w:pStyle w:val="Style26"/>
        <w:keepNext/>
        <w:keepLines/>
        <w:widowControl w:val="0"/>
        <w:shd w:val="clear" w:color="auto" w:fill="auto"/>
        <w:bidi w:val="0"/>
        <w:spacing w:before="0" w:after="38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904"/>
      <w:bookmarkEnd w:id="905"/>
      <w:bookmarkEnd w:id="907"/>
    </w:p>
    <w:p>
      <w:pPr>
        <w:pStyle w:val="Style31"/>
        <w:keepNext/>
        <w:keepLines/>
        <w:widowControl w:val="0"/>
        <w:shd w:val="clear" w:color="auto" w:fill="auto"/>
        <w:bidi w:val="0"/>
        <w:spacing w:before="0" w:after="26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08"/>
      <w:bookmarkEnd w:id="909"/>
      <w:bookmarkEnd w:id="911"/>
    </w:p>
    <w:p>
      <w:pPr>
        <w:pStyle w:val="Style17"/>
        <w:keepNext w:val="0"/>
        <w:keepLines w:val="0"/>
        <w:widowControl w:val="0"/>
        <w:numPr>
          <w:ilvl w:val="0"/>
          <w:numId w:val="51"/>
        </w:numPr>
        <w:shd w:val="clear" w:color="auto" w:fill="auto"/>
        <w:tabs>
          <w:tab w:pos="681" w:val="left"/>
        </w:tabs>
        <w:bidi w:val="0"/>
        <w:spacing w:before="0" w:after="0" w:line="322" w:lineRule="exact"/>
        <w:ind w:left="0" w:right="0" w:firstLine="380"/>
        <w:jc w:val="both"/>
      </w:pPr>
      <w:bookmarkStart w:id="912" w:name="bookmark912"/>
      <w:bookmarkEnd w:id="912"/>
      <w:r>
        <w:rPr>
          <w:color w:val="000000"/>
          <w:spacing w:val="0"/>
          <w:w w:val="100"/>
          <w:position w:val="0"/>
        </w:rPr>
        <w:t>无形资产包括土地使用权、软件、专利权及非专利技术等，按成本进行初始计量。</w:t>
      </w:r>
    </w:p>
    <w:p>
      <w:pPr>
        <w:pStyle w:val="Style17"/>
        <w:keepNext w:val="0"/>
        <w:keepLines w:val="0"/>
        <w:widowControl w:val="0"/>
        <w:numPr>
          <w:ilvl w:val="0"/>
          <w:numId w:val="51"/>
        </w:numPr>
        <w:shd w:val="clear" w:color="auto" w:fill="auto"/>
        <w:tabs>
          <w:tab w:pos="670" w:val="left"/>
        </w:tabs>
        <w:bidi w:val="0"/>
        <w:spacing w:before="0" w:after="80" w:line="322" w:lineRule="exact"/>
        <w:ind w:left="0" w:right="0" w:firstLine="380"/>
        <w:jc w:val="both"/>
      </w:pPr>
      <w:bookmarkStart w:id="913" w:name="bookmark913"/>
      <w:bookmarkEnd w:id="913"/>
      <w:r>
        <w:rPr>
          <w:color w:val="000000"/>
          <w:spacing w:val="0"/>
          <w:w w:val="100"/>
          <w:position w:val="0"/>
        </w:rPr>
        <w:t>使用寿命有限的无形资产，在使用寿命内按照与该项无形资产有关的经济利益的预期实现方式系统合理地摊销，无 法可靠确定预期实现方式的，采用直线法摊销。具体年限如下：</w:t>
      </w:r>
    </w:p>
    <w:tbl>
      <w:tblPr>
        <w:tblOverlap w:val="never"/>
        <w:jc w:val="center"/>
        <w:tblLayout w:type="fixed"/>
      </w:tblPr>
      <w:tblGrid>
        <w:gridCol w:w="4699"/>
        <w:gridCol w:w="1925"/>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after="619" w:line="1" w:lineRule="exact"/>
      </w:pPr>
    </w:p>
    <w:p>
      <w:pPr>
        <w:pStyle w:val="Style31"/>
        <w:keepNext/>
        <w:keepLines/>
        <w:widowControl w:val="0"/>
        <w:shd w:val="clear" w:color="auto" w:fill="auto"/>
        <w:bidi w:val="0"/>
        <w:spacing w:before="0" w:after="26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14"/>
      <w:bookmarkEnd w:id="915"/>
      <w:bookmarkEnd w:id="917"/>
    </w:p>
    <w:p>
      <w:pPr>
        <w:pStyle w:val="Style17"/>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内部研究开发项目研究阶段的支出，于发生时计入当期损益。内部研究开发项目开发阶段的支出，同时满足下列条件的， 确认为无形资产：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完成该无形资产以使其能够使用或出售在技术上具有可行性；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具有完成该无形资产并使用或出售 的意图；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无形资产产生经济利益的方式，包括能够证明运用该无形资产生产的产品存在市场或无形资产自身存在市场， 无形资产将在内部使用的，能证明其有用性；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有足够的技术、财务资源和其他资源支持，以完成该无形资产的开发，并 有能力使用或出售该无形资产；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归属于该无形资产开发阶段的支出能够可靠地计量。</w:t>
      </w:r>
    </w:p>
    <w:p>
      <w:pPr>
        <w:pStyle w:val="Style17"/>
        <w:keepNext w:val="0"/>
        <w:keepLines w:val="0"/>
        <w:widowControl w:val="0"/>
        <w:shd w:val="clear" w:color="auto" w:fill="auto"/>
        <w:bidi w:val="0"/>
        <w:spacing w:before="0" w:after="380" w:line="302" w:lineRule="exact"/>
        <w:ind w:left="0" w:right="0" w:firstLine="380"/>
        <w:jc w:val="left"/>
      </w:pPr>
      <w:r>
        <w:rPr>
          <w:color w:val="000000"/>
          <w:spacing w:val="0"/>
          <w:w w:val="100"/>
          <w:position w:val="0"/>
        </w:rPr>
        <w:t>公司划分内部研究开发项目研究阶段支出和开发阶段支出的具体标准：公司在完成项目设计方案达到预期要求并通过评 审立项后开始资本化，在完成开发形成标准化产品达到交付条件时停止资本化，并转入无形资产。</w:t>
      </w:r>
    </w:p>
    <w:p>
      <w:pPr>
        <w:pStyle w:val="Style26"/>
        <w:keepNext/>
        <w:keepLines/>
        <w:widowControl w:val="0"/>
        <w:shd w:val="clear" w:color="auto" w:fill="auto"/>
        <w:tabs>
          <w:tab w:pos="503" w:val="left"/>
        </w:tabs>
        <w:bidi w:val="0"/>
        <w:spacing w:before="0" w:after="260" w:line="240" w:lineRule="auto"/>
        <w:ind w:left="0" w:right="0" w:firstLine="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1</w:t>
      </w:r>
      <w:bookmarkEnd w:id="920"/>
      <w:r>
        <w:rPr>
          <w:rFonts w:ascii="Times New Roman" w:eastAsia="Times New Roman" w:hAnsi="Times New Roman" w:cs="Times New Roman"/>
          <w:color w:val="000000"/>
          <w:spacing w:val="0"/>
          <w:w w:val="100"/>
          <w:position w:val="0"/>
        </w:rPr>
        <w:t>9</w:t>
      </w:r>
      <w:r>
        <w:rPr>
          <w:color w:val="000000"/>
          <w:spacing w:val="0"/>
          <w:w w:val="100"/>
          <w:position w:val="0"/>
        </w:rPr>
        <w:t>、</w:t>
        <w:tab/>
        <w:t>长期资产减值</w:t>
      </w:r>
      <w:bookmarkEnd w:id="918"/>
      <w:bookmarkEnd w:id="919"/>
      <w:bookmarkEnd w:id="921"/>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对长期股权投资、采用成本模式计量的投资性房地产、固定资产、在建工程使用寿命有限的无形资产等长期资产，在资 产负债表日有迹象表明发生减值的，估计其可收回金额。对因企业合并所形成的商誉和使用寿命不确定的无形资产，无论是 否存在减值迹象，每年都进行减值测试。商誉结合与其相关的资产组或者资产组组合进行减值测试。</w:t>
      </w:r>
    </w:p>
    <w:p>
      <w:pPr>
        <w:pStyle w:val="Style17"/>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若上述长期资产的可收回金额低于其账面价值的，按其差额确认资产减值准备并计入当期损益。</w:t>
      </w:r>
    </w:p>
    <w:p>
      <w:pPr>
        <w:pStyle w:val="Style26"/>
        <w:keepNext/>
        <w:keepLines/>
        <w:widowControl w:val="0"/>
        <w:shd w:val="clear" w:color="auto" w:fill="auto"/>
        <w:tabs>
          <w:tab w:pos="503" w:val="left"/>
        </w:tabs>
        <w:bidi w:val="0"/>
        <w:spacing w:before="0" w:after="260" w:line="240" w:lineRule="auto"/>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922"/>
      <w:bookmarkEnd w:id="923"/>
      <w:bookmarkEnd w:id="925"/>
    </w:p>
    <w:p>
      <w:pPr>
        <w:pStyle w:val="Style17"/>
        <w:keepNext w:val="0"/>
        <w:keepLines w:val="0"/>
        <w:widowControl w:val="0"/>
        <w:shd w:val="clear" w:color="auto" w:fill="auto"/>
        <w:bidi w:val="0"/>
        <w:spacing w:before="0" w:after="740" w:line="312" w:lineRule="exact"/>
        <w:ind w:left="0" w:right="0" w:firstLine="38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年）的各项费用。长期待摊费用按实际发生额入账，在受益 期或规定的期限内分期平均摊销。如果长期待摊的费用项目不能使以后会计期间受益则将尚未摊销的该项目的摊余价值全部 转入当期损益。</w:t>
      </w:r>
    </w:p>
    <w:p>
      <w:pPr>
        <w:pStyle w:val="Style26"/>
        <w:keepNext/>
        <w:keepLines/>
        <w:widowControl w:val="0"/>
        <w:shd w:val="clear" w:color="auto" w:fill="auto"/>
        <w:bidi w:val="0"/>
        <w:spacing w:before="0" w:after="260" w:line="240" w:lineRule="auto"/>
        <w:ind w:left="0" w:right="0" w:firstLine="0"/>
        <w:jc w:val="both"/>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926"/>
      <w:bookmarkEnd w:id="927"/>
      <w:bookmarkEnd w:id="929"/>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公司根据履行履约义务与客户付款之间的关系在资产负债表中列示合同资产或合同负债。公司将同一合同下的合同资产 和合同负债相互抵销后以净额列示。</w:t>
      </w:r>
    </w:p>
    <w:p>
      <w:pPr>
        <w:pStyle w:val="Style17"/>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公司将已收或应收客户对价而应向客户转让商品的义务作为合同负债列示。</w:t>
      </w:r>
    </w:p>
    <w:p>
      <w:pPr>
        <w:pStyle w:val="Style26"/>
        <w:keepNext/>
        <w:keepLines/>
        <w:widowControl w:val="0"/>
        <w:shd w:val="clear" w:color="auto" w:fill="auto"/>
        <w:bidi w:val="0"/>
        <w:spacing w:before="0" w:after="38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2</w:t>
      </w:r>
      <w:r>
        <w:rPr>
          <w:color w:val="000000"/>
          <w:spacing w:val="0"/>
          <w:w w:val="100"/>
          <w:position w:val="0"/>
        </w:rPr>
        <w:t>、职工薪酬</w:t>
      </w:r>
      <w:bookmarkEnd w:id="930"/>
      <w:bookmarkEnd w:id="931"/>
      <w:bookmarkEnd w:id="933"/>
    </w:p>
    <w:p>
      <w:pPr>
        <w:pStyle w:val="Style31"/>
        <w:keepNext/>
        <w:keepLines/>
        <w:widowControl w:val="0"/>
        <w:shd w:val="clear" w:color="auto" w:fill="auto"/>
        <w:bidi w:val="0"/>
        <w:spacing w:before="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34"/>
      <w:bookmarkEnd w:id="935"/>
      <w:bookmarkEnd w:id="937"/>
    </w:p>
    <w:p>
      <w:pPr>
        <w:pStyle w:val="Style17"/>
        <w:keepNext w:val="0"/>
        <w:keepLines w:val="0"/>
        <w:widowControl w:val="0"/>
        <w:shd w:val="clear" w:color="auto" w:fill="auto"/>
        <w:bidi w:val="0"/>
        <w:spacing w:before="0" w:after="740" w:line="240" w:lineRule="auto"/>
        <w:ind w:left="0" w:right="0" w:firstLine="380"/>
        <w:jc w:val="left"/>
      </w:pPr>
      <w:r>
        <w:rPr>
          <w:color w:val="000000"/>
          <w:spacing w:val="0"/>
          <w:w w:val="100"/>
          <w:position w:val="0"/>
        </w:rPr>
        <w:t>在职工为公司提供服务的会计期间，将实际发生的短期薪酬确认为负债，并计入当期损益或相关资产成本。</w:t>
      </w:r>
    </w:p>
    <w:p>
      <w:pPr>
        <w:pStyle w:val="Style31"/>
        <w:keepNext/>
        <w:keepLines/>
        <w:widowControl w:val="0"/>
        <w:shd w:val="clear" w:color="auto" w:fill="auto"/>
        <w:bidi w:val="0"/>
        <w:spacing w:before="0" w:after="28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38"/>
      <w:bookmarkEnd w:id="939"/>
      <w:bookmarkEnd w:id="941"/>
    </w:p>
    <w:p>
      <w:pPr>
        <w:pStyle w:val="Style17"/>
        <w:keepNext w:val="0"/>
        <w:keepLines w:val="0"/>
        <w:widowControl w:val="0"/>
        <w:shd w:val="clear" w:color="auto" w:fill="auto"/>
        <w:bidi w:val="0"/>
        <w:spacing w:before="0" w:after="40" w:line="314" w:lineRule="exact"/>
        <w:ind w:left="0" w:right="0" w:firstLine="380"/>
        <w:jc w:val="left"/>
      </w:pPr>
      <w:r>
        <w:rPr>
          <w:color w:val="000000"/>
          <w:spacing w:val="0"/>
          <w:w w:val="100"/>
          <w:position w:val="0"/>
        </w:rPr>
        <w:t>离职后福利分为设定提存计划和设定受益计划。</w:t>
      </w:r>
    </w:p>
    <w:p>
      <w:pPr>
        <w:pStyle w:val="Style17"/>
        <w:keepNext w:val="0"/>
        <w:keepLines w:val="0"/>
        <w:widowControl w:val="0"/>
        <w:shd w:val="clear" w:color="auto" w:fill="auto"/>
        <w:tabs>
          <w:tab w:pos="753" w:val="left"/>
        </w:tabs>
        <w:bidi w:val="0"/>
        <w:spacing w:before="0" w:after="40" w:line="312" w:lineRule="exact"/>
        <w:ind w:left="0" w:right="0" w:firstLine="380"/>
        <w:jc w:val="left"/>
      </w:pPr>
      <w:bookmarkStart w:id="942" w:name="bookmark942"/>
      <w:r>
        <w:rPr>
          <w:rFonts w:ascii="Times New Roman" w:eastAsia="Times New Roman" w:hAnsi="Times New Roman" w:cs="Times New Roman"/>
          <w:color w:val="000000"/>
          <w:spacing w:val="0"/>
          <w:w w:val="100"/>
          <w:position w:val="0"/>
          <w:sz w:val="18"/>
          <w:szCs w:val="18"/>
        </w:rPr>
        <w:t>（</w:t>
      </w:r>
      <w:bookmarkEnd w:id="942"/>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在职工为公司提供服务的会计期间，根据设定提存计划计算的应缴存金额确认为负债，并计入当期损益或相关资产 成本。</w:t>
      </w:r>
    </w:p>
    <w:p>
      <w:pPr>
        <w:pStyle w:val="Style17"/>
        <w:keepNext w:val="0"/>
        <w:keepLines w:val="0"/>
        <w:widowControl w:val="0"/>
        <w:shd w:val="clear" w:color="auto" w:fill="auto"/>
        <w:tabs>
          <w:tab w:pos="778" w:val="left"/>
        </w:tabs>
        <w:bidi w:val="0"/>
        <w:spacing w:before="0" w:after="40" w:line="314" w:lineRule="exact"/>
        <w:ind w:left="0" w:right="0" w:firstLine="380"/>
        <w:jc w:val="left"/>
      </w:pPr>
      <w:bookmarkStart w:id="943" w:name="bookmark943"/>
      <w:r>
        <w:rPr>
          <w:rFonts w:ascii="Times New Roman" w:eastAsia="Times New Roman" w:hAnsi="Times New Roman" w:cs="Times New Roman"/>
          <w:color w:val="000000"/>
          <w:spacing w:val="0"/>
          <w:w w:val="100"/>
          <w:position w:val="0"/>
          <w:sz w:val="18"/>
          <w:szCs w:val="18"/>
        </w:rPr>
        <w:t>（</w:t>
      </w:r>
      <w:bookmarkEnd w:id="943"/>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对设定受益计划的会计处理通常包括下列步骤：</w:t>
      </w:r>
    </w:p>
    <w:p>
      <w:pPr>
        <w:pStyle w:val="Style17"/>
        <w:keepNext w:val="0"/>
        <w:keepLines w:val="0"/>
        <w:widowControl w:val="0"/>
        <w:shd w:val="clear" w:color="auto" w:fill="auto"/>
        <w:tabs>
          <w:tab w:pos="691" w:val="left"/>
        </w:tabs>
        <w:bidi w:val="0"/>
        <w:spacing w:before="0" w:after="40" w:line="314" w:lineRule="exact"/>
        <w:ind w:left="0" w:right="0" w:firstLine="380"/>
        <w:jc w:val="left"/>
      </w:pPr>
      <w:bookmarkStart w:id="944" w:name="bookmark944"/>
      <w:r>
        <w:rPr>
          <w:rFonts w:ascii="Times New Roman" w:eastAsia="Times New Roman" w:hAnsi="Times New Roman" w:cs="Times New Roman"/>
          <w:color w:val="000000"/>
          <w:spacing w:val="0"/>
          <w:w w:val="100"/>
          <w:position w:val="0"/>
          <w:sz w:val="18"/>
          <w:szCs w:val="18"/>
        </w:rPr>
        <w:t>1</w:t>
      </w:r>
      <w:bookmarkEnd w:id="9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根据预期累计福利单位法，采用无偏且相互一致的精算假设对有关人口统计变量和财务变量等作出估计，计量设定 受益计划所产生的义务，并确定相关义务的所属期间。同时，对设定受益计划所产生的义务予以折现，以确定设定受益计划 义务的现值和当期服务成本；</w:t>
      </w:r>
    </w:p>
    <w:p>
      <w:pPr>
        <w:pStyle w:val="Style17"/>
        <w:keepNext w:val="0"/>
        <w:keepLines w:val="0"/>
        <w:widowControl w:val="0"/>
        <w:shd w:val="clear" w:color="auto" w:fill="auto"/>
        <w:tabs>
          <w:tab w:pos="691" w:val="left"/>
        </w:tabs>
        <w:bidi w:val="0"/>
        <w:spacing w:before="0" w:after="40" w:line="317" w:lineRule="exact"/>
        <w:ind w:left="0" w:right="0" w:firstLine="380"/>
        <w:jc w:val="left"/>
      </w:pPr>
      <w:bookmarkStart w:id="945" w:name="bookmark945"/>
      <w:r>
        <w:rPr>
          <w:rFonts w:ascii="Times New Roman" w:eastAsia="Times New Roman" w:hAnsi="Times New Roman" w:cs="Times New Roman"/>
          <w:color w:val="000000"/>
          <w:spacing w:val="0"/>
          <w:w w:val="100"/>
          <w:position w:val="0"/>
          <w:sz w:val="18"/>
          <w:szCs w:val="18"/>
        </w:rPr>
        <w:t>2</w:t>
      </w:r>
      <w:bookmarkEnd w:id="9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计划净资产；</w:t>
      </w:r>
    </w:p>
    <w:p>
      <w:pPr>
        <w:pStyle w:val="Style17"/>
        <w:keepNext w:val="0"/>
        <w:keepLines w:val="0"/>
        <w:widowControl w:val="0"/>
        <w:shd w:val="clear" w:color="auto" w:fill="auto"/>
        <w:tabs>
          <w:tab w:pos="701" w:val="left"/>
        </w:tabs>
        <w:bidi w:val="0"/>
        <w:spacing w:before="0" w:after="740" w:line="314" w:lineRule="exact"/>
        <w:ind w:left="0" w:right="0" w:firstLine="380"/>
        <w:jc w:val="left"/>
      </w:pPr>
      <w:bookmarkStart w:id="946" w:name="bookmark946"/>
      <w:r>
        <w:rPr>
          <w:rFonts w:ascii="Times New Roman" w:eastAsia="Times New Roman" w:hAnsi="Times New Roman" w:cs="Times New Roman"/>
          <w:color w:val="000000"/>
          <w:spacing w:val="0"/>
          <w:w w:val="100"/>
          <w:position w:val="0"/>
          <w:sz w:val="18"/>
          <w:szCs w:val="18"/>
        </w:rPr>
        <w:t>3</w:t>
      </w:r>
      <w:bookmarkEnd w:id="9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期末，将设定受益计划产生的职工薪酬成本确认为服务成本、设定受益计划净负债或净资产的利息净额以及重新计 量设定受益计划净负债或净资产所产生的变动等三部分，其中服务成本和设定受益计划净负债或净资产的利息净额计入当期 损益或相关资产成本，重新计量设定受益计划净负债或净资产所产生的变动计入其他综合收益，并且在后续会计期间不允许 转回至损益，但可以在权益范围内转移这些在其他综合收益确认的金额。</w:t>
      </w:r>
    </w:p>
    <w:p>
      <w:pPr>
        <w:pStyle w:val="Style31"/>
        <w:keepNext/>
        <w:keepLines/>
        <w:widowControl w:val="0"/>
        <w:shd w:val="clear" w:color="auto" w:fill="auto"/>
        <w:bidi w:val="0"/>
        <w:spacing w:before="0" w:after="280" w:line="240" w:lineRule="auto"/>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47"/>
      <w:bookmarkEnd w:id="948"/>
      <w:bookmarkEnd w:id="950"/>
    </w:p>
    <w:p>
      <w:pPr>
        <w:pStyle w:val="Style17"/>
        <w:keepNext w:val="0"/>
        <w:keepLines w:val="0"/>
        <w:widowControl w:val="0"/>
        <w:shd w:val="clear" w:color="auto" w:fill="auto"/>
        <w:bidi w:val="0"/>
        <w:spacing w:before="0" w:after="740" w:line="307" w:lineRule="exact"/>
        <w:ind w:left="0" w:right="0" w:firstLine="38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公司不能单方面 撤回因解除劳动关系计划或裁减建议所提供的辞退福利时；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公司确认与涉及支付辞退福利的重组相关的成本或费用时。</w:t>
      </w:r>
    </w:p>
    <w:p>
      <w:pPr>
        <w:pStyle w:val="Style31"/>
        <w:keepNext/>
        <w:keepLines/>
        <w:widowControl w:val="0"/>
        <w:shd w:val="clear" w:color="auto" w:fill="auto"/>
        <w:bidi w:val="0"/>
        <w:spacing w:before="0" w:after="280" w:line="240" w:lineRule="auto"/>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51"/>
      <w:bookmarkEnd w:id="952"/>
      <w:bookmarkEnd w:id="954"/>
    </w:p>
    <w:p>
      <w:pPr>
        <w:pStyle w:val="Style17"/>
        <w:keepNext w:val="0"/>
        <w:keepLines w:val="0"/>
        <w:widowControl w:val="0"/>
        <w:shd w:val="clear" w:color="auto" w:fill="auto"/>
        <w:bidi w:val="0"/>
        <w:spacing w:before="0" w:after="740" w:line="312" w:lineRule="exact"/>
        <w:ind w:left="0" w:right="0" w:firstLine="380"/>
        <w:jc w:val="left"/>
      </w:pPr>
      <w:r>
        <w:rPr>
          <w:color w:val="000000"/>
          <w:spacing w:val="0"/>
          <w:w w:val="100"/>
          <w:position w:val="0"/>
        </w:rPr>
        <w:t>向职工提供的其他长期福利，符合设定提存计划条件的，按照设定提存计划的有关规定进行会计处理；除此之外的其他 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pStyle w:val="Style26"/>
        <w:keepNext/>
        <w:keepLines/>
        <w:widowControl w:val="0"/>
        <w:shd w:val="clear" w:color="auto" w:fill="auto"/>
        <w:bidi w:val="0"/>
        <w:spacing w:before="0" w:after="28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bookmarkEnd w:id="957"/>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955"/>
      <w:bookmarkEnd w:id="956"/>
      <w:bookmarkEnd w:id="958"/>
    </w:p>
    <w:p>
      <w:pPr>
        <w:pStyle w:val="Style17"/>
        <w:keepNext w:val="0"/>
        <w:keepLines w:val="0"/>
        <w:widowControl w:val="0"/>
        <w:numPr>
          <w:ilvl w:val="0"/>
          <w:numId w:val="53"/>
        </w:numPr>
        <w:shd w:val="clear" w:color="auto" w:fill="auto"/>
        <w:bidi w:val="0"/>
        <w:spacing w:before="0" w:after="280" w:line="317" w:lineRule="exact"/>
        <w:ind w:left="0" w:right="0" w:firstLine="380"/>
        <w:jc w:val="both"/>
      </w:pPr>
      <w:bookmarkStart w:id="959" w:name="bookmark959"/>
      <w:bookmarkEnd w:id="959"/>
      <w:r>
        <w:rPr>
          <w:color w:val="000000"/>
          <w:spacing w:val="0"/>
          <w:w w:val="100"/>
          <w:position w:val="0"/>
        </w:rPr>
        <w:t>因对外提供担保、诉讼事项、产品质量保证、亏损合同等或有事项形成的义务成为公司承担的现时义务，履行该义务 很可能导致经济利益流出公司，且该义务的金额能够可靠的计量时，公司将该项义务确认为预计负债。</w:t>
      </w:r>
    </w:p>
    <w:p>
      <w:pPr>
        <w:pStyle w:val="Style17"/>
        <w:keepNext w:val="0"/>
        <w:keepLines w:val="0"/>
        <w:widowControl w:val="0"/>
        <w:numPr>
          <w:ilvl w:val="0"/>
          <w:numId w:val="53"/>
        </w:numPr>
        <w:shd w:val="clear" w:color="auto" w:fill="auto"/>
        <w:bidi w:val="0"/>
        <w:spacing w:before="0" w:after="720" w:line="322" w:lineRule="exact"/>
        <w:ind w:left="0" w:right="0" w:firstLine="380"/>
        <w:jc w:val="both"/>
      </w:pPr>
      <w:bookmarkStart w:id="960" w:name="bookmark960"/>
      <w:bookmarkEnd w:id="960"/>
      <w:r>
        <w:rPr>
          <w:color w:val="000000"/>
          <w:spacing w:val="0"/>
          <w:w w:val="100"/>
          <w:position w:val="0"/>
        </w:rPr>
        <w:t>公司按照履行相关现时义务所需支出的最佳估计数对预计负债进行初始计量，并在资产负债表日对预计负债的账面价 值进行复核。</w:t>
      </w:r>
    </w:p>
    <w:p>
      <w:pPr>
        <w:pStyle w:val="Style26"/>
        <w:keepNext/>
        <w:keepLines/>
        <w:widowControl w:val="0"/>
        <w:shd w:val="clear" w:color="auto" w:fill="auto"/>
        <w:tabs>
          <w:tab w:pos="464" w:val="left"/>
        </w:tabs>
        <w:bidi w:val="0"/>
        <w:spacing w:before="0" w:after="2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2</w:t>
      </w:r>
      <w:bookmarkEnd w:id="963"/>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961"/>
      <w:bookmarkEnd w:id="962"/>
      <w:bookmarkEnd w:id="964"/>
    </w:p>
    <w:p>
      <w:pPr>
        <w:pStyle w:val="Style17"/>
        <w:keepNext w:val="0"/>
        <w:keepLines w:val="0"/>
        <w:widowControl w:val="0"/>
        <w:numPr>
          <w:ilvl w:val="0"/>
          <w:numId w:val="55"/>
        </w:numPr>
        <w:shd w:val="clear" w:color="auto" w:fill="auto"/>
        <w:tabs>
          <w:tab w:pos="662" w:val="left"/>
        </w:tabs>
        <w:bidi w:val="0"/>
        <w:spacing w:before="0" w:after="0" w:line="314" w:lineRule="exact"/>
        <w:ind w:left="0" w:right="0" w:firstLine="380"/>
        <w:jc w:val="left"/>
      </w:pPr>
      <w:bookmarkStart w:id="965" w:name="bookmark965"/>
      <w:bookmarkEnd w:id="965"/>
      <w:r>
        <w:rPr>
          <w:color w:val="000000"/>
          <w:spacing w:val="0"/>
          <w:w w:val="100"/>
          <w:position w:val="0"/>
        </w:rPr>
        <w:t>股份支付的种类</w:t>
      </w:r>
    </w:p>
    <w:p>
      <w:pPr>
        <w:pStyle w:val="Style1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包括以权益结算的股份支付和以现金结算的股份支付。</w:t>
      </w:r>
    </w:p>
    <w:p>
      <w:pPr>
        <w:pStyle w:val="Style17"/>
        <w:keepNext w:val="0"/>
        <w:keepLines w:val="0"/>
        <w:widowControl w:val="0"/>
        <w:numPr>
          <w:ilvl w:val="0"/>
          <w:numId w:val="55"/>
        </w:numPr>
        <w:shd w:val="clear" w:color="auto" w:fill="auto"/>
        <w:tabs>
          <w:tab w:pos="681" w:val="left"/>
        </w:tabs>
        <w:bidi w:val="0"/>
        <w:spacing w:before="0" w:after="0" w:line="314" w:lineRule="exact"/>
        <w:ind w:left="0" w:right="0" w:firstLine="380"/>
        <w:jc w:val="left"/>
      </w:pPr>
      <w:bookmarkStart w:id="966" w:name="bookmark966"/>
      <w:bookmarkEnd w:id="966"/>
      <w:r>
        <w:rPr>
          <w:color w:val="000000"/>
          <w:spacing w:val="0"/>
          <w:w w:val="100"/>
          <w:position w:val="0"/>
        </w:rPr>
        <w:t>实施、修改、终止股份支付计划的相关会计处理</w:t>
      </w:r>
    </w:p>
    <w:p>
      <w:pPr>
        <w:pStyle w:val="Style17"/>
        <w:keepNext w:val="0"/>
        <w:keepLines w:val="0"/>
        <w:widowControl w:val="0"/>
        <w:shd w:val="clear" w:color="auto" w:fill="auto"/>
        <w:tabs>
          <w:tab w:pos="767" w:val="left"/>
        </w:tabs>
        <w:bidi w:val="0"/>
        <w:spacing w:before="0" w:after="0" w:line="314" w:lineRule="exact"/>
        <w:ind w:left="0" w:right="0" w:firstLine="380"/>
        <w:jc w:val="left"/>
      </w:pPr>
      <w:bookmarkStart w:id="967" w:name="bookmark967"/>
      <w:r>
        <w:rPr>
          <w:rFonts w:ascii="Times New Roman" w:eastAsia="Times New Roman" w:hAnsi="Times New Roman" w:cs="Times New Roman"/>
          <w:color w:val="000000"/>
          <w:spacing w:val="0"/>
          <w:w w:val="100"/>
          <w:position w:val="0"/>
          <w:sz w:val="18"/>
          <w:szCs w:val="18"/>
        </w:rPr>
        <w:t>（</w:t>
      </w:r>
      <w:bookmarkEnd w:id="96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以权益结算的股份支付</w:t>
      </w:r>
    </w:p>
    <w:p>
      <w:pPr>
        <w:pStyle w:val="Style17"/>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1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换取其他方服务的权益结算的股份支付，如果其他方服务的公允价值能够可靠计量的，按照其他方服务在取得日的公允 价值计量；如果其他方服务的公允价值不能可靠计量，但权益工具的公允价值能够可靠计量的，按照权益工具在服务取得日 的公允价值计量，计入相关成本或费用，相应增加所有者权益。</w:t>
      </w:r>
    </w:p>
    <w:p>
      <w:pPr>
        <w:pStyle w:val="Style17"/>
        <w:keepNext w:val="0"/>
        <w:keepLines w:val="0"/>
        <w:widowControl w:val="0"/>
        <w:shd w:val="clear" w:color="auto" w:fill="auto"/>
        <w:tabs>
          <w:tab w:pos="767" w:val="left"/>
        </w:tabs>
        <w:bidi w:val="0"/>
        <w:spacing w:before="0" w:after="0" w:line="314" w:lineRule="exact"/>
        <w:ind w:left="0" w:right="0" w:firstLine="380"/>
        <w:jc w:val="left"/>
      </w:pPr>
      <w:bookmarkStart w:id="968" w:name="bookmark968"/>
      <w:r>
        <w:rPr>
          <w:rFonts w:ascii="Times New Roman" w:eastAsia="Times New Roman" w:hAnsi="Times New Roman" w:cs="Times New Roman"/>
          <w:color w:val="000000"/>
          <w:spacing w:val="0"/>
          <w:w w:val="100"/>
          <w:position w:val="0"/>
          <w:sz w:val="18"/>
          <w:szCs w:val="18"/>
        </w:rPr>
        <w:t>（</w:t>
      </w:r>
      <w:bookmarkEnd w:id="96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以现金结算的股份支付</w:t>
      </w:r>
    </w:p>
    <w:p>
      <w:pPr>
        <w:pStyle w:val="Style17"/>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授予后立即可行权的换取职工服务的以现金结算的股份支付，在授予日按公司承担负债的公允价值计入相关成本或费 用，相应增加负债。完成等待期内的服务或达到规定业绩条件才可行权的换取职工服务的以现金结算的股份支付，在等待期 内的每个资产负债表日，以对可行权情况的最佳估计为基础，按公司承担负债的公允价值，将当期取得的服务计入相关成本 或费用和相应的负债。</w:t>
      </w:r>
    </w:p>
    <w:p>
      <w:pPr>
        <w:pStyle w:val="Style17"/>
        <w:keepNext w:val="0"/>
        <w:keepLines w:val="0"/>
        <w:widowControl w:val="0"/>
        <w:shd w:val="clear" w:color="auto" w:fill="auto"/>
        <w:tabs>
          <w:tab w:pos="767" w:val="left"/>
        </w:tabs>
        <w:bidi w:val="0"/>
        <w:spacing w:before="0" w:after="0" w:line="314" w:lineRule="exact"/>
        <w:ind w:left="0" w:right="0" w:firstLine="380"/>
        <w:jc w:val="both"/>
      </w:pPr>
      <w:bookmarkStart w:id="969" w:name="bookmark969"/>
      <w:r>
        <w:rPr>
          <w:rFonts w:ascii="Times New Roman" w:eastAsia="Times New Roman" w:hAnsi="Times New Roman" w:cs="Times New Roman"/>
          <w:color w:val="000000"/>
          <w:spacing w:val="0"/>
          <w:w w:val="100"/>
          <w:position w:val="0"/>
          <w:sz w:val="18"/>
          <w:szCs w:val="18"/>
        </w:rPr>
        <w:t>（</w:t>
      </w:r>
      <w:bookmarkEnd w:id="969"/>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修改、终止股份支付计划</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如果修改增加了所授予的权益工具的公允价值，公司按照权益工具公允价值的增加相应地确认取得服务的增加；如果修 改增加了所授予的权益工具的数量，公司将增加的权益工具的公允价值相应地确认为取得服务的增加；如果公司按照有利于 职工的方式修改可行权条件，公司在处理可行权条件时，考虑修改后的可行权条件。</w:t>
      </w:r>
    </w:p>
    <w:p>
      <w:pPr>
        <w:pStyle w:val="Style1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如果修改减少了授予的权益工具的公允价值，公司继续以权益工具在授予日的公允价值为基础，确认取得服务的金额， 而不考虑权益工具公允价值的减少；如果修改减少了授予的权益工具的数量，公司将减少部分作为已授予的权益工具的取消 来进行处理；如果以不利于职工的方式修改了可行权条件，在处理可行权条件时，不考虑修改后的可行权条件。</w:t>
      </w:r>
    </w:p>
    <w:p>
      <w:pPr>
        <w:pStyle w:val="Style17"/>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如果公司在等待期内取消了所授予的权益工具或结算了所授予的权益工具（因未满足可行权条件而被取消的除外），则 将取消或结算作为加速可行权处理，立即确认原本在剩余等待期内确认的金额。</w:t>
      </w:r>
    </w:p>
    <w:p>
      <w:pPr>
        <w:pStyle w:val="Style26"/>
        <w:keepNext/>
        <w:keepLines/>
        <w:widowControl w:val="0"/>
        <w:shd w:val="clear" w:color="auto" w:fill="auto"/>
        <w:tabs>
          <w:tab w:pos="464" w:val="left"/>
        </w:tabs>
        <w:bidi w:val="0"/>
        <w:spacing w:before="0" w:after="28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970"/>
      <w:bookmarkEnd w:id="971"/>
      <w:bookmarkEnd w:id="973"/>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7"/>
        <w:keepNext w:val="0"/>
        <w:keepLines w:val="0"/>
        <w:widowControl w:val="0"/>
        <w:numPr>
          <w:ilvl w:val="0"/>
          <w:numId w:val="57"/>
        </w:numPr>
        <w:shd w:val="clear" w:color="auto" w:fill="auto"/>
        <w:bidi w:val="0"/>
        <w:spacing w:before="0" w:after="0" w:line="314" w:lineRule="exact"/>
        <w:ind w:left="0" w:right="0" w:firstLine="380"/>
        <w:jc w:val="both"/>
      </w:pPr>
      <w:bookmarkStart w:id="974" w:name="bookmark974"/>
      <w:bookmarkEnd w:id="974"/>
      <w:r>
        <w:rPr>
          <w:color w:val="000000"/>
          <w:spacing w:val="0"/>
          <w:w w:val="100"/>
          <w:position w:val="0"/>
        </w:rPr>
        <w:t>收入确认原则</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于合同开始日，公司对合同进行评估，识别合同所包含的各单项履约义务，并确定各单项履约义务是在某一时段内履行， 还是在某一时点履行。</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满足下列条件之一时，属于在某一时段内履行履约义务，否则，属于在某一时点履行履约义务：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客户在公司履约的 同时即取得并消耗公司履约所带来的经济利益；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客户能够控制公司履约过程中在建商品；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公司履约过程中所产出的 商品具有不可替代用途，且公司在整个合同期间内有权就累计至今已完成的履约部分收取款项。</w:t>
      </w:r>
    </w:p>
    <w:p>
      <w:pPr>
        <w:pStyle w:val="Style17"/>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 xml:space="preserve">对于在某一时段内履行的履约义务，公司在该段时间内按照履约进度确认收入。履约进度不能合理确定时，已经发生的 </w:t>
      </w:r>
      <w:r>
        <w:rPr>
          <w:color w:val="000000"/>
          <w:spacing w:val="0"/>
          <w:w w:val="100"/>
          <w:position w:val="0"/>
        </w:rPr>
        <w:t>成本预计能够得到补偿的，按照已经发生的成本金额确认收入，直到履约进度能够合理确定为止。对于在某一时点履行的履 约义务，在客户取得相关商品或服务控制权时点确认收入。在判断客户是否已取得商品控制权时，公司考虑下列迹象：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 司就该商品享有现时收款权利，即客户就该商品负有现时付款义务；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公司已将该商品的法定所有权转移给客户，即客户 已拥有该商品的法定所有权；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公司已将该商品实物转移给客户，即客户已实物占有该商品；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公司已将该商品所有权 上的主要风险和报酬转移给客户，即客户已取得该商品所有权上的主要风险和报酬；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客户已接受该商品；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其他表明 客户已取得商品控制权的迹象。</w:t>
      </w:r>
    </w:p>
    <w:p>
      <w:pPr>
        <w:pStyle w:val="Style17"/>
        <w:keepNext w:val="0"/>
        <w:keepLines w:val="0"/>
        <w:widowControl w:val="0"/>
        <w:numPr>
          <w:ilvl w:val="0"/>
          <w:numId w:val="57"/>
        </w:numPr>
        <w:shd w:val="clear" w:color="auto" w:fill="auto"/>
        <w:tabs>
          <w:tab w:pos="665" w:val="left"/>
        </w:tabs>
        <w:bidi w:val="0"/>
        <w:spacing w:before="0" w:after="0" w:line="360" w:lineRule="auto"/>
        <w:ind w:left="0" w:right="0" w:firstLine="380"/>
        <w:jc w:val="left"/>
      </w:pPr>
      <w:bookmarkStart w:id="975" w:name="bookmark975"/>
      <w:bookmarkEnd w:id="975"/>
      <w:r>
        <w:rPr>
          <w:color w:val="000000"/>
          <w:spacing w:val="0"/>
          <w:w w:val="100"/>
          <w:position w:val="0"/>
        </w:rPr>
        <w:t>收入计量原则</w:t>
      </w:r>
    </w:p>
    <w:p>
      <w:pPr>
        <w:pStyle w:val="Style17"/>
        <w:keepNext w:val="0"/>
        <w:keepLines w:val="0"/>
        <w:widowControl w:val="0"/>
        <w:numPr>
          <w:ilvl w:val="0"/>
          <w:numId w:val="59"/>
        </w:numPr>
        <w:shd w:val="clear" w:color="auto" w:fill="auto"/>
        <w:tabs>
          <w:tab w:pos="732" w:val="left"/>
        </w:tabs>
        <w:bidi w:val="0"/>
        <w:spacing w:before="0" w:after="0" w:line="312" w:lineRule="exact"/>
        <w:ind w:left="0" w:right="0" w:firstLine="380"/>
        <w:jc w:val="left"/>
      </w:pPr>
      <w:bookmarkStart w:id="976" w:name="bookmark976"/>
      <w:bookmarkEnd w:id="976"/>
      <w:r>
        <w:rPr>
          <w:color w:val="000000"/>
          <w:spacing w:val="0"/>
          <w:w w:val="100"/>
          <w:position w:val="0"/>
        </w:rPr>
        <w:t>公司按照分摊至各单项履约义务的交易价格计量收入。交易价格是公司因向客户转让商品或服务而预期有权收取的 对价金额，不包括代第三方收取的款项以及预期将退还给客户的款项。</w:t>
      </w:r>
    </w:p>
    <w:p>
      <w:pPr>
        <w:pStyle w:val="Style17"/>
        <w:keepNext w:val="0"/>
        <w:keepLines w:val="0"/>
        <w:widowControl w:val="0"/>
        <w:numPr>
          <w:ilvl w:val="0"/>
          <w:numId w:val="59"/>
        </w:numPr>
        <w:shd w:val="clear" w:color="auto" w:fill="auto"/>
        <w:tabs>
          <w:tab w:pos="727" w:val="left"/>
        </w:tabs>
        <w:bidi w:val="0"/>
        <w:spacing w:before="0" w:after="0" w:line="317" w:lineRule="exact"/>
        <w:ind w:left="0" w:right="0" w:firstLine="380"/>
        <w:jc w:val="left"/>
      </w:pPr>
      <w:bookmarkStart w:id="977" w:name="bookmark977"/>
      <w:bookmarkEnd w:id="977"/>
      <w:r>
        <w:rPr>
          <w:color w:val="000000"/>
          <w:spacing w:val="0"/>
          <w:w w:val="100"/>
          <w:position w:val="0"/>
        </w:rPr>
        <w:t>合同中存在可变对价的，公司按照期望值或最可能发生金额确定可变对价的最佳估计数，但包含可变对价的交易价 格，不超过在相关不确定性消除时累计已确认收入极可能不会发生重大转回的金额。</w:t>
      </w:r>
    </w:p>
    <w:p>
      <w:pPr>
        <w:pStyle w:val="Style17"/>
        <w:keepNext w:val="0"/>
        <w:keepLines w:val="0"/>
        <w:widowControl w:val="0"/>
        <w:numPr>
          <w:ilvl w:val="0"/>
          <w:numId w:val="59"/>
        </w:numPr>
        <w:shd w:val="clear" w:color="auto" w:fill="auto"/>
        <w:tabs>
          <w:tab w:pos="727" w:val="left"/>
        </w:tabs>
        <w:bidi w:val="0"/>
        <w:spacing w:before="0" w:after="0" w:line="323" w:lineRule="exact"/>
        <w:ind w:left="0" w:right="0" w:firstLine="380"/>
        <w:jc w:val="left"/>
      </w:pPr>
      <w:bookmarkStart w:id="978" w:name="bookmark978"/>
      <w:bookmarkEnd w:id="978"/>
      <w:r>
        <w:rPr>
          <w:color w:val="000000"/>
          <w:spacing w:val="0"/>
          <w:w w:val="100"/>
          <w:position w:val="0"/>
        </w:rPr>
        <w:t>合同中存在重大融资成分的，公司按照假定客户在取得商品或服务控制权时即以现金支付的应付金额确定交易价 格。该交易价格与合同对价之间的差额，在合同期间内采用实际利率法摊销。合同开始日，公司预计客户取得商品或服务控 制权与客户支付价款间隔不超过一年的，不考虑合同中存在的重大融资成分。</w:t>
      </w:r>
    </w:p>
    <w:p>
      <w:pPr>
        <w:pStyle w:val="Style17"/>
        <w:keepNext w:val="0"/>
        <w:keepLines w:val="0"/>
        <w:widowControl w:val="0"/>
        <w:numPr>
          <w:ilvl w:val="0"/>
          <w:numId w:val="59"/>
        </w:numPr>
        <w:shd w:val="clear" w:color="auto" w:fill="auto"/>
        <w:tabs>
          <w:tab w:pos="727" w:val="left"/>
        </w:tabs>
        <w:bidi w:val="0"/>
        <w:spacing w:before="0" w:after="140" w:line="323" w:lineRule="exact"/>
        <w:ind w:left="0" w:right="0" w:firstLine="380"/>
        <w:jc w:val="left"/>
      </w:pPr>
      <w:bookmarkStart w:id="979" w:name="bookmark979"/>
      <w:bookmarkEnd w:id="979"/>
      <w:r>
        <w:rPr>
          <w:color w:val="000000"/>
          <w:spacing w:val="0"/>
          <w:w w:val="100"/>
          <w:position w:val="0"/>
        </w:rPr>
        <w:t>合同中包含两项或多项履约义务的，公司于合同开始日，按照各单项履约义务所承诺商品的单独售价的相对比例， 将交易价格分摊至各单项履约义务。</w:t>
      </w:r>
    </w:p>
    <w:p>
      <w:pPr>
        <w:pStyle w:val="Style17"/>
        <w:keepNext w:val="0"/>
        <w:keepLines w:val="0"/>
        <w:widowControl w:val="0"/>
        <w:numPr>
          <w:ilvl w:val="0"/>
          <w:numId w:val="57"/>
        </w:numPr>
        <w:shd w:val="clear" w:color="auto" w:fill="auto"/>
        <w:tabs>
          <w:tab w:pos="665" w:val="left"/>
        </w:tabs>
        <w:bidi w:val="0"/>
        <w:spacing w:before="0" w:after="0" w:line="360" w:lineRule="auto"/>
        <w:ind w:left="0" w:right="0" w:firstLine="380"/>
        <w:jc w:val="left"/>
      </w:pPr>
      <w:bookmarkStart w:id="980" w:name="bookmark980"/>
      <w:bookmarkEnd w:id="980"/>
      <w:r>
        <w:rPr>
          <w:color w:val="000000"/>
          <w:spacing w:val="0"/>
          <w:w w:val="100"/>
          <w:position w:val="0"/>
        </w:rPr>
        <w:t>收入确认的具体方法</w:t>
      </w:r>
    </w:p>
    <w:p>
      <w:pPr>
        <w:pStyle w:val="Style17"/>
        <w:keepNext w:val="0"/>
        <w:keepLines w:val="0"/>
        <w:widowControl w:val="0"/>
        <w:shd w:val="clear" w:color="auto" w:fill="auto"/>
        <w:bidi w:val="0"/>
        <w:spacing w:before="0" w:after="140" w:line="307" w:lineRule="exact"/>
        <w:ind w:left="0" w:right="0" w:firstLine="380"/>
        <w:jc w:val="left"/>
      </w:pPr>
      <w:r>
        <w:rPr>
          <w:color w:val="000000"/>
          <w:spacing w:val="0"/>
          <w:w w:val="100"/>
          <w:position w:val="0"/>
        </w:rPr>
        <w:t>公司主要经营医疗信息系统的相关产品及开发与服务、数字化场景应用系统的实施以及销售商品等其他业务。主要业务 类型的收入确认具体方法如下：</w:t>
      </w:r>
    </w:p>
    <w:p>
      <w:pPr>
        <w:pStyle w:val="Style17"/>
        <w:keepNext w:val="0"/>
        <w:keepLines w:val="0"/>
        <w:widowControl w:val="0"/>
        <w:numPr>
          <w:ilvl w:val="0"/>
          <w:numId w:val="61"/>
        </w:numPr>
        <w:shd w:val="clear" w:color="auto" w:fill="auto"/>
        <w:tabs>
          <w:tab w:pos="752" w:val="left"/>
        </w:tabs>
        <w:bidi w:val="0"/>
        <w:spacing w:before="0" w:after="0" w:line="360" w:lineRule="auto"/>
        <w:ind w:left="0" w:right="0" w:firstLine="380"/>
        <w:jc w:val="left"/>
      </w:pPr>
      <w:bookmarkStart w:id="981" w:name="bookmark981"/>
      <w:bookmarkEnd w:id="981"/>
      <w:r>
        <w:rPr>
          <w:color w:val="000000"/>
          <w:spacing w:val="0"/>
          <w:w w:val="100"/>
          <w:position w:val="0"/>
        </w:rPr>
        <w:t>医疗信息系统软件的销售与开发</w:t>
      </w:r>
    </w:p>
    <w:p>
      <w:pPr>
        <w:pStyle w:val="Style17"/>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该类业务主要包括医院临床信息系统、区域智慧医疗系统的销售与开发，根据合同履约义务的性质判断，属于在某一时 点履行的履约义务，公司在完成履约义务并经客户确认、已收取款项或者享有现时收款权利时确认收入。</w:t>
      </w:r>
    </w:p>
    <w:p>
      <w:pPr>
        <w:pStyle w:val="Style17"/>
        <w:keepNext w:val="0"/>
        <w:keepLines w:val="0"/>
        <w:widowControl w:val="0"/>
        <w:numPr>
          <w:ilvl w:val="0"/>
          <w:numId w:val="61"/>
        </w:numPr>
        <w:shd w:val="clear" w:color="auto" w:fill="auto"/>
        <w:tabs>
          <w:tab w:pos="752" w:val="left"/>
        </w:tabs>
        <w:bidi w:val="0"/>
        <w:spacing w:before="0" w:after="0" w:line="360" w:lineRule="auto"/>
        <w:ind w:left="0" w:right="0" w:firstLine="380"/>
        <w:jc w:val="left"/>
      </w:pPr>
      <w:bookmarkStart w:id="982" w:name="bookmark982"/>
      <w:bookmarkEnd w:id="982"/>
      <w:r>
        <w:rPr>
          <w:color w:val="000000"/>
          <w:spacing w:val="0"/>
          <w:w w:val="100"/>
          <w:position w:val="0"/>
        </w:rPr>
        <w:t>医疗信息系统服务</w:t>
      </w:r>
    </w:p>
    <w:p>
      <w:pPr>
        <w:pStyle w:val="Style17"/>
        <w:keepNext w:val="0"/>
        <w:keepLines w:val="0"/>
        <w:widowControl w:val="0"/>
        <w:shd w:val="clear" w:color="auto" w:fill="auto"/>
        <w:bidi w:val="0"/>
        <w:spacing w:before="0" w:after="140" w:line="307" w:lineRule="exact"/>
        <w:ind w:left="0" w:right="0" w:firstLine="380"/>
        <w:jc w:val="left"/>
      </w:pPr>
      <w:r>
        <w:rPr>
          <w:color w:val="000000"/>
          <w:spacing w:val="0"/>
          <w:w w:val="100"/>
          <w:position w:val="0"/>
        </w:rPr>
        <w:t>该类业务主要为在一段时间内向客户提供系统运维服务，由于客户在公司履约的同时即取得并消耗公司履约所带来的经 济利益，属于在某一时段内履行履约义务，按照公司与客户的约定分期确认收入。</w:t>
      </w:r>
    </w:p>
    <w:p>
      <w:pPr>
        <w:pStyle w:val="Style17"/>
        <w:keepNext w:val="0"/>
        <w:keepLines w:val="0"/>
        <w:widowControl w:val="0"/>
        <w:numPr>
          <w:ilvl w:val="0"/>
          <w:numId w:val="61"/>
        </w:numPr>
        <w:shd w:val="clear" w:color="auto" w:fill="auto"/>
        <w:tabs>
          <w:tab w:pos="752" w:val="left"/>
        </w:tabs>
        <w:bidi w:val="0"/>
        <w:spacing w:before="0" w:after="0" w:line="360" w:lineRule="auto"/>
        <w:ind w:left="0" w:right="0" w:firstLine="380"/>
        <w:jc w:val="left"/>
      </w:pPr>
      <w:bookmarkStart w:id="983" w:name="bookmark983"/>
      <w:bookmarkEnd w:id="983"/>
      <w:r>
        <w:rPr>
          <w:color w:val="000000"/>
          <w:spacing w:val="0"/>
          <w:w w:val="100"/>
          <w:position w:val="0"/>
        </w:rPr>
        <w:t>数字化场景应用系统的实施</w:t>
      </w:r>
    </w:p>
    <w:p>
      <w:pPr>
        <w:pStyle w:val="Style17"/>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公司提供数字化场景应用系统的实施属于在某一时段内履行履约义务，根据投入法按照已交付的产品或已确认的工程量 确定履约进度。履约进度不能合理确定时，公司已经发生的成本预计能够得到补偿的，按照已经发生的成本金额确认收入， 直到履约进度能够合理确定为止。</w:t>
      </w:r>
    </w:p>
    <w:p>
      <w:pPr>
        <w:pStyle w:val="Style17"/>
        <w:keepNext w:val="0"/>
        <w:keepLines w:val="0"/>
        <w:widowControl w:val="0"/>
        <w:numPr>
          <w:ilvl w:val="0"/>
          <w:numId w:val="61"/>
        </w:numPr>
        <w:shd w:val="clear" w:color="auto" w:fill="auto"/>
        <w:tabs>
          <w:tab w:pos="752" w:val="left"/>
        </w:tabs>
        <w:bidi w:val="0"/>
        <w:spacing w:before="0" w:after="0" w:line="360" w:lineRule="auto"/>
        <w:ind w:left="0" w:right="0" w:firstLine="380"/>
        <w:jc w:val="left"/>
      </w:pPr>
      <w:bookmarkStart w:id="984" w:name="bookmark984"/>
      <w:bookmarkEnd w:id="984"/>
      <w:r>
        <w:rPr>
          <w:color w:val="000000"/>
          <w:spacing w:val="0"/>
          <w:w w:val="100"/>
          <w:position w:val="0"/>
        </w:rPr>
        <w:t>其他软件及硬件产品销售业务</w:t>
      </w:r>
    </w:p>
    <w:p>
      <w:pPr>
        <w:pStyle w:val="Style17"/>
        <w:keepNext w:val="0"/>
        <w:keepLines w:val="0"/>
        <w:widowControl w:val="0"/>
        <w:shd w:val="clear" w:color="auto" w:fill="auto"/>
        <w:bidi w:val="0"/>
        <w:spacing w:before="0" w:after="400" w:line="307" w:lineRule="exact"/>
        <w:ind w:left="0" w:right="0" w:firstLine="380"/>
        <w:jc w:val="left"/>
      </w:pPr>
      <w:r>
        <w:rPr>
          <w:color w:val="000000"/>
          <w:spacing w:val="0"/>
          <w:w w:val="100"/>
          <w:position w:val="0"/>
        </w:rPr>
        <w:t>公司其他软件及硬件产品销售业务属于在某一时点履行履约义务，在客户验收、已收取货款或取得了收款权利且相关的 经济利益很可能流入时确认。</w:t>
      </w:r>
    </w:p>
    <w:p>
      <w:pPr>
        <w:pStyle w:val="Style26"/>
        <w:keepNext/>
        <w:keepLines/>
        <w:widowControl w:val="0"/>
        <w:shd w:val="clear" w:color="auto" w:fill="auto"/>
        <w:bidi w:val="0"/>
        <w:spacing w:before="0" w:after="28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985"/>
      <w:bookmarkEnd w:id="986"/>
      <w:bookmarkEnd w:id="988"/>
    </w:p>
    <w:p>
      <w:pPr>
        <w:pStyle w:val="Style17"/>
        <w:keepNext w:val="0"/>
        <w:keepLines w:val="0"/>
        <w:widowControl w:val="0"/>
        <w:numPr>
          <w:ilvl w:val="0"/>
          <w:numId w:val="63"/>
        </w:numPr>
        <w:shd w:val="clear" w:color="auto" w:fill="auto"/>
        <w:tabs>
          <w:tab w:pos="657" w:val="left"/>
        </w:tabs>
        <w:bidi w:val="0"/>
        <w:spacing w:before="0" w:after="140" w:line="314" w:lineRule="exact"/>
        <w:ind w:left="0" w:right="0" w:firstLine="380"/>
        <w:jc w:val="both"/>
      </w:pPr>
      <w:bookmarkStart w:id="989" w:name="bookmark989"/>
      <w:bookmarkEnd w:id="989"/>
      <w:r>
        <w:rPr>
          <w:color w:val="000000"/>
          <w:spacing w:val="0"/>
          <w:w w:val="100"/>
          <w:position w:val="0"/>
        </w:rPr>
        <w:t>政府补助在同时满足下列条件时予以确认：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公司能够满足政府补助所附的条件；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公司能够收到政府补助。政 府补助为货币性资产的，按照收到或应收的金额计量。政府补助为非货币性资产的，按照公允价值计量；公允价值不能可靠 取得的，按照名义金额计量。</w:t>
      </w:r>
    </w:p>
    <w:p>
      <w:pPr>
        <w:pStyle w:val="Style17"/>
        <w:keepNext w:val="0"/>
        <w:keepLines w:val="0"/>
        <w:widowControl w:val="0"/>
        <w:numPr>
          <w:ilvl w:val="0"/>
          <w:numId w:val="63"/>
        </w:numPr>
        <w:shd w:val="clear" w:color="auto" w:fill="auto"/>
        <w:tabs>
          <w:tab w:pos="665" w:val="left"/>
        </w:tabs>
        <w:bidi w:val="0"/>
        <w:spacing w:before="0" w:after="0" w:line="360" w:lineRule="auto"/>
        <w:ind w:left="0" w:right="0" w:firstLine="380"/>
        <w:jc w:val="both"/>
      </w:pPr>
      <w:bookmarkStart w:id="990" w:name="bookmark990"/>
      <w:bookmarkEnd w:id="990"/>
      <w:r>
        <w:rPr>
          <w:color w:val="000000"/>
          <w:spacing w:val="0"/>
          <w:w w:val="100"/>
          <w:position w:val="0"/>
        </w:rPr>
        <w:t>与资产相关的政府补助判断依据及会计处理方法</w:t>
      </w:r>
    </w:p>
    <w:p>
      <w:pPr>
        <w:pStyle w:val="Style1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 xml:space="preserve">政府文件规定用于购建或以其他方式形成长期资产的政府补助划分为与资产相关的政府补助。政府文件不明确的，以取 得该补助必须具备的基本条件为基础进行判断，以购建或其他方式形成长期资产为基本条件的作为与资产相关的政府补助。 与资产相关的政府补助，冲减相关资产的账面价值或确认为递延收益。与资产相关的政府补助确认为递延收益的，在相关资 </w:t>
      </w:r>
      <w:r>
        <w:rPr>
          <w:color w:val="000000"/>
          <w:spacing w:val="0"/>
          <w:w w:val="100"/>
          <w:position w:val="0"/>
        </w:rPr>
        <w:t>产使用寿命内按照合理、系统的方法分期计入损益。按照名义金额计量的政府补助，直接计入当期损益。相关资产在使用寿 命结束前被出售、转让、报废或发生毁损的，将尚未分配的相关递延收益余额转入资产处置当期的损益。</w:t>
      </w:r>
    </w:p>
    <w:p>
      <w:pPr>
        <w:pStyle w:val="Style17"/>
        <w:keepNext w:val="0"/>
        <w:keepLines w:val="0"/>
        <w:widowControl w:val="0"/>
        <w:numPr>
          <w:ilvl w:val="0"/>
          <w:numId w:val="63"/>
        </w:numPr>
        <w:shd w:val="clear" w:color="auto" w:fill="auto"/>
        <w:tabs>
          <w:tab w:pos="675" w:val="left"/>
        </w:tabs>
        <w:bidi w:val="0"/>
        <w:spacing w:before="0" w:after="0" w:line="360" w:lineRule="auto"/>
        <w:ind w:left="0" w:right="0" w:firstLine="380"/>
        <w:jc w:val="left"/>
      </w:pPr>
      <w:bookmarkStart w:id="991" w:name="bookmark991"/>
      <w:bookmarkEnd w:id="991"/>
      <w:r>
        <w:rPr>
          <w:color w:val="000000"/>
          <w:spacing w:val="0"/>
          <w:w w:val="100"/>
          <w:position w:val="0"/>
        </w:rPr>
        <w:t>与收益相关的政府补助判断依据及会计处理方法</w:t>
      </w:r>
    </w:p>
    <w:p>
      <w:pPr>
        <w:pStyle w:val="Style17"/>
        <w:keepNext w:val="0"/>
        <w:keepLines w:val="0"/>
        <w:widowControl w:val="0"/>
        <w:shd w:val="clear" w:color="auto" w:fill="auto"/>
        <w:bidi w:val="0"/>
        <w:spacing w:before="0" w:after="40" w:line="310" w:lineRule="exact"/>
        <w:ind w:left="0" w:right="0" w:firstLine="380"/>
        <w:jc w:val="left"/>
      </w:pPr>
      <w:r>
        <w:rPr>
          <w:color w:val="000000"/>
          <w:spacing w:val="0"/>
          <w:w w:val="100"/>
          <w:position w:val="0"/>
        </w:rPr>
        <w:t>除与资产相关的政府补助之外的政府补助划分为与收益相关的政府补助。对于同时包含与资产相关部分和与收益相关部 分的政府补助，难以区分与资产相关或与收益相关的，整体归类为与收益相关的政府补助。与收益相关的政府补助，用于补 偿以后期间的相关成本费用或损失的，确认为递延收益，在确认相关成本费用或损失的期间，计入当期损益或冲减相关成本； 用于补偿已发生的相关成本费用或损失的，直接计入当期损益或冲减相关成本。</w:t>
      </w:r>
    </w:p>
    <w:p>
      <w:pPr>
        <w:pStyle w:val="Style17"/>
        <w:keepNext w:val="0"/>
        <w:keepLines w:val="0"/>
        <w:widowControl w:val="0"/>
        <w:numPr>
          <w:ilvl w:val="0"/>
          <w:numId w:val="63"/>
        </w:numPr>
        <w:shd w:val="clear" w:color="auto" w:fill="auto"/>
        <w:tabs>
          <w:tab w:pos="655" w:val="left"/>
        </w:tabs>
        <w:bidi w:val="0"/>
        <w:spacing w:before="0" w:after="140" w:line="322" w:lineRule="exact"/>
        <w:ind w:left="0" w:right="0" w:firstLine="380"/>
        <w:jc w:val="left"/>
      </w:pPr>
      <w:bookmarkStart w:id="992" w:name="bookmark992"/>
      <w:bookmarkEnd w:id="992"/>
      <w:r>
        <w:rPr>
          <w:color w:val="000000"/>
          <w:spacing w:val="0"/>
          <w:w w:val="100"/>
          <w:position w:val="0"/>
        </w:rPr>
        <w:t>与公司日常经营活动相关的政府补助，按照经济业务实质，计入其他收益或冲减相关成本费用。与公司日常活动无 关的政府补助，计入营业外收支。</w:t>
      </w:r>
    </w:p>
    <w:p>
      <w:pPr>
        <w:pStyle w:val="Style17"/>
        <w:keepNext w:val="0"/>
        <w:keepLines w:val="0"/>
        <w:widowControl w:val="0"/>
        <w:numPr>
          <w:ilvl w:val="0"/>
          <w:numId w:val="63"/>
        </w:numPr>
        <w:shd w:val="clear" w:color="auto" w:fill="auto"/>
        <w:tabs>
          <w:tab w:pos="675" w:val="left"/>
        </w:tabs>
        <w:bidi w:val="0"/>
        <w:spacing w:before="0" w:after="0" w:line="360" w:lineRule="auto"/>
        <w:ind w:left="0" w:right="0" w:firstLine="380"/>
        <w:jc w:val="left"/>
      </w:pPr>
      <w:bookmarkStart w:id="993" w:name="bookmark993"/>
      <w:bookmarkEnd w:id="993"/>
      <w:r>
        <w:rPr>
          <w:color w:val="000000"/>
          <w:spacing w:val="0"/>
          <w:w w:val="100"/>
          <w:position w:val="0"/>
        </w:rPr>
        <w:t>政策性优惠贷款贴息的会计处理方法</w:t>
      </w:r>
    </w:p>
    <w:p>
      <w:pPr>
        <w:pStyle w:val="Style17"/>
        <w:keepNext w:val="0"/>
        <w:keepLines w:val="0"/>
        <w:widowControl w:val="0"/>
        <w:numPr>
          <w:ilvl w:val="0"/>
          <w:numId w:val="65"/>
        </w:numPr>
        <w:shd w:val="clear" w:color="auto" w:fill="auto"/>
        <w:tabs>
          <w:tab w:pos="746" w:val="left"/>
        </w:tabs>
        <w:bidi w:val="0"/>
        <w:spacing w:before="0" w:after="140" w:line="312" w:lineRule="exact"/>
        <w:ind w:left="0" w:right="0" w:firstLine="380"/>
        <w:jc w:val="left"/>
      </w:pPr>
      <w:bookmarkStart w:id="994" w:name="bookmark994"/>
      <w:bookmarkEnd w:id="994"/>
      <w:r>
        <w:rPr>
          <w:color w:val="000000"/>
          <w:spacing w:val="0"/>
          <w:w w:val="100"/>
          <w:position w:val="0"/>
        </w:rPr>
        <w:t>财政将贴息资金拨付给贷款银行，由贷款银行以政策性优惠利率向公司提供贷款的，以实际收到的借款金额作为借 款的入账价值，按照借款本金和该政策性优惠利率计算相关借款费用。</w:t>
      </w:r>
    </w:p>
    <w:p>
      <w:pPr>
        <w:pStyle w:val="Style17"/>
        <w:keepNext w:val="0"/>
        <w:keepLines w:val="0"/>
        <w:widowControl w:val="0"/>
        <w:numPr>
          <w:ilvl w:val="0"/>
          <w:numId w:val="65"/>
        </w:numPr>
        <w:shd w:val="clear" w:color="auto" w:fill="auto"/>
        <w:tabs>
          <w:tab w:pos="771" w:val="left"/>
        </w:tabs>
        <w:bidi w:val="0"/>
        <w:spacing w:before="0" w:after="280" w:line="360" w:lineRule="auto"/>
        <w:ind w:left="0" w:right="0" w:firstLine="380"/>
        <w:jc w:val="left"/>
      </w:pPr>
      <w:bookmarkStart w:id="995" w:name="bookmark995"/>
      <w:bookmarkEnd w:id="995"/>
      <w:r>
        <w:rPr>
          <w:color w:val="000000"/>
          <w:spacing w:val="0"/>
          <w:w w:val="100"/>
          <w:position w:val="0"/>
        </w:rPr>
        <w:t>财政将贴息资金直接拨付给公司的，将对应的贴息冲减相关借款费用。</w:t>
      </w:r>
    </w:p>
    <w:p>
      <w:pPr>
        <w:pStyle w:val="Style26"/>
        <w:keepNext/>
        <w:keepLines/>
        <w:widowControl w:val="0"/>
        <w:shd w:val="clear" w:color="auto" w:fill="auto"/>
        <w:tabs>
          <w:tab w:pos="468" w:val="left"/>
        </w:tabs>
        <w:bidi w:val="0"/>
        <w:spacing w:before="0" w:after="28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8"/>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96"/>
      <w:bookmarkEnd w:id="997"/>
      <w:bookmarkEnd w:id="999"/>
    </w:p>
    <w:p>
      <w:pPr>
        <w:pStyle w:val="Style17"/>
        <w:keepNext w:val="0"/>
        <w:keepLines w:val="0"/>
        <w:widowControl w:val="0"/>
        <w:numPr>
          <w:ilvl w:val="0"/>
          <w:numId w:val="67"/>
        </w:numPr>
        <w:shd w:val="clear" w:color="auto" w:fill="auto"/>
        <w:tabs>
          <w:tab w:pos="655" w:val="left"/>
        </w:tabs>
        <w:bidi w:val="0"/>
        <w:spacing w:before="0" w:after="40" w:line="312" w:lineRule="exact"/>
        <w:ind w:left="0" w:right="0" w:firstLine="380"/>
        <w:jc w:val="left"/>
      </w:pPr>
      <w:bookmarkStart w:id="1000" w:name="bookmark1000"/>
      <w:bookmarkEnd w:id="1000"/>
      <w:r>
        <w:rPr>
          <w:color w:val="000000"/>
          <w:spacing w:val="0"/>
          <w:w w:val="100"/>
          <w:position w:val="0"/>
        </w:rPr>
        <w:t>根据资产、负债的账面价值与其计税基础之间的差额(未作为资产和负债确认的项目按照税法规定可以确定其计税 基础的，该计税基础与其账面数之间的差额)，按照预期收回该资产或清偿该负债期间的适用税率计算确认递延所得税资产 或递延所得税负债。</w:t>
      </w:r>
    </w:p>
    <w:p>
      <w:pPr>
        <w:pStyle w:val="Style17"/>
        <w:keepNext w:val="0"/>
        <w:keepLines w:val="0"/>
        <w:widowControl w:val="0"/>
        <w:numPr>
          <w:ilvl w:val="0"/>
          <w:numId w:val="67"/>
        </w:numPr>
        <w:shd w:val="clear" w:color="auto" w:fill="auto"/>
        <w:tabs>
          <w:tab w:pos="640" w:val="left"/>
        </w:tabs>
        <w:bidi w:val="0"/>
        <w:spacing w:before="0" w:after="40" w:line="322" w:lineRule="exact"/>
        <w:ind w:left="0" w:right="0" w:firstLine="380"/>
        <w:jc w:val="left"/>
      </w:pPr>
      <w:bookmarkStart w:id="1001" w:name="bookmark1001"/>
      <w:bookmarkEnd w:id="1001"/>
      <w:r>
        <w:rPr>
          <w:color w:val="000000"/>
          <w:spacing w:val="0"/>
          <w:w w:val="100"/>
          <w:position w:val="0"/>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Style17"/>
        <w:keepNext w:val="0"/>
        <w:keepLines w:val="0"/>
        <w:widowControl w:val="0"/>
        <w:numPr>
          <w:ilvl w:val="0"/>
          <w:numId w:val="67"/>
        </w:numPr>
        <w:shd w:val="clear" w:color="auto" w:fill="auto"/>
        <w:tabs>
          <w:tab w:pos="664" w:val="left"/>
        </w:tabs>
        <w:bidi w:val="0"/>
        <w:spacing w:before="0" w:after="140" w:line="322" w:lineRule="exact"/>
        <w:ind w:left="0" w:right="0" w:firstLine="380"/>
        <w:jc w:val="left"/>
      </w:pPr>
      <w:bookmarkStart w:id="1002" w:name="bookmark1002"/>
      <w:bookmarkEnd w:id="1002"/>
      <w:r>
        <w:rPr>
          <w:color w:val="000000"/>
          <w:spacing w:val="0"/>
          <w:w w:val="100"/>
          <w:position w:val="0"/>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Style17"/>
        <w:keepNext w:val="0"/>
        <w:keepLines w:val="0"/>
        <w:widowControl w:val="0"/>
        <w:numPr>
          <w:ilvl w:val="0"/>
          <w:numId w:val="67"/>
        </w:numPr>
        <w:shd w:val="clear" w:color="auto" w:fill="auto"/>
        <w:tabs>
          <w:tab w:pos="660" w:val="left"/>
        </w:tabs>
        <w:bidi w:val="0"/>
        <w:spacing w:before="0" w:after="280" w:line="360" w:lineRule="auto"/>
        <w:ind w:left="0" w:right="0" w:firstLine="380"/>
        <w:jc w:val="left"/>
      </w:pPr>
      <w:bookmarkStart w:id="1003" w:name="bookmark1003"/>
      <w:bookmarkEnd w:id="1003"/>
      <w:r>
        <w:rPr>
          <w:color w:val="000000"/>
          <w:spacing w:val="0"/>
          <w:w w:val="100"/>
          <w:position w:val="0"/>
        </w:rPr>
        <w:t>公司当期所得税和递延所得税作为所得税费用或收益计入当期损益，但不包括下列情况产生的所得税: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企业合并;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直接在所有者权益中确认的交易或者事项。</w:t>
      </w:r>
    </w:p>
    <w:p>
      <w:pPr>
        <w:pStyle w:val="Style26"/>
        <w:keepNext/>
        <w:keepLines/>
        <w:widowControl w:val="0"/>
        <w:shd w:val="clear" w:color="auto" w:fill="auto"/>
        <w:tabs>
          <w:tab w:pos="468" w:val="left"/>
        </w:tabs>
        <w:bidi w:val="0"/>
        <w:spacing w:before="0" w:after="38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bookmarkEnd w:id="1006"/>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1004"/>
      <w:bookmarkEnd w:id="1005"/>
      <w:bookmarkEnd w:id="1007"/>
    </w:p>
    <w:p>
      <w:pPr>
        <w:pStyle w:val="Style17"/>
        <w:keepNext w:val="0"/>
        <w:keepLines w:val="0"/>
        <w:widowControl w:val="0"/>
        <w:numPr>
          <w:ilvl w:val="0"/>
          <w:numId w:val="69"/>
        </w:numPr>
        <w:shd w:val="clear" w:color="auto" w:fill="auto"/>
        <w:bidi w:val="0"/>
        <w:spacing w:before="0" w:after="0" w:line="360" w:lineRule="auto"/>
        <w:ind w:left="0" w:right="0" w:firstLine="380"/>
        <w:jc w:val="left"/>
      </w:pPr>
      <w:bookmarkStart w:id="1008" w:name="bookmark1008"/>
      <w:bookmarkEnd w:id="1008"/>
      <w:r>
        <w:rPr>
          <w:color w:val="000000"/>
          <w:spacing w:val="0"/>
          <w:w w:val="100"/>
          <w:position w:val="0"/>
        </w:rPr>
        <w:t>公司作为承租人</w:t>
      </w:r>
    </w:p>
    <w:p>
      <w:pPr>
        <w:pStyle w:val="Style17"/>
        <w:keepNext w:val="0"/>
        <w:keepLines w:val="0"/>
        <w:widowControl w:val="0"/>
        <w:shd w:val="clear" w:color="auto" w:fill="auto"/>
        <w:bidi w:val="0"/>
        <w:spacing w:before="0" w:after="40" w:line="322" w:lineRule="exact"/>
        <w:ind w:left="0" w:right="0" w:firstLine="380"/>
        <w:jc w:val="both"/>
      </w:pPr>
      <w:r>
        <w:rPr>
          <w:color w:val="000000"/>
          <w:spacing w:val="0"/>
          <w:w w:val="100"/>
          <w:position w:val="0"/>
        </w:rPr>
        <w:t>在租赁期开始日，公司将租赁期不超过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个月，且不包含购买选择权的租赁认定为短期租赁；将单项租赁资产为全新 资产时价值较低的租赁认定为低价值资产租赁。公司转租或预期转租租赁资产的，原租赁不认定为低价值资产租赁。</w:t>
      </w:r>
    </w:p>
    <w:p>
      <w:pPr>
        <w:pStyle w:val="Style17"/>
        <w:keepNext w:val="0"/>
        <w:keepLines w:val="0"/>
        <w:widowControl w:val="0"/>
        <w:shd w:val="clear" w:color="auto" w:fill="auto"/>
        <w:bidi w:val="0"/>
        <w:spacing w:before="0" w:after="40" w:line="298" w:lineRule="exact"/>
        <w:ind w:left="0" w:right="0" w:firstLine="380"/>
        <w:jc w:val="both"/>
      </w:pPr>
      <w:r>
        <w:rPr>
          <w:color w:val="000000"/>
          <w:spacing w:val="0"/>
          <w:w w:val="100"/>
          <w:position w:val="0"/>
        </w:rPr>
        <w:t>对于所有短期租赁和低价值资产租赁，公司在租赁期内各个期间按照直线法将租赁付款额计入相关资产成本或当期损 益。</w:t>
      </w:r>
    </w:p>
    <w:p>
      <w:pPr>
        <w:pStyle w:val="Style17"/>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除上述采用简化处理的短期租赁和低价值资产租赁外，在租赁期开始日，公司对租赁确认使用权资产和租赁负债。</w:t>
      </w:r>
    </w:p>
    <w:p>
      <w:pPr>
        <w:pStyle w:val="Style17"/>
        <w:keepNext w:val="0"/>
        <w:keepLines w:val="0"/>
        <w:widowControl w:val="0"/>
        <w:numPr>
          <w:ilvl w:val="0"/>
          <w:numId w:val="71"/>
        </w:numPr>
        <w:shd w:val="clear" w:color="auto" w:fill="auto"/>
        <w:tabs>
          <w:tab w:pos="771" w:val="left"/>
        </w:tabs>
        <w:bidi w:val="0"/>
        <w:spacing w:before="0" w:after="0" w:line="360" w:lineRule="auto"/>
        <w:ind w:left="0" w:right="0" w:firstLine="380"/>
        <w:jc w:val="both"/>
      </w:pPr>
      <w:bookmarkStart w:id="1009" w:name="bookmark1009"/>
      <w:bookmarkEnd w:id="1009"/>
      <w:r>
        <w:rPr>
          <w:color w:val="000000"/>
          <w:spacing w:val="0"/>
          <w:w w:val="100"/>
          <w:position w:val="0"/>
        </w:rPr>
        <w:t>使用权资产</w:t>
      </w:r>
    </w:p>
    <w:p>
      <w:pPr>
        <w:pStyle w:val="Style17"/>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使用权资产按照成本进行初始计量，该成本包括：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租赁负债的初始计量金额；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在租赁期开始日或之前支付的租赁 付款额，存在租赁激励的，扣除已享受的租赁激励相关金额；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承租人发生的初始直接费用；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承租人为拆卸及移除租赁 资产、复原租赁资产所在场地或将租赁资产恢复至租赁条款约定状态预计将发生的成本。</w:t>
      </w:r>
    </w:p>
    <w:p>
      <w:pPr>
        <w:pStyle w:val="Style17"/>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公司按照直线法对使用权资产计提折旧。能够合理确定租赁期届满时取得租赁资产所有权的，公司在租赁资产剩余使用 寿命内计提折旧。无法合理确定租赁期届满时能够取得租赁资产所有权的，公司在租赁期与租赁资产剩余使用寿命两者孰短 的期间内计提折旧。</w:t>
      </w:r>
    </w:p>
    <w:p>
      <w:pPr>
        <w:pStyle w:val="Style17"/>
        <w:keepNext w:val="0"/>
        <w:keepLines w:val="0"/>
        <w:widowControl w:val="0"/>
        <w:numPr>
          <w:ilvl w:val="0"/>
          <w:numId w:val="71"/>
        </w:numPr>
        <w:shd w:val="clear" w:color="auto" w:fill="auto"/>
        <w:tabs>
          <w:tab w:pos="771" w:val="left"/>
        </w:tabs>
        <w:bidi w:val="0"/>
        <w:spacing w:before="0" w:after="140" w:line="360" w:lineRule="auto"/>
        <w:ind w:left="0" w:right="0" w:firstLine="380"/>
        <w:jc w:val="both"/>
      </w:pPr>
      <w:bookmarkStart w:id="1010" w:name="bookmark1010"/>
      <w:bookmarkEnd w:id="1010"/>
      <w:r>
        <w:rPr>
          <w:color w:val="000000"/>
          <w:spacing w:val="0"/>
          <w:w w:val="100"/>
          <w:position w:val="0"/>
        </w:rPr>
        <w:t>租赁负债</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在租赁开始日，公司将尚未支付的租赁付款额的现值确认为租赁负债。计算租赁付款额现值时采用租赁内含利率作为折 现率，无法确定租赁内含利率的，采用公司增量借款利率作为折现率。租赁付款额与其现值之间的差额作为未确认融资费用， 在租赁期各个期间内按照确认租赁付款额现值的折现率确认利息费用，并计入当期损益。未纳入租赁负债计量的可变租赁付 款额于实际发生时计入当期损益。</w:t>
      </w:r>
    </w:p>
    <w:p>
      <w:pPr>
        <w:pStyle w:val="Style1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发生变动、购买选择权、续租选择权或终止选择权的评估结果或实际行权情况发生变化时，公司按照变动后的租赁付款额的 现值重新计量租赁负债，并相应调整使用权资产的账面价值，如使用权资产账面价值已调减至零，但租赁负债仍需进一步调 减的，将剩余金额计入当期损益。</w:t>
      </w:r>
    </w:p>
    <w:p>
      <w:pPr>
        <w:pStyle w:val="Style17"/>
        <w:keepNext w:val="0"/>
        <w:keepLines w:val="0"/>
        <w:widowControl w:val="0"/>
        <w:numPr>
          <w:ilvl w:val="0"/>
          <w:numId w:val="69"/>
        </w:numPr>
        <w:shd w:val="clear" w:color="auto" w:fill="auto"/>
        <w:bidi w:val="0"/>
        <w:spacing w:before="0" w:after="0" w:line="360" w:lineRule="auto"/>
        <w:ind w:left="0" w:right="0" w:firstLine="380"/>
        <w:jc w:val="both"/>
      </w:pPr>
      <w:bookmarkStart w:id="1011" w:name="bookmark1011"/>
      <w:bookmarkEnd w:id="1011"/>
      <w:r>
        <w:rPr>
          <w:color w:val="000000"/>
          <w:spacing w:val="0"/>
          <w:w w:val="100"/>
          <w:position w:val="0"/>
        </w:rPr>
        <w:t>公司作为出租人</w:t>
      </w:r>
    </w:p>
    <w:p>
      <w:pPr>
        <w:pStyle w:val="Style1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在租赁开始日，公司将实质上转移了与租赁资产所有权有关的几乎全部风险和报酬的租赁划分为融资租赁，除此之外的 均为经营租赁。</w:t>
      </w:r>
    </w:p>
    <w:p>
      <w:pPr>
        <w:pStyle w:val="Style17"/>
        <w:keepNext w:val="0"/>
        <w:keepLines w:val="0"/>
        <w:widowControl w:val="0"/>
        <w:shd w:val="clear" w:color="auto" w:fill="auto"/>
        <w:tabs>
          <w:tab w:pos="786" w:val="left"/>
        </w:tabs>
        <w:bidi w:val="0"/>
        <w:spacing w:before="0" w:after="0" w:line="360" w:lineRule="auto"/>
        <w:ind w:left="0" w:right="0" w:firstLine="380"/>
        <w:jc w:val="both"/>
      </w:pPr>
      <w:bookmarkStart w:id="1012" w:name="bookmark1012"/>
      <w:r>
        <w:rPr>
          <w:rFonts w:ascii="Times New Roman" w:eastAsia="Times New Roman" w:hAnsi="Times New Roman" w:cs="Times New Roman"/>
          <w:color w:val="000000"/>
          <w:spacing w:val="0"/>
          <w:w w:val="100"/>
          <w:position w:val="0"/>
          <w:sz w:val="18"/>
          <w:szCs w:val="18"/>
        </w:rPr>
        <w:t>（</w:t>
      </w:r>
      <w:bookmarkEnd w:id="1012"/>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经营租赁</w:t>
      </w:r>
    </w:p>
    <w:p>
      <w:pPr>
        <w:pStyle w:val="Style17"/>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公司在租赁期内各个期间按照直线法将租赁收款额确认为租金收入，发生的初始直接费用予以资本化并按照与租金收入 确认相同的基础进行分摊，分期计入当期损益。公司取得的与经营租赁有关的未计入租赁收款额的可变租赁付款额在实际发 生时计入当期损益。</w:t>
      </w:r>
    </w:p>
    <w:p>
      <w:pPr>
        <w:pStyle w:val="Style17"/>
        <w:keepNext w:val="0"/>
        <w:keepLines w:val="0"/>
        <w:widowControl w:val="0"/>
        <w:shd w:val="clear" w:color="auto" w:fill="auto"/>
        <w:tabs>
          <w:tab w:pos="786" w:val="left"/>
        </w:tabs>
        <w:bidi w:val="0"/>
        <w:spacing w:before="0" w:after="0" w:line="360" w:lineRule="auto"/>
        <w:ind w:left="0" w:right="0" w:firstLine="380"/>
        <w:jc w:val="both"/>
      </w:pPr>
      <w:bookmarkStart w:id="1013" w:name="bookmark1013"/>
      <w:r>
        <w:rPr>
          <w:rFonts w:ascii="Times New Roman" w:eastAsia="Times New Roman" w:hAnsi="Times New Roman" w:cs="Times New Roman"/>
          <w:color w:val="000000"/>
          <w:spacing w:val="0"/>
          <w:w w:val="100"/>
          <w:position w:val="0"/>
          <w:sz w:val="18"/>
          <w:szCs w:val="18"/>
        </w:rPr>
        <w:t>（</w:t>
      </w:r>
      <w:bookmarkEnd w:id="1013"/>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融资租赁</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在租赁期开始日，公司按照租赁投资净额（未担保余值和租赁期开始日尚未收到的租赁收款额按照租赁内含利率折现的 现值之和）确认应收融资租赁款，并终止确认融资租赁资产。在租赁期的各个期间，公司按照租赁内含利率计算并确认利息 收入。</w:t>
      </w:r>
    </w:p>
    <w:p>
      <w:pPr>
        <w:pStyle w:val="Style17"/>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公司取得的未纳入租赁投资净额计量的可变租赁付款额在实际发生时计入当期损益。</w:t>
      </w:r>
    </w:p>
    <w:p>
      <w:pPr>
        <w:pStyle w:val="Style26"/>
        <w:keepNext/>
        <w:keepLines/>
        <w:widowControl w:val="0"/>
        <w:shd w:val="clear" w:color="auto" w:fill="auto"/>
        <w:tabs>
          <w:tab w:pos="483" w:val="left"/>
        </w:tabs>
        <w:bidi w:val="0"/>
        <w:spacing w:before="0" w:after="26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2</w:t>
      </w:r>
      <w:bookmarkEnd w:id="1016"/>
      <w:r>
        <w:rPr>
          <w:rFonts w:ascii="Times New Roman" w:eastAsia="Times New Roman" w:hAnsi="Times New Roman" w:cs="Times New Roman"/>
          <w:color w:val="000000"/>
          <w:spacing w:val="0"/>
          <w:w w:val="100"/>
          <w:position w:val="0"/>
        </w:rPr>
        <w:t>9</w:t>
      </w:r>
      <w:r>
        <w:rPr>
          <w:color w:val="000000"/>
          <w:spacing w:val="0"/>
          <w:w w:val="100"/>
          <w:position w:val="0"/>
        </w:rPr>
        <w:t>、</w:t>
        <w:tab/>
        <w:t>其他重要的会计政策和会计估计</w:t>
      </w:r>
      <w:bookmarkEnd w:id="1014"/>
      <w:bookmarkEnd w:id="1015"/>
      <w:bookmarkEnd w:id="1017"/>
    </w:p>
    <w:p>
      <w:pPr>
        <w:pStyle w:val="Style1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3</w:t>
      </w:r>
      <w:bookmarkEnd w:id="1020"/>
      <w:r>
        <w:rPr>
          <w:rFonts w:ascii="Times New Roman" w:eastAsia="Times New Roman" w:hAnsi="Times New Roman" w:cs="Times New Roman"/>
          <w:color w:val="000000"/>
          <w:spacing w:val="0"/>
          <w:w w:val="100"/>
          <w:position w:val="0"/>
        </w:rPr>
        <w:t>0</w:t>
      </w:r>
      <w:r>
        <w:rPr>
          <w:color w:val="000000"/>
          <w:spacing w:val="0"/>
          <w:w w:val="100"/>
          <w:position w:val="0"/>
        </w:rPr>
        <w:t>、</w:t>
        <w:tab/>
        <w:t>重要会计政策和会计估计变更</w:t>
      </w:r>
      <w:bookmarkEnd w:id="1018"/>
      <w:bookmarkEnd w:id="1019"/>
      <w:bookmarkEnd w:id="1021"/>
    </w:p>
    <w:p>
      <w:pPr>
        <w:pStyle w:val="Style31"/>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22"/>
      <w:bookmarkEnd w:id="1023"/>
      <w:bookmarkEnd w:id="1025"/>
    </w:p>
    <w:p>
      <w:pPr>
        <w:pStyle w:val="Style17"/>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numPr>
          <w:ilvl w:val="0"/>
          <w:numId w:val="73"/>
        </w:numPr>
        <w:shd w:val="clear" w:color="auto" w:fill="auto"/>
        <w:bidi w:val="0"/>
        <w:spacing w:before="0" w:after="140" w:line="326" w:lineRule="exact"/>
        <w:ind w:left="0" w:right="0" w:firstLine="380"/>
        <w:jc w:val="both"/>
      </w:pPr>
      <w:bookmarkStart w:id="1026" w:name="bookmark1026"/>
      <w:bookmarkEnd w:id="1026"/>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日（以下称首次执行日）起执行经修订的《企业会计准则第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号——租赁》（以下简称新租 赁准则）。</w:t>
      </w:r>
    </w:p>
    <w:p>
      <w:pPr>
        <w:pStyle w:val="Style17"/>
        <w:keepNext w:val="0"/>
        <w:keepLines w:val="0"/>
        <w:widowControl w:val="0"/>
        <w:shd w:val="clear" w:color="auto" w:fill="auto"/>
        <w:tabs>
          <w:tab w:pos="786" w:val="left"/>
        </w:tabs>
        <w:bidi w:val="0"/>
        <w:spacing w:before="0" w:after="0" w:line="360" w:lineRule="auto"/>
        <w:ind w:left="0" w:right="0" w:firstLine="380"/>
        <w:jc w:val="both"/>
      </w:pPr>
      <w:bookmarkStart w:id="1027" w:name="bookmark1027"/>
      <w:r>
        <w:rPr>
          <w:rFonts w:ascii="Times New Roman" w:eastAsia="Times New Roman" w:hAnsi="Times New Roman" w:cs="Times New Roman"/>
          <w:color w:val="000000"/>
          <w:spacing w:val="0"/>
          <w:w w:val="100"/>
          <w:position w:val="0"/>
          <w:sz w:val="18"/>
          <w:szCs w:val="18"/>
        </w:rPr>
        <w:t>（</w:t>
      </w:r>
      <w:bookmarkEnd w:id="102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对于首次执行日前已存在的合同，公司选择不重新评估其是否为租赁或者包含租赁。</w:t>
      </w:r>
    </w:p>
    <w:p>
      <w:pPr>
        <w:pStyle w:val="Style17"/>
        <w:keepNext w:val="0"/>
        <w:keepLines w:val="0"/>
        <w:widowControl w:val="0"/>
        <w:shd w:val="clear" w:color="auto" w:fill="auto"/>
        <w:tabs>
          <w:tab w:pos="761" w:val="left"/>
        </w:tabs>
        <w:bidi w:val="0"/>
        <w:spacing w:before="0" w:after="0" w:line="322" w:lineRule="exact"/>
        <w:ind w:left="0" w:right="0" w:firstLine="380"/>
        <w:jc w:val="both"/>
      </w:pPr>
      <w:bookmarkStart w:id="1028" w:name="bookmark1028"/>
      <w:r>
        <w:rPr>
          <w:rFonts w:ascii="Times New Roman" w:eastAsia="Times New Roman" w:hAnsi="Times New Roman" w:cs="Times New Roman"/>
          <w:color w:val="000000"/>
          <w:spacing w:val="0"/>
          <w:w w:val="100"/>
          <w:position w:val="0"/>
          <w:sz w:val="18"/>
          <w:szCs w:val="18"/>
        </w:rPr>
        <w:t>（</w:t>
      </w:r>
      <w:bookmarkEnd w:id="102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对本公司作为承租人的租赁合同，公司根据首次执行日执行新租赁准则与原准则的累计影响数调整本报告期期初留 存收益及财务报表其他相关项目金额，对可比期间信息不予调整。具体处理如下：</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对于首次执行日前的融资租赁，公司在首次执行日按照融资租入资产和应付融资租赁款的原账面价值，分别计量使用权 资产和租赁负债。</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对于首次执行日前的经营租赁，公司在首次执行日根据剩余租赁付款额按首次执行日公司增量借款利率折现的现值计量 租赁负债，按照与租赁负债相等的金额，并根据预付租金进行必要调整计量使用权资产。</w:t>
      </w:r>
    </w:p>
    <w:p>
      <w:pPr>
        <w:pStyle w:val="Style17"/>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在首次执行日，公司按照本财务报表附注五、</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的规定，对使用权资产进行减值测试并进行相应会计处理。</w:t>
      </w:r>
    </w:p>
    <w:p>
      <w:pPr>
        <w:pStyle w:val="Style17"/>
        <w:keepNext w:val="0"/>
        <w:keepLines w:val="0"/>
        <w:widowControl w:val="0"/>
        <w:shd w:val="clear" w:color="auto" w:fill="auto"/>
        <w:tabs>
          <w:tab w:pos="709" w:val="left"/>
        </w:tabs>
        <w:bidi w:val="0"/>
        <w:spacing w:before="0" w:after="0" w:line="360" w:lineRule="auto"/>
        <w:ind w:left="0" w:right="0" w:firstLine="380"/>
        <w:jc w:val="both"/>
      </w:pPr>
      <w:bookmarkStart w:id="1029" w:name="bookmark1029"/>
      <w:r>
        <w:rPr>
          <w:rFonts w:ascii="Times New Roman" w:eastAsia="Times New Roman" w:hAnsi="Times New Roman" w:cs="Times New Roman"/>
          <w:color w:val="000000"/>
          <w:spacing w:val="0"/>
          <w:w w:val="100"/>
          <w:position w:val="0"/>
          <w:sz w:val="18"/>
          <w:szCs w:val="18"/>
        </w:rPr>
        <w:t>1</w:t>
      </w:r>
      <w:bookmarkEnd w:id="10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执行新租赁准则对公司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日财务报表的主要影响如本财务报表附注五、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）所示；</w:t>
      </w:r>
    </w:p>
    <w:p>
      <w:pPr>
        <w:pStyle w:val="Style17"/>
        <w:keepNext w:val="0"/>
        <w:keepLines w:val="0"/>
        <w:widowControl w:val="0"/>
        <w:shd w:val="clear" w:color="auto" w:fill="auto"/>
        <w:tabs>
          <w:tab w:pos="728" w:val="left"/>
        </w:tabs>
        <w:bidi w:val="0"/>
        <w:spacing w:before="0" w:after="140" w:line="360" w:lineRule="auto"/>
        <w:ind w:left="0" w:right="0" w:firstLine="380"/>
        <w:jc w:val="both"/>
      </w:pPr>
      <w:bookmarkStart w:id="1030" w:name="bookmark1030"/>
      <w:r>
        <w:rPr>
          <w:rFonts w:ascii="Times New Roman" w:eastAsia="Times New Roman" w:hAnsi="Times New Roman" w:cs="Times New Roman"/>
          <w:color w:val="000000"/>
          <w:spacing w:val="0"/>
          <w:w w:val="100"/>
          <w:position w:val="0"/>
          <w:sz w:val="18"/>
          <w:szCs w:val="18"/>
        </w:rPr>
        <w:t>2</w:t>
      </w:r>
      <w:bookmarkEnd w:id="10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首次执行日计入资产负债表的租赁负债所采用的公司增量借款利率的加权平均值为</w:t>
      </w:r>
      <w:r>
        <w:rPr>
          <w:rFonts w:ascii="Times New Roman" w:eastAsia="Times New Roman" w:hAnsi="Times New Roman" w:cs="Times New Roman"/>
          <w:color w:val="000000"/>
          <w:spacing w:val="0"/>
          <w:w w:val="100"/>
          <w:position w:val="0"/>
          <w:sz w:val="18"/>
          <w:szCs w:val="18"/>
        </w:rPr>
        <w:t>4.75%</w:t>
      </w:r>
      <w:r>
        <w:rPr>
          <w:color w:val="000000"/>
          <w:spacing w:val="0"/>
          <w:w w:val="100"/>
          <w:position w:val="0"/>
        </w:rPr>
        <w:t>。</w:t>
      </w:r>
    </w:p>
    <w:p>
      <w:pPr>
        <w:pStyle w:val="Style17"/>
        <w:keepNext w:val="0"/>
        <w:keepLines w:val="0"/>
        <w:widowControl w:val="0"/>
        <w:shd w:val="clear" w:color="auto" w:fill="auto"/>
        <w:bidi w:val="0"/>
        <w:spacing w:before="0" w:after="0" w:line="324" w:lineRule="exact"/>
        <w:ind w:left="0" w:right="0"/>
        <w:jc w:val="both"/>
      </w:pPr>
      <w:bookmarkStart w:id="1031" w:name="bookmark1031"/>
      <w:r>
        <w:rPr>
          <w:rFonts w:ascii="Times New Roman" w:eastAsia="Times New Roman" w:hAnsi="Times New Roman" w:cs="Times New Roman"/>
          <w:color w:val="000000"/>
          <w:spacing w:val="0"/>
          <w:w w:val="100"/>
          <w:position w:val="0"/>
          <w:sz w:val="18"/>
          <w:szCs w:val="18"/>
        </w:rPr>
        <w:t>3</w:t>
      </w:r>
      <w:bookmarkEnd w:id="1031"/>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对首次执行日前的经营租赁采用的简化处理</w:t>
      </w:r>
    </w:p>
    <w:p>
      <w:pPr>
        <w:pStyle w:val="Style17"/>
        <w:keepNext w:val="0"/>
        <w:keepLines w:val="0"/>
        <w:widowControl w:val="0"/>
        <w:numPr>
          <w:ilvl w:val="0"/>
          <w:numId w:val="75"/>
        </w:numPr>
        <w:shd w:val="clear" w:color="auto" w:fill="auto"/>
        <w:tabs>
          <w:tab w:pos="733" w:val="left"/>
        </w:tabs>
        <w:bidi w:val="0"/>
        <w:spacing w:before="0" w:after="0" w:line="324" w:lineRule="exact"/>
        <w:ind w:left="0" w:right="0"/>
        <w:jc w:val="both"/>
      </w:pPr>
      <w:bookmarkStart w:id="1032" w:name="bookmark1032"/>
      <w:bookmarkEnd w:id="1032"/>
      <w:r>
        <w:rPr>
          <w:color w:val="000000"/>
          <w:spacing w:val="0"/>
          <w:w w:val="100"/>
          <w:position w:val="0"/>
        </w:rPr>
        <w:t>对于首次执行日后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个月内完成的租赁合同，公司采用简化方法，不确认使用权资产和租赁负债；</w:t>
      </w:r>
    </w:p>
    <w:p>
      <w:pPr>
        <w:pStyle w:val="Style17"/>
        <w:keepNext w:val="0"/>
        <w:keepLines w:val="0"/>
        <w:widowControl w:val="0"/>
        <w:numPr>
          <w:ilvl w:val="0"/>
          <w:numId w:val="75"/>
        </w:numPr>
        <w:shd w:val="clear" w:color="auto" w:fill="auto"/>
        <w:tabs>
          <w:tab w:pos="733" w:val="left"/>
        </w:tabs>
        <w:bidi w:val="0"/>
        <w:spacing w:before="0" w:after="0" w:line="324" w:lineRule="exact"/>
        <w:ind w:left="0" w:right="0"/>
        <w:jc w:val="both"/>
      </w:pPr>
      <w:bookmarkStart w:id="1033" w:name="bookmark1033"/>
      <w:bookmarkEnd w:id="1033"/>
      <w:r>
        <w:rPr>
          <w:color w:val="000000"/>
          <w:spacing w:val="0"/>
          <w:w w:val="100"/>
          <w:position w:val="0"/>
        </w:rPr>
        <w:t>公司在计量租赁负债时，对于房屋租赁等具有相似特征的租赁合同采用同一折现率；</w:t>
      </w:r>
    </w:p>
    <w:p>
      <w:pPr>
        <w:pStyle w:val="Style17"/>
        <w:keepNext w:val="0"/>
        <w:keepLines w:val="0"/>
        <w:widowControl w:val="0"/>
        <w:numPr>
          <w:ilvl w:val="0"/>
          <w:numId w:val="75"/>
        </w:numPr>
        <w:shd w:val="clear" w:color="auto" w:fill="auto"/>
        <w:tabs>
          <w:tab w:pos="733" w:val="left"/>
        </w:tabs>
        <w:bidi w:val="0"/>
        <w:spacing w:before="0" w:after="0" w:line="324" w:lineRule="exact"/>
        <w:ind w:left="0" w:right="0"/>
        <w:jc w:val="both"/>
      </w:pPr>
      <w:bookmarkStart w:id="1034" w:name="bookmark1034"/>
      <w:bookmarkEnd w:id="1034"/>
      <w:r>
        <w:rPr>
          <w:color w:val="000000"/>
          <w:spacing w:val="0"/>
          <w:w w:val="100"/>
          <w:position w:val="0"/>
        </w:rPr>
        <w:t>使用权资产的计量不包含初始直接费用；</w:t>
      </w:r>
    </w:p>
    <w:p>
      <w:pPr>
        <w:pStyle w:val="Style17"/>
        <w:keepNext w:val="0"/>
        <w:keepLines w:val="0"/>
        <w:widowControl w:val="0"/>
        <w:numPr>
          <w:ilvl w:val="0"/>
          <w:numId w:val="75"/>
        </w:numPr>
        <w:shd w:val="clear" w:color="auto" w:fill="auto"/>
        <w:tabs>
          <w:tab w:pos="733" w:val="left"/>
        </w:tabs>
        <w:bidi w:val="0"/>
        <w:spacing w:before="0" w:after="0" w:line="324" w:lineRule="exact"/>
        <w:ind w:left="0" w:right="0"/>
        <w:jc w:val="both"/>
      </w:pPr>
      <w:bookmarkStart w:id="1035" w:name="bookmark1035"/>
      <w:bookmarkEnd w:id="1035"/>
      <w:r>
        <w:rPr>
          <w:color w:val="000000"/>
          <w:spacing w:val="0"/>
          <w:w w:val="100"/>
          <w:position w:val="0"/>
        </w:rPr>
        <w:t>公司根据首次执行日前续租选择权或终止租赁选择权的实际行权及其他最新情况确定租赁期；</w:t>
      </w:r>
    </w:p>
    <w:p>
      <w:pPr>
        <w:pStyle w:val="Style17"/>
        <w:keepNext w:val="0"/>
        <w:keepLines w:val="0"/>
        <w:widowControl w:val="0"/>
        <w:numPr>
          <w:ilvl w:val="0"/>
          <w:numId w:val="75"/>
        </w:numPr>
        <w:shd w:val="clear" w:color="auto" w:fill="auto"/>
        <w:tabs>
          <w:tab w:pos="699" w:val="left"/>
        </w:tabs>
        <w:bidi w:val="0"/>
        <w:spacing w:before="0" w:after="0" w:line="322" w:lineRule="exact"/>
        <w:ind w:left="0" w:right="0"/>
        <w:jc w:val="both"/>
      </w:pPr>
      <w:bookmarkStart w:id="1036" w:name="bookmark1036"/>
      <w:bookmarkEnd w:id="1036"/>
      <w:r>
        <w:rPr>
          <w:color w:val="000000"/>
          <w:spacing w:val="0"/>
          <w:w w:val="100"/>
          <w:position w:val="0"/>
        </w:rPr>
        <w:t>作为使用权资产减值测试的替代，公司根据《企业会计准则第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号——或有事项》评估包含租赁的合同在首次执行 日前是否为亏损合同，并根据首次执行日前计入资产负债表日的亏损准备金额调整使用权资产；</w:t>
      </w:r>
    </w:p>
    <w:p>
      <w:pPr>
        <w:pStyle w:val="Style17"/>
        <w:keepNext w:val="0"/>
        <w:keepLines w:val="0"/>
        <w:widowControl w:val="0"/>
        <w:numPr>
          <w:ilvl w:val="0"/>
          <w:numId w:val="75"/>
        </w:numPr>
        <w:shd w:val="clear" w:color="auto" w:fill="auto"/>
        <w:tabs>
          <w:tab w:pos="733" w:val="left"/>
        </w:tabs>
        <w:bidi w:val="0"/>
        <w:spacing w:before="0" w:after="0" w:line="324" w:lineRule="exact"/>
        <w:ind w:left="0" w:right="0"/>
        <w:jc w:val="both"/>
      </w:pPr>
      <w:bookmarkStart w:id="1037" w:name="bookmark1037"/>
      <w:bookmarkEnd w:id="1037"/>
      <w:r>
        <w:rPr>
          <w:color w:val="000000"/>
          <w:spacing w:val="0"/>
          <w:w w:val="100"/>
          <w:position w:val="0"/>
        </w:rPr>
        <w:t>首次执行日前发生租赁变更的，公司根据租赁变更的最终安排进行会计处理。</w:t>
      </w:r>
    </w:p>
    <w:p>
      <w:pPr>
        <w:pStyle w:val="Style17"/>
        <w:keepNext w:val="0"/>
        <w:keepLines w:val="0"/>
        <w:widowControl w:val="0"/>
        <w:shd w:val="clear" w:color="auto" w:fill="auto"/>
        <w:bidi w:val="0"/>
        <w:spacing w:before="0" w:after="0" w:line="324" w:lineRule="exact"/>
        <w:ind w:left="0" w:right="0"/>
        <w:jc w:val="both"/>
      </w:pPr>
      <w:r>
        <w:rPr>
          <w:color w:val="000000"/>
          <w:spacing w:val="0"/>
          <w:w w:val="100"/>
          <w:position w:val="0"/>
        </w:rPr>
        <w:t>上述简化处理对公司财务报表无显著影响。</w:t>
      </w:r>
    </w:p>
    <w:p>
      <w:pPr>
        <w:pStyle w:val="Style17"/>
        <w:keepNext w:val="0"/>
        <w:keepLines w:val="0"/>
        <w:widowControl w:val="0"/>
        <w:shd w:val="clear" w:color="auto" w:fill="auto"/>
        <w:tabs>
          <w:tab w:pos="757" w:val="left"/>
        </w:tabs>
        <w:bidi w:val="0"/>
        <w:spacing w:before="0" w:after="0" w:line="322" w:lineRule="exact"/>
        <w:ind w:left="0" w:right="0"/>
        <w:jc w:val="both"/>
      </w:pPr>
      <w:bookmarkStart w:id="1038" w:name="bookmark1038"/>
      <w:r>
        <w:rPr>
          <w:rFonts w:ascii="Times New Roman" w:eastAsia="Times New Roman" w:hAnsi="Times New Roman" w:cs="Times New Roman"/>
          <w:color w:val="000000"/>
          <w:spacing w:val="0"/>
          <w:w w:val="100"/>
          <w:position w:val="0"/>
          <w:sz w:val="18"/>
          <w:szCs w:val="18"/>
        </w:rPr>
        <w:t>（</w:t>
      </w:r>
      <w:bookmarkEnd w:id="1038"/>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对首次执行日前已存在的低价值资产经营租赁合同，公司采用简化方法，不确认使用权资产和租赁负债，自首次执 行日起按照新租赁准则进行会计处理。</w:t>
      </w:r>
    </w:p>
    <w:p>
      <w:pPr>
        <w:pStyle w:val="Style17"/>
        <w:keepNext w:val="0"/>
        <w:keepLines w:val="0"/>
        <w:widowControl w:val="0"/>
        <w:shd w:val="clear" w:color="auto" w:fill="auto"/>
        <w:tabs>
          <w:tab w:pos="766" w:val="left"/>
        </w:tabs>
        <w:bidi w:val="0"/>
        <w:spacing w:before="0" w:after="0" w:line="322" w:lineRule="exact"/>
        <w:ind w:left="0" w:right="0"/>
        <w:jc w:val="both"/>
      </w:pPr>
      <w:bookmarkStart w:id="1039" w:name="bookmark1039"/>
      <w:r>
        <w:rPr>
          <w:rFonts w:ascii="Times New Roman" w:eastAsia="Times New Roman" w:hAnsi="Times New Roman" w:cs="Times New Roman"/>
          <w:color w:val="000000"/>
          <w:spacing w:val="0"/>
          <w:w w:val="100"/>
          <w:position w:val="0"/>
          <w:sz w:val="18"/>
          <w:szCs w:val="18"/>
        </w:rPr>
        <w:t>（</w:t>
      </w:r>
      <w:bookmarkEnd w:id="1039"/>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对公司作为出租人的租赁合同，自首次执行日起按照新租赁准则进行会计处理。</w:t>
      </w:r>
    </w:p>
    <w:p>
      <w:pPr>
        <w:pStyle w:val="Style17"/>
        <w:keepNext w:val="0"/>
        <w:keepLines w:val="0"/>
        <w:widowControl w:val="0"/>
        <w:numPr>
          <w:ilvl w:val="0"/>
          <w:numId w:val="73"/>
        </w:numPr>
        <w:shd w:val="clear" w:color="auto" w:fill="auto"/>
        <w:tabs>
          <w:tab w:pos="670" w:val="left"/>
        </w:tabs>
        <w:bidi w:val="0"/>
        <w:spacing w:before="0" w:after="0" w:line="326" w:lineRule="exact"/>
        <w:ind w:left="0" w:right="0"/>
        <w:jc w:val="both"/>
      </w:pPr>
      <w:bookmarkStart w:id="1040" w:name="bookmark1040"/>
      <w:bookmarkEnd w:id="1040"/>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号》，该项会计政策变更对公司 财务报表无影响。</w:t>
      </w:r>
    </w:p>
    <w:p>
      <w:pPr>
        <w:pStyle w:val="Style17"/>
        <w:keepNext w:val="0"/>
        <w:keepLines w:val="0"/>
        <w:widowControl w:val="0"/>
        <w:numPr>
          <w:ilvl w:val="0"/>
          <w:numId w:val="73"/>
        </w:numPr>
        <w:shd w:val="clear" w:color="auto" w:fill="auto"/>
        <w:tabs>
          <w:tab w:pos="680" w:val="left"/>
        </w:tabs>
        <w:bidi w:val="0"/>
        <w:spacing w:before="0" w:after="380" w:line="326" w:lineRule="exact"/>
        <w:ind w:left="0" w:right="0"/>
        <w:jc w:val="both"/>
      </w:pPr>
      <w:bookmarkStart w:id="1041" w:name="bookmark1041"/>
      <w:bookmarkEnd w:id="1041"/>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日起执行财政部颁布的《企业会计准则解释第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号》“关于资金集中管理相关列报”规定， 该项会计政策变更对公司财务报表无影响。</w:t>
      </w:r>
    </w:p>
    <w:p>
      <w:pPr>
        <w:pStyle w:val="Style31"/>
        <w:keepNext/>
        <w:keepLines/>
        <w:widowControl w:val="0"/>
        <w:shd w:val="clear" w:color="auto" w:fill="auto"/>
        <w:tabs>
          <w:tab w:pos="493" w:val="left"/>
        </w:tabs>
        <w:bidi w:val="0"/>
        <w:spacing w:before="0" w:after="280" w:line="240" w:lineRule="auto"/>
        <w:ind w:left="0" w:right="0" w:firstLine="0"/>
        <w:jc w:val="both"/>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42"/>
      <w:bookmarkEnd w:id="1043"/>
      <w:bookmarkEnd w:id="1045"/>
    </w:p>
    <w:p>
      <w:pPr>
        <w:pStyle w:val="Style17"/>
        <w:keepNext w:val="0"/>
        <w:keepLines w:val="0"/>
        <w:widowControl w:val="0"/>
        <w:shd w:val="clear" w:color="auto" w:fill="auto"/>
        <w:bidi w:val="0"/>
        <w:spacing w:before="0" w:after="380" w:line="32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280" w:line="240" w:lineRule="auto"/>
        <w:ind w:left="0" w:right="0" w:firstLine="0"/>
        <w:jc w:val="both"/>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46"/>
      <w:bookmarkEnd w:id="1047"/>
      <w:bookmarkEnd w:id="1049"/>
    </w:p>
    <w:p>
      <w:pPr>
        <w:pStyle w:val="Style17"/>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60" w:line="324" w:lineRule="exact"/>
        <w:ind w:left="0" w:right="0" w:firstLine="0"/>
        <w:jc w:val="both"/>
      </w:pPr>
      <w:r>
        <w:rPr>
          <w:color w:val="000000"/>
          <w:spacing w:val="0"/>
          <w:w w:val="100"/>
          <w:position w:val="0"/>
        </w:rPr>
        <w:t>是否需要调整年初资产负债表科目</w:t>
      </w:r>
    </w:p>
    <w:p>
      <w:pPr>
        <w:pStyle w:val="Style17"/>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val="0"/>
        <w:keepLines w:val="0"/>
        <w:widowControl w:val="0"/>
        <w:shd w:val="clear" w:color="auto" w:fill="auto"/>
        <w:bidi w:val="0"/>
        <w:spacing w:before="0" w:after="160" w:line="324" w:lineRule="exact"/>
        <w:ind w:left="0" w:right="0" w:firstLine="0"/>
        <w:jc w:val="both"/>
      </w:pPr>
      <w:r>
        <w:rPr>
          <w:color w:val="000000"/>
          <w:spacing w:val="0"/>
          <w:w w:val="100"/>
          <w:position w:val="0"/>
        </w:rPr>
        <w:t>合并资产负债表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440,209,354.52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440,209,354.52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372,380,000.00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372,380,000.00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220,023,307.50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220,023,307.50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3,307,143.51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3,307,143.51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19,289,775.42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19,289,775.42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50,006,256.76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50,006,256.76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195,834,206.56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195,834,206.56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6,128,905.02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5,851,638.96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-277,266.06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1,307,178,949.29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1,306,901,683.23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-277,266.06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20,594,661.25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20,594,661.25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66,882,263.12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66,882,263.12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83,703,260.54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83,703,260.54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4,961,441.91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4,961,441.91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1,871,357.70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1,871,357.70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8,210,067.59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8,210,067.59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31,593,011.51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31,593,011.51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926,638.80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3,143,321.00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3,143,321.00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14,032,445.37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14,032,445.37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255,147,111.09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257,018,468.79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1,871,357.70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1,562,326,060.38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1,563,920,152.02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1,594,091.64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130,109,694.44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130,109,694.44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16,974,086.04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16,974,086.04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132,787,363.66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132,787,363.66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69,855,618.15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69,855,618.15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27,218,196.40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27,218,196.40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9,544,736.53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9,544,736.53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43,842,652.23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43,842,652.23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897,266.43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897,266.43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4,258,949.77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4,258,949.77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434,922,858.69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435,820,125.12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897,266.43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696,825.21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696,825.21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2,363,931.96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2,363,931.96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2,363,931.96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3,060,757.17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696,825.21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437,286,790.65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438,880,882.29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1,594,091.64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189,929,258.00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189,929,258.00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714,983,018.88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714,983,018.88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37,080,562.50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37,080,562.50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27,354,733.62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27,354,733.62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199,896,285.06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199,896,285.06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1,095,082,733.06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1,095,082,733.06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29,956,536.67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29,956,536.67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1,125,039,269.73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1,125,039,269.73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1,562,326,060.38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1,563,920,152.02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1,594,091.64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7"/>
        <w:keepNext w:val="0"/>
        <w:keepLines w:val="0"/>
        <w:widowControl w:val="0"/>
        <w:shd w:val="clear" w:color="auto" w:fill="auto"/>
        <w:bidi w:val="0"/>
        <w:spacing w:before="0" w:after="380" w:line="314"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日，对于首次执行日之前的经营租赁，本公司在首次执行日根据剩余租赁付款额按首次执行日公司增 量借款利率折现的现值计量租赁负债，金额为</w:t>
      </w:r>
      <w:r>
        <w:rPr>
          <w:rFonts w:ascii="Times New Roman" w:eastAsia="Times New Roman" w:hAnsi="Times New Roman" w:cs="Times New Roman"/>
          <w:color w:val="000000"/>
          <w:spacing w:val="0"/>
          <w:w w:val="100"/>
          <w:position w:val="0"/>
          <w:sz w:val="18"/>
          <w:szCs w:val="18"/>
        </w:rPr>
        <w:t>1,594,091.64</w:t>
      </w:r>
      <w:r>
        <w:rPr>
          <w:color w:val="000000"/>
          <w:spacing w:val="0"/>
          <w:w w:val="100"/>
          <w:position w:val="0"/>
        </w:rPr>
        <w:t>元，其中将于一年内到期的金额</w:t>
      </w:r>
      <w:r>
        <w:rPr>
          <w:rFonts w:ascii="Times New Roman" w:eastAsia="Times New Roman" w:hAnsi="Times New Roman" w:cs="Times New Roman"/>
          <w:color w:val="000000"/>
          <w:spacing w:val="0"/>
          <w:w w:val="100"/>
          <w:position w:val="0"/>
          <w:sz w:val="18"/>
          <w:szCs w:val="18"/>
        </w:rPr>
        <w:t>897,266.43</w:t>
      </w:r>
      <w:r>
        <w:rPr>
          <w:color w:val="000000"/>
          <w:spacing w:val="0"/>
          <w:w w:val="100"/>
          <w:position w:val="0"/>
        </w:rPr>
        <w:t>元重分类至一年内到 期的非流动负债。按照与租赁负债相等的金额，并根据预付租金进行必要调整计量使用权资产，金额为</w:t>
      </w:r>
      <w:r>
        <w:rPr>
          <w:rFonts w:ascii="Times New Roman" w:eastAsia="Times New Roman" w:hAnsi="Times New Roman" w:cs="Times New Roman"/>
          <w:color w:val="000000"/>
          <w:spacing w:val="0"/>
          <w:w w:val="100"/>
          <w:position w:val="0"/>
          <w:sz w:val="18"/>
          <w:szCs w:val="18"/>
        </w:rPr>
        <w:t>1,871,357.70</w:t>
      </w:r>
      <w:r>
        <w:rPr>
          <w:color w:val="000000"/>
          <w:spacing w:val="0"/>
          <w:w w:val="100"/>
          <w:position w:val="0"/>
        </w:rPr>
        <w:t>元，减 少其他流动资产</w:t>
      </w:r>
      <w:r>
        <w:rPr>
          <w:rFonts w:ascii="Times New Roman" w:eastAsia="Times New Roman" w:hAnsi="Times New Roman" w:cs="Times New Roman"/>
          <w:color w:val="000000"/>
          <w:spacing w:val="0"/>
          <w:w w:val="100"/>
          <w:position w:val="0"/>
          <w:sz w:val="18"/>
          <w:szCs w:val="18"/>
        </w:rPr>
        <w:t>277,266.06</w:t>
      </w:r>
      <w:r>
        <w:rPr>
          <w:color w:val="000000"/>
          <w:spacing w:val="0"/>
          <w:w w:val="100"/>
          <w:position w:val="0"/>
        </w:rPr>
        <w:t>元。</w:t>
      </w:r>
    </w:p>
    <w:p>
      <w:pPr>
        <w:pStyle w:val="Style1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母公司资产负债表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434,536,833.16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434,536,833.16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198,036,223.02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198,036,223.02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2,523,774.95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2,523,774.95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19,342,157.46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19,342,157.46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50,807,609.07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50,807,609.07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194,538,212.56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194,538,212.56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5,785,722.98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5,785,722.98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1,234,570,533.20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1,234,570,533.20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20,594,661.25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20,594,661.25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70,071,190.24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70,071,190.24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66,882,263.12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66,882,263.12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82,485,685.82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82,485,685.82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4,961,441.91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4,961,441.91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457,891.97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457,891.97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6,791,678.70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6,791,678.70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31,593,011.51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31,593,011.51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3,093,470.22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3,093,470.22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13,486,936.76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13,486,936.76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321,060,339.53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321,518,231.50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457,891.97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1,555,630,872.73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1,556,088,764.70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457,891.97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130,109,694.44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130,109,694.44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16,974,086.04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16,974,086.04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129,223,798.26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129,223,798.26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70,988,123.30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70,988,123.30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26,317,267.36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26,317,267.36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8,720,637.46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8,720,637.46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43,684,361.32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43,684,361.32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285,183.56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285,183.56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4,206,900.07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4,206,900.07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430,556,429.72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430,841,613.28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285,183.56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172,708.41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172,708.41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2,175,676.98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2,175,676.98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2,175,676.98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2,348,385.39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172,708.41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432,732,106.70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433,189,998.67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457,891.97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189,929,258.00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189,929,258.00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722,217,861.48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722,217,861.48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37,080,562.50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37,080,562.50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27,354,733.62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27,354,733.62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220,477,475.43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220,477,475.43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1,122,898,766.03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1,122,898,766.03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1,555,630,872.73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1,556,088,764.70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457,891.97</w:t>
            </w:r>
          </w:p>
        </w:tc>
      </w:tr>
    </w:tbl>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调整情况说明</w:t>
      </w:r>
    </w:p>
    <w:p>
      <w:pPr>
        <w:pStyle w:val="Style1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日，对于首次执行日之前的经营租赁，本公司在首次执行日根据剩余租赁付款额按首次执行日公司增量借 款利率折现的现值计量租赁负债，金额为</w:t>
      </w:r>
      <w:r>
        <w:rPr>
          <w:rFonts w:ascii="Times New Roman" w:eastAsia="Times New Roman" w:hAnsi="Times New Roman" w:cs="Times New Roman"/>
          <w:color w:val="000000"/>
          <w:spacing w:val="0"/>
          <w:w w:val="100"/>
          <w:position w:val="0"/>
          <w:sz w:val="18"/>
          <w:szCs w:val="18"/>
        </w:rPr>
        <w:t>457,891.97</w:t>
      </w:r>
      <w:r>
        <w:rPr>
          <w:color w:val="000000"/>
          <w:spacing w:val="0"/>
          <w:w w:val="100"/>
          <w:position w:val="0"/>
        </w:rPr>
        <w:t>元，其中将于一年内到期的金额</w:t>
      </w:r>
      <w:r>
        <w:rPr>
          <w:rFonts w:ascii="Times New Roman" w:eastAsia="Times New Roman" w:hAnsi="Times New Roman" w:cs="Times New Roman"/>
          <w:color w:val="000000"/>
          <w:spacing w:val="0"/>
          <w:w w:val="100"/>
          <w:position w:val="0"/>
          <w:sz w:val="18"/>
          <w:szCs w:val="18"/>
        </w:rPr>
        <w:t>285,183.56</w:t>
      </w:r>
      <w:r>
        <w:rPr>
          <w:color w:val="000000"/>
          <w:spacing w:val="0"/>
          <w:w w:val="100"/>
          <w:position w:val="0"/>
        </w:rPr>
        <w:t>元重分类至一年内到期的非 流动负债。按照与租赁负债相等的金额调整计量使用权资产，金额为</w:t>
      </w:r>
      <w:r>
        <w:rPr>
          <w:rFonts w:ascii="Times New Roman" w:eastAsia="Times New Roman" w:hAnsi="Times New Roman" w:cs="Times New Roman"/>
          <w:color w:val="000000"/>
          <w:spacing w:val="0"/>
          <w:w w:val="100"/>
          <w:position w:val="0"/>
          <w:sz w:val="18"/>
          <w:szCs w:val="18"/>
        </w:rPr>
        <w:t>457,891.97</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50"/>
      <w:bookmarkEnd w:id="1051"/>
      <w:bookmarkEnd w:id="1053"/>
    </w:p>
    <w:p>
      <w:pPr>
        <w:pStyle w:val="Style17"/>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31</w:t>
      </w:r>
      <w:r>
        <w:rPr>
          <w:color w:val="000000"/>
          <w:spacing w:val="0"/>
          <w:w w:val="100"/>
          <w:position w:val="0"/>
        </w:rPr>
        <w:t>、其他</w:t>
      </w:r>
      <w:bookmarkEnd w:id="1054"/>
      <w:bookmarkEnd w:id="1055"/>
      <w:bookmarkEnd w:id="1056"/>
    </w:p>
    <w:p>
      <w:pPr>
        <w:pStyle w:val="Style1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both"/>
      </w:pPr>
      <w:bookmarkStart w:id="1057" w:name="bookmark1057"/>
      <w:bookmarkStart w:id="1058" w:name="bookmark1058"/>
      <w:bookmarkStart w:id="1059" w:name="bookmark1059"/>
      <w:bookmarkStart w:id="1060" w:name="bookmark1060"/>
      <w:r>
        <w:rPr>
          <w:color w:val="000000"/>
          <w:spacing w:val="0"/>
          <w:w w:val="100"/>
          <w:position w:val="0"/>
        </w:rPr>
        <w:t>六</w:t>
      </w:r>
      <w:bookmarkEnd w:id="1059"/>
      <w:r>
        <w:rPr>
          <w:color w:val="000000"/>
          <w:spacing w:val="0"/>
          <w:w w:val="100"/>
          <w:position w:val="0"/>
        </w:rPr>
        <w:t>、税项</w:t>
      </w:r>
      <w:bookmarkEnd w:id="1057"/>
      <w:bookmarkEnd w:id="1058"/>
      <w:bookmarkEnd w:id="1060"/>
    </w:p>
    <w:p>
      <w:pPr>
        <w:pStyle w:val="Style26"/>
        <w:keepNext/>
        <w:keepLines/>
        <w:widowControl w:val="0"/>
        <w:shd w:val="clear" w:color="auto" w:fill="auto"/>
        <w:bidi w:val="0"/>
        <w:spacing w:before="0" w:after="280" w:line="240" w:lineRule="auto"/>
        <w:ind w:left="0" w:right="0" w:firstLine="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1</w:t>
      </w:r>
      <w:bookmarkEnd w:id="1063"/>
      <w:r>
        <w:rPr>
          <w:color w:val="000000"/>
          <w:spacing w:val="0"/>
          <w:w w:val="100"/>
          <w:position w:val="0"/>
        </w:rPr>
        <w:t>、主要税种及税率</w:t>
      </w:r>
      <w:bookmarkEnd w:id="1061"/>
      <w:bookmarkEnd w:id="1062"/>
      <w:bookmarkEnd w:id="106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以按税法规定计算的销售货物和应税劳 务收入为基础计算销项税额，扣除当期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p>
    <w:tbl>
      <w:tblPr>
        <w:tblOverlap w:val="never"/>
        <w:jc w:val="center"/>
        <w:tblLayout w:type="fixed"/>
      </w:tblPr>
      <w:tblGrid>
        <w:gridCol w:w="3197"/>
        <w:gridCol w:w="3192"/>
        <w:gridCol w:w="3197"/>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26"/>
        <w:keepNext/>
        <w:keepLines/>
        <w:widowControl w:val="0"/>
        <w:shd w:val="clear" w:color="auto" w:fill="auto"/>
        <w:bidi w:val="0"/>
        <w:spacing w:before="0" w:after="28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bookmarkEnd w:id="1067"/>
      <w:r>
        <w:rPr>
          <w:color w:val="000000"/>
          <w:spacing w:val="0"/>
          <w:w w:val="100"/>
          <w:position w:val="0"/>
        </w:rPr>
        <w:t>、税收优惠</w:t>
      </w:r>
      <w:bookmarkEnd w:id="1065"/>
      <w:bookmarkEnd w:id="1066"/>
      <w:bookmarkEnd w:id="1068"/>
    </w:p>
    <w:p>
      <w:pPr>
        <w:pStyle w:val="Style17"/>
        <w:keepNext w:val="0"/>
        <w:keepLines w:val="0"/>
        <w:widowControl w:val="0"/>
        <w:numPr>
          <w:ilvl w:val="0"/>
          <w:numId w:val="77"/>
        </w:numPr>
        <w:shd w:val="clear" w:color="auto" w:fill="auto"/>
        <w:tabs>
          <w:tab w:pos="667" w:val="left"/>
        </w:tabs>
        <w:bidi w:val="0"/>
        <w:spacing w:before="0" w:after="0" w:line="317" w:lineRule="exact"/>
        <w:ind w:left="0" w:right="0" w:firstLine="380"/>
        <w:jc w:val="both"/>
      </w:pPr>
      <w:bookmarkStart w:id="1069" w:name="bookmark1069"/>
      <w:bookmarkEnd w:id="1069"/>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号），本公司及控股子公司天津和 仁公司自行开发研制的软件产品销售先按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的税率计缴增值税，其实际税负超过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部分经主管国家税务局审核后予以退 税。</w:t>
      </w:r>
    </w:p>
    <w:p>
      <w:pPr>
        <w:pStyle w:val="Style17"/>
        <w:keepNext w:val="0"/>
        <w:keepLines w:val="0"/>
        <w:widowControl w:val="0"/>
        <w:numPr>
          <w:ilvl w:val="0"/>
          <w:numId w:val="77"/>
        </w:numPr>
        <w:shd w:val="clear" w:color="auto" w:fill="auto"/>
        <w:tabs>
          <w:tab w:pos="663" w:val="left"/>
        </w:tabs>
        <w:bidi w:val="0"/>
        <w:spacing w:before="0" w:after="0" w:line="317" w:lineRule="exact"/>
        <w:ind w:left="0" w:right="0" w:firstLine="380"/>
        <w:jc w:val="both"/>
      </w:pPr>
      <w:bookmarkStart w:id="1070" w:name="bookmark1070"/>
      <w:bookmarkEnd w:id="1070"/>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号），提供技术转让、 技术开发和与之相关的技术咨询、技术服务业务取得的收入，免缴增值税。本公司及控股子公司天津和仁公司对符合条件的 技术开发收入免缴增值税。</w:t>
      </w:r>
    </w:p>
    <w:p>
      <w:pPr>
        <w:pStyle w:val="Style17"/>
        <w:keepNext w:val="0"/>
        <w:keepLines w:val="0"/>
        <w:widowControl w:val="0"/>
        <w:numPr>
          <w:ilvl w:val="0"/>
          <w:numId w:val="77"/>
        </w:numPr>
        <w:shd w:val="clear" w:color="auto" w:fill="auto"/>
        <w:tabs>
          <w:tab w:pos="672" w:val="left"/>
        </w:tabs>
        <w:bidi w:val="0"/>
        <w:spacing w:before="0" w:after="0" w:line="312" w:lineRule="exact"/>
        <w:ind w:left="0" w:right="0" w:firstLine="380"/>
        <w:jc w:val="both"/>
      </w:pPr>
      <w:bookmarkStart w:id="1071" w:name="bookmark1071"/>
      <w:bookmarkEnd w:id="1071"/>
      <w:r>
        <w:rPr>
          <w:color w:val="000000"/>
          <w:spacing w:val="0"/>
          <w:w w:val="100"/>
          <w:position w:val="0"/>
        </w:rPr>
        <w:t>根据全国高新技术企业认定管理工作领导小组办公室《关于对浙江省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年认定的第一批高新技术企业进行备案的 函》（国科火字〔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号），本公司被认定为高新技术企业，认定有效期为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年）。另外，根据财政 部、国家税务总局《关于进一步鼓励软件产业和集成电路产业发展企业所得税政策的通知》（财税（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号）的规定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本公司预计可以通过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年国家规划布局内重点软件企业认定，故</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年暂减按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的税率计缴企业所得税。</w:t>
      </w:r>
    </w:p>
    <w:p>
      <w:pPr>
        <w:pStyle w:val="Style17"/>
        <w:keepNext w:val="0"/>
        <w:keepLines w:val="0"/>
        <w:widowControl w:val="0"/>
        <w:numPr>
          <w:ilvl w:val="0"/>
          <w:numId w:val="77"/>
        </w:numPr>
        <w:shd w:val="clear" w:color="auto" w:fill="auto"/>
        <w:tabs>
          <w:tab w:pos="663" w:val="left"/>
        </w:tabs>
        <w:bidi w:val="0"/>
        <w:spacing w:before="0" w:after="0" w:line="310" w:lineRule="exact"/>
        <w:ind w:left="0" w:right="0" w:firstLine="380"/>
        <w:jc w:val="both"/>
      </w:pPr>
      <w:bookmarkStart w:id="1072" w:name="bookmark1072"/>
      <w:bookmarkEnd w:id="1072"/>
      <w:r>
        <w:rPr>
          <w:color w:val="000000"/>
          <w:spacing w:val="0"/>
          <w:w w:val="100"/>
          <w:position w:val="0"/>
        </w:rPr>
        <w:t>根据全国高新技术企业认定管理工作领导小组办公室《关于天津市</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年第二批高新技术企业备案的复函》（国科 火字〔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号），控股子公司天津和仁公司被认定为高新技术企业，认定有效期为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年）。本期按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7"/>
        <w:keepNext w:val="0"/>
        <w:keepLines w:val="0"/>
        <w:widowControl w:val="0"/>
        <w:shd w:val="clear" w:color="auto" w:fill="auto"/>
        <w:bidi w:val="0"/>
        <w:spacing w:before="0" w:after="740" w:line="312" w:lineRule="exact"/>
        <w:ind w:left="0" w:right="0" w:firstLine="380"/>
        <w:jc w:val="both"/>
      </w:pPr>
      <w:r>
        <w:rPr>
          <w:color w:val="000000"/>
          <w:spacing w:val="0"/>
          <w:w w:val="100"/>
          <w:position w:val="0"/>
        </w:rPr>
        <w:t>本公司自行开发研制的软件产品销售，其实际税负超过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部分经主管国家税务局审核后予以退税，本期增值税退税金 额为</w:t>
      </w:r>
      <w:r>
        <w:rPr>
          <w:rFonts w:ascii="Times New Roman" w:eastAsia="Times New Roman" w:hAnsi="Times New Roman" w:cs="Times New Roman"/>
          <w:color w:val="000000"/>
          <w:spacing w:val="0"/>
          <w:w w:val="100"/>
          <w:position w:val="0"/>
          <w:sz w:val="18"/>
          <w:szCs w:val="18"/>
        </w:rPr>
        <w:t>8,001,146.6</w:t>
      </w:r>
      <w:r>
        <w:rPr>
          <w:color w:val="000000"/>
          <w:spacing w:val="0"/>
          <w:w w:val="100"/>
          <w:position w:val="0"/>
        </w:rPr>
        <w:t>元，对公司当期损益的影响金额为</w:t>
      </w:r>
      <w:r>
        <w:rPr>
          <w:rFonts w:ascii="Times New Roman" w:eastAsia="Times New Roman" w:hAnsi="Times New Roman" w:cs="Times New Roman"/>
          <w:color w:val="000000"/>
          <w:spacing w:val="0"/>
          <w:w w:val="100"/>
          <w:position w:val="0"/>
          <w:sz w:val="18"/>
          <w:szCs w:val="18"/>
        </w:rPr>
        <w:t>7,201,031.94</w:t>
      </w:r>
      <w:r>
        <w:rPr>
          <w:color w:val="000000"/>
          <w:spacing w:val="0"/>
          <w:w w:val="100"/>
          <w:position w:val="0"/>
        </w:rPr>
        <w:t>元。</w:t>
      </w:r>
    </w:p>
    <w:p>
      <w:pPr>
        <w:pStyle w:val="Style26"/>
        <w:keepNext/>
        <w:keepLines/>
        <w:widowControl w:val="0"/>
        <w:shd w:val="clear" w:color="auto" w:fill="auto"/>
        <w:bidi w:val="0"/>
        <w:spacing w:before="0" w:after="38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3</w:t>
      </w:r>
      <w:bookmarkEnd w:id="1075"/>
      <w:r>
        <w:rPr>
          <w:color w:val="000000"/>
          <w:spacing w:val="0"/>
          <w:w w:val="100"/>
          <w:position w:val="0"/>
        </w:rPr>
        <w:t>、其他</w:t>
      </w:r>
      <w:bookmarkEnd w:id="1073"/>
      <w:bookmarkEnd w:id="1074"/>
      <w:bookmarkEnd w:id="1076"/>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七</w:t>
      </w:r>
      <w:bookmarkEnd w:id="1079"/>
      <w:r>
        <w:rPr>
          <w:color w:val="000000"/>
          <w:spacing w:val="0"/>
          <w:w w:val="100"/>
          <w:position w:val="0"/>
        </w:rPr>
        <w:t>、合并财务报表项目注释</w:t>
      </w:r>
      <w:bookmarkEnd w:id="1077"/>
      <w:bookmarkEnd w:id="1078"/>
      <w:bookmarkEnd w:id="1080"/>
    </w:p>
    <w:p>
      <w:pPr>
        <w:pStyle w:val="Style26"/>
        <w:keepNext/>
        <w:keepLines/>
        <w:widowControl w:val="0"/>
        <w:shd w:val="clear" w:color="auto" w:fill="auto"/>
        <w:bidi w:val="0"/>
        <w:spacing w:before="0" w:after="38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1</w:t>
      </w:r>
      <w:bookmarkEnd w:id="1083"/>
      <w:r>
        <w:rPr>
          <w:color w:val="000000"/>
          <w:spacing w:val="0"/>
          <w:w w:val="100"/>
          <w:position w:val="0"/>
        </w:rPr>
        <w:t>、货币资金</w:t>
      </w:r>
      <w:bookmarkEnd w:id="1081"/>
      <w:bookmarkEnd w:id="1082"/>
      <w:bookmarkEnd w:id="108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448,588,212.38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430,472,130.26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7,007,878.41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9,736,950.88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455,596,266.47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440,209,354.52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其他货币资金中有票据保证金存款</w:t>
      </w:r>
      <w:r>
        <w:rPr>
          <w:rFonts w:ascii="Times New Roman" w:eastAsia="Times New Roman" w:hAnsi="Times New Roman" w:cs="Times New Roman"/>
          <w:color w:val="000000"/>
          <w:spacing w:val="0"/>
          <w:w w:val="100"/>
          <w:position w:val="0"/>
          <w:sz w:val="18"/>
          <w:szCs w:val="18"/>
        </w:rPr>
        <w:t>970,768.61</w:t>
      </w:r>
      <w:r>
        <w:rPr>
          <w:color w:val="000000"/>
          <w:spacing w:val="0"/>
          <w:w w:val="100"/>
          <w:position w:val="0"/>
        </w:rPr>
        <w:t>元、保函保证金存款</w:t>
      </w:r>
      <w:r>
        <w:rPr>
          <w:rFonts w:ascii="Times New Roman" w:eastAsia="Times New Roman" w:hAnsi="Times New Roman" w:cs="Times New Roman"/>
          <w:color w:val="000000"/>
          <w:spacing w:val="0"/>
          <w:w w:val="100"/>
          <w:position w:val="0"/>
          <w:sz w:val="18"/>
          <w:szCs w:val="18"/>
        </w:rPr>
        <w:t>2,466,495.98</w:t>
      </w:r>
      <w:r>
        <w:rPr>
          <w:color w:val="000000"/>
          <w:spacing w:val="0"/>
          <w:w w:val="100"/>
          <w:position w:val="0"/>
        </w:rPr>
        <w:t xml:space="preserve">元，农民工工资保证金专户存款 </w:t>
      </w:r>
      <w:r>
        <w:rPr>
          <w:rFonts w:ascii="Times New Roman" w:eastAsia="Times New Roman" w:hAnsi="Times New Roman" w:cs="Times New Roman"/>
          <w:color w:val="000000"/>
          <w:spacing w:val="0"/>
          <w:w w:val="100"/>
          <w:position w:val="0"/>
          <w:sz w:val="18"/>
          <w:szCs w:val="18"/>
        </w:rPr>
        <w:t>1,817,416.55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元均使用受限。</w:t>
      </w:r>
    </w:p>
    <w:p>
      <w:pPr>
        <w:pStyle w:val="Style26"/>
        <w:keepNext/>
        <w:keepLines/>
        <w:widowControl w:val="0"/>
        <w:shd w:val="clear" w:color="auto" w:fill="auto"/>
        <w:bidi w:val="0"/>
        <w:spacing w:before="0" w:after="38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2</w:t>
      </w:r>
      <w:bookmarkEnd w:id="1087"/>
      <w:r>
        <w:rPr>
          <w:color w:val="000000"/>
          <w:spacing w:val="0"/>
          <w:w w:val="100"/>
          <w:position w:val="0"/>
        </w:rPr>
        <w:t>、交易性金融资产</w:t>
      </w:r>
      <w:bookmarkEnd w:id="1085"/>
      <w:bookmarkEnd w:id="1086"/>
      <w:bookmarkEnd w:id="1088"/>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185,360,000.00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372,380,000.00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329,000,000.00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185,360,000.00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372,380,000.00</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3</w:t>
      </w:r>
      <w:bookmarkEnd w:id="1091"/>
      <w:r>
        <w:rPr>
          <w:color w:val="000000"/>
          <w:spacing w:val="0"/>
          <w:w w:val="100"/>
          <w:position w:val="0"/>
        </w:rPr>
        <w:t>、应收账款</w:t>
      </w:r>
      <w:bookmarkEnd w:id="1089"/>
      <w:bookmarkEnd w:id="1090"/>
      <w:bookmarkEnd w:id="1092"/>
    </w:p>
    <w:p>
      <w:pPr>
        <w:pStyle w:val="Style31"/>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93"/>
      <w:bookmarkEnd w:id="1094"/>
      <w:bookmarkEnd w:id="1096"/>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355,680,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106,170,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249,509,5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220,023,30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355,680,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106,170,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249,509,5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220,023,30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17"/>
        <w:keepNext w:val="0"/>
        <w:keepLines w:val="0"/>
        <w:widowControl w:val="0"/>
        <w:shd w:val="clear" w:color="auto" w:fill="auto"/>
        <w:bidi w:val="0"/>
        <w:spacing w:before="0" w:after="220" w:line="240" w:lineRule="auto"/>
        <w:ind w:left="8940" w:right="0" w:firstLine="0"/>
        <w:jc w:val="left"/>
      </w:pPr>
      <w:r>
        <w:rPr>
          <w:color w:val="000000"/>
          <w:spacing w:val="0"/>
          <w:w w:val="100"/>
          <w:position w:val="0"/>
        </w:rPr>
        <w:t>单位：元</w:t>
      </w:r>
    </w:p>
    <w:p>
      <w:pPr>
        <w:pStyle w:val="Style17"/>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0" w:line="240" w:lineRule="auto"/>
        <w:ind w:left="0" w:right="0" w:firstLine="0"/>
        <w:jc w:val="center"/>
      </w:pPr>
      <w:r>
        <w:rPr>
          <w:color w:val="000000"/>
          <w:spacing w:val="0"/>
          <w:w w:val="100"/>
          <w:position w:val="0"/>
        </w:rPr>
        <w:t>期末余额</w:t>
      </w:r>
    </w:p>
    <w:p>
      <w:pPr>
        <w:pStyle w:val="Style17"/>
        <w:keepNext w:val="0"/>
        <w:keepLines w:val="0"/>
        <w:widowControl w:val="0"/>
        <w:pBdr>
          <w:top w:val="single" w:sz="4" w:space="1" w:color="D3D3D3"/>
          <w:left w:val="single" w:sz="4" w:space="0" w:color="D3D3D3"/>
          <w:bottom w:val="single" w:sz="4" w:space="7" w:color="D3D3D3"/>
          <w:right w:val="single" w:sz="4" w:space="0" w:color="D3D3D3"/>
        </w:pBdr>
        <w:shd w:val="clear" w:color="auto" w:fill="D3D3D3"/>
        <w:tabs>
          <w:tab w:pos="1914" w:val="left"/>
          <w:tab w:leader="hyphen" w:pos="3796" w:val="left"/>
          <w:tab w:leader="hyphen" w:pos="5735" w:val="left"/>
          <w:tab w:leader="hyphen" w:pos="7644" w:val="left"/>
          <w:tab w:leader="hyphen" w:pos="9550" w:val="left"/>
        </w:tabs>
        <w:bidi w:val="0"/>
        <w:spacing w:before="0" w:after="0" w:line="240" w:lineRule="auto"/>
        <w:ind w:left="0" w:right="0" w:firstLine="780"/>
        <w:jc w:val="left"/>
      </w:pPr>
      <w:r>
        <w:rPr>
          <w:color w:val="000000"/>
          <w:spacing w:val="0"/>
          <w:w w:val="100"/>
          <w:position w:val="0"/>
        </w:rPr>
        <w:t>名称</w:t>
        <w:tab/>
        <w:tab/>
        <w:tab/>
        <w:tab/>
        <w:tab/>
      </w:r>
    </w:p>
    <w:p>
      <w:pPr>
        <w:pStyle w:val="Style17"/>
        <w:keepNext w:val="0"/>
        <w:keepLines w:val="0"/>
        <w:widowControl w:val="0"/>
        <w:pBdr>
          <w:top w:val="single" w:sz="4" w:space="1" w:color="D3D3D3"/>
          <w:left w:val="single" w:sz="4" w:space="0" w:color="D3D3D3"/>
          <w:bottom w:val="single" w:sz="4" w:space="7" w:color="D3D3D3"/>
          <w:right w:val="single" w:sz="4" w:space="0" w:color="D3D3D3"/>
        </w:pBdr>
        <w:shd w:val="clear" w:color="auto" w:fill="D3D3D3"/>
        <w:tabs>
          <w:tab w:pos="1914" w:val="left"/>
          <w:tab w:pos="3796" w:val="left"/>
          <w:tab w:pos="5735" w:val="left"/>
        </w:tabs>
        <w:bidi w:val="0"/>
        <w:spacing w:before="0" w:after="0" w:line="240" w:lineRule="auto"/>
        <w:ind w:left="0" w:right="0" w:firstLine="0"/>
        <w:jc w:val="center"/>
      </w:pPr>
      <w:r>
        <w:rPr>
          <w:color w:val="000000"/>
          <w:spacing w:val="0"/>
          <w:w w:val="100"/>
          <w:position w:val="0"/>
        </w:rPr>
        <w:t>账面余额</w:t>
        <w:tab/>
        <w:t>坏账准备</w:t>
        <w:tab/>
        <w:t>计提比例</w:t>
        <w:tab/>
        <w:t>计提理由</w:t>
      </w:r>
    </w:p>
    <w:p>
      <w:pPr>
        <w:pStyle w:val="Style17"/>
        <w:keepNext w:val="0"/>
        <w:keepLines w:val="0"/>
        <w:widowControl w:val="0"/>
        <w:shd w:val="clear" w:color="auto" w:fill="auto"/>
        <w:bidi w:val="0"/>
        <w:spacing w:before="0" w:after="60" w:line="312" w:lineRule="exact"/>
        <w:ind w:left="0" w:right="0" w:firstLine="0"/>
        <w:jc w:val="left"/>
      </w:pPr>
      <w:r>
        <w:rPr>
          <w:color w:val="000000"/>
          <w:spacing w:val="0"/>
          <w:w w:val="100"/>
          <w:position w:val="0"/>
        </w:rPr>
        <w:t>按组合计提坏账准备：</w:t>
      </w:r>
    </w:p>
    <w:p>
      <w:pPr>
        <w:pStyle w:val="Style17"/>
        <w:keepNext w:val="0"/>
        <w:keepLines w:val="0"/>
        <w:widowControl w:val="0"/>
        <w:shd w:val="clear" w:color="auto" w:fill="auto"/>
        <w:bidi w:val="0"/>
        <w:spacing w:before="0" w:after="85" w:line="312" w:lineRule="exact"/>
        <w:ind w:left="0" w:right="0" w:firstLine="0"/>
        <w:jc w:val="right"/>
      </w:pPr>
      <w:r>
        <w:rPr>
          <w:color w:val="000000"/>
          <w:spacing w:val="0"/>
          <w:w w:val="100"/>
          <w:position w:val="0"/>
        </w:rPr>
        <w:t>单位：元</w:t>
      </w:r>
    </w:p>
    <w:p>
      <w:pPr>
        <w:pStyle w:val="Style17"/>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240" w:lineRule="auto"/>
        <w:ind w:left="0" w:right="0" w:firstLine="0"/>
        <w:jc w:val="center"/>
      </w:pPr>
      <w:r>
        <w:rPr>
          <w:color w:val="000000"/>
          <w:spacing w:val="0"/>
          <w:w w:val="100"/>
          <w:position w:val="0"/>
        </w:rPr>
        <w:t>期末余额</w:t>
      </w:r>
    </w:p>
    <w:p>
      <w:pPr>
        <w:pStyle w:val="Style17"/>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378" w:val="left"/>
          <w:tab w:leader="hyphen" w:pos="3796" w:val="left"/>
          <w:tab w:leader="hyphen" w:pos="6144" w:val="left"/>
          <w:tab w:leader="hyphen" w:pos="8525" w:val="left"/>
        </w:tabs>
        <w:bidi w:val="0"/>
        <w:spacing w:before="0" w:after="0" w:line="240" w:lineRule="auto"/>
        <w:ind w:left="0" w:right="0" w:firstLine="0"/>
        <w:jc w:val="center"/>
      </w:pPr>
      <w:r>
        <w:rPr>
          <w:color w:val="000000"/>
          <w:spacing w:val="0"/>
          <w:w w:val="100"/>
          <w:position w:val="0"/>
        </w:rPr>
        <w:t>名称</w:t>
        <w:tab/>
        <w:tab/>
        <w:tab/>
        <w:tab/>
      </w:r>
    </w:p>
    <w:p>
      <w:pPr>
        <w:pStyle w:val="Style17"/>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2366" w:val="left"/>
          <w:tab w:pos="4762" w:val="left"/>
        </w:tabs>
        <w:bidi w:val="0"/>
        <w:spacing w:before="0" w:after="0" w:line="240" w:lineRule="auto"/>
        <w:ind w:left="0" w:right="0" w:firstLine="0"/>
        <w:jc w:val="center"/>
      </w:pPr>
      <w:r>
        <w:rPr>
          <w:color w:val="000000"/>
          <w:spacing w:val="0"/>
          <w:w w:val="100"/>
          <w:position w:val="0"/>
        </w:rPr>
        <w:t>账面余额</w:t>
        <w:tab/>
        <w:t>坏账准备</w:t>
        <w:tab/>
        <w:t>计提比例</w:t>
      </w:r>
    </w:p>
    <w:p>
      <w:pPr>
        <w:pStyle w:val="Style17"/>
        <w:keepNext w:val="0"/>
        <w:keepLines w:val="0"/>
        <w:widowControl w:val="0"/>
        <w:shd w:val="clear" w:color="auto" w:fill="auto"/>
        <w:bidi w:val="0"/>
        <w:spacing w:before="0" w:after="60" w:line="312" w:lineRule="exact"/>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480" w:line="312" w:lineRule="exact"/>
        <w:ind w:left="0" w:right="0"/>
        <w:jc w:val="both"/>
      </w:pPr>
      <w:r>
        <w:rPr>
          <w:color w:val="000000"/>
          <w:spacing w:val="0"/>
          <w:w w:val="100"/>
          <w:position w:val="0"/>
        </w:rPr>
        <w:t>参考历史信用损失经验，结合当前状况以及对未来经济状况的预测，通过违约风险敞口和整个存续期预期信用损失率， 计算预期信用损失。对于应收外部客户账款组合，本公司认为相同账龄的客户具有类似预期损失率。</w:t>
      </w:r>
    </w:p>
    <w:tbl>
      <w:tblPr>
        <w:tblOverlap w:val="never"/>
        <w:jc w:val="center"/>
        <w:tblLayout w:type="fixed"/>
      </w:tblPr>
      <w:tblGrid>
        <w:gridCol w:w="4790"/>
        <w:gridCol w:w="4853"/>
      </w:tblGrid>
      <w:tr>
        <w:trPr>
          <w:trHeight w:val="66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141,287,285.98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75,145,560.77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41,384,509.70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97,862,816.58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17,365,453.15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i/>
                <w:iCs/>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15,197,841.26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65,299,522.17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355,680,173.03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59" w:line="1" w:lineRule="exact"/>
      </w:pPr>
    </w:p>
    <w:p>
      <w:pPr>
        <w:widowControl w:val="0"/>
        <w:spacing w:line="1" w:lineRule="exact"/>
      </w:pPr>
    </w:p>
    <w:tbl>
      <w:tblPr>
        <w:tblOverlap w:val="never"/>
        <w:jc w:val="center"/>
        <w:tblLayout w:type="fixed"/>
      </w:tblPr>
      <w:tblGrid>
        <w:gridCol w:w="3043"/>
        <w:gridCol w:w="2078"/>
        <w:gridCol w:w="283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55,576,257.21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项目已完工，决算审计尚未完成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20,882,224.52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项目已完工，决算审计尚未完成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3,748,000.01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未达到付款条件</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2,231,594.45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项目已完工，决算审计尚未完成</w:t>
            </w:r>
          </w:p>
        </w:tc>
      </w:tr>
    </w:tbl>
    <w:p>
      <w:pPr>
        <w:widowControl w:val="0"/>
        <w:spacing w:after="639" w:line="1" w:lineRule="exact"/>
      </w:pPr>
    </w:p>
    <w:p>
      <w:pPr>
        <w:pStyle w:val="Style31"/>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97"/>
      <w:bookmarkEnd w:id="1098"/>
      <w:bookmarkEnd w:id="1100"/>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5467"/>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97,355,223.88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9,035,811.89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220,437.42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106,170,598.35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97,355,223.88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9,035,811.89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220,437.42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106,170,598.35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jc w:val="left"/>
      </w:pPr>
      <w:r>
        <w:rPr>
          <w:color w:val="000000"/>
          <w:spacing w:val="0"/>
          <w:w w:val="100"/>
          <w:position w:val="0"/>
        </w:rPr>
        <w:t>本期无坏账准备收回或转回情况</w:t>
      </w:r>
    </w:p>
    <w:p>
      <w:pPr>
        <w:pStyle w:val="Style31"/>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01"/>
      <w:bookmarkEnd w:id="1102"/>
      <w:bookmarkEnd w:id="1104"/>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中南大学湘雅医院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中南大学湘雅二医院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运城市黄河金三角第一医院有限公司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2,437.42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中南大学湘雅医院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公司内部核销流程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rPr>
              <w:t>中南大学湘雅二医 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公司内部核销流程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运城市黄河金三角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第一医院有限公司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公司内部核销流程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220,437.42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4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本期实际核销的应收账款</w:t>
      </w:r>
      <w:r>
        <w:rPr>
          <w:rFonts w:ascii="Times New Roman" w:eastAsia="Times New Roman" w:hAnsi="Times New Roman" w:cs="Times New Roman"/>
          <w:color w:val="000000"/>
          <w:spacing w:val="0"/>
          <w:w w:val="100"/>
          <w:position w:val="0"/>
        </w:rPr>
        <w:t>220,437.4</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05"/>
      <w:bookmarkEnd w:id="1106"/>
      <w:bookmarkEnd w:id="1108"/>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55,819,077.22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54,864,775.27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36,390,520.00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3,639,052.00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33,099,000.00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992,970.00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22,082,224.52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13,067,808.23</w:t>
            </w:r>
          </w:p>
        </w:tc>
      </w:tr>
    </w:tbl>
    <w:p>
      <w:pPr>
        <w:widowControl w:val="0"/>
        <w:spacing w:line="1" w:lineRule="exact"/>
      </w:pPr>
    </w:p>
    <w:tbl>
      <w:tblPr>
        <w:tblOverlap w:val="never"/>
        <w:jc w:val="center"/>
        <w:tblLayout w:type="fixed"/>
      </w:tblPr>
      <w:tblGrid>
        <w:gridCol w:w="1987"/>
        <w:gridCol w:w="2530"/>
        <w:gridCol w:w="2530"/>
        <w:gridCol w:w="253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3,773,400.00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166,257,821.74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31"/>
        <w:keepNext/>
        <w:keepLines/>
        <w:widowControl w:val="0"/>
        <w:shd w:val="clear" w:color="auto" w:fill="auto"/>
        <w:tabs>
          <w:tab w:pos="493" w:val="left"/>
        </w:tabs>
        <w:bidi w:val="0"/>
        <w:spacing w:before="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09"/>
      <w:bookmarkEnd w:id="1110"/>
      <w:bookmarkEnd w:id="111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13"/>
      <w:bookmarkEnd w:id="1114"/>
      <w:bookmarkEnd w:id="1116"/>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4</w:t>
      </w:r>
      <w:bookmarkEnd w:id="1119"/>
      <w:r>
        <w:rPr>
          <w:color w:val="000000"/>
          <w:spacing w:val="0"/>
          <w:w w:val="100"/>
          <w:position w:val="0"/>
        </w:rPr>
        <w:t>、预付款项</w:t>
      </w:r>
      <w:bookmarkEnd w:id="1117"/>
      <w:bookmarkEnd w:id="1118"/>
      <w:bookmarkEnd w:id="1120"/>
    </w:p>
    <w:p>
      <w:pPr>
        <w:pStyle w:val="Style31"/>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21"/>
      <w:bookmarkEnd w:id="1122"/>
      <w:bookmarkEnd w:id="112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3,158,709.80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2,322,683.08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752,117.20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317,442.56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213,970.73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213,969.96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3,788,870.42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3,307,143.51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25"/>
      <w:bookmarkEnd w:id="1126"/>
      <w:bookmarkEnd w:id="1128"/>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期末余额前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名的预付款项合计数为</w:t>
      </w:r>
      <w:r>
        <w:rPr>
          <w:rFonts w:ascii="Times New Roman" w:eastAsia="Times New Roman" w:hAnsi="Times New Roman" w:cs="Times New Roman"/>
          <w:color w:val="000000"/>
          <w:spacing w:val="0"/>
          <w:w w:val="100"/>
          <w:position w:val="0"/>
          <w:sz w:val="18"/>
          <w:szCs w:val="18"/>
        </w:rPr>
        <w:t>2,973,501.02</w:t>
      </w:r>
      <w:r>
        <w:rPr>
          <w:color w:val="000000"/>
          <w:spacing w:val="0"/>
          <w:w w:val="100"/>
          <w:position w:val="0"/>
        </w:rPr>
        <w:t>元，占预付款项期末余额合计数的比例为</w:t>
      </w:r>
      <w:r>
        <w:rPr>
          <w:rFonts w:ascii="Times New Roman" w:eastAsia="Times New Roman" w:hAnsi="Times New Roman" w:cs="Times New Roman"/>
          <w:color w:val="000000"/>
          <w:spacing w:val="0"/>
          <w:w w:val="100"/>
          <w:position w:val="0"/>
          <w:sz w:val="18"/>
          <w:szCs w:val="18"/>
        </w:rPr>
        <w:t>78.48%</w:t>
      </w:r>
      <w:r>
        <w:rPr>
          <w:color w:val="000000"/>
          <w:spacing w:val="0"/>
          <w:w w:val="100"/>
          <w:position w:val="0"/>
        </w:rPr>
        <w:t>。</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5</w:t>
      </w:r>
      <w:bookmarkEnd w:id="1131"/>
      <w:r>
        <w:rPr>
          <w:color w:val="000000"/>
          <w:spacing w:val="0"/>
          <w:w w:val="100"/>
          <w:position w:val="0"/>
        </w:rPr>
        <w:t>、其他应收款</w:t>
      </w:r>
      <w:bookmarkEnd w:id="1129"/>
      <w:bookmarkEnd w:id="1130"/>
      <w:bookmarkEnd w:id="1132"/>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23,883,398.20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19,289,775.42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23,883,398.20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19,289,775.42</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33"/>
      <w:bookmarkEnd w:id="1134"/>
      <w:bookmarkEnd w:id="1136"/>
    </w:p>
    <w:p>
      <w:pPr>
        <w:pStyle w:val="Style51"/>
        <w:keepNext/>
        <w:keepLines/>
        <w:widowControl w:val="0"/>
        <w:shd w:val="clear" w:color="auto" w:fill="auto"/>
        <w:bidi w:val="0"/>
        <w:spacing w:before="0" w:after="38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w:t>
      </w:r>
      <w:bookmarkEnd w:id="1139"/>
      <w:r>
        <w:rPr>
          <w:color w:val="000000"/>
          <w:spacing w:val="0"/>
          <w:w w:val="100"/>
          <w:position w:val="0"/>
        </w:rPr>
        <w:t>）其他应收款按款项性质分类情况</w:t>
      </w:r>
      <w:bookmarkEnd w:id="1137"/>
      <w:bookmarkEnd w:id="1138"/>
      <w:bookmarkEnd w:id="1140"/>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12,785,426.03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15,118,694.97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3,835,777.54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2,586,413.25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6,651,811.80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4,437,855.18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3,652,640.44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1,477,846.66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406,288.14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357,251.05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27,331,943.95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23,978,061.11</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2</w:t>
      </w:r>
      <w:bookmarkEnd w:id="1143"/>
      <w:r>
        <w:rPr>
          <w:color w:val="000000"/>
          <w:spacing w:val="0"/>
          <w:w w:val="100"/>
          <w:position w:val="0"/>
        </w:rPr>
        <w:t>）坏账准备计提情况</w:t>
      </w:r>
      <w:bookmarkEnd w:id="1141"/>
      <w:bookmarkEnd w:id="1142"/>
      <w:bookmarkEnd w:id="1144"/>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221,511.21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477,195.54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3,989,578.94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4,688,285.69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-49,513.75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425,609.99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253,356.70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-1,557,043.16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-1,239,739.94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425,354.16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165,045.82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2,858,145.77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3,448,545.75</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18,014,249.81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1,650,458.18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4,256,099.86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3,411,136.10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2,781,100.00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68,301.50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561,734.60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27,331,943.95</w:t>
            </w:r>
          </w:p>
        </w:tc>
      </w:tr>
    </w:tbl>
    <w:p>
      <w:pPr>
        <w:widowControl w:val="0"/>
        <w:spacing w:after="359" w:line="1" w:lineRule="exact"/>
      </w:pPr>
    </w:p>
    <w:p>
      <w:pPr>
        <w:pStyle w:val="Style51"/>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3</w:t>
      </w:r>
      <w:bookmarkEnd w:id="1147"/>
      <w:r>
        <w:rPr>
          <w:color w:val="000000"/>
          <w:spacing w:val="0"/>
          <w:w w:val="100"/>
          <w:position w:val="0"/>
        </w:rPr>
        <w:t>）本期计提、收回或转回的坏账准备情况</w:t>
      </w:r>
      <w:bookmarkEnd w:id="1145"/>
      <w:bookmarkEnd w:id="1146"/>
      <w:bookmarkEnd w:id="1148"/>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按组合计提坏账 准备的其他应收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4,688,285.69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-1,239,739.94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3,448,545.75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4,688,285.69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-1,239,739.94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3,448,545.75</w:t>
            </w: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51"/>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4</w:t>
      </w:r>
      <w:bookmarkEnd w:id="1151"/>
      <w:r>
        <w:rPr>
          <w:color w:val="000000"/>
          <w:spacing w:val="0"/>
          <w:w w:val="100"/>
          <w:position w:val="0"/>
        </w:rPr>
        <w:t>）本期实际核销的其他应收款情况</w:t>
      </w:r>
      <w:bookmarkEnd w:id="1149"/>
      <w:bookmarkEnd w:id="1150"/>
      <w:bookmarkEnd w:id="1152"/>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59" w:line="1" w:lineRule="exact"/>
      </w:pPr>
    </w:p>
    <w:p>
      <w:pPr>
        <w:pStyle w:val="Style51"/>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5</w:t>
      </w:r>
      <w:bookmarkEnd w:id="1155"/>
      <w:r>
        <w:rPr>
          <w:color w:val="000000"/>
          <w:spacing w:val="0"/>
          <w:w w:val="100"/>
          <w:position w:val="0"/>
        </w:rPr>
        <w:t>）按欠款方归集的期末余额前五名的其他应收款情况</w:t>
      </w:r>
      <w:bookmarkEnd w:id="1153"/>
      <w:bookmarkEnd w:id="1154"/>
      <w:bookmarkEnd w:id="1156"/>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国家税务总局杭州 市税务局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3,835,777.54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陕西中医药大学第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二附属医院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2,027,253.20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405,450.64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广西国际壮医医院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761,240.00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杭州意照建筑劳务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1,267,846.66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253,569.33</w:t>
            </w:r>
          </w:p>
        </w:tc>
      </w:tr>
    </w:tbl>
    <w:p>
      <w:pPr>
        <w:widowControl w:val="0"/>
        <w:spacing w:line="1" w:lineRule="exact"/>
      </w:pP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姚建民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1,052,992.50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31,589.78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9,798,269.90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1,451,849.75</w:t>
            </w:r>
          </w:p>
        </w:tc>
      </w:tr>
    </w:tbl>
    <w:p>
      <w:pPr>
        <w:widowControl w:val="0"/>
        <w:spacing w:after="359" w:line="1" w:lineRule="exact"/>
      </w:pPr>
    </w:p>
    <w:p>
      <w:pPr>
        <w:pStyle w:val="Style51"/>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6</w:t>
      </w:r>
      <w:bookmarkEnd w:id="1159"/>
      <w:r>
        <w:rPr>
          <w:color w:val="000000"/>
          <w:spacing w:val="0"/>
          <w:w w:val="100"/>
          <w:position w:val="0"/>
        </w:rPr>
        <w:t>）涉及政府补助的应收款项</w:t>
      </w:r>
      <w:bookmarkEnd w:id="1157"/>
      <w:bookmarkEnd w:id="1158"/>
      <w:bookmarkEnd w:id="116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国家税务总局杭州市税 务局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软件产品增值税超税负 退税款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3,835,777.54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截至财务报表批准报出 日均已收回</w:t>
            </w:r>
          </w:p>
        </w:tc>
      </w:tr>
    </w:tbl>
    <w:p>
      <w:pPr>
        <w:widowControl w:val="0"/>
        <w:spacing w:after="359" w:line="1" w:lineRule="exact"/>
      </w:pPr>
    </w:p>
    <w:p>
      <w:pPr>
        <w:pStyle w:val="Style51"/>
        <w:keepNext/>
        <w:keepLines/>
        <w:widowControl w:val="0"/>
        <w:shd w:val="clear" w:color="auto" w:fill="auto"/>
        <w:tabs>
          <w:tab w:pos="387" w:val="left"/>
        </w:tabs>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7</w:t>
      </w:r>
      <w:bookmarkEnd w:id="1163"/>
      <w:r>
        <w:rPr>
          <w:color w:val="000000"/>
          <w:spacing w:val="0"/>
          <w:w w:val="100"/>
          <w:position w:val="0"/>
        </w:rPr>
        <w:t>）</w:t>
        <w:tab/>
        <w:t>因金融资产转移而终止确认的其他应收款</w:t>
      </w:r>
      <w:bookmarkEnd w:id="1161"/>
      <w:bookmarkEnd w:id="1162"/>
      <w:bookmarkEnd w:id="1164"/>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1"/>
        <w:keepNext/>
        <w:keepLines/>
        <w:widowControl w:val="0"/>
        <w:shd w:val="clear" w:color="auto" w:fill="auto"/>
        <w:tabs>
          <w:tab w:pos="392" w:val="left"/>
        </w:tabs>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8</w:t>
      </w:r>
      <w:bookmarkEnd w:id="1167"/>
      <w:r>
        <w:rPr>
          <w:color w:val="000000"/>
          <w:spacing w:val="0"/>
          <w:w w:val="100"/>
          <w:position w:val="0"/>
        </w:rPr>
        <w:t>）</w:t>
        <w:tab/>
        <w:t>转移其他应收款且继续涉入形成的资产、负债金额</w:t>
      </w:r>
      <w:bookmarkEnd w:id="1165"/>
      <w:bookmarkEnd w:id="1166"/>
      <w:bookmarkEnd w:id="1168"/>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6</w:t>
      </w:r>
      <w:bookmarkEnd w:id="1171"/>
      <w:r>
        <w:rPr>
          <w:color w:val="000000"/>
          <w:spacing w:val="0"/>
          <w:w w:val="100"/>
          <w:position w:val="0"/>
        </w:rPr>
        <w:t>、存货</w:t>
      </w:r>
      <w:bookmarkEnd w:id="1169"/>
      <w:bookmarkEnd w:id="1170"/>
      <w:bookmarkEnd w:id="1172"/>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1"/>
        <w:keepNext/>
        <w:keepLines/>
        <w:widowControl w:val="0"/>
        <w:shd w:val="clear" w:color="auto" w:fill="auto"/>
        <w:bidi w:val="0"/>
        <w:spacing w:before="0" w:after="36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73"/>
      <w:bookmarkEnd w:id="1174"/>
      <w:bookmarkEnd w:id="1176"/>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2,144,340.00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58,898,447.81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58,898,447.81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47,861,916.76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47,861,916.76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58,948,535.81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58,948,535.81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50,006,256.76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50,006,256.76</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77"/>
      <w:bookmarkEnd w:id="1178"/>
      <w:bookmarkEnd w:id="1180"/>
    </w:p>
    <w:p>
      <w:pPr>
        <w:pStyle w:val="Style1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1"/>
        <w:keepNext/>
        <w:keepLines/>
        <w:widowControl w:val="0"/>
        <w:shd w:val="clear" w:color="auto" w:fill="auto"/>
        <w:tabs>
          <w:tab w:pos="493" w:val="left"/>
        </w:tabs>
        <w:bidi w:val="0"/>
        <w:spacing w:before="0" w:after="36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81"/>
      <w:bookmarkEnd w:id="1182"/>
      <w:bookmarkEnd w:id="1184"/>
    </w:p>
    <w:p>
      <w:pPr>
        <w:pStyle w:val="Style31"/>
        <w:keepNext/>
        <w:keepLines/>
        <w:widowControl w:val="0"/>
        <w:shd w:val="clear" w:color="auto" w:fill="auto"/>
        <w:tabs>
          <w:tab w:pos="493" w:val="left"/>
        </w:tabs>
        <w:bidi w:val="0"/>
        <w:spacing w:before="0" w:after="36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85"/>
      <w:bookmarkEnd w:id="1186"/>
      <w:bookmarkEnd w:id="1188"/>
    </w:p>
    <w:p>
      <w:pPr>
        <w:pStyle w:val="Style26"/>
        <w:keepNext/>
        <w:keepLines/>
        <w:widowControl w:val="0"/>
        <w:shd w:val="clear" w:color="auto" w:fill="auto"/>
        <w:bidi w:val="0"/>
        <w:spacing w:before="0" w:after="40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7</w:t>
      </w:r>
      <w:bookmarkEnd w:id="1191"/>
      <w:r>
        <w:rPr>
          <w:color w:val="000000"/>
          <w:spacing w:val="0"/>
          <w:w w:val="100"/>
          <w:position w:val="0"/>
        </w:rPr>
        <w:t>、合同资产</w:t>
      </w:r>
      <w:bookmarkEnd w:id="1189"/>
      <w:bookmarkEnd w:id="1190"/>
      <w:bookmarkEnd w:id="1192"/>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应收合同对价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287,333,439.01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21,847,236.25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265,486,202.76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208,525,856.34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12,691,649.78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195,834,206.56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287,333,439.01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21,847,236.25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265,486,202.76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208,525,856.34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12,691,649.78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195,834,206.56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本期合同资产计提减值准备情况</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9,155,586.47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按账龄组合计提</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9,155,586.47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019" w:line="1" w:lineRule="exact"/>
      </w:pPr>
    </w:p>
    <w:p>
      <w:pPr>
        <w:pStyle w:val="Style26"/>
        <w:keepNext/>
        <w:keepLines/>
        <w:widowControl w:val="0"/>
        <w:shd w:val="clear" w:color="auto" w:fill="auto"/>
        <w:bidi w:val="0"/>
        <w:spacing w:before="0" w:line="240" w:lineRule="auto"/>
        <w:ind w:left="0" w:right="0" w:firstLine="0"/>
        <w:jc w:val="both"/>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8</w:t>
      </w:r>
      <w:bookmarkEnd w:id="1195"/>
      <w:r>
        <w:rPr>
          <w:color w:val="000000"/>
          <w:spacing w:val="0"/>
          <w:w w:val="100"/>
          <w:position w:val="0"/>
        </w:rPr>
        <w:t>、其他流动资产</w:t>
      </w:r>
      <w:bookmarkEnd w:id="1193"/>
      <w:bookmarkEnd w:id="1194"/>
      <w:bookmarkEnd w:id="1196"/>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1,586,253.75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1,404,939.29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6,759,533.39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4,438,166.67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8,348,394.36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5,851,638.96</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日）差异详见第十节、财务报告、五、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之说明。</w:t>
      </w:r>
      <w:r>
        <w:br w:type="page"/>
      </w:r>
    </w:p>
    <w:p>
      <w:pPr>
        <w:pStyle w:val="Style26"/>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9</w:t>
      </w:r>
      <w:bookmarkEnd w:id="1199"/>
      <w:r>
        <w:rPr>
          <w:color w:val="000000"/>
          <w:spacing w:val="0"/>
          <w:w w:val="100"/>
          <w:position w:val="0"/>
        </w:rPr>
        <w:t>、长期应收款</w:t>
      </w:r>
      <w:bookmarkEnd w:id="1197"/>
      <w:bookmarkEnd w:id="1198"/>
      <w:bookmarkEnd w:id="1200"/>
    </w:p>
    <w:p>
      <w:pPr>
        <w:pStyle w:val="Style31"/>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01"/>
      <w:bookmarkEnd w:id="1202"/>
      <w:bookmarkEnd w:id="1204"/>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分期收款提供劳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21,290,416.97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1,432,668.51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19,857,748.46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25,732,290.53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1,019,138.72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24,713,151.81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其中：未实现融 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-3,179,716.98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-3,179,716.98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-4,118,490.56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-4,118,490.56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18,110,699.99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1,432,668.51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16,678,031.48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21,613,799.97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1,019,138.72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20,594,661.25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666,038.72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1,019,138.72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334,560.00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-127,694.21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206,664.00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334,560.00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413,529.79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441,828.51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321,720.00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669,120.00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1,432,668.51</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05"/>
      <w:bookmarkEnd w:id="1206"/>
      <w:bookmarkEnd w:id="1208"/>
    </w:p>
    <w:p>
      <w:pPr>
        <w:pStyle w:val="Style31"/>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209"/>
      <w:bookmarkEnd w:id="1210"/>
      <w:bookmarkEnd w:id="1212"/>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740" w:line="240" w:lineRule="auto"/>
        <w:ind w:left="0" w:right="0" w:firstLine="0"/>
        <w:jc w:val="left"/>
      </w:pPr>
      <w:r>
        <w:rPr>
          <w:color w:val="000000"/>
          <w:spacing w:val="0"/>
          <w:w w:val="100"/>
          <w:position w:val="0"/>
        </w:rPr>
        <w:t>长期应收款系分期收款的医疗信息化建设项目形成的应收款项，按照实际利率法确认并摊销未确认融资收益。</w:t>
      </w:r>
    </w:p>
    <w:p>
      <w:pPr>
        <w:pStyle w:val="Style26"/>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213"/>
      <w:bookmarkEnd w:id="1214"/>
      <w:bookmarkEnd w:id="1216"/>
    </w:p>
    <w:p>
      <w:pPr>
        <w:pStyle w:val="Style17"/>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bookmarkEnd w:id="1219"/>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217"/>
      <w:bookmarkEnd w:id="1218"/>
      <w:bookmarkEnd w:id="1220"/>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和仁智慧健康科技有限公司（以下简称 和仁智慧公司）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入留存收益的原 因</w:t>
            </w:r>
          </w:p>
        </w:tc>
      </w:tr>
    </w:tbl>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指定为以公允价值计量且其变动计入其他综合收益的权益工具投资的原因</w:t>
      </w:r>
    </w:p>
    <w:p>
      <w:pPr>
        <w:pStyle w:val="Style17"/>
        <w:keepNext w:val="0"/>
        <w:keepLines w:val="0"/>
        <w:widowControl w:val="0"/>
        <w:shd w:val="clear" w:color="auto" w:fill="auto"/>
        <w:bidi w:val="0"/>
        <w:spacing w:before="0" w:after="740" w:line="322" w:lineRule="exact"/>
        <w:ind w:left="0" w:right="0" w:firstLine="0"/>
        <w:jc w:val="left"/>
      </w:pPr>
      <w:r>
        <w:rPr>
          <w:color w:val="000000"/>
          <w:spacing w:val="0"/>
          <w:w w:val="100"/>
          <w:position w:val="0"/>
        </w:rPr>
        <w:t>公司持有和仁智慧公司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的股权，由于持有该项投资的目的并非交易性的，故将其指定为以公允价值计量且其变动计入其 他综合收益的权益工具投资。</w:t>
      </w:r>
    </w:p>
    <w:p>
      <w:pPr>
        <w:pStyle w:val="Style26"/>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221"/>
      <w:bookmarkEnd w:id="1222"/>
      <w:bookmarkEnd w:id="1224"/>
    </w:p>
    <w:p>
      <w:pPr>
        <w:pStyle w:val="Style31"/>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25"/>
      <w:bookmarkEnd w:id="1226"/>
      <w:bookmarkEnd w:id="1228"/>
    </w:p>
    <w:p>
      <w:pPr>
        <w:pStyle w:val="Style17"/>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81,705,682.03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81,705,682.03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57,986.53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81,647,695.50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81,647,695.50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14,823,418.91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14,823,418.91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3,882,876.16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3,882,876.16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3,882,876.16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3,882,876.16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18,706,295.07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18,706,295.07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62,941,400.43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62,941,400.43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66,882,263.12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66,882,263.12</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229"/>
      <w:bookmarkEnd w:id="1230"/>
      <w:bookmarkEnd w:id="1232"/>
    </w:p>
    <w:p>
      <w:pPr>
        <w:pStyle w:val="Style1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after="36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233"/>
      <w:bookmarkEnd w:id="1234"/>
      <w:bookmarkEnd w:id="1236"/>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bookmarkEnd w:id="1239"/>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237"/>
      <w:bookmarkEnd w:id="1238"/>
      <w:bookmarkEnd w:id="1240"/>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78,975,656.61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83,703,260.54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78,975,656.61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83,703,260.54</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41"/>
      <w:bookmarkEnd w:id="1242"/>
      <w:bookmarkEnd w:id="1244"/>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94,143,263.45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16,827,443.33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1,780,824.33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112,751,531.11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3,357,031.95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3,357,031.95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3,357,031.95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3,357,031.95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3,905,488.70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3,979,626.67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3,905,488.70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3,905,488.70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94,069,125.48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16,278,986.58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1,780,824.33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112,128,936.39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17,079,901.65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11,184,880.20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783,488.72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29,048,270.57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4,473,944.16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2,931,751.00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232,145.70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7,637,840.86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4,473,944.16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2,931,751.00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232,145.70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7,637,840.86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3,532,831.65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3,532,831.65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3,532,831.65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3,532,831.65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21,553,845.81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10,583,799.55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1,015,634.42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33,153,279.78</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72,515,279.67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5,695,187.03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765,189.91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78,975,656.61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77,063,361.80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5,642,563.13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997,335.61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83,703,260.54</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45"/>
      <w:bookmarkEnd w:id="1246"/>
      <w:bookmarkEnd w:id="1248"/>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249"/>
      <w:bookmarkEnd w:id="1250"/>
      <w:bookmarkEnd w:id="1252"/>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253"/>
      <w:bookmarkEnd w:id="1254"/>
      <w:bookmarkEnd w:id="1256"/>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57"/>
      <w:bookmarkEnd w:id="1258"/>
      <w:bookmarkEnd w:id="1260"/>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261"/>
      <w:bookmarkEnd w:id="1262"/>
      <w:bookmarkEnd w:id="1264"/>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4,961,441.91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4,961,441.91</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65"/>
      <w:bookmarkEnd w:id="1266"/>
      <w:bookmarkEnd w:id="126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办公楼改造装修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4,961,441.91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4,961,441.91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4,961,441.91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4,961,441.91</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69"/>
      <w:bookmarkEnd w:id="1270"/>
      <w:bookmarkEnd w:id="1272"/>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办公楼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改造装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修工程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27,778,0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4,961,44</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17,004,3</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21,965,8</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27,778,0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4,961,44</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17,004,3</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21,965,8</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73"/>
      <w:bookmarkEnd w:id="1274"/>
      <w:bookmarkEnd w:id="1276"/>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办公楼改造装修工程本期其他减少</w:t>
      </w:r>
      <w:r>
        <w:rPr>
          <w:rFonts w:ascii="Times New Roman" w:eastAsia="Times New Roman" w:hAnsi="Times New Roman" w:cs="Times New Roman"/>
          <w:color w:val="000000"/>
          <w:spacing w:val="0"/>
          <w:w w:val="100"/>
          <w:position w:val="0"/>
          <w:sz w:val="18"/>
          <w:szCs w:val="18"/>
        </w:rPr>
        <w:t>21,965,836.83</w:t>
      </w:r>
      <w:r>
        <w:rPr>
          <w:color w:val="000000"/>
          <w:spacing w:val="0"/>
          <w:w w:val="100"/>
          <w:position w:val="0"/>
        </w:rPr>
        <w:t>元系完工转入长期待摊费用。</w:t>
      </w:r>
    </w:p>
    <w:p>
      <w:pPr>
        <w:pStyle w:val="Style31"/>
        <w:keepNext/>
        <w:keepLines/>
        <w:widowControl w:val="0"/>
        <w:shd w:val="clear" w:color="auto" w:fill="auto"/>
        <w:bidi w:val="0"/>
        <w:spacing w:before="0" w:line="240" w:lineRule="auto"/>
        <w:ind w:left="0" w:right="0" w:firstLine="0"/>
        <w:jc w:val="both"/>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277"/>
      <w:bookmarkEnd w:id="1278"/>
      <w:bookmarkEnd w:id="1280"/>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1</w:t>
      </w:r>
      <w:bookmarkEnd w:id="1283"/>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281"/>
      <w:bookmarkEnd w:id="1282"/>
      <w:bookmarkEnd w:id="128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1,871,357.70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1,871,357.70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2,324,712.38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2,324,712.38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2,324,712.38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2,324,712.38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4,196,070.08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4,196,070.08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1,497,732.86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1,497,732.86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1,497,732.86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1,497,732.86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1,497,732.86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1,497,732.86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2,698,337.22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2,698,337.22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1,871,357.70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1,871,357.70</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日）差异详见第十节、财务报告、五、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之说明。</w:t>
      </w:r>
      <w:r>
        <w:br w:type="page"/>
      </w:r>
    </w:p>
    <w:p>
      <w:pPr>
        <w:pStyle w:val="Style26"/>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1</w:t>
      </w:r>
      <w:bookmarkEnd w:id="1287"/>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285"/>
      <w:bookmarkEnd w:id="1286"/>
      <w:bookmarkEnd w:id="1288"/>
    </w:p>
    <w:p>
      <w:pPr>
        <w:pStyle w:val="Style31"/>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9"/>
      <w:bookmarkEnd w:id="1290"/>
      <w:bookmarkEnd w:id="129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11,036,972.52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16,001,572.52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49,859,938.65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49,859,938.65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45,415.08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49,814,523.57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49,814,523.57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4,120,841.56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4,120,841.56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4,120,841.56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4,120,841.56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56,776,069.61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61,740,669.61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827,433.00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6,964,071.93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7,791,504.93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7,553,915.34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7,653,207.30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7,553,915.34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7,653,207.30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4,120,841.56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4,120,841.56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4,120,841.56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4,120,841.56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926,724.96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10,397,145.71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11,323,870.67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4,037,875.04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46,378,923.90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50,416,798.94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4,137,167.00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4,072,900.59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8,210,067.59</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86.05%</w:t>
      </w:r>
      <w:r>
        <w:rPr>
          <w:color w:val="000000"/>
          <w:spacing w:val="0"/>
          <w:w w:val="100"/>
          <w:position w:val="0"/>
        </w:rPr>
        <w:t>。</w:t>
      </w:r>
    </w:p>
    <w:p>
      <w:pPr>
        <w:pStyle w:val="Style31"/>
        <w:keepNext/>
        <w:keepLines/>
        <w:widowControl w:val="0"/>
        <w:numPr>
          <w:ilvl w:val="0"/>
          <w:numId w:val="79"/>
        </w:numPr>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未办妥产权证书的土地使用权情况</w:t>
      </w:r>
      <w:bookmarkEnd w:id="1293"/>
      <w:bookmarkEnd w:id="1294"/>
      <w:bookmarkEnd w:id="1296"/>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bookmarkEnd w:id="1299"/>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297"/>
      <w:bookmarkEnd w:id="1298"/>
      <w:bookmarkEnd w:id="1300"/>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项目一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20,502,928</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10,130,056</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30,632,985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项目二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11,090,082</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8,091,455.</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19,181,537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12,560,739.2</w:t>
            </w:r>
          </w:p>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12,560,739.2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31,593,011.5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30,782,251.2</w:t>
            </w:r>
          </w:p>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49,814,523.5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12,560,739.2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widowControl w:val="0"/>
        <w:spacing w:line="1" w:lineRule="exact"/>
      </w:pPr>
    </w:p>
    <w:tbl>
      <w:tblPr>
        <w:tblOverlap w:val="never"/>
        <w:jc w:val="center"/>
        <w:tblLayout w:type="fixed"/>
      </w:tblPr>
      <w:tblGrid>
        <w:gridCol w:w="1546"/>
        <w:gridCol w:w="1704"/>
        <w:gridCol w:w="2126"/>
        <w:gridCol w:w="3182"/>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资本化开始时点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截至期末的研发进度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资本化具体依据</w:t>
            </w:r>
          </w:p>
        </w:tc>
      </w:tr>
      <w:tr>
        <w:trPr>
          <w:trHeight w:val="74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项目三</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尚在开发中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完成项目设计方案达到预期要求，通过评 审立项开始资本化。</w:t>
            </w:r>
          </w:p>
        </w:tc>
      </w:tr>
    </w:tbl>
    <w:p>
      <w:pPr>
        <w:pStyle w:val="Style26"/>
        <w:keepNext/>
        <w:keepLines/>
        <w:widowControl w:val="0"/>
        <w:shd w:val="clear" w:color="auto" w:fill="auto"/>
        <w:bidi w:val="0"/>
        <w:spacing w:before="0" w:after="380" w:line="240" w:lineRule="auto"/>
        <w:ind w:left="0" w:right="0" w:firstLine="0"/>
        <w:jc w:val="both"/>
      </w:pPr>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1301"/>
      <w:bookmarkEnd w:id="1302"/>
      <w:bookmarkEnd w:id="1303"/>
    </w:p>
    <w:p>
      <w:pPr>
        <w:pStyle w:val="Style31"/>
        <w:keepNext/>
        <w:keepLines/>
        <w:widowControl w:val="0"/>
        <w:shd w:val="clear" w:color="auto" w:fill="auto"/>
        <w:bidi w:val="0"/>
        <w:spacing w:before="0" w:line="240" w:lineRule="auto"/>
        <w:ind w:left="0" w:right="0" w:firstLine="0"/>
        <w:jc w:val="both"/>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04"/>
      <w:bookmarkEnd w:id="1305"/>
      <w:bookmarkEnd w:id="1307"/>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926,638.80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926,638.80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926,638.80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926,638.80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08"/>
      <w:bookmarkEnd w:id="1309"/>
      <w:bookmarkEnd w:id="1311"/>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商誉所在资产组或资产组组合的相关信息</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期末，公司对杭州云医公司的商誉进行了减值测试。商誉的可收回金额按照杭州云医公司的预计未来现金流量的现值计算， 其预计现金流量根据公司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年期现金流量预测为基础，现金流量预测使用的折现率为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，根据历史实际经营数据、行业 发展趋势、预期收入增长率、毛利率等指标编制预测未来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年现金流量，预测期以后的现金流量维持不变。</w:t>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减值测试中采用的其他关键数据还包括期间费用。公司根据历史经验及对市场发展的预测确定上述关键数据。公司采用的折 现率是反映当前市场货币时间价值和相关资产组特定风险的税前利率。</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上述对可收回金额的预计表明商誉并未出现减值损失。</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商誉减值测试的影响</w:t>
      </w:r>
    </w:p>
    <w:p>
      <w:pPr>
        <w:pStyle w:val="Style1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bookmarkEnd w:id="131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12"/>
      <w:bookmarkEnd w:id="1313"/>
      <w:bookmarkEnd w:id="131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3,143,321.00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27,646,909.68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3,735,092.05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27,055,138.63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3,143,321.00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27,646,909.68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3,735,092.05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27,055,138.63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bookmarkEnd w:id="131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16"/>
      <w:bookmarkEnd w:id="1317"/>
      <w:bookmarkEnd w:id="1319"/>
    </w:p>
    <w:p>
      <w:pPr>
        <w:pStyle w:val="Style31"/>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20"/>
      <w:bookmarkEnd w:id="1321"/>
      <w:bookmarkEnd w:id="132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127,835,442.50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13,037,168.15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110,818,549.55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11,164,867.72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工会经费及职工教育经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6,266,366.18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626,636.62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5,275,635.04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527,563.50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4,620,008.69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462,000.87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414,192.09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1,807,778.44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180,777.84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2,363,931.96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241,099.57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1,098,825.00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17,598,458.33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1,759,845.83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未实现内部损益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2,976,495.41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297,649.54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2,976,495.41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297,649.54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144,604,916.22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14,714,115.52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139,447,262.38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14,032,445.37</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24"/>
      <w:bookmarkEnd w:id="1325"/>
      <w:bookmarkEnd w:id="132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28"/>
      <w:bookmarkEnd w:id="1329"/>
      <w:bookmarkEnd w:id="133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14,714,115.52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14,032,445.37</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32"/>
      <w:bookmarkEnd w:id="1333"/>
      <w:bookmarkEnd w:id="133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1,615,060.61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247,462.83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33,628,839.35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35,593,197.68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35,243,899.96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35,840,660.51</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w:t>
      </w:r>
      <w:bookmarkEnd w:id="133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36"/>
      <w:bookmarkEnd w:id="1337"/>
      <w:bookmarkEnd w:id="1339"/>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2,563,597.65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3,200,891.62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5,157,524.81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8,259,930.42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9,355,262.41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3,892,005.35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5,938,921.86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11,842,208.85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12,577,890.95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6,433,803.11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33,628,839.35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35,593,197.68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bookmarkEnd w:id="134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40"/>
      <w:bookmarkEnd w:id="1341"/>
      <w:bookmarkEnd w:id="1343"/>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44"/>
      <w:bookmarkEnd w:id="1345"/>
      <w:bookmarkEnd w:id="1347"/>
    </w:p>
    <w:p>
      <w:pPr>
        <w:pStyle w:val="Style31"/>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48"/>
      <w:bookmarkEnd w:id="1349"/>
      <w:bookmarkEnd w:id="1351"/>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50,378,527.78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120,103,430.56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20,022,305.56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10,006,263.88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70,400,833.34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130,109,694.44</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1"/>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52"/>
      <w:bookmarkEnd w:id="1353"/>
      <w:bookmarkEnd w:id="135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17"/>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bookmarkEnd w:id="1358"/>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356"/>
      <w:bookmarkEnd w:id="1357"/>
      <w:bookmarkEnd w:id="1359"/>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7,282,916.64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16,974,086.04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7,282,916.64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16,974,086.04</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keepLines/>
        <w:widowControl w:val="0"/>
        <w:shd w:val="clear" w:color="auto" w:fill="auto"/>
        <w:bidi w:val="0"/>
        <w:spacing w:before="0" w:after="380" w:line="240" w:lineRule="auto"/>
        <w:ind w:left="0" w:right="0" w:firstLine="0"/>
        <w:jc w:val="both"/>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bookmarkEnd w:id="1362"/>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360"/>
      <w:bookmarkEnd w:id="1361"/>
      <w:bookmarkEnd w:id="1363"/>
    </w:p>
    <w:p>
      <w:pPr>
        <w:pStyle w:val="Style31"/>
        <w:keepNext/>
        <w:keepLines/>
        <w:widowControl w:val="0"/>
        <w:shd w:val="clear" w:color="auto" w:fill="auto"/>
        <w:bidi w:val="0"/>
        <w:spacing w:before="0" w:line="240" w:lineRule="auto"/>
        <w:ind w:left="0" w:right="0" w:firstLine="0"/>
        <w:jc w:val="both"/>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64"/>
      <w:bookmarkEnd w:id="1365"/>
      <w:bookmarkEnd w:id="1367"/>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168,560,968.05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128,760,476.93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应付长期资产购置款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2,201,034.20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2,431,344.47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2,036,117.09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1,595,542.26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172,798,119.34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132,787,363.66</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bookmarkStart w:id="1371" w:name="bookmark1371"/>
      <w:r>
        <w:rPr>
          <w:color w:val="000000"/>
          <w:spacing w:val="0"/>
          <w:w w:val="100"/>
          <w:position w:val="0"/>
        </w:rPr>
        <w:t>（</w:t>
      </w:r>
      <w:bookmarkEnd w:id="137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68"/>
      <w:bookmarkEnd w:id="1369"/>
      <w:bookmarkEnd w:id="1371"/>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bookmarkEnd w:id="1374"/>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372"/>
      <w:bookmarkEnd w:id="1373"/>
      <w:bookmarkEnd w:id="1375"/>
    </w:p>
    <w:p>
      <w:pPr>
        <w:pStyle w:val="Style31"/>
        <w:keepNext/>
        <w:keepLines/>
        <w:widowControl w:val="0"/>
        <w:shd w:val="clear" w:color="auto" w:fill="auto"/>
        <w:bidi w:val="0"/>
        <w:spacing w:before="0" w:line="240" w:lineRule="auto"/>
        <w:ind w:left="0" w:right="0" w:firstLine="0"/>
        <w:jc w:val="both"/>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76"/>
      <w:bookmarkEnd w:id="1377"/>
      <w:bookmarkEnd w:id="1379"/>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1,377,723.31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331,561.47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1,377,723.31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331,561.47</w:t>
            </w:r>
          </w:p>
        </w:tc>
      </w:tr>
    </w:tbl>
    <w:p>
      <w:pPr>
        <w:widowControl w:val="0"/>
        <w:spacing w:after="319" w:line="1" w:lineRule="exact"/>
      </w:pPr>
    </w:p>
    <w:p>
      <w:pPr>
        <w:pStyle w:val="Style31"/>
        <w:keepNext/>
        <w:keepLines/>
        <w:widowControl w:val="0"/>
        <w:shd w:val="clear" w:color="auto" w:fill="auto"/>
        <w:bidi w:val="0"/>
        <w:spacing w:before="0" w:after="34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80"/>
      <w:bookmarkEnd w:id="1381"/>
      <w:bookmarkEnd w:id="1383"/>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bookmarkEnd w:id="1386"/>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384"/>
      <w:bookmarkEnd w:id="1385"/>
      <w:bookmarkEnd w:id="138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24,327,749.16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69,855,618.15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24,327,749.16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69,855,618.15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bookmarkEnd w:id="1390"/>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88"/>
      <w:bookmarkEnd w:id="1389"/>
      <w:bookmarkEnd w:id="1391"/>
    </w:p>
    <w:p>
      <w:pPr>
        <w:pStyle w:val="Style31"/>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92"/>
      <w:bookmarkEnd w:id="1393"/>
      <w:bookmarkEnd w:id="139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26,492,299.90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172,056,218.91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163,887,808.43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34,660,710.38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725,896.50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13,621,328.13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13,491,745.25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855,479.38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27,218,196.40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185,677,547.04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177,379,553.68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35,516,189.76</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96"/>
      <w:bookmarkEnd w:id="1397"/>
      <w:bookmarkEnd w:id="139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20,557,533.49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148,792,778.78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141,552,637.53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27,797,674.74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535,727.34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535,727.34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651,943.33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8,717,341.35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8,780,187.26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589,097.42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637,822.89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8,417,381.78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8,481,111.03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574,093.64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211,458.80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209,785.91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89,290.32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11,384,360.12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11,384,360.12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5,282,823.08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2,626,011.32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1,634,896.18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6,273,938.22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26,492,299.90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172,056,218.91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163,887,808.43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34,660,710.38</w:t>
            </w:r>
          </w:p>
        </w:tc>
      </w:tr>
    </w:tbl>
    <w:p>
      <w:pPr>
        <w:spacing w:lineRule="exact" w:line="1"/>
        <w:rPr>
          <w:sz w:val="2"/>
          <w:szCs w:val="2"/>
        </w:rPr>
      </w:pPr>
      <w:r>
        <w:br w:type="page"/>
      </w:r>
    </w:p>
    <w:p>
      <w:pPr>
        <w:pStyle w:val="Style31"/>
        <w:keepNext/>
        <w:keepLines/>
        <w:widowControl w:val="0"/>
        <w:numPr>
          <w:ilvl w:val="0"/>
          <w:numId w:val="79"/>
        </w:numPr>
        <w:shd w:val="clear" w:color="auto" w:fill="auto"/>
        <w:bidi w:val="0"/>
        <w:spacing w:before="0" w:line="240" w:lineRule="auto"/>
        <w:ind w:left="0" w:right="0" w:firstLine="0"/>
        <w:jc w:val="both"/>
      </w:pPr>
      <w:bookmarkStart w:id="1400" w:name="bookmark1400"/>
      <w:bookmarkStart w:id="1401" w:name="bookmark1401"/>
      <w:bookmarkStart w:id="1402" w:name="bookmark1402"/>
      <w:bookmarkStart w:id="1403" w:name="bookmark1403"/>
      <w:bookmarkEnd w:id="1402"/>
      <w:r>
        <w:rPr>
          <w:color w:val="000000"/>
          <w:spacing w:val="0"/>
          <w:w w:val="100"/>
          <w:position w:val="0"/>
        </w:rPr>
        <w:t>设定提存计划列示</w:t>
      </w:r>
      <w:bookmarkEnd w:id="1400"/>
      <w:bookmarkEnd w:id="1401"/>
      <w:bookmarkEnd w:id="140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700,865.59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13,140,526.23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13,015,126.50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826,265.32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480,801.90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476,618.75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29,214.06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725,896.50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13,621,328.13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13,491,745.25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855,479.38</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2</w:t>
      </w:r>
      <w:bookmarkEnd w:id="1406"/>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04"/>
      <w:bookmarkEnd w:id="1405"/>
      <w:bookmarkEnd w:id="1407"/>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13,356,670.23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7,021,348.60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417,675.43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680,045.31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598,691.69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921,421.77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450,486.15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1,049,160.24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1,063,993.00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394,945.57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193,065.51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263,228.72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126,660.16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37,700.61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17,111,057.67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9,544,736.53</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408"/>
      <w:bookmarkEnd w:id="1409"/>
      <w:bookmarkEnd w:id="1411"/>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241,232.50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22,510,111.55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43,444,852.23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22,751,344.05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43,842,652.23</w:t>
            </w:r>
          </w:p>
        </w:tc>
      </w:tr>
    </w:tbl>
    <w:p>
      <w:pPr>
        <w:widowControl w:val="0"/>
        <w:spacing w:after="319" w:line="1" w:lineRule="exact"/>
      </w:pPr>
    </w:p>
    <w:p>
      <w:pPr>
        <w:pStyle w:val="Style31"/>
        <w:keepNext/>
        <w:keepLines/>
        <w:widowControl w:val="0"/>
        <w:numPr>
          <w:ilvl w:val="0"/>
          <w:numId w:val="81"/>
        </w:numPr>
        <w:shd w:val="clear" w:color="auto" w:fill="auto"/>
        <w:bidi w:val="0"/>
        <w:spacing w:before="0" w:line="240" w:lineRule="auto"/>
        <w:ind w:left="0" w:right="0" w:firstLine="0"/>
        <w:jc w:val="both"/>
      </w:pPr>
      <w:bookmarkStart w:id="1412" w:name="bookmark1412"/>
      <w:bookmarkStart w:id="1413" w:name="bookmark1413"/>
      <w:bookmarkStart w:id="1414" w:name="bookmark1414"/>
      <w:bookmarkStart w:id="1415" w:name="bookmark1415"/>
      <w:bookmarkEnd w:id="1414"/>
      <w:r>
        <w:rPr>
          <w:color w:val="000000"/>
          <w:spacing w:val="0"/>
          <w:w w:val="100"/>
          <w:position w:val="0"/>
        </w:rPr>
        <w:t>应付利息</w:t>
      </w:r>
      <w:bookmarkEnd w:id="1412"/>
      <w:bookmarkEnd w:id="1413"/>
      <w:bookmarkEnd w:id="1415"/>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221"/>
        <w:gridCol w:w="3192"/>
        <w:gridCol w:w="3293"/>
      </w:tblGrid>
      <w:tr>
        <w:trPr>
          <w:trHeight w:val="10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16"/>
      <w:bookmarkEnd w:id="1417"/>
      <w:bookmarkEnd w:id="1419"/>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241,232.50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241,232.50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397,800.00</w:t>
            </w:r>
          </w:p>
        </w:tc>
      </w:tr>
    </w:tbl>
    <w:p>
      <w:pPr>
        <w:pStyle w:val="Style17"/>
        <w:keepNext w:val="0"/>
        <w:keepLines w:val="0"/>
        <w:widowControl w:val="0"/>
        <w:shd w:val="clear" w:color="auto" w:fill="auto"/>
        <w:bidi w:val="0"/>
        <w:spacing w:before="0" w:after="0" w:line="370" w:lineRule="exact"/>
        <w:ind w:left="0" w:right="0" w:firstLine="0"/>
        <w:jc w:val="left"/>
      </w:pPr>
      <w:r>
        <w:rPr>
          <w:color w:val="000000"/>
          <w:spacing w:val="0"/>
          <w:w w:val="100"/>
          <w:position w:val="0"/>
          <w:shd w:val="clear" w:color="auto" w:fill="FFFFFF"/>
        </w:rPr>
        <w:t>其他说明，包括重要的超过</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年未支付的应付股利，应披露未支付原因:</w:t>
      </w:r>
    </w:p>
    <w:p>
      <w:pPr>
        <w:pStyle w:val="Style40"/>
        <w:keepNext w:val="0"/>
        <w:keepLines w:val="0"/>
        <w:widowControl w:val="0"/>
        <w:shd w:val="clear" w:color="auto" w:fill="auto"/>
        <w:bidi w:val="0"/>
        <w:spacing w:before="0" w:after="380" w:line="370" w:lineRule="exact"/>
        <w:ind w:left="0" w:right="0" w:firstLine="0"/>
        <w:jc w:val="left"/>
      </w:pPr>
      <w:r>
        <w:rPr>
          <w:color w:val="000000"/>
          <w:spacing w:val="0"/>
          <w:w w:val="100"/>
          <w:position w:val="0"/>
        </w:rPr>
        <w:t>上述应付股利系尚未解锁的限制性股票的未付股利。</w:t>
      </w:r>
    </w:p>
    <w:p>
      <w:pPr>
        <w:pStyle w:val="Style31"/>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20"/>
      <w:bookmarkEnd w:id="1421"/>
      <w:bookmarkEnd w:id="1423"/>
    </w:p>
    <w:p>
      <w:pPr>
        <w:pStyle w:val="Style51"/>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1</w:t>
      </w:r>
      <w:bookmarkEnd w:id="1426"/>
      <w:r>
        <w:rPr>
          <w:color w:val="000000"/>
          <w:spacing w:val="0"/>
          <w:w w:val="100"/>
          <w:position w:val="0"/>
        </w:rPr>
        <w:t>）按款项性质列示其他应付款</w:t>
      </w:r>
      <w:bookmarkEnd w:id="1424"/>
      <w:bookmarkEnd w:id="1425"/>
      <w:bookmarkEnd w:id="1427"/>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15,423,642.50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36,729,000.00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预提及代垫费用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2,719,616.28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2,535,281.87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2,875,364.65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2,941,861.69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1,491,488.12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1,238,708.67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22,510,111.55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43,444,852.23</w:t>
            </w:r>
          </w:p>
        </w:tc>
      </w:tr>
    </w:tbl>
    <w:p>
      <w:pPr>
        <w:widowControl w:val="0"/>
        <w:spacing w:after="379" w:line="1" w:lineRule="exact"/>
      </w:pPr>
    </w:p>
    <w:p>
      <w:pPr>
        <w:pStyle w:val="Style51"/>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bookmarkEnd w:id="143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28"/>
      <w:bookmarkEnd w:id="1429"/>
      <w:bookmarkEnd w:id="1431"/>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3</w:t>
      </w:r>
      <w:bookmarkEnd w:id="1434"/>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432"/>
      <w:bookmarkEnd w:id="1433"/>
      <w:bookmarkEnd w:id="1435"/>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1,739,534.54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897,266.43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1,739,534.54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897,266.43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0"/>
        <w:keepNext w:val="0"/>
        <w:keepLines w:val="0"/>
        <w:widowControl w:val="0"/>
        <w:shd w:val="clear" w:color="auto" w:fill="auto"/>
        <w:bidi w:val="0"/>
        <w:spacing w:before="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期初数与上年年末数（</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日）差异详见第十节、财务报告、五、</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之说明。</w:t>
      </w:r>
    </w:p>
    <w:p>
      <w:pPr>
        <w:pStyle w:val="Style26"/>
        <w:keepNext/>
        <w:keepLines/>
        <w:widowControl w:val="0"/>
        <w:shd w:val="clear" w:color="auto" w:fill="auto"/>
        <w:bidi w:val="0"/>
        <w:spacing w:before="0" w:line="240" w:lineRule="auto"/>
        <w:ind w:left="0" w:right="0" w:firstLine="0"/>
        <w:jc w:val="both"/>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3</w:t>
      </w:r>
      <w:bookmarkEnd w:id="1438"/>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436"/>
      <w:bookmarkEnd w:id="1437"/>
      <w:bookmarkEnd w:id="1439"/>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2,491,407.47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4,138,949.77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融资保理风险准备金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3,053,407.47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4,258,949.77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3</w:t>
      </w:r>
      <w:bookmarkEnd w:id="1442"/>
      <w:r>
        <w:rPr>
          <w:rFonts w:ascii="Times New Roman" w:eastAsia="Times New Roman" w:hAnsi="Times New Roman" w:cs="Times New Roman"/>
          <w:color w:val="000000"/>
          <w:spacing w:val="0"/>
          <w:w w:val="100"/>
          <w:position w:val="0"/>
        </w:rPr>
        <w:t>2</w:t>
      </w:r>
      <w:r>
        <w:rPr>
          <w:color w:val="000000"/>
          <w:spacing w:val="0"/>
          <w:w w:val="100"/>
          <w:position w:val="0"/>
        </w:rPr>
        <w:t>、租赁负债</w:t>
      </w:r>
      <w:bookmarkEnd w:id="1440"/>
      <w:bookmarkEnd w:id="1441"/>
      <w:bookmarkEnd w:id="1443"/>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750,562.73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714,343.10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-17,517.89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736,545.19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696,825.21</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0"/>
        <w:keepNext w:val="0"/>
        <w:keepLines w:val="0"/>
        <w:widowControl w:val="0"/>
        <w:shd w:val="clear" w:color="auto" w:fill="auto"/>
        <w:bidi w:val="0"/>
        <w:spacing w:before="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期初数与上年年末数（</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日）差异详见第十节、财务报告、五、</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之说明。</w:t>
      </w:r>
    </w:p>
    <w:p>
      <w:pPr>
        <w:pStyle w:val="Style26"/>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3</w:t>
      </w:r>
      <w:bookmarkEnd w:id="1446"/>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1444"/>
      <w:bookmarkEnd w:id="1445"/>
      <w:bookmarkEnd w:id="1447"/>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1,806,909.44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2,363,931.96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项目免费运维期预计发生的 维保支出，按照收入的</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计 提</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1,806,909.44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2,363,931.96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147" w:right="1074" w:bottom="1393" w:left="1054" w:header="0" w:footer="3" w:gutter="0"/>
          <w:cols w:space="720"/>
          <w:noEndnote/>
          <w:rtlGutter w:val="0"/>
          <w:docGrid w:linePitch="360"/>
        </w:sectPr>
      </w:pPr>
      <w:r>
        <w:rPr>
          <w:color w:val="000000"/>
          <w:spacing w:val="0"/>
          <w:w w:val="100"/>
          <w:position w:val="0"/>
        </w:rPr>
        <w:t>其他说明，包括重要预计负债的相关重要假设、估计说明:</w:t>
      </w:r>
    </w:p>
    <w:p>
      <w:pPr>
        <w:pStyle w:val="Style26"/>
        <w:keepNext/>
        <w:keepLines/>
        <w:widowControl w:val="0"/>
        <w:shd w:val="clear" w:color="auto" w:fill="auto"/>
        <w:bidi w:val="0"/>
        <w:spacing w:before="300" w:after="380" w:line="240" w:lineRule="auto"/>
        <w:ind w:left="0" w:right="0" w:firstLine="0"/>
        <w:jc w:val="left"/>
      </w:pPr>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34</w:t>
      </w:r>
      <w:r>
        <w:rPr>
          <w:color w:val="000000"/>
          <w:spacing w:val="0"/>
          <w:w w:val="100"/>
          <w:position w:val="0"/>
        </w:rPr>
        <w:t>、股本</w:t>
      </w:r>
      <w:bookmarkEnd w:id="1448"/>
      <w:bookmarkEnd w:id="1449"/>
      <w:bookmarkEnd w:id="145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189,929,258.00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75,712,983.00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75,066,183.00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264,995,441.00</w:t>
            </w:r>
          </w:p>
        </w:tc>
      </w:tr>
    </w:tbl>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其他说明：</w:t>
      </w:r>
    </w:p>
    <w:p>
      <w:pPr>
        <w:pStyle w:val="Style17"/>
        <w:keepNext w:val="0"/>
        <w:keepLines w:val="0"/>
        <w:widowControl w:val="0"/>
        <w:shd w:val="clear" w:color="auto" w:fill="auto"/>
        <w:tabs>
          <w:tab w:pos="307" w:val="left"/>
        </w:tabs>
        <w:bidi w:val="0"/>
        <w:spacing w:before="0" w:after="40" w:line="310" w:lineRule="exact"/>
        <w:ind w:left="0" w:right="0" w:firstLine="0"/>
        <w:jc w:val="left"/>
      </w:pPr>
      <w:bookmarkStart w:id="1451" w:name="bookmark1451"/>
      <w:r>
        <w:rPr>
          <w:rFonts w:ascii="Times New Roman" w:eastAsia="Times New Roman" w:hAnsi="Times New Roman" w:cs="Times New Roman"/>
          <w:color w:val="000000"/>
          <w:spacing w:val="0"/>
          <w:w w:val="100"/>
          <w:position w:val="0"/>
          <w:sz w:val="18"/>
          <w:szCs w:val="18"/>
        </w:rPr>
        <w:t>1</w:t>
      </w:r>
      <w:bookmarkEnd w:id="14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年第四次临时股东大会和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年第一次临时股东大会决议，因部分授予对象不再符合激励条件，对尚未 解锁的</w:t>
      </w:r>
      <w:r>
        <w:rPr>
          <w:rFonts w:ascii="Times New Roman" w:eastAsia="Times New Roman" w:hAnsi="Times New Roman" w:cs="Times New Roman"/>
          <w:color w:val="000000"/>
          <w:spacing w:val="0"/>
          <w:w w:val="100"/>
          <w:position w:val="0"/>
          <w:sz w:val="18"/>
          <w:szCs w:val="18"/>
        </w:rPr>
        <w:t>646,800</w:t>
      </w:r>
      <w:r>
        <w:rPr>
          <w:color w:val="000000"/>
          <w:spacing w:val="0"/>
          <w:w w:val="100"/>
          <w:position w:val="0"/>
        </w:rPr>
        <w:t>股限制性人民币普通股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股）进行回购注销，减少注册资本人民币</w:t>
      </w:r>
      <w:r>
        <w:rPr>
          <w:rFonts w:ascii="Times New Roman" w:eastAsia="Times New Roman" w:hAnsi="Times New Roman" w:cs="Times New Roman"/>
          <w:color w:val="000000"/>
          <w:spacing w:val="0"/>
          <w:w w:val="100"/>
          <w:position w:val="0"/>
          <w:sz w:val="18"/>
          <w:szCs w:val="18"/>
        </w:rPr>
        <w:t>646,800.00</w:t>
      </w:r>
      <w:r>
        <w:rPr>
          <w:color w:val="000000"/>
          <w:spacing w:val="0"/>
          <w:w w:val="100"/>
          <w:position w:val="0"/>
        </w:rPr>
        <w:t>元，减少实收股本</w:t>
      </w:r>
      <w:r>
        <w:rPr>
          <w:rFonts w:ascii="Times New Roman" w:eastAsia="Times New Roman" w:hAnsi="Times New Roman" w:cs="Times New Roman"/>
          <w:color w:val="000000"/>
          <w:spacing w:val="0"/>
          <w:w w:val="100"/>
          <w:position w:val="0"/>
          <w:sz w:val="18"/>
          <w:szCs w:val="18"/>
        </w:rPr>
        <w:t xml:space="preserve">646,800.00 </w:t>
      </w:r>
      <w:r>
        <w:rPr>
          <w:color w:val="000000"/>
          <w:spacing w:val="0"/>
          <w:w w:val="100"/>
          <w:position w:val="0"/>
        </w:rPr>
        <w:t>元。上述股本变动业经天健会计师事务所（特殊普通合伙）审验，并由其出具《验资报告》（天健验〔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号）。公司 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日办妥工商变更登记。</w:t>
      </w:r>
    </w:p>
    <w:p>
      <w:pPr>
        <w:pStyle w:val="Style17"/>
        <w:keepNext w:val="0"/>
        <w:keepLines w:val="0"/>
        <w:widowControl w:val="0"/>
        <w:shd w:val="clear" w:color="auto" w:fill="auto"/>
        <w:tabs>
          <w:tab w:pos="317" w:val="left"/>
        </w:tabs>
        <w:bidi w:val="0"/>
        <w:spacing w:before="0" w:after="720" w:line="317" w:lineRule="exact"/>
        <w:ind w:left="0" w:right="0" w:firstLine="0"/>
        <w:jc w:val="left"/>
      </w:pPr>
      <w:bookmarkStart w:id="1452" w:name="bookmark1452"/>
      <w:r>
        <w:rPr>
          <w:rFonts w:ascii="Times New Roman" w:eastAsia="Times New Roman" w:hAnsi="Times New Roman" w:cs="Times New Roman"/>
          <w:color w:val="000000"/>
          <w:spacing w:val="0"/>
          <w:w w:val="100"/>
          <w:position w:val="0"/>
          <w:sz w:val="18"/>
          <w:szCs w:val="18"/>
        </w:rPr>
        <w:t>2</w:t>
      </w:r>
      <w:bookmarkEnd w:id="14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年度股东大会决议，以及三届十五次董事会决议、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年第二次临时股东大会决议及修改后章程规定， 公司申请增加注册资本人民币</w:t>
      </w:r>
      <w:r>
        <w:rPr>
          <w:rFonts w:ascii="Times New Roman" w:eastAsia="Times New Roman" w:hAnsi="Times New Roman" w:cs="Times New Roman"/>
          <w:color w:val="000000"/>
          <w:spacing w:val="0"/>
          <w:w w:val="100"/>
          <w:position w:val="0"/>
          <w:sz w:val="18"/>
          <w:szCs w:val="18"/>
        </w:rPr>
        <w:t>75,712,983.00</w:t>
      </w:r>
      <w:r>
        <w:rPr>
          <w:color w:val="000000"/>
          <w:spacing w:val="0"/>
          <w:w w:val="100"/>
          <w:position w:val="0"/>
        </w:rPr>
        <w:t>元，由资本公积转增，相应增加股本</w:t>
      </w:r>
      <w:r>
        <w:rPr>
          <w:rFonts w:ascii="Times New Roman" w:eastAsia="Times New Roman" w:hAnsi="Times New Roman" w:cs="Times New Roman"/>
          <w:color w:val="000000"/>
          <w:spacing w:val="0"/>
          <w:w w:val="100"/>
          <w:position w:val="0"/>
          <w:sz w:val="18"/>
          <w:szCs w:val="18"/>
        </w:rPr>
        <w:t>75,712,983.00</w:t>
      </w:r>
      <w:r>
        <w:rPr>
          <w:color w:val="000000"/>
          <w:spacing w:val="0"/>
          <w:w w:val="100"/>
          <w:position w:val="0"/>
        </w:rPr>
        <w:t>元。上述股本变动业经天健 会计师事务所（特殊普通合伙）审验，并由其出具《验资报告》（天健验〔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614</w:t>
      </w:r>
      <w:r>
        <w:rPr>
          <w:color w:val="000000"/>
          <w:spacing w:val="0"/>
          <w:w w:val="100"/>
          <w:position w:val="0"/>
        </w:rPr>
        <w:t>号）。公司已于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日办 妥工商变更登记。</w:t>
      </w:r>
    </w:p>
    <w:p>
      <w:pPr>
        <w:pStyle w:val="Style26"/>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53"/>
      <w:bookmarkEnd w:id="1454"/>
      <w:bookmarkEnd w:id="1456"/>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706,391,660.55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1,370,825.00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83,045,583.00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624,716,902.55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8,591,358.33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879,874.40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7,532,683.33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1,938,549.40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714,983,018.88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2,250,699.40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90,578,266.33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626,655,451.95</w:t>
            </w:r>
          </w:p>
        </w:tc>
      </w:tr>
    </w:tbl>
    <w:p>
      <w:pPr>
        <w:pStyle w:val="Style17"/>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其他说明，包括本期增减变动情况、变动原因说明：</w:t>
      </w:r>
    </w:p>
    <w:p>
      <w:pPr>
        <w:pStyle w:val="Style17"/>
        <w:keepNext w:val="0"/>
        <w:keepLines w:val="0"/>
        <w:widowControl w:val="0"/>
        <w:shd w:val="clear" w:color="auto" w:fill="auto"/>
        <w:tabs>
          <w:tab w:pos="298" w:val="left"/>
        </w:tabs>
        <w:bidi w:val="0"/>
        <w:spacing w:before="0" w:after="40" w:line="307" w:lineRule="exact"/>
        <w:ind w:left="0" w:right="0" w:firstLine="0"/>
        <w:jc w:val="left"/>
      </w:pPr>
      <w:bookmarkStart w:id="1457" w:name="bookmark1457"/>
      <w:r>
        <w:rPr>
          <w:rFonts w:ascii="Times New Roman" w:eastAsia="Times New Roman" w:hAnsi="Times New Roman" w:cs="Times New Roman"/>
          <w:color w:val="000000"/>
          <w:spacing w:val="0"/>
          <w:w w:val="100"/>
          <w:position w:val="0"/>
          <w:sz w:val="18"/>
          <w:szCs w:val="18"/>
        </w:rPr>
        <w:t>1</w:t>
      </w:r>
      <w:bookmarkEnd w:id="14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本期资本公积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1,370,825.00</w:t>
      </w:r>
      <w:r>
        <w:rPr>
          <w:color w:val="000000"/>
          <w:spacing w:val="0"/>
          <w:w w:val="100"/>
          <w:position w:val="0"/>
        </w:rPr>
        <w:t xml:space="preserve">元，系本期部分限制性股票已解锁，相应将原确认的对应股份的股份支付费用 </w:t>
      </w:r>
      <w:r>
        <w:rPr>
          <w:rFonts w:ascii="Times New Roman" w:eastAsia="Times New Roman" w:hAnsi="Times New Roman" w:cs="Times New Roman"/>
          <w:color w:val="000000"/>
          <w:spacing w:val="0"/>
          <w:w w:val="100"/>
          <w:position w:val="0"/>
          <w:sz w:val="18"/>
          <w:szCs w:val="18"/>
        </w:rPr>
        <w:t>1,370,825.00</w:t>
      </w:r>
      <w:r>
        <w:rPr>
          <w:color w:val="000000"/>
          <w:spacing w:val="0"/>
          <w:w w:val="100"/>
          <w:position w:val="0"/>
        </w:rPr>
        <w:t>元由其他资本公积转入资本公积（股本溢价）。</w:t>
      </w:r>
    </w:p>
    <w:p>
      <w:pPr>
        <w:pStyle w:val="Style17"/>
        <w:keepNext w:val="0"/>
        <w:keepLines w:val="0"/>
        <w:widowControl w:val="0"/>
        <w:shd w:val="clear" w:color="auto" w:fill="auto"/>
        <w:tabs>
          <w:tab w:pos="317" w:val="left"/>
        </w:tabs>
        <w:bidi w:val="0"/>
        <w:spacing w:before="0" w:after="40" w:line="317" w:lineRule="exact"/>
        <w:ind w:left="0" w:right="0" w:firstLine="0"/>
        <w:jc w:val="left"/>
      </w:pPr>
      <w:bookmarkStart w:id="1458" w:name="bookmark1458"/>
      <w:r>
        <w:rPr>
          <w:rFonts w:ascii="Times New Roman" w:eastAsia="Times New Roman" w:hAnsi="Times New Roman" w:cs="Times New Roman"/>
          <w:color w:val="000000"/>
          <w:spacing w:val="0"/>
          <w:w w:val="100"/>
          <w:position w:val="0"/>
          <w:sz w:val="18"/>
          <w:szCs w:val="18"/>
        </w:rPr>
        <w:t>2</w:t>
      </w:r>
      <w:bookmarkEnd w:id="14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本期资本公积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83,045,583.00</w:t>
      </w:r>
      <w:r>
        <w:rPr>
          <w:color w:val="000000"/>
          <w:spacing w:val="0"/>
          <w:w w:val="100"/>
          <w:position w:val="0"/>
        </w:rPr>
        <w:t>元，其中，资本公积转增股本减少股本溢价</w:t>
      </w:r>
      <w:r>
        <w:rPr>
          <w:rFonts w:ascii="Times New Roman" w:eastAsia="Times New Roman" w:hAnsi="Times New Roman" w:cs="Times New Roman"/>
          <w:color w:val="000000"/>
          <w:spacing w:val="0"/>
          <w:w w:val="100"/>
          <w:position w:val="0"/>
          <w:sz w:val="18"/>
          <w:szCs w:val="18"/>
        </w:rPr>
        <w:t>75,712,983.00</w:t>
      </w:r>
      <w:r>
        <w:rPr>
          <w:color w:val="000000"/>
          <w:spacing w:val="0"/>
          <w:w w:val="100"/>
          <w:position w:val="0"/>
        </w:rPr>
        <w:t>元；回购未解锁的 限制性股票减少资本公积</w:t>
      </w:r>
      <w:r>
        <w:rPr>
          <w:rFonts w:ascii="Times New Roman" w:eastAsia="Times New Roman" w:hAnsi="Times New Roman" w:cs="Times New Roman"/>
          <w:color w:val="000000"/>
          <w:spacing w:val="0"/>
          <w:w w:val="100"/>
          <w:position w:val="0"/>
          <w:sz w:val="18"/>
          <w:szCs w:val="18"/>
        </w:rPr>
        <w:t>7,332,600.00</w:t>
      </w:r>
      <w:r>
        <w:rPr>
          <w:color w:val="000000"/>
          <w:spacing w:val="0"/>
          <w:w w:val="100"/>
          <w:position w:val="0"/>
        </w:rPr>
        <w:t>元。</w:t>
      </w:r>
    </w:p>
    <w:p>
      <w:pPr>
        <w:pStyle w:val="Style17"/>
        <w:keepNext w:val="0"/>
        <w:keepLines w:val="0"/>
        <w:widowControl w:val="0"/>
        <w:shd w:val="clear" w:color="auto" w:fill="auto"/>
        <w:tabs>
          <w:tab w:pos="317" w:val="left"/>
        </w:tabs>
        <w:bidi w:val="0"/>
        <w:spacing w:before="0" w:after="40" w:line="314" w:lineRule="exact"/>
        <w:ind w:left="0" w:right="0" w:firstLine="0"/>
        <w:jc w:val="left"/>
      </w:pPr>
      <w:bookmarkStart w:id="1459" w:name="bookmark1459"/>
      <w:r>
        <w:rPr>
          <w:rFonts w:ascii="Times New Roman" w:eastAsia="Times New Roman" w:hAnsi="Times New Roman" w:cs="Times New Roman"/>
          <w:color w:val="000000"/>
          <w:spacing w:val="0"/>
          <w:w w:val="100"/>
          <w:position w:val="0"/>
          <w:sz w:val="18"/>
          <w:szCs w:val="18"/>
        </w:rPr>
        <w:t>3</w:t>
      </w:r>
      <w:bookmarkEnd w:id="14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本期其他资本公积增加</w:t>
      </w:r>
      <w:r>
        <w:rPr>
          <w:rFonts w:ascii="Times New Roman" w:eastAsia="Times New Roman" w:hAnsi="Times New Roman" w:cs="Times New Roman"/>
          <w:color w:val="000000"/>
          <w:spacing w:val="0"/>
          <w:w w:val="100"/>
          <w:position w:val="0"/>
          <w:sz w:val="18"/>
          <w:szCs w:val="18"/>
        </w:rPr>
        <w:t>879,874.40</w:t>
      </w:r>
      <w:r>
        <w:rPr>
          <w:color w:val="000000"/>
          <w:spacing w:val="0"/>
          <w:w w:val="100"/>
          <w:position w:val="0"/>
        </w:rPr>
        <w:t>元，其中，根据股权激励授予日公司股票收盘价计算确认本期应摊销的股份支付费用， 计入其他资本公积</w:t>
      </w:r>
      <w:r>
        <w:rPr>
          <w:rFonts w:ascii="Times New Roman" w:eastAsia="Times New Roman" w:hAnsi="Times New Roman" w:cs="Times New Roman"/>
          <w:color w:val="000000"/>
          <w:spacing w:val="0"/>
          <w:w w:val="100"/>
          <w:position w:val="0"/>
          <w:sz w:val="18"/>
          <w:szCs w:val="18"/>
        </w:rPr>
        <w:t>460,550.00</w:t>
      </w:r>
      <w:r>
        <w:rPr>
          <w:color w:val="000000"/>
          <w:spacing w:val="0"/>
          <w:w w:val="100"/>
          <w:position w:val="0"/>
        </w:rPr>
        <w:t>元；本期部分限制行股票已解锁，所得税税前扣除金额超过会计上确认股份支付费用金额的所 得税影响，累计调整增加其他资本公积</w:t>
      </w:r>
      <w:r>
        <w:rPr>
          <w:rFonts w:ascii="Times New Roman" w:eastAsia="Times New Roman" w:hAnsi="Times New Roman" w:cs="Times New Roman"/>
          <w:color w:val="000000"/>
          <w:spacing w:val="0"/>
          <w:w w:val="100"/>
          <w:position w:val="0"/>
          <w:sz w:val="18"/>
          <w:szCs w:val="18"/>
        </w:rPr>
        <w:t>419,324.40</w:t>
      </w:r>
      <w:r>
        <w:rPr>
          <w:color w:val="000000"/>
          <w:spacing w:val="0"/>
          <w:w w:val="100"/>
          <w:position w:val="0"/>
        </w:rPr>
        <w:t>元。</w:t>
      </w:r>
    </w:p>
    <w:p>
      <w:pPr>
        <w:pStyle w:val="Style17"/>
        <w:keepNext w:val="0"/>
        <w:keepLines w:val="0"/>
        <w:widowControl w:val="0"/>
        <w:shd w:val="clear" w:color="auto" w:fill="auto"/>
        <w:tabs>
          <w:tab w:pos="317" w:val="left"/>
        </w:tabs>
        <w:bidi w:val="0"/>
        <w:spacing w:before="0" w:after="1040" w:line="312" w:lineRule="exact"/>
        <w:ind w:left="0" w:right="0" w:firstLine="0"/>
        <w:jc w:val="left"/>
      </w:pPr>
      <w:bookmarkStart w:id="1460" w:name="bookmark1460"/>
      <w:r>
        <w:rPr>
          <w:rFonts w:ascii="Times New Roman" w:eastAsia="Times New Roman" w:hAnsi="Times New Roman" w:cs="Times New Roman"/>
          <w:color w:val="000000"/>
          <w:spacing w:val="0"/>
          <w:w w:val="100"/>
          <w:position w:val="0"/>
          <w:sz w:val="18"/>
          <w:szCs w:val="18"/>
        </w:rPr>
        <w:t>4</w:t>
      </w:r>
      <w:bookmarkEnd w:id="14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本期其他资本公积减少</w:t>
      </w:r>
      <w:r>
        <w:rPr>
          <w:rFonts w:ascii="Times New Roman" w:eastAsia="Times New Roman" w:hAnsi="Times New Roman" w:cs="Times New Roman"/>
          <w:color w:val="000000"/>
          <w:spacing w:val="0"/>
          <w:w w:val="100"/>
          <w:position w:val="0"/>
          <w:sz w:val="18"/>
          <w:szCs w:val="18"/>
        </w:rPr>
        <w:t>7,532,683.33</w:t>
      </w:r>
      <w:r>
        <w:rPr>
          <w:color w:val="000000"/>
          <w:spacing w:val="0"/>
          <w:w w:val="100"/>
          <w:position w:val="0"/>
        </w:rPr>
        <w:t>元，其中，根据预计的无法解锁的已授予尚未解锁的股份数冲回累计已确认的股份支 付费用</w:t>
      </w:r>
      <w:r>
        <w:rPr>
          <w:rFonts w:ascii="Times New Roman" w:eastAsia="Times New Roman" w:hAnsi="Times New Roman" w:cs="Times New Roman"/>
          <w:color w:val="000000"/>
          <w:spacing w:val="0"/>
          <w:w w:val="100"/>
          <w:position w:val="0"/>
          <w:sz w:val="18"/>
          <w:szCs w:val="18"/>
        </w:rPr>
        <w:t>6,161,858.33</w:t>
      </w:r>
      <w:r>
        <w:rPr>
          <w:color w:val="000000"/>
          <w:spacing w:val="0"/>
          <w:w w:val="100"/>
          <w:position w:val="0"/>
        </w:rPr>
        <w:t xml:space="preserve">元，相应减少资本公积；本期部分限制性股票已解锁，相应将原确认的对应股份的股份支付费用 </w:t>
      </w:r>
      <w:r>
        <w:rPr>
          <w:rFonts w:ascii="Times New Roman" w:eastAsia="Times New Roman" w:hAnsi="Times New Roman" w:cs="Times New Roman"/>
          <w:color w:val="000000"/>
          <w:spacing w:val="0"/>
          <w:w w:val="100"/>
          <w:position w:val="0"/>
          <w:sz w:val="18"/>
          <w:szCs w:val="18"/>
        </w:rPr>
        <w:t>1,370,825.00</w:t>
      </w:r>
      <w:r>
        <w:rPr>
          <w:color w:val="000000"/>
          <w:spacing w:val="0"/>
          <w:w w:val="100"/>
          <w:position w:val="0"/>
        </w:rPr>
        <w:t>元由其他资本公积转入资本公积（股本溢价）。</w:t>
      </w:r>
    </w:p>
    <w:p>
      <w:pPr>
        <w:pStyle w:val="Style26"/>
        <w:keepNext/>
        <w:keepLines/>
        <w:widowControl w:val="0"/>
        <w:shd w:val="clear" w:color="auto" w:fill="auto"/>
        <w:bidi w:val="0"/>
        <w:spacing w:before="0" w:after="6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61"/>
      <w:bookmarkEnd w:id="1462"/>
      <w:bookmarkEnd w:id="1464"/>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未解锁限制性股票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37,080,562.50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21,885,507.50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15,362,345.00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37,080,562.50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21,885,507.50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15,362,345.00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9" w:line="1" w:lineRule="exact"/>
      </w:pPr>
    </w:p>
    <w:p>
      <w:pPr>
        <w:pStyle w:val="Style17"/>
        <w:keepNext w:val="0"/>
        <w:keepLines w:val="0"/>
        <w:widowControl w:val="0"/>
        <w:shd w:val="clear" w:color="auto" w:fill="auto"/>
        <w:tabs>
          <w:tab w:pos="339" w:val="left"/>
        </w:tabs>
        <w:bidi w:val="0"/>
        <w:spacing w:before="0" w:after="40" w:line="307" w:lineRule="exact"/>
        <w:ind w:left="0" w:right="0" w:firstLine="0"/>
        <w:jc w:val="both"/>
      </w:pPr>
      <w:bookmarkStart w:id="1465" w:name="bookmark1465"/>
      <w:r>
        <w:rPr>
          <w:rFonts w:ascii="Times New Roman" w:eastAsia="Times New Roman" w:hAnsi="Times New Roman" w:cs="Times New Roman"/>
          <w:color w:val="000000"/>
          <w:spacing w:val="0"/>
          <w:w w:val="100"/>
          <w:position w:val="0"/>
          <w:sz w:val="18"/>
          <w:szCs w:val="18"/>
        </w:rPr>
        <w:t>1</w:t>
      </w:r>
      <w:bookmarkEnd w:id="146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根据公司第三届董事会第十四次会议决议，本期部分限制性股票已解锁，对应股份的现金股利解禁并支付</w:t>
      </w:r>
      <w:r>
        <w:rPr>
          <w:rFonts w:ascii="Times New Roman" w:eastAsia="Times New Roman" w:hAnsi="Times New Roman" w:cs="Times New Roman"/>
          <w:color w:val="000000"/>
          <w:spacing w:val="0"/>
          <w:w w:val="100"/>
          <w:position w:val="0"/>
          <w:sz w:val="18"/>
          <w:szCs w:val="18"/>
        </w:rPr>
        <w:t>167,290.00</w:t>
      </w:r>
      <w:r>
        <w:rPr>
          <w:color w:val="000000"/>
          <w:spacing w:val="0"/>
          <w:w w:val="100"/>
          <w:position w:val="0"/>
        </w:rPr>
        <w:t>元， 相应增加库存股</w:t>
      </w:r>
      <w:r>
        <w:rPr>
          <w:rFonts w:ascii="Times New Roman" w:eastAsia="Times New Roman" w:hAnsi="Times New Roman" w:cs="Times New Roman"/>
          <w:color w:val="000000"/>
          <w:spacing w:val="0"/>
          <w:w w:val="100"/>
          <w:position w:val="0"/>
          <w:sz w:val="18"/>
          <w:szCs w:val="18"/>
        </w:rPr>
        <w:t>167,290.00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1040" w:line="312" w:lineRule="exact"/>
        <w:ind w:left="0" w:right="0" w:firstLine="0"/>
        <w:jc w:val="both"/>
      </w:pPr>
      <w:bookmarkStart w:id="1466" w:name="bookmark1466"/>
      <w:r>
        <w:rPr>
          <w:rFonts w:ascii="Times New Roman" w:eastAsia="Times New Roman" w:hAnsi="Times New Roman" w:cs="Times New Roman"/>
          <w:color w:val="000000"/>
          <w:spacing w:val="0"/>
          <w:w w:val="100"/>
          <w:position w:val="0"/>
          <w:sz w:val="18"/>
          <w:szCs w:val="18"/>
        </w:rPr>
        <w:t>2</w:t>
      </w:r>
      <w:bookmarkEnd w:id="146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年度利润分配方案，确认限制性股票可撤销现金股利义务减少库存股</w:t>
      </w:r>
      <w:r>
        <w:rPr>
          <w:rFonts w:ascii="Times New Roman" w:eastAsia="Times New Roman" w:hAnsi="Times New Roman" w:cs="Times New Roman"/>
          <w:color w:val="000000"/>
          <w:spacing w:val="0"/>
          <w:w w:val="100"/>
          <w:position w:val="0"/>
          <w:sz w:val="18"/>
          <w:szCs w:val="18"/>
        </w:rPr>
        <w:t>60,882.50</w:t>
      </w:r>
      <w:r>
        <w:rPr>
          <w:color w:val="000000"/>
          <w:spacing w:val="0"/>
          <w:w w:val="100"/>
          <w:position w:val="0"/>
        </w:rPr>
        <w:t>元；限制性股票激励计划本期 解锁股份</w:t>
      </w:r>
      <w:r>
        <w:rPr>
          <w:rFonts w:ascii="Times New Roman" w:eastAsia="Times New Roman" w:hAnsi="Times New Roman" w:cs="Times New Roman"/>
          <w:color w:val="000000"/>
          <w:spacing w:val="0"/>
          <w:w w:val="100"/>
          <w:position w:val="0"/>
          <w:sz w:val="18"/>
          <w:szCs w:val="18"/>
        </w:rPr>
        <w:t>1,582,700</w:t>
      </w:r>
      <w:r>
        <w:rPr>
          <w:color w:val="000000"/>
          <w:spacing w:val="0"/>
          <w:w w:val="100"/>
          <w:position w:val="0"/>
        </w:rPr>
        <w:t>股，对应减少库存股</w:t>
      </w:r>
      <w:r>
        <w:rPr>
          <w:rFonts w:ascii="Times New Roman" w:eastAsia="Times New Roman" w:hAnsi="Times New Roman" w:cs="Times New Roman"/>
          <w:color w:val="000000"/>
          <w:spacing w:val="0"/>
          <w:w w:val="100"/>
          <w:position w:val="0"/>
          <w:sz w:val="18"/>
          <w:szCs w:val="18"/>
        </w:rPr>
        <w:t>13,845,225.00</w:t>
      </w:r>
      <w:r>
        <w:rPr>
          <w:color w:val="000000"/>
          <w:spacing w:val="0"/>
          <w:w w:val="100"/>
          <w:position w:val="0"/>
        </w:rPr>
        <w:t>元；本期回购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名激励对象已授予未解锁的限制性人民币普通股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646,800</w:t>
      </w:r>
      <w:r>
        <w:rPr>
          <w:color w:val="000000"/>
          <w:spacing w:val="0"/>
          <w:w w:val="100"/>
          <w:position w:val="0"/>
        </w:rPr>
        <w:t>股，按照发行限制性股票的数量及相应的回购价格计算减少库存股</w:t>
      </w:r>
      <w:r>
        <w:rPr>
          <w:rFonts w:ascii="Times New Roman" w:eastAsia="Times New Roman" w:hAnsi="Times New Roman" w:cs="Times New Roman"/>
          <w:color w:val="000000"/>
          <w:spacing w:val="0"/>
          <w:w w:val="100"/>
          <w:position w:val="0"/>
          <w:sz w:val="18"/>
          <w:szCs w:val="18"/>
        </w:rPr>
        <w:t>7,979,400.00</w:t>
      </w:r>
      <w:r>
        <w:rPr>
          <w:color w:val="000000"/>
          <w:spacing w:val="0"/>
          <w:w w:val="100"/>
          <w:position w:val="0"/>
        </w:rPr>
        <w:t>元。</w:t>
      </w:r>
    </w:p>
    <w:p>
      <w:pPr>
        <w:pStyle w:val="Style26"/>
        <w:keepNext/>
        <w:keepLines/>
        <w:widowControl w:val="0"/>
        <w:shd w:val="clear" w:color="auto" w:fill="auto"/>
        <w:bidi w:val="0"/>
        <w:spacing w:before="0" w:after="380" w:line="240" w:lineRule="auto"/>
        <w:ind w:left="0" w:right="0" w:firstLine="0"/>
        <w:jc w:val="both"/>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3</w:t>
      </w:r>
      <w:bookmarkEnd w:id="1469"/>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467"/>
      <w:bookmarkEnd w:id="1468"/>
      <w:bookmarkEnd w:id="147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27,354,733.62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2,692,101.85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30,046,835.47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27,354,733.62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2,692,101.85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30,046,835.47</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盈余公积说明，包括本期增减变动情况、变动原因说明：</w:t>
      </w: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本期增加系根据母公司实现的净利润提取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法定盈余公积。</w:t>
      </w:r>
    </w:p>
    <w:p>
      <w:pPr>
        <w:pStyle w:val="Style26"/>
        <w:keepNext/>
        <w:keepLines/>
        <w:widowControl w:val="0"/>
        <w:shd w:val="clear" w:color="auto" w:fill="auto"/>
        <w:bidi w:val="0"/>
        <w:spacing w:before="0" w:after="380" w:line="240" w:lineRule="auto"/>
        <w:ind w:left="0" w:right="0" w:firstLine="0"/>
        <w:jc w:val="both"/>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3</w:t>
      </w:r>
      <w:bookmarkEnd w:id="1473"/>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471"/>
      <w:bookmarkEnd w:id="1472"/>
      <w:bookmarkEnd w:id="1474"/>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199,896,285.06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239,036,210.26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-70,317,800.52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199,896,285.06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168,718,409.74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34,807,299.27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43,142,792.75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2,692,101.85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5,519,440.13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6,624,885.76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6,445,477.30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225,386,596.72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199,896,285.06</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调整期初未分配利润明细：</w:t>
      </w:r>
    </w:p>
    <w:p>
      <w:pPr>
        <w:pStyle w:val="Style17"/>
        <w:keepNext w:val="0"/>
        <w:keepLines w:val="0"/>
        <w:widowControl w:val="0"/>
        <w:shd w:val="clear" w:color="auto" w:fill="auto"/>
        <w:tabs>
          <w:tab w:pos="330" w:val="left"/>
        </w:tabs>
        <w:bidi w:val="0"/>
        <w:spacing w:before="0" w:after="120" w:line="240" w:lineRule="auto"/>
        <w:ind w:left="0" w:right="0" w:firstLine="0"/>
        <w:jc w:val="both"/>
      </w:pPr>
      <w:bookmarkStart w:id="1475" w:name="bookmark1475"/>
      <w:r>
        <w:rPr>
          <w:rFonts w:ascii="Times New Roman" w:eastAsia="Times New Roman" w:hAnsi="Times New Roman" w:cs="Times New Roman"/>
          <w:color w:val="000000"/>
          <w:spacing w:val="0"/>
          <w:w w:val="100"/>
          <w:position w:val="0"/>
          <w:sz w:val="18"/>
          <w:szCs w:val="18"/>
        </w:rPr>
        <w:t>1</w:t>
      </w:r>
      <w:bookmarkEnd w:id="147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120" w:line="240" w:lineRule="auto"/>
        <w:ind w:left="0" w:right="0" w:firstLine="0"/>
        <w:jc w:val="both"/>
      </w:pPr>
      <w:bookmarkStart w:id="1476" w:name="bookmark1476"/>
      <w:r>
        <w:rPr>
          <w:rFonts w:ascii="Times New Roman" w:eastAsia="Times New Roman" w:hAnsi="Times New Roman" w:cs="Times New Roman"/>
          <w:color w:val="000000"/>
          <w:spacing w:val="0"/>
          <w:w w:val="100"/>
          <w:position w:val="0"/>
          <w:sz w:val="18"/>
          <w:szCs w:val="18"/>
        </w:rPr>
        <w:t>2</w:t>
      </w:r>
      <w:bookmarkEnd w:id="14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120" w:line="240" w:lineRule="auto"/>
        <w:ind w:left="0" w:right="0" w:firstLine="0"/>
        <w:jc w:val="both"/>
      </w:pPr>
      <w:bookmarkStart w:id="1477" w:name="bookmark1477"/>
      <w:r>
        <w:rPr>
          <w:rFonts w:ascii="Times New Roman" w:eastAsia="Times New Roman" w:hAnsi="Times New Roman" w:cs="Times New Roman"/>
          <w:color w:val="000000"/>
          <w:spacing w:val="0"/>
          <w:w w:val="100"/>
          <w:position w:val="0"/>
          <w:sz w:val="18"/>
          <w:szCs w:val="18"/>
        </w:rPr>
        <w:t>3</w:t>
      </w:r>
      <w:bookmarkEnd w:id="147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120" w:line="240" w:lineRule="auto"/>
        <w:ind w:left="0" w:right="0" w:firstLine="0"/>
        <w:jc w:val="both"/>
      </w:pPr>
      <w:bookmarkStart w:id="1478" w:name="bookmark1478"/>
      <w:r>
        <w:rPr>
          <w:rFonts w:ascii="Times New Roman" w:eastAsia="Times New Roman" w:hAnsi="Times New Roman" w:cs="Times New Roman"/>
          <w:color w:val="000000"/>
          <w:spacing w:val="0"/>
          <w:w w:val="100"/>
          <w:position w:val="0"/>
          <w:sz w:val="18"/>
          <w:szCs w:val="18"/>
        </w:rPr>
        <w:t>4</w:t>
      </w:r>
      <w:bookmarkEnd w:id="14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120" w:line="240" w:lineRule="auto"/>
        <w:ind w:left="0" w:right="0" w:firstLine="0"/>
        <w:jc w:val="both"/>
      </w:pPr>
      <w:bookmarkStart w:id="1479" w:name="bookmark1479"/>
      <w:r>
        <w:rPr>
          <w:rFonts w:ascii="Times New Roman" w:eastAsia="Times New Roman" w:hAnsi="Times New Roman" w:cs="Times New Roman"/>
          <w:color w:val="000000"/>
          <w:spacing w:val="0"/>
          <w:w w:val="100"/>
          <w:position w:val="0"/>
          <w:sz w:val="18"/>
          <w:szCs w:val="18"/>
        </w:rPr>
        <w:t>5</w:t>
      </w:r>
      <w:bookmarkEnd w:id="14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26"/>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480"/>
      <w:bookmarkEnd w:id="1481"/>
      <w:bookmarkEnd w:id="148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450,778,741.51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297,071,520.04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442,395,215.08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253,308,502.87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13,420,996.52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5,968,586.49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12,343,050.07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5,604,476.92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464,199,738.03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303,040,106.53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454,738,265.15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258,912,979.79</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医疗信息化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279,915,670.63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279,915,670.63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数字化场景应用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134,731,872.85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1,259,808.00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135,991,680.85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34,786,649.43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13,505,737.12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48,292,386.55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215,755,758.71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14,680,804.52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230,436,563.23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75,741,129.58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75,741,129.58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54,490,271.94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54,490,271.94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44,881,805.04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44,881,805.04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58,565,227.64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58,649,968.24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按商品转让的时间 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在某一时点确认收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294,118,919.11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294,203,659.71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在某一时段内确认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155,315,273.80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14,680,804.52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169,996,078.32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449,434,192.91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14,765,545.12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464,199,738.03</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详见第十节财务报告、五、</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之说明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551,076,139.73</w:t>
      </w:r>
      <w:r>
        <w:rPr>
          <w:color w:val="000000"/>
          <w:spacing w:val="0"/>
          <w:w w:val="100"/>
          <w:position w:val="0"/>
        </w:rPr>
        <w:t>元。</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4</w:t>
      </w:r>
      <w:bookmarkEnd w:id="1486"/>
      <w:r>
        <w:rPr>
          <w:rFonts w:ascii="Times New Roman" w:eastAsia="Times New Roman" w:hAnsi="Times New Roman" w:cs="Times New Roman"/>
          <w:color w:val="000000"/>
          <w:spacing w:val="0"/>
          <w:w w:val="100"/>
          <w:position w:val="0"/>
        </w:rPr>
        <w:t>0</w:t>
      </w:r>
      <w:r>
        <w:rPr>
          <w:color w:val="000000"/>
          <w:spacing w:val="0"/>
          <w:w w:val="100"/>
          <w:position w:val="0"/>
        </w:rPr>
        <w:t>、税金及附加</w:t>
      </w:r>
      <w:bookmarkEnd w:id="1484"/>
      <w:bookmarkEnd w:id="1485"/>
      <w:bookmarkEnd w:id="148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1,796,023.52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2,253,156.54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769,722.64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965,623.14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2,569,962.31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2,171,863.70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174,736.93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381,730.48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514,255.57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642,641.62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26,318.64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5,849,611.23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6,441,334.12</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4</w:t>
      </w:r>
      <w:bookmarkEnd w:id="1490"/>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488"/>
      <w:bookmarkEnd w:id="1489"/>
      <w:bookmarkEnd w:id="149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15,577,583.63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17,590,754.54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3,692,545.99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2,641,263.45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2,186,460.92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2,327,675.06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1,323,535.22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2,029,658.95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2,659,341.17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2,666,858.97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1,014,648.92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2,571,426.98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3,564,171.16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2,805,827.41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30,018,287.01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32,633,465.36</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4</w:t>
      </w:r>
      <w:bookmarkEnd w:id="1494"/>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492"/>
      <w:bookmarkEnd w:id="1493"/>
      <w:bookmarkEnd w:id="149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24,301,758.19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26,190,900.04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7,291,136.60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4,478,668.46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5,014,804.85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1,722,668.80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1,998,042.30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9,693,286.53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951,820.10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756,478.61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878,367.84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1,204,365.04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483,023.63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529,781.66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-5,701,308.33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5,825,150.00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3,203,984.14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2,521,880.05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38,421,629.32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52,923,179.19</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3</w:t>
      </w:r>
      <w:r>
        <w:rPr>
          <w:color w:val="000000"/>
          <w:spacing w:val="0"/>
          <w:w w:val="100"/>
          <w:position w:val="0"/>
        </w:rPr>
        <w:t>、研发费用</w:t>
      </w:r>
      <w:bookmarkEnd w:id="1496"/>
      <w:bookmarkEnd w:id="1497"/>
      <w:bookmarkEnd w:id="149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38,993,882.62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37,183,657.72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1,357,088.99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1,538,240.84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11,256,531.07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5,475,615.14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2,220,980.84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1,521,177.30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53,828,483.52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45,718,691.00</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24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500"/>
      <w:bookmarkEnd w:id="1501"/>
      <w:bookmarkEnd w:id="1503"/>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2,530,972.52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2,774,922.24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-5,641,048.08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-3,547,686.95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207,122.57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198,640.87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-2,902,952.99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-574,123.84</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4</w:t>
      </w:r>
      <w:bookmarkEnd w:id="1506"/>
      <w:r>
        <w:rPr>
          <w:rFonts w:ascii="Times New Roman" w:eastAsia="Times New Roman" w:hAnsi="Times New Roman" w:cs="Times New Roman"/>
          <w:color w:val="000000"/>
          <w:spacing w:val="0"/>
          <w:w w:val="100"/>
          <w:position w:val="0"/>
        </w:rPr>
        <w:t>5</w:t>
      </w:r>
      <w:r>
        <w:rPr>
          <w:color w:val="000000"/>
          <w:spacing w:val="0"/>
          <w:w w:val="100"/>
          <w:position w:val="0"/>
        </w:rPr>
        <w:t>、其他收益</w:t>
      </w:r>
      <w:bookmarkEnd w:id="1504"/>
      <w:bookmarkEnd w:id="1505"/>
      <w:bookmarkEnd w:id="1507"/>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8,525,191.20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19,680,128.40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199,649.67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142,335.61</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both"/>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508"/>
      <w:bookmarkEnd w:id="1509"/>
      <w:bookmarkEnd w:id="1511"/>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-1,798,119.70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-420,007.35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8,114,476.52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5,363,380.89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8,114,476.52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3,145,253.84</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4</w:t>
      </w:r>
      <w:bookmarkEnd w:id="1514"/>
      <w:r>
        <w:rPr>
          <w:rFonts w:ascii="Times New Roman" w:eastAsia="Times New Roman" w:hAnsi="Times New Roman" w:cs="Times New Roman"/>
          <w:color w:val="000000"/>
          <w:spacing w:val="0"/>
          <w:w w:val="100"/>
          <w:position w:val="0"/>
        </w:rPr>
        <w:t>7</w:t>
      </w:r>
      <w:r>
        <w:rPr>
          <w:color w:val="000000"/>
          <w:spacing w:val="0"/>
          <w:w w:val="100"/>
          <w:position w:val="0"/>
        </w:rPr>
        <w:t>、信用减值损失</w:t>
      </w:r>
      <w:bookmarkEnd w:id="1512"/>
      <w:bookmarkEnd w:id="1513"/>
      <w:bookmarkEnd w:id="1515"/>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-8,209,601.74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-27,991,596.49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-8,209,601.74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-27,991,596.49</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4</w:t>
      </w:r>
      <w:bookmarkEnd w:id="1518"/>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516"/>
      <w:bookmarkEnd w:id="1517"/>
      <w:bookmarkEnd w:id="1519"/>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-9,155,586.47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-5,786,757.56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-9,155,586.47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-5,786,757.56</w:t>
            </w:r>
          </w:p>
        </w:tc>
      </w:tr>
    </w:tbl>
    <w:p>
      <w:pPr>
        <w:sectPr>
          <w:footnotePr>
            <w:pos w:val="pageBottom"/>
            <w:numFmt w:val="decimal"/>
            <w:numRestart w:val="continuous"/>
          </w:footnotePr>
          <w:pgSz w:w="11900" w:h="16840"/>
          <w:pgMar w:top="1330" w:right="1070" w:bottom="1700" w:left="1052" w:header="0" w:footer="3" w:gutter="0"/>
          <w:cols w:space="720"/>
          <w:noEndnote/>
          <w:rtlGutter w:val="0"/>
          <w:docGrid w:linePitch="360"/>
        </w:sectPr>
      </w:pPr>
    </w:p>
    <w:p>
      <w:pPr>
        <w:pStyle w:val="Style17"/>
        <w:keepNext w:val="0"/>
        <w:keepLines w:val="0"/>
        <w:widowControl w:val="0"/>
        <w:shd w:val="clear" w:color="auto" w:fill="auto"/>
        <w:bidi w:val="0"/>
        <w:spacing w:before="60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4</w:t>
      </w:r>
      <w:bookmarkEnd w:id="1522"/>
      <w:r>
        <w:rPr>
          <w:rFonts w:ascii="Times New Roman" w:eastAsia="Times New Roman" w:hAnsi="Times New Roman" w:cs="Times New Roman"/>
          <w:color w:val="000000"/>
          <w:spacing w:val="0"/>
          <w:w w:val="100"/>
          <w:position w:val="0"/>
        </w:rPr>
        <w:t>9</w:t>
      </w:r>
      <w:r>
        <w:rPr>
          <w:color w:val="000000"/>
          <w:spacing w:val="0"/>
          <w:w w:val="100"/>
          <w:position w:val="0"/>
        </w:rPr>
        <w:t>、资产处置收益</w:t>
      </w:r>
      <w:bookmarkEnd w:id="1520"/>
      <w:bookmarkEnd w:id="1521"/>
      <w:bookmarkEnd w:id="1523"/>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-24,190.37</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524"/>
      <w:bookmarkEnd w:id="1525"/>
      <w:bookmarkEnd w:id="1527"/>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合并成本小于取得的可辨认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净资产公允价值份额的金额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421,613.16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7,802.24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497,021.51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7,802.24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7,802.24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918,634.67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7,802.24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5</w:t>
      </w:r>
      <w:bookmarkEnd w:id="1530"/>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528"/>
      <w:bookmarkEnd w:id="1529"/>
      <w:bookmarkEnd w:id="1531"/>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76,483.37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40,733.15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40,733.15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117,216.52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1,119,416.26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117,216.52</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5</w:t>
      </w:r>
      <w:bookmarkEnd w:id="1534"/>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532"/>
      <w:bookmarkEnd w:id="1533"/>
      <w:bookmarkEnd w:id="1535"/>
    </w:p>
    <w:p>
      <w:pPr>
        <w:pStyle w:val="Style31"/>
        <w:keepNext/>
        <w:keepLines/>
        <w:widowControl w:val="0"/>
        <w:shd w:val="clear" w:color="auto" w:fill="auto"/>
        <w:bidi w:val="0"/>
        <w:spacing w:before="0" w:after="360" w:line="240" w:lineRule="auto"/>
        <w:ind w:left="0" w:right="0" w:firstLine="0"/>
        <w:jc w:val="left"/>
      </w:pPr>
      <w:bookmarkStart w:id="1536" w:name="bookmark1536"/>
      <w:bookmarkStart w:id="1537" w:name="bookmark1537"/>
      <w:bookmarkStart w:id="1538" w:name="bookmark15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36"/>
      <w:bookmarkEnd w:id="1537"/>
      <w:bookmarkEnd w:id="1538"/>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912,893.42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2,813,111.36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-262,345.75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2,787,769.99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650,547.67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5,600,881.35</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39"/>
      <w:bookmarkEnd w:id="1540"/>
      <w:bookmarkEnd w:id="154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35,265,099.77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3,526,510.00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-475,985.06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847,998.08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-353,580.77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301,790.32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-3,112,366.01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650,547.67</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5</w:t>
      </w:r>
      <w:bookmarkEnd w:id="1545"/>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543"/>
      <w:bookmarkEnd w:id="1544"/>
      <w:bookmarkEnd w:id="1546"/>
    </w:p>
    <w:p>
      <w:pPr>
        <w:pStyle w:val="Style31"/>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47"/>
      <w:bookmarkEnd w:id="1548"/>
      <w:bookmarkEnd w:id="154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收回各类经营性保证金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8,762,318.61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17,575,768.13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4,702,274.50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2,467,781.30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524,044.60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8,503,947.16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574,575.13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969,909.55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14,563,212.84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29,517,406.14</w:t>
            </w:r>
          </w:p>
        </w:tc>
      </w:tr>
    </w:tbl>
    <w:p>
      <w:pPr>
        <w:pStyle w:val="Style1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收到的其他与经营活动有关的现金说明: 无</w:t>
      </w:r>
    </w:p>
    <w:p>
      <w:pPr>
        <w:pStyle w:val="Style31"/>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50"/>
      <w:bookmarkEnd w:id="1551"/>
      <w:bookmarkEnd w:id="1552"/>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支付各类经营性保证金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5,255,681.14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9,201,708.09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7,040,724.25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7,713,088.51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5,555,771.09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4,363,932.25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3,080,341.76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2,216,186.71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3,712,182.17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3,509,705.14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2,361,611.45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4,059,428.72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2,000,317.21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1,049,152.01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2,004,533.84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2,605,914.43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1,014,648.92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2,571,426.98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5,773,395.71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4,247,069.75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37,799,207.54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41,537,612.59</w:t>
            </w:r>
          </w:p>
        </w:tc>
      </w:tr>
    </w:tbl>
    <w:p>
      <w:pPr>
        <w:pStyle w:val="Style1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支付的其他与经营活动有关的现金说明: 无</w:t>
      </w:r>
    </w:p>
    <w:p>
      <w:pPr>
        <w:pStyle w:val="Style31"/>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53"/>
      <w:bookmarkEnd w:id="1554"/>
      <w:bookmarkEnd w:id="155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收回保理融资款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收回购房预付款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收回杭州中锦金融控股有限公司拆借款 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30,020,000.00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收到杭州中锦金融控股有限公司股权转 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28,808,000.00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58,828,000.00</w:t>
            </w:r>
          </w:p>
        </w:tc>
      </w:tr>
    </w:tbl>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收到的其他与投资活动有关的现金说明：</w:t>
      </w:r>
    </w:p>
    <w:p>
      <w:pPr>
        <w:pStyle w:val="Style17"/>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收回保理融资款系本期中锦保理公司开展的应收账款保理业务向融资方收回的保理款</w:t>
      </w:r>
    </w:p>
    <w:p>
      <w:pPr>
        <w:pStyle w:val="Style17"/>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收回购房预付款系因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日本公司与杭州瑞印实业有限公司签订《杭州市房屋转让合同》，公司拟向其购买 </w:t>
      </w:r>
      <w:r>
        <w:rPr>
          <w:rFonts w:ascii="Times New Roman" w:eastAsia="Times New Roman" w:hAnsi="Times New Roman" w:cs="Times New Roman"/>
          <w:color w:val="000000"/>
          <w:spacing w:val="0"/>
          <w:w w:val="100"/>
          <w:position w:val="0"/>
          <w:sz w:val="18"/>
          <w:szCs w:val="18"/>
        </w:rPr>
        <w:t>845.97</w:t>
      </w:r>
      <w:r>
        <w:rPr>
          <w:color w:val="000000"/>
          <w:spacing w:val="0"/>
          <w:w w:val="100"/>
          <w:position w:val="0"/>
        </w:rPr>
        <w:t>平方米的商铺并支付首付款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万元，因无法如期办理产权变更手续，经协商，双方已于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月解除上述协议 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日收到退款</w:t>
      </w:r>
      <w:r>
        <w:rPr>
          <w:rFonts w:ascii="Times New Roman" w:eastAsia="Times New Roman" w:hAnsi="Times New Roman" w:cs="Times New Roman"/>
          <w:color w:val="000000"/>
          <w:spacing w:val="0"/>
          <w:w w:val="100"/>
          <w:position w:val="0"/>
          <w:sz w:val="18"/>
          <w:szCs w:val="18"/>
        </w:rPr>
        <w:t>2,110.00</w:t>
      </w:r>
      <w:r>
        <w:rPr>
          <w:color w:val="000000"/>
          <w:spacing w:val="0"/>
          <w:w w:val="100"/>
          <w:position w:val="0"/>
        </w:rPr>
        <w:t>万元。</w:t>
      </w:r>
    </w:p>
    <w:p>
      <w:pPr>
        <w:pStyle w:val="Style31"/>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57"/>
      <w:bookmarkEnd w:id="1558"/>
      <w:bookmarkEnd w:id="156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保理融资款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杭州中锦金融控股有限公司拆借款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退回杭州中锦金融控股有限公司股权转 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28,808,000.00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70,808,000.00</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支付的其他与投资活动有关的现金说明：</w:t>
      </w:r>
    </w:p>
    <w:p>
      <w:pPr>
        <w:pStyle w:val="Style17"/>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保理融资款系本期中锦保理公司开展的应收账款保理业务向融资方支付的保理款。</w:t>
      </w:r>
    </w:p>
    <w:p>
      <w:pPr>
        <w:pStyle w:val="Style31"/>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561"/>
      <w:bookmarkEnd w:id="1562"/>
      <w:bookmarkEnd w:id="156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1,549,103.70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7,616,700.00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3,495,862.48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收购少数股权支付的现金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2,570,922.00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子公司注销返还少数股东款项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142,036.14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9,165,803.70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6,571,520.62</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6"/>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5</w:t>
      </w:r>
      <w:bookmarkEnd w:id="1567"/>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65"/>
      <w:bookmarkEnd w:id="1566"/>
      <w:bookmarkEnd w:id="1568"/>
    </w:p>
    <w:p>
      <w:pPr>
        <w:pStyle w:val="Style31"/>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69"/>
      <w:bookmarkEnd w:id="1570"/>
      <w:bookmarkEnd w:id="157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34,614,552.10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42,046,250.02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17,365,188.21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33,778,354.05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10,210,573.29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10,805,823.64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1,413,960.08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7,653,207.30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2,461,047.89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3,735,092.05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2,371,501.64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24,190.37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32,642.26</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1,592,198.94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2,494,216.59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-8,114,476.52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-3,145,253.84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-681,670.15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3,004,850.03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-8,942,279.05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-50,217,947.36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-76,608,906.77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-234,304,266.89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5,093,043.16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117,930,173.87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-5,281,983.93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5,155,938.09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-17,830,829.38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-67,562,479.64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450,340,585.33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431,447,035.91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431,447,035.91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217,718,253.56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18,893,549.42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213,728,782.35</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72" w:name="bookmark1572"/>
      <w:bookmarkStart w:id="1573" w:name="bookmark1573"/>
      <w:bookmarkStart w:id="1574" w:name="bookmark15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72"/>
      <w:bookmarkEnd w:id="1573"/>
      <w:bookmarkEnd w:id="157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75"/>
      <w:bookmarkEnd w:id="1576"/>
      <w:bookmarkEnd w:id="1578"/>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579"/>
      <w:bookmarkEnd w:id="1580"/>
      <w:bookmarkEnd w:id="158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450,340,585.33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431,447,035.91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448,588,212.38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430,472,130.26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1,752,197.27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974,632.27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450,340,585.33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431,447,035.91</w:t>
            </w:r>
          </w:p>
        </w:tc>
      </w:tr>
    </w:tbl>
    <w:p>
      <w:pPr>
        <w:pStyle w:val="Style17"/>
        <w:keepNext w:val="0"/>
        <w:keepLines w:val="0"/>
        <w:widowControl w:val="0"/>
        <w:shd w:val="clear" w:color="auto" w:fill="auto"/>
        <w:bidi w:val="0"/>
        <w:spacing w:before="0" w:after="380" w:line="398" w:lineRule="exact"/>
        <w:ind w:left="0" w:right="0" w:firstLine="0"/>
        <w:jc w:val="left"/>
      </w:pPr>
      <w:r>
        <w:rPr>
          <w:color w:val="000000"/>
          <w:spacing w:val="0"/>
          <w:w w:val="100"/>
          <w:position w:val="0"/>
        </w:rPr>
        <w:t>其他说明：</w:t>
      </w:r>
    </w:p>
    <w:p>
      <w:pPr>
        <w:pStyle w:val="Style26"/>
        <w:keepNext/>
        <w:keepLines/>
        <w:widowControl w:val="0"/>
        <w:shd w:val="clear" w:color="auto" w:fill="auto"/>
        <w:tabs>
          <w:tab w:pos="483" w:val="left"/>
        </w:tabs>
        <w:bidi w:val="0"/>
        <w:spacing w:before="0" w:after="14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5</w:t>
      </w:r>
      <w:bookmarkEnd w:id="1585"/>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583"/>
      <w:bookmarkEnd w:id="1584"/>
      <w:bookmarkEnd w:id="1586"/>
    </w:p>
    <w:p>
      <w:pPr>
        <w:pStyle w:val="Style17"/>
        <w:keepNext w:val="0"/>
        <w:keepLines w:val="0"/>
        <w:widowControl w:val="0"/>
        <w:shd w:val="clear" w:color="auto" w:fill="auto"/>
        <w:bidi w:val="0"/>
        <w:spacing w:before="0" w:after="380" w:line="398"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 无</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5</w:t>
      </w:r>
      <w:bookmarkEnd w:id="1589"/>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587"/>
      <w:bookmarkEnd w:id="1588"/>
      <w:bookmarkEnd w:id="1590"/>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5,255,681.14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各类保证金存款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5,255,681.14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5</w:t>
      </w:r>
      <w:bookmarkEnd w:id="1593"/>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591"/>
      <w:bookmarkEnd w:id="1592"/>
      <w:bookmarkEnd w:id="1594"/>
    </w:p>
    <w:p>
      <w:pPr>
        <w:pStyle w:val="Style31"/>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95"/>
      <w:bookmarkEnd w:id="1596"/>
      <w:bookmarkEnd w:id="1597"/>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增值税超税负退税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8,001,146.60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8,001,146.60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524,044.60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524,044.60</w:t>
            </w:r>
          </w:p>
        </w:tc>
      </w:tr>
    </w:tbl>
    <w:p>
      <w:pPr>
        <w:widowControl w:val="0"/>
        <w:spacing w:after="359" w:line="1" w:lineRule="exact"/>
      </w:pPr>
    </w:p>
    <w:p>
      <w:pPr>
        <w:pStyle w:val="Style31"/>
        <w:keepNext/>
        <w:keepLines/>
        <w:widowControl w:val="0"/>
        <w:shd w:val="clear" w:color="auto" w:fill="auto"/>
        <w:bidi w:val="0"/>
        <w:spacing w:before="0" w:after="220" w:line="240" w:lineRule="auto"/>
        <w:ind w:left="0" w:right="0" w:firstLine="0"/>
        <w:jc w:val="left"/>
      </w:pPr>
      <w:bookmarkStart w:id="1598" w:name="bookmark1598"/>
      <w:bookmarkStart w:id="1599" w:name="bookmark1599"/>
      <w:bookmarkStart w:id="1600" w:name="bookmark16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98"/>
      <w:bookmarkEnd w:id="1599"/>
      <w:bookmarkEnd w:id="1600"/>
    </w:p>
    <w:p>
      <w:pPr>
        <w:pStyle w:val="Style17"/>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220" w:line="240" w:lineRule="auto"/>
        <w:ind w:left="0" w:right="0" w:firstLine="0"/>
        <w:jc w:val="left"/>
      </w:pPr>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58</w:t>
      </w:r>
      <w:r>
        <w:rPr>
          <w:color w:val="000000"/>
          <w:spacing w:val="0"/>
          <w:w w:val="100"/>
          <w:position w:val="0"/>
        </w:rPr>
        <w:t>、其他</w:t>
      </w:r>
      <w:bookmarkEnd w:id="1601"/>
      <w:bookmarkEnd w:id="1602"/>
      <w:bookmarkEnd w:id="1603"/>
    </w:p>
    <w:p>
      <w:pPr>
        <w:pStyle w:val="Style17"/>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无</w:t>
      </w:r>
    </w:p>
    <w:p>
      <w:pPr>
        <w:pStyle w:val="Style21"/>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八</w:t>
      </w:r>
      <w:bookmarkEnd w:id="1606"/>
      <w:r>
        <w:rPr>
          <w:color w:val="000000"/>
          <w:spacing w:val="0"/>
          <w:w w:val="100"/>
          <w:position w:val="0"/>
        </w:rPr>
        <w:t>、合并范围的变更</w:t>
      </w:r>
      <w:bookmarkEnd w:id="1604"/>
      <w:bookmarkEnd w:id="1605"/>
      <w:bookmarkEnd w:id="1607"/>
    </w:p>
    <w:p>
      <w:pPr>
        <w:pStyle w:val="Style26"/>
        <w:keepNext/>
        <w:keepLines/>
        <w:widowControl w:val="0"/>
        <w:shd w:val="clear" w:color="auto" w:fill="auto"/>
        <w:bidi w:val="0"/>
        <w:spacing w:before="0" w:after="220" w:line="240" w:lineRule="auto"/>
        <w:ind w:left="0" w:right="0" w:firstLine="0"/>
        <w:jc w:val="left"/>
      </w:pPr>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608"/>
      <w:bookmarkEnd w:id="1609"/>
      <w:bookmarkEnd w:id="1610"/>
    </w:p>
    <w:p>
      <w:pPr>
        <w:pStyle w:val="Style17"/>
        <w:keepNext w:val="0"/>
        <w:keepLines w:val="0"/>
        <w:widowControl w:val="0"/>
        <w:shd w:val="clear" w:color="auto" w:fill="auto"/>
        <w:bidi w:val="0"/>
        <w:spacing w:before="0" w:after="80" w:line="355" w:lineRule="exact"/>
        <w:ind w:left="0" w:right="0" w:firstLine="0"/>
        <w:jc w:val="left"/>
      </w:pPr>
      <w:r>
        <w:rPr>
          <w:color w:val="000000"/>
          <w:spacing w:val="0"/>
          <w:w w:val="100"/>
          <w:position w:val="0"/>
        </w:rPr>
        <w:t>说明其他原因导致的合并范围变动（如，新设子公司、清算子公司等）及其相关情况: 合并范围减少</w:t>
      </w:r>
    </w:p>
    <w:tbl>
      <w:tblPr>
        <w:tblOverlap w:val="never"/>
        <w:jc w:val="center"/>
        <w:tblLayout w:type="fixed"/>
      </w:tblPr>
      <w:tblGrid>
        <w:gridCol w:w="1709"/>
        <w:gridCol w:w="1704"/>
        <w:gridCol w:w="1704"/>
        <w:gridCol w:w="1704"/>
        <w:gridCol w:w="1714"/>
      </w:tblGrid>
      <w:tr>
        <w:trPr>
          <w:trHeight w:val="7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00"/>
              <w:jc w:val="left"/>
            </w:pPr>
            <w:r>
              <w:rPr>
                <w:color w:val="000000"/>
                <w:spacing w:val="0"/>
                <w:w w:val="100"/>
                <w:position w:val="0"/>
              </w:rPr>
              <w:t>股权处置方式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期初至处置日 净利润</w:t>
            </w:r>
          </w:p>
        </w:tc>
      </w:tr>
      <w:tr>
        <w:trPr>
          <w:trHeight w:val="10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赣州和仁信息服务有 限公司（以下简称赣 州和仁公司）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清算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-8,570,715.73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-1,985,208.11</w:t>
            </w:r>
          </w:p>
        </w:tc>
      </w:tr>
      <w:tr>
        <w:trPr>
          <w:trHeight w:val="13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湖南和仁湘雅数字医 疗技术有限公司（以 下简称和仁湘雅公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清算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-6,936,875.00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-16,305.10</w:t>
            </w:r>
          </w:p>
        </w:tc>
      </w:tr>
    </w:tbl>
    <w:p>
      <w:pPr>
        <w:widowControl w:val="0"/>
        <w:spacing w:after="639" w:line="1" w:lineRule="exact"/>
      </w:pPr>
    </w:p>
    <w:p>
      <w:pPr>
        <w:pStyle w:val="Style26"/>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611"/>
      <w:bookmarkEnd w:id="1612"/>
      <w:bookmarkEnd w:id="1613"/>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九</w:t>
      </w:r>
      <w:bookmarkEnd w:id="1616"/>
      <w:r>
        <w:rPr>
          <w:color w:val="000000"/>
          <w:spacing w:val="0"/>
          <w:w w:val="100"/>
          <w:position w:val="0"/>
        </w:rPr>
        <w:t>、在其他主体中的权益</w:t>
      </w:r>
      <w:bookmarkEnd w:id="1614"/>
      <w:bookmarkEnd w:id="1615"/>
      <w:bookmarkEnd w:id="1617"/>
    </w:p>
    <w:p>
      <w:pPr>
        <w:pStyle w:val="Style26"/>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18"/>
      <w:bookmarkEnd w:id="1619"/>
      <w:bookmarkEnd w:id="1620"/>
    </w:p>
    <w:p>
      <w:pPr>
        <w:pStyle w:val="Style31"/>
        <w:keepNext/>
        <w:keepLines/>
        <w:widowControl w:val="0"/>
        <w:shd w:val="clear" w:color="auto" w:fill="auto"/>
        <w:bidi w:val="0"/>
        <w:spacing w:before="0" w:after="360" w:line="240" w:lineRule="auto"/>
        <w:ind w:left="0" w:right="0" w:firstLine="0"/>
        <w:jc w:val="left"/>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21"/>
      <w:bookmarkEnd w:id="1622"/>
      <w:bookmarkEnd w:id="1623"/>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中锦保理公司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24"/>
      <w:bookmarkEnd w:id="1625"/>
      <w:bookmarkEnd w:id="162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-821,334.69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1,479,963.74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中锦保理公司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383,743.93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27,711,463.75</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27"/>
      <w:bookmarkEnd w:id="1628"/>
      <w:bookmarkEnd w:id="163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9,583,77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691,134.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10,274,9</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2,843,11</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31,976.4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20,484,7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8,790,03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中锦保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57,149,7</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58,237,5</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1,683,59</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56,064,1</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7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天津和仁公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2,342,353.37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-4,106,673.44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-4,106,673.44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393,086.70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16,574,302.7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-5,498,313.86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-5,498,313.86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1,668,460.28</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中锦保理公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4,711,305.06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783,150.88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783,150.88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2,829,473.01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360,188.67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-174,588.97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-174,588.97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-1,491,347.97</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93" w:val="left"/>
        </w:tabs>
        <w:bidi w:val="0"/>
        <w:spacing w:before="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31"/>
      <w:bookmarkEnd w:id="1632"/>
      <w:bookmarkEnd w:id="1634"/>
    </w:p>
    <w:p>
      <w:pPr>
        <w:pStyle w:val="Style31"/>
        <w:keepNext/>
        <w:keepLines/>
        <w:widowControl w:val="0"/>
        <w:shd w:val="clear" w:color="auto" w:fill="auto"/>
        <w:tabs>
          <w:tab w:pos="493" w:val="left"/>
        </w:tabs>
        <w:bidi w:val="0"/>
        <w:spacing w:before="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w:t>
      </w:r>
      <w:bookmarkEnd w:id="163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35"/>
      <w:bookmarkEnd w:id="1636"/>
      <w:bookmarkEnd w:id="1638"/>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39"/>
      <w:bookmarkEnd w:id="1640"/>
      <w:bookmarkEnd w:id="1641"/>
    </w:p>
    <w:p>
      <w:pPr>
        <w:pStyle w:val="Style31"/>
        <w:keepNext/>
        <w:keepLines/>
        <w:widowControl w:val="0"/>
        <w:shd w:val="clear" w:color="auto" w:fill="auto"/>
        <w:tabs>
          <w:tab w:pos="493" w:val="left"/>
        </w:tabs>
        <w:bidi w:val="0"/>
        <w:spacing w:before="0" w:line="240" w:lineRule="auto"/>
        <w:ind w:left="0" w:right="0" w:firstLine="0"/>
        <w:jc w:val="left"/>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42"/>
      <w:bookmarkEnd w:id="1643"/>
      <w:bookmarkEnd w:id="1645"/>
    </w:p>
    <w:p>
      <w:pPr>
        <w:pStyle w:val="Style31"/>
        <w:keepNext/>
        <w:keepLines/>
        <w:widowControl w:val="0"/>
        <w:shd w:val="clear" w:color="auto" w:fill="auto"/>
        <w:tabs>
          <w:tab w:pos="493" w:val="left"/>
        </w:tabs>
        <w:bidi w:val="0"/>
        <w:spacing w:before="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46"/>
      <w:bookmarkEnd w:id="1647"/>
      <w:bookmarkEnd w:id="164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3</w:t>
      </w:r>
      <w:bookmarkEnd w:id="1652"/>
      <w:r>
        <w:rPr>
          <w:color w:val="000000"/>
          <w:spacing w:val="0"/>
          <w:w w:val="100"/>
          <w:position w:val="0"/>
        </w:rPr>
        <w:t>、在合营安排或联营企业中的权益</w:t>
      </w:r>
      <w:bookmarkEnd w:id="1650"/>
      <w:bookmarkEnd w:id="1651"/>
      <w:bookmarkEnd w:id="1653"/>
    </w:p>
    <w:p>
      <w:pPr>
        <w:pStyle w:val="Style31"/>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654"/>
      <w:bookmarkEnd w:id="1655"/>
      <w:bookmarkEnd w:id="165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-1,537,888.91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-2,165,746.78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-1,537,888.91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-2,165,746.78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both"/>
      </w:pPr>
      <w:bookmarkStart w:id="1657" w:name="bookmark1657"/>
      <w:bookmarkStart w:id="1658" w:name="bookmark1658"/>
      <w:bookmarkStart w:id="1659" w:name="bookmark1659"/>
      <w:r>
        <w:rPr>
          <w:color w:val="000000"/>
          <w:spacing w:val="0"/>
          <w:w w:val="100"/>
          <w:position w:val="0"/>
        </w:rPr>
        <w:t>⑵合营企业或联营企业向本公司转移资金的能力存在重大限制的说明</w:t>
      </w:r>
      <w:bookmarkEnd w:id="1657"/>
      <w:bookmarkEnd w:id="1658"/>
      <w:bookmarkEnd w:id="1659"/>
    </w:p>
    <w:p>
      <w:pPr>
        <w:pStyle w:val="Style31"/>
        <w:keepNext/>
        <w:keepLines/>
        <w:widowControl w:val="0"/>
        <w:shd w:val="clear" w:color="auto" w:fill="auto"/>
        <w:bidi w:val="0"/>
        <w:spacing w:before="0" w:after="40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color w:val="000000"/>
          <w:spacing w:val="0"/>
          <w:w w:val="100"/>
          <w:position w:val="0"/>
        </w:rPr>
        <w:t>3</w:t>
      </w:r>
      <w:r>
        <w:rPr>
          <w:color w:val="000000"/>
          <w:spacing w:val="0"/>
          <w:w w:val="100"/>
          <w:position w:val="0"/>
        </w:rPr>
        <w:t>）合营企业或联营企业发生的超额亏损</w:t>
      </w:r>
      <w:bookmarkEnd w:id="1660"/>
      <w:bookmarkEnd w:id="1661"/>
      <w:bookmarkEnd w:id="166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中原和仁公司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367,627.08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1,537,888.91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1,905,515.99</w:t>
            </w:r>
          </w:p>
        </w:tc>
      </w:tr>
    </w:tbl>
    <w:p>
      <w:pPr>
        <w:pStyle w:val="Style17"/>
        <w:keepNext w:val="0"/>
        <w:keepLines w:val="0"/>
        <w:widowControl w:val="0"/>
        <w:shd w:val="clear" w:color="auto" w:fill="auto"/>
        <w:bidi w:val="0"/>
        <w:spacing w:before="0" w:after="40" w:line="322" w:lineRule="exact"/>
        <w:ind w:left="0" w:right="0" w:firstLine="0"/>
        <w:jc w:val="both"/>
      </w:pPr>
      <w:r>
        <w:rPr>
          <w:color w:val="000000"/>
          <w:spacing w:val="0"/>
          <w:w w:val="100"/>
          <w:position w:val="0"/>
        </w:rPr>
        <w:t>其他说明</w:t>
      </w:r>
    </w:p>
    <w:p>
      <w:pPr>
        <w:pStyle w:val="Style17"/>
        <w:keepNext w:val="0"/>
        <w:keepLines w:val="0"/>
        <w:widowControl w:val="0"/>
        <w:shd w:val="clear" w:color="auto" w:fill="auto"/>
        <w:bidi w:val="0"/>
        <w:spacing w:before="0" w:after="74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本公司持有中原和仁医疗科技有限公司（以下简称中原和仁公司）</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股权，并向其派出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名董事，故按照权益法核算 该项投资。</w:t>
      </w:r>
    </w:p>
    <w:p>
      <w:pPr>
        <w:pStyle w:val="Style31"/>
        <w:keepNext/>
        <w:keepLines/>
        <w:widowControl w:val="0"/>
        <w:shd w:val="clear" w:color="auto" w:fill="auto"/>
        <w:tabs>
          <w:tab w:pos="493" w:val="left"/>
        </w:tabs>
        <w:bidi w:val="0"/>
        <w:spacing w:before="0" w:after="360" w:line="240" w:lineRule="auto"/>
        <w:ind w:left="0" w:right="0" w:firstLine="0"/>
        <w:jc w:val="both"/>
      </w:pPr>
      <w:bookmarkStart w:id="1664" w:name="bookmark1664"/>
      <w:bookmarkStart w:id="1665" w:name="bookmark1665"/>
      <w:bookmarkStart w:id="1666" w:name="bookmark1666"/>
      <w:bookmarkStart w:id="1667" w:name="bookmark1667"/>
      <w:r>
        <w:rPr>
          <w:color w:val="000000"/>
          <w:spacing w:val="0"/>
          <w:w w:val="100"/>
          <w:position w:val="0"/>
        </w:rPr>
        <w:t>（</w:t>
      </w:r>
      <w:bookmarkEnd w:id="1666"/>
      <w:r>
        <w:rPr>
          <w:rFonts w:ascii="Times New Roman" w:eastAsia="Times New Roman" w:hAnsi="Times New Roman" w:cs="Times New Roman"/>
          <w:color w:val="000000"/>
          <w:spacing w:val="0"/>
          <w:w w:val="100"/>
          <w:position w:val="0"/>
        </w:rPr>
        <w:t>4</w:t>
      </w:r>
      <w:r>
        <w:rPr>
          <w:color w:val="000000"/>
          <w:spacing w:val="0"/>
          <w:w w:val="100"/>
          <w:position w:val="0"/>
        </w:rPr>
        <w:t>）</w:t>
        <w:tab/>
        <w:t>与合营企业投资相关的未确认承诺</w:t>
      </w:r>
      <w:bookmarkEnd w:id="1664"/>
      <w:bookmarkEnd w:id="1665"/>
      <w:bookmarkEnd w:id="1667"/>
    </w:p>
    <w:p>
      <w:pPr>
        <w:pStyle w:val="Style31"/>
        <w:keepNext/>
        <w:keepLines/>
        <w:widowControl w:val="0"/>
        <w:shd w:val="clear" w:color="auto" w:fill="auto"/>
        <w:tabs>
          <w:tab w:pos="493" w:val="left"/>
        </w:tabs>
        <w:bidi w:val="0"/>
        <w:spacing w:before="0" w:after="360" w:line="240" w:lineRule="auto"/>
        <w:ind w:left="0" w:right="0" w:firstLine="0"/>
        <w:jc w:val="both"/>
      </w:pPr>
      <w:bookmarkStart w:id="1668" w:name="bookmark1668"/>
      <w:bookmarkStart w:id="1669" w:name="bookmark1669"/>
      <w:bookmarkStart w:id="1670" w:name="bookmark1670"/>
      <w:bookmarkStart w:id="1671" w:name="bookmark1671"/>
      <w:r>
        <w:rPr>
          <w:color w:val="000000"/>
          <w:spacing w:val="0"/>
          <w:w w:val="100"/>
          <w:position w:val="0"/>
        </w:rPr>
        <w:t>（</w:t>
      </w:r>
      <w:bookmarkEnd w:id="1670"/>
      <w:r>
        <w:rPr>
          <w:rFonts w:ascii="Times New Roman" w:eastAsia="Times New Roman" w:hAnsi="Times New Roman" w:cs="Times New Roman"/>
          <w:color w:val="000000"/>
          <w:spacing w:val="0"/>
          <w:w w:val="100"/>
          <w:position w:val="0"/>
        </w:rPr>
        <w:t>5</w:t>
      </w:r>
      <w:r>
        <w:rPr>
          <w:color w:val="000000"/>
          <w:spacing w:val="0"/>
          <w:w w:val="100"/>
          <w:position w:val="0"/>
        </w:rPr>
        <w:t>）</w:t>
        <w:tab/>
        <w:t>与合营企业或联营企业投资相关的或有负债</w:t>
      </w:r>
      <w:bookmarkEnd w:id="1668"/>
      <w:bookmarkEnd w:id="1669"/>
      <w:bookmarkEnd w:id="1671"/>
    </w:p>
    <w:p>
      <w:pPr>
        <w:pStyle w:val="Style26"/>
        <w:keepNext/>
        <w:keepLines/>
        <w:widowControl w:val="0"/>
        <w:shd w:val="clear" w:color="auto" w:fill="auto"/>
        <w:tabs>
          <w:tab w:pos="378" w:val="left"/>
        </w:tabs>
        <w:bidi w:val="0"/>
        <w:spacing w:before="0" w:after="260" w:line="240" w:lineRule="auto"/>
        <w:ind w:left="0" w:right="0" w:firstLine="0"/>
        <w:jc w:val="both"/>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color w:val="000000"/>
          <w:spacing w:val="0"/>
          <w:w w:val="100"/>
          <w:position w:val="0"/>
        </w:rPr>
        <w:t>、</w:t>
        <w:tab/>
        <w:t>在未纳入合并财务报表范围的结构化主体中的权益</w:t>
      </w:r>
      <w:bookmarkEnd w:id="1672"/>
      <w:bookmarkEnd w:id="1673"/>
      <w:bookmarkEnd w:id="1675"/>
    </w:p>
    <w:p>
      <w:pPr>
        <w:pStyle w:val="Style17"/>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未纳入合并财务报表范围的结构化主体的相关说明：</w:t>
      </w:r>
    </w:p>
    <w:p>
      <w:pPr>
        <w:pStyle w:val="Style26"/>
        <w:keepNext/>
        <w:keepLines/>
        <w:widowControl w:val="0"/>
        <w:shd w:val="clear" w:color="auto" w:fill="auto"/>
        <w:tabs>
          <w:tab w:pos="378" w:val="left"/>
        </w:tabs>
        <w:bidi w:val="0"/>
        <w:spacing w:before="0" w:line="240" w:lineRule="auto"/>
        <w:ind w:left="0" w:right="0" w:firstLine="0"/>
        <w:jc w:val="both"/>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5</w:t>
      </w:r>
      <w:bookmarkEnd w:id="1678"/>
      <w:r>
        <w:rPr>
          <w:color w:val="000000"/>
          <w:spacing w:val="0"/>
          <w:w w:val="100"/>
          <w:position w:val="0"/>
        </w:rPr>
        <w:t>、</w:t>
        <w:tab/>
        <w:t>其他</w:t>
      </w:r>
      <w:bookmarkEnd w:id="1676"/>
      <w:bookmarkEnd w:id="1677"/>
      <w:bookmarkEnd w:id="1679"/>
    </w:p>
    <w:p>
      <w:pPr>
        <w:pStyle w:val="Style21"/>
        <w:keepNext/>
        <w:keepLines/>
        <w:widowControl w:val="0"/>
        <w:shd w:val="clear" w:color="auto" w:fill="auto"/>
        <w:bidi w:val="0"/>
        <w:spacing w:before="0" w:after="260" w:line="240" w:lineRule="auto"/>
        <w:ind w:left="0" w:right="0" w:firstLine="0"/>
        <w:jc w:val="both"/>
      </w:pPr>
      <w:bookmarkStart w:id="1680" w:name="bookmark1680"/>
      <w:bookmarkStart w:id="1681" w:name="bookmark1681"/>
      <w:bookmarkStart w:id="1682" w:name="bookmark1682"/>
      <w:r>
        <w:rPr>
          <w:color w:val="000000"/>
          <w:spacing w:val="0"/>
          <w:w w:val="100"/>
          <w:position w:val="0"/>
        </w:rPr>
        <w:t>十、与金融工具相关的风险</w:t>
      </w:r>
      <w:bookmarkEnd w:id="1680"/>
      <w:bookmarkEnd w:id="1681"/>
      <w:bookmarkEnd w:id="1682"/>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本公司从事风险管理的目标是在风险和收益之间取得平衡，将风险对本公司经营业绩的负面影响降至最低水平，使股东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17"/>
        <w:keepNext w:val="0"/>
        <w:keepLines w:val="0"/>
        <w:widowControl w:val="0"/>
        <w:shd w:val="clear" w:color="auto" w:fill="auto"/>
        <w:bidi w:val="0"/>
        <w:spacing w:before="0" w:after="80" w:line="293" w:lineRule="exact"/>
        <w:ind w:left="0" w:right="0" w:firstLine="380"/>
        <w:jc w:val="both"/>
      </w:pPr>
      <w:r>
        <w:rPr>
          <w:color w:val="000000"/>
          <w:spacing w:val="0"/>
          <w:w w:val="100"/>
          <w:position w:val="0"/>
        </w:rPr>
        <w:t>本公司在日常活动中面临各种与金融工具相关的风险，主要包括信用风险、流动性风险及市场风险。管理层已审议并批 准管理这些风险的政策，概括如下。</w:t>
      </w:r>
    </w:p>
    <w:p>
      <w:pPr>
        <w:pStyle w:val="Style17"/>
        <w:keepNext w:val="0"/>
        <w:keepLines w:val="0"/>
        <w:widowControl w:val="0"/>
        <w:shd w:val="clear" w:color="auto" w:fill="auto"/>
        <w:bidi w:val="0"/>
        <w:spacing w:before="0" w:after="40" w:line="312" w:lineRule="exact"/>
        <w:ind w:left="0" w:right="0" w:firstLine="380"/>
        <w:jc w:val="both"/>
      </w:pPr>
      <w:bookmarkStart w:id="1683" w:name="bookmark1683"/>
      <w:r>
        <w:rPr>
          <w:rFonts w:ascii="Times New Roman" w:eastAsia="Times New Roman" w:hAnsi="Times New Roman" w:cs="Times New Roman"/>
          <w:color w:val="000000"/>
          <w:spacing w:val="0"/>
          <w:w w:val="100"/>
          <w:position w:val="0"/>
          <w:sz w:val="18"/>
          <w:szCs w:val="18"/>
        </w:rPr>
        <w:t>（</w:t>
      </w:r>
      <w:bookmarkEnd w:id="1683"/>
      <w:r>
        <w:rPr>
          <w:color w:val="000000"/>
          <w:spacing w:val="0"/>
          <w:w w:val="100"/>
          <w:position w:val="0"/>
        </w:rPr>
        <w:t>一</w:t>
      </w:r>
      <w:r>
        <w:rPr>
          <w:color w:val="000000"/>
          <w:spacing w:val="0"/>
          <w:w w:val="100"/>
          <w:position w:val="0"/>
          <w:sz w:val="18"/>
          <w:szCs w:val="18"/>
        </w:rPr>
        <w:t>）</w:t>
      </w:r>
      <w:r>
        <w:rPr>
          <w:color w:val="000000"/>
          <w:spacing w:val="0"/>
          <w:w w:val="100"/>
          <w:position w:val="0"/>
        </w:rPr>
        <w:t>信用风险</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信用风险，是指金融工具的一方不能履行义务，造成另一方发生财务损失的风险。</w:t>
      </w:r>
    </w:p>
    <w:p>
      <w:pPr>
        <w:pStyle w:val="Style17"/>
        <w:keepNext w:val="0"/>
        <w:keepLines w:val="0"/>
        <w:widowControl w:val="0"/>
        <w:numPr>
          <w:ilvl w:val="0"/>
          <w:numId w:val="83"/>
        </w:numPr>
        <w:shd w:val="clear" w:color="auto" w:fill="auto"/>
        <w:bidi w:val="0"/>
        <w:spacing w:before="0" w:after="140" w:line="312" w:lineRule="exact"/>
        <w:ind w:left="0" w:right="0" w:firstLine="380"/>
        <w:jc w:val="both"/>
      </w:pPr>
      <w:bookmarkStart w:id="1684" w:name="bookmark1684"/>
      <w:bookmarkEnd w:id="1684"/>
      <w:r>
        <w:rPr>
          <w:color w:val="000000"/>
          <w:spacing w:val="0"/>
          <w:w w:val="100"/>
          <w:position w:val="0"/>
        </w:rPr>
        <w:t>信用风险管理实务</w:t>
      </w:r>
    </w:p>
    <w:p>
      <w:pPr>
        <w:pStyle w:val="Style17"/>
        <w:keepNext w:val="0"/>
        <w:keepLines w:val="0"/>
        <w:widowControl w:val="0"/>
        <w:shd w:val="clear" w:color="auto" w:fill="auto"/>
        <w:bidi w:val="0"/>
        <w:spacing w:before="0" w:after="0" w:line="360" w:lineRule="auto"/>
        <w:ind w:left="0" w:right="0" w:firstLine="380"/>
        <w:jc w:val="both"/>
      </w:pPr>
      <w:bookmarkStart w:id="1685" w:name="bookmark1685"/>
      <w:r>
        <w:rPr>
          <w:rFonts w:ascii="Times New Roman" w:eastAsia="Times New Roman" w:hAnsi="Times New Roman" w:cs="Times New Roman"/>
          <w:color w:val="000000"/>
          <w:spacing w:val="0"/>
          <w:w w:val="100"/>
          <w:position w:val="0"/>
          <w:sz w:val="18"/>
          <w:szCs w:val="18"/>
        </w:rPr>
        <w:t>（</w:t>
      </w:r>
      <w:bookmarkEnd w:id="16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信用风险的评价方法</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 xml:space="preserve">公司在每个资产负债表日评估相关金融工具的信用风险自初始确认后是否已显著增加。在确定信用风险自初始确认后是 否显著增加时，公司考虑在无须付出不必要的额外成本或努力即可获得合理且有依据的信息，包括基于历史数据的定性和定 量分析、外部信用风险评级以及前瞻性信息。公司以单项金融工具或者具有相似信用风险特征的金融工具组合为基础，通过 </w:t>
      </w:r>
      <w:r>
        <w:rPr>
          <w:color w:val="000000"/>
          <w:spacing w:val="0"/>
          <w:w w:val="100"/>
          <w:position w:val="0"/>
        </w:rPr>
        <w:t>比较金融工具在资产负债表日发生违约的风险与在初始确认日发生违约的风险，以确定金融工具预计存续期内发生违约风险 的变化情况。</w:t>
      </w:r>
    </w:p>
    <w:p>
      <w:pPr>
        <w:pStyle w:val="Style17"/>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当触发以下一个或多个定量、定性标准时，公司认为金融工具的信用风险已发生显著增加：</w:t>
      </w:r>
    </w:p>
    <w:p>
      <w:pPr>
        <w:pStyle w:val="Style17"/>
        <w:keepNext w:val="0"/>
        <w:keepLines w:val="0"/>
        <w:widowControl w:val="0"/>
        <w:shd w:val="clear" w:color="auto" w:fill="auto"/>
        <w:tabs>
          <w:tab w:pos="710" w:val="left"/>
        </w:tabs>
        <w:bidi w:val="0"/>
        <w:spacing w:before="0" w:after="0" w:line="360" w:lineRule="auto"/>
        <w:ind w:left="0" w:right="0" w:firstLine="380"/>
        <w:jc w:val="left"/>
      </w:pPr>
      <w:bookmarkStart w:id="1686" w:name="bookmark1686"/>
      <w:r>
        <w:rPr>
          <w:rFonts w:ascii="Times New Roman" w:eastAsia="Times New Roman" w:hAnsi="Times New Roman" w:cs="Times New Roman"/>
          <w:color w:val="000000"/>
          <w:spacing w:val="0"/>
          <w:w w:val="100"/>
          <w:position w:val="0"/>
          <w:sz w:val="18"/>
          <w:szCs w:val="18"/>
        </w:rPr>
        <w:t>1</w:t>
      </w:r>
      <w:bookmarkEnd w:id="168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定量标准主要为资产负债表日剩余存续期违约概率较初始确认时上升超过一定比例；</w:t>
      </w:r>
    </w:p>
    <w:p>
      <w:pPr>
        <w:pStyle w:val="Style17"/>
        <w:keepNext w:val="0"/>
        <w:keepLines w:val="0"/>
        <w:widowControl w:val="0"/>
        <w:shd w:val="clear" w:color="auto" w:fill="auto"/>
        <w:tabs>
          <w:tab w:pos="704" w:val="left"/>
        </w:tabs>
        <w:bidi w:val="0"/>
        <w:spacing w:before="0" w:after="140" w:line="322" w:lineRule="exact"/>
        <w:ind w:left="0" w:right="0" w:firstLine="380"/>
        <w:jc w:val="left"/>
      </w:pPr>
      <w:bookmarkStart w:id="1687" w:name="bookmark1687"/>
      <w:r>
        <w:rPr>
          <w:rFonts w:ascii="Times New Roman" w:eastAsia="Times New Roman" w:hAnsi="Times New Roman" w:cs="Times New Roman"/>
          <w:color w:val="000000"/>
          <w:spacing w:val="0"/>
          <w:w w:val="100"/>
          <w:position w:val="0"/>
          <w:sz w:val="18"/>
          <w:szCs w:val="18"/>
        </w:rPr>
        <w:t>2</w:t>
      </w:r>
      <w:bookmarkEnd w:id="168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定性标准主要为债务人经营或财务情况出现重大不利变化、现存的或预期的技术、市场、经济或法律环境变化并将 对债务人对公司的还款能力产生重大不利影响等。</w:t>
      </w:r>
    </w:p>
    <w:p>
      <w:pPr>
        <w:pStyle w:val="Style17"/>
        <w:keepNext w:val="0"/>
        <w:keepLines w:val="0"/>
        <w:widowControl w:val="0"/>
        <w:shd w:val="clear" w:color="auto" w:fill="auto"/>
        <w:bidi w:val="0"/>
        <w:spacing w:before="0" w:after="0" w:line="374" w:lineRule="auto"/>
        <w:ind w:left="0" w:right="0" w:firstLine="380"/>
        <w:jc w:val="left"/>
      </w:pPr>
      <w:bookmarkStart w:id="1688" w:name="bookmark1688"/>
      <w:r>
        <w:rPr>
          <w:rFonts w:ascii="Times New Roman" w:eastAsia="Times New Roman" w:hAnsi="Times New Roman" w:cs="Times New Roman"/>
          <w:color w:val="000000"/>
          <w:spacing w:val="0"/>
          <w:w w:val="100"/>
          <w:position w:val="0"/>
          <w:sz w:val="18"/>
          <w:szCs w:val="18"/>
        </w:rPr>
        <w:t>（</w:t>
      </w:r>
      <w:bookmarkEnd w:id="16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违约和已发生信用减值资产的定义</w:t>
      </w:r>
    </w:p>
    <w:p>
      <w:pPr>
        <w:pStyle w:val="Style17"/>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当金融工具符合以下一项或多项条件时，公司将该金融资产界定为已发生违约，其标准与已发生信用减值的定义一致：</w:t>
      </w:r>
    </w:p>
    <w:p>
      <w:pPr>
        <w:pStyle w:val="Style17"/>
        <w:keepNext w:val="0"/>
        <w:keepLines w:val="0"/>
        <w:widowControl w:val="0"/>
        <w:shd w:val="clear" w:color="auto" w:fill="auto"/>
        <w:tabs>
          <w:tab w:pos="710" w:val="left"/>
        </w:tabs>
        <w:bidi w:val="0"/>
        <w:spacing w:before="0" w:after="40" w:line="360" w:lineRule="auto"/>
        <w:ind w:left="0" w:right="0" w:firstLine="380"/>
        <w:jc w:val="left"/>
      </w:pPr>
      <w:bookmarkStart w:id="1689" w:name="bookmark1689"/>
      <w:r>
        <w:rPr>
          <w:rFonts w:ascii="Times New Roman" w:eastAsia="Times New Roman" w:hAnsi="Times New Roman" w:cs="Times New Roman"/>
          <w:color w:val="000000"/>
          <w:spacing w:val="0"/>
          <w:w w:val="100"/>
          <w:position w:val="0"/>
          <w:sz w:val="18"/>
          <w:szCs w:val="18"/>
        </w:rPr>
        <w:t>1</w:t>
      </w:r>
      <w:bookmarkEnd w:id="168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债务人发生重大财务困难；</w:t>
      </w:r>
    </w:p>
    <w:p>
      <w:pPr>
        <w:pStyle w:val="Style17"/>
        <w:keepNext w:val="0"/>
        <w:keepLines w:val="0"/>
        <w:widowControl w:val="0"/>
        <w:shd w:val="clear" w:color="auto" w:fill="auto"/>
        <w:tabs>
          <w:tab w:pos="729" w:val="left"/>
        </w:tabs>
        <w:bidi w:val="0"/>
        <w:spacing w:before="0" w:after="40" w:line="360" w:lineRule="auto"/>
        <w:ind w:left="0" w:right="0" w:firstLine="380"/>
        <w:jc w:val="left"/>
      </w:pPr>
      <w:bookmarkStart w:id="1690" w:name="bookmark1690"/>
      <w:r>
        <w:rPr>
          <w:rFonts w:ascii="Times New Roman" w:eastAsia="Times New Roman" w:hAnsi="Times New Roman" w:cs="Times New Roman"/>
          <w:color w:val="000000"/>
          <w:spacing w:val="0"/>
          <w:w w:val="100"/>
          <w:position w:val="0"/>
          <w:sz w:val="18"/>
          <w:szCs w:val="18"/>
        </w:rPr>
        <w:t>2</w:t>
      </w:r>
      <w:bookmarkEnd w:id="169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债务人违反合同中对债务人的约束条款；</w:t>
      </w:r>
    </w:p>
    <w:p>
      <w:pPr>
        <w:pStyle w:val="Style17"/>
        <w:keepNext w:val="0"/>
        <w:keepLines w:val="0"/>
        <w:widowControl w:val="0"/>
        <w:shd w:val="clear" w:color="auto" w:fill="auto"/>
        <w:tabs>
          <w:tab w:pos="729" w:val="left"/>
        </w:tabs>
        <w:bidi w:val="0"/>
        <w:spacing w:before="0" w:after="40" w:line="360" w:lineRule="auto"/>
        <w:ind w:left="0" w:right="0" w:firstLine="380"/>
        <w:jc w:val="left"/>
      </w:pPr>
      <w:bookmarkStart w:id="1691" w:name="bookmark1691"/>
      <w:r>
        <w:rPr>
          <w:rFonts w:ascii="Times New Roman" w:eastAsia="Times New Roman" w:hAnsi="Times New Roman" w:cs="Times New Roman"/>
          <w:color w:val="000000"/>
          <w:spacing w:val="0"/>
          <w:w w:val="100"/>
          <w:position w:val="0"/>
          <w:sz w:val="18"/>
          <w:szCs w:val="18"/>
        </w:rPr>
        <w:t>3</w:t>
      </w:r>
      <w:bookmarkEnd w:id="16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债务人很可能破产或进行其他财务重组；</w:t>
      </w:r>
    </w:p>
    <w:p>
      <w:pPr>
        <w:pStyle w:val="Style17"/>
        <w:keepNext w:val="0"/>
        <w:keepLines w:val="0"/>
        <w:widowControl w:val="0"/>
        <w:shd w:val="clear" w:color="auto" w:fill="auto"/>
        <w:tabs>
          <w:tab w:pos="729" w:val="left"/>
        </w:tabs>
        <w:bidi w:val="0"/>
        <w:spacing w:before="0" w:after="40" w:line="360" w:lineRule="auto"/>
        <w:ind w:left="0" w:right="0" w:firstLine="380"/>
        <w:jc w:val="left"/>
      </w:pPr>
      <w:bookmarkStart w:id="1692" w:name="bookmark1692"/>
      <w:r>
        <w:rPr>
          <w:rFonts w:ascii="Times New Roman" w:eastAsia="Times New Roman" w:hAnsi="Times New Roman" w:cs="Times New Roman"/>
          <w:color w:val="000000"/>
          <w:spacing w:val="0"/>
          <w:w w:val="100"/>
          <w:position w:val="0"/>
          <w:sz w:val="18"/>
          <w:szCs w:val="18"/>
        </w:rPr>
        <w:t>4</w:t>
      </w:r>
      <w:bookmarkEnd w:id="16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债权人出于与债务人财务困难有关的经济或合同考虑，给予债务人在任何其他情况下都不会做出的让步。</w:t>
      </w:r>
    </w:p>
    <w:p>
      <w:pPr>
        <w:pStyle w:val="Style17"/>
        <w:keepNext w:val="0"/>
        <w:keepLines w:val="0"/>
        <w:widowControl w:val="0"/>
        <w:numPr>
          <w:ilvl w:val="0"/>
          <w:numId w:val="83"/>
        </w:numPr>
        <w:shd w:val="clear" w:color="auto" w:fill="auto"/>
        <w:tabs>
          <w:tab w:pos="700" w:val="left"/>
        </w:tabs>
        <w:bidi w:val="0"/>
        <w:spacing w:before="0" w:after="0" w:line="360" w:lineRule="auto"/>
        <w:ind w:left="0" w:right="0" w:firstLine="380"/>
        <w:jc w:val="left"/>
      </w:pPr>
      <w:bookmarkStart w:id="1693" w:name="bookmark1693"/>
      <w:bookmarkEnd w:id="1693"/>
      <w:r>
        <w:rPr>
          <w:color w:val="000000"/>
          <w:spacing w:val="0"/>
          <w:w w:val="100"/>
          <w:position w:val="0"/>
        </w:rPr>
        <w:t>预期信用损失的计量</w:t>
      </w:r>
    </w:p>
    <w:p>
      <w:pPr>
        <w:pStyle w:val="Style17"/>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预期信用损失计量的关键参数包括违约概率、违约损失率和违约风险敞口。公司考虑历史统计数据（如交易对手评级、 担保方式及抵质押物类别、还款方式等）的定量分析及前瞻性信息，建立违约概率、违约损失率及违约风险敞口模型。</w:t>
      </w:r>
    </w:p>
    <w:p>
      <w:pPr>
        <w:pStyle w:val="Style17"/>
        <w:keepNext w:val="0"/>
        <w:keepLines w:val="0"/>
        <w:widowControl w:val="0"/>
        <w:numPr>
          <w:ilvl w:val="0"/>
          <w:numId w:val="83"/>
        </w:numPr>
        <w:shd w:val="clear" w:color="auto" w:fill="auto"/>
        <w:tabs>
          <w:tab w:pos="700" w:val="left"/>
        </w:tabs>
        <w:bidi w:val="0"/>
        <w:spacing w:before="0" w:after="0" w:line="360" w:lineRule="auto"/>
        <w:ind w:left="0" w:right="0" w:firstLine="380"/>
        <w:jc w:val="left"/>
      </w:pPr>
      <w:bookmarkStart w:id="1694" w:name="bookmark1694"/>
      <w:bookmarkEnd w:id="1694"/>
      <w:r>
        <w:rPr>
          <w:color w:val="000000"/>
          <w:spacing w:val="0"/>
          <w:w w:val="100"/>
          <w:position w:val="0"/>
        </w:rPr>
        <w:t>信用风险敞口及信用风险集中度</w:t>
      </w:r>
    </w:p>
    <w:p>
      <w:pPr>
        <w:pStyle w:val="Style17"/>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本公司的信用风险主要来自货币资金和应收款项。为控制上述相关风险，本公司分别采取了以下措施。</w:t>
      </w:r>
    </w:p>
    <w:p>
      <w:pPr>
        <w:pStyle w:val="Style17"/>
        <w:keepNext w:val="0"/>
        <w:keepLines w:val="0"/>
        <w:widowControl w:val="0"/>
        <w:shd w:val="clear" w:color="auto" w:fill="auto"/>
        <w:tabs>
          <w:tab w:pos="786" w:val="left"/>
        </w:tabs>
        <w:bidi w:val="0"/>
        <w:spacing w:before="0" w:after="0" w:line="360" w:lineRule="auto"/>
        <w:ind w:left="0" w:right="0" w:firstLine="380"/>
        <w:jc w:val="left"/>
      </w:pPr>
      <w:bookmarkStart w:id="1695" w:name="bookmark1695"/>
      <w:r>
        <w:rPr>
          <w:rFonts w:ascii="Times New Roman" w:eastAsia="Times New Roman" w:hAnsi="Times New Roman" w:cs="Times New Roman"/>
          <w:color w:val="000000"/>
          <w:spacing w:val="0"/>
          <w:w w:val="100"/>
          <w:position w:val="0"/>
          <w:sz w:val="18"/>
          <w:szCs w:val="18"/>
        </w:rPr>
        <w:t>（</w:t>
      </w:r>
      <w:bookmarkEnd w:id="1695"/>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货币资金</w:t>
      </w:r>
    </w:p>
    <w:p>
      <w:pPr>
        <w:pStyle w:val="Style17"/>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本公司将银行存款和其他货币资金存放于信用评级较高的金融机构，故其信用风险较低。</w:t>
      </w:r>
    </w:p>
    <w:p>
      <w:pPr>
        <w:pStyle w:val="Style17"/>
        <w:keepNext w:val="0"/>
        <w:keepLines w:val="0"/>
        <w:widowControl w:val="0"/>
        <w:shd w:val="clear" w:color="auto" w:fill="auto"/>
        <w:tabs>
          <w:tab w:pos="786" w:val="left"/>
        </w:tabs>
        <w:bidi w:val="0"/>
        <w:spacing w:before="0" w:after="0" w:line="360" w:lineRule="auto"/>
        <w:ind w:left="0" w:right="0" w:firstLine="380"/>
        <w:jc w:val="both"/>
      </w:pPr>
      <w:bookmarkStart w:id="1696" w:name="bookmark1696"/>
      <w:r>
        <w:rPr>
          <w:rFonts w:ascii="Times New Roman" w:eastAsia="Times New Roman" w:hAnsi="Times New Roman" w:cs="Times New Roman"/>
          <w:color w:val="000000"/>
          <w:spacing w:val="0"/>
          <w:w w:val="100"/>
          <w:position w:val="0"/>
          <w:sz w:val="18"/>
          <w:szCs w:val="18"/>
        </w:rPr>
        <w:t>（</w:t>
      </w:r>
      <w:bookmarkEnd w:id="1696"/>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应收款项</w:t>
      </w:r>
    </w:p>
    <w:p>
      <w:pPr>
        <w:pStyle w:val="Style17"/>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本公司持续对采用信用方式交易的客户进行信用评估。根据信用评估结果，本公司选择与经认可的且信用良好的客户进 行交易，并对其应收款项余额进行监控，以确保本公司不会面临重大坏账风险。</w:t>
      </w:r>
    </w:p>
    <w:p>
      <w:pPr>
        <w:pStyle w:val="Style17"/>
        <w:keepNext w:val="0"/>
        <w:keepLines w:val="0"/>
        <w:widowControl w:val="0"/>
        <w:shd w:val="clear" w:color="auto" w:fill="auto"/>
        <w:bidi w:val="0"/>
        <w:spacing w:before="0" w:after="40" w:line="300" w:lineRule="exact"/>
        <w:ind w:left="0" w:right="0" w:firstLine="380"/>
        <w:jc w:val="both"/>
      </w:pPr>
      <w:r>
        <w:rPr>
          <w:color w:val="000000"/>
          <w:spacing w:val="0"/>
          <w:w w:val="100"/>
          <w:position w:val="0"/>
        </w:rPr>
        <w:t>由于本公司仅与经认可的且信用良好的第三方进行交易，所以无需担保物。信用风险集中按照客户进行管理。截至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日，本公司存在一定的信用集中风险，本公司应收账款的</w:t>
      </w:r>
      <w:r>
        <w:rPr>
          <w:rFonts w:ascii="Times New Roman" w:eastAsia="Times New Roman" w:hAnsi="Times New Roman" w:cs="Times New Roman"/>
          <w:color w:val="000000"/>
          <w:spacing w:val="0"/>
          <w:w w:val="100"/>
          <w:position w:val="0"/>
          <w:sz w:val="18"/>
          <w:szCs w:val="18"/>
        </w:rPr>
        <w:t xml:space="preserve">46.74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58.05%</w:t>
      </w:r>
      <w:r>
        <w:rPr>
          <w:color w:val="000000"/>
          <w:spacing w:val="0"/>
          <w:w w:val="100"/>
          <w:position w:val="0"/>
        </w:rPr>
        <w:t>）源于余额前五 名客户。本公司对应收账款余额未持有任何担保物或其他信用增级。</w:t>
      </w:r>
    </w:p>
    <w:p>
      <w:pPr>
        <w:pStyle w:val="Style17"/>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本公司所承受的最大信用风险敞口为资产负债表中每项金融资产的账面价值。</w:t>
      </w:r>
    </w:p>
    <w:p>
      <w:pPr>
        <w:pStyle w:val="Style17"/>
        <w:keepNext w:val="0"/>
        <w:keepLines w:val="0"/>
        <w:widowControl w:val="0"/>
        <w:shd w:val="clear" w:color="auto" w:fill="auto"/>
        <w:bidi w:val="0"/>
        <w:spacing w:before="0" w:after="0" w:line="360" w:lineRule="auto"/>
        <w:ind w:left="0" w:right="0" w:firstLine="380"/>
        <w:jc w:val="both"/>
      </w:pPr>
      <w:bookmarkStart w:id="1697" w:name="bookmark1697"/>
      <w:r>
        <w:rPr>
          <w:rFonts w:ascii="Times New Roman" w:eastAsia="Times New Roman" w:hAnsi="Times New Roman" w:cs="Times New Roman"/>
          <w:color w:val="000000"/>
          <w:spacing w:val="0"/>
          <w:w w:val="100"/>
          <w:position w:val="0"/>
          <w:sz w:val="18"/>
          <w:szCs w:val="18"/>
        </w:rPr>
        <w:t>（</w:t>
      </w:r>
      <w:bookmarkEnd w:id="1697"/>
      <w:r>
        <w:rPr>
          <w:color w:val="000000"/>
          <w:spacing w:val="0"/>
          <w:w w:val="100"/>
          <w:position w:val="0"/>
        </w:rPr>
        <w:t>二</w:t>
      </w:r>
      <w:r>
        <w:rPr>
          <w:color w:val="000000"/>
          <w:spacing w:val="0"/>
          <w:w w:val="100"/>
          <w:position w:val="0"/>
          <w:sz w:val="18"/>
          <w:szCs w:val="18"/>
        </w:rPr>
        <w:t>）</w:t>
      </w:r>
      <w:r>
        <w:rPr>
          <w:color w:val="000000"/>
          <w:spacing w:val="0"/>
          <w:w w:val="100"/>
          <w:position w:val="0"/>
        </w:rPr>
        <w:t>流动性风险</w:t>
      </w:r>
    </w:p>
    <w:p>
      <w:pPr>
        <w:pStyle w:val="Style17"/>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流动性风险，是指本公司在履行以交付现金或其他金融资产的方式结算的义务时发生资金短缺的风险。流动性风险可能 源于无法尽快以公允价值售出金融资产；或者源于对方无法偿还其合同债务；或者源于提前到期的债务；或者源于无法产生 预期的现金流量。</w:t>
      </w:r>
    </w:p>
    <w:p>
      <w:pPr>
        <w:pStyle w:val="Style17"/>
        <w:keepNext w:val="0"/>
        <w:keepLines w:val="0"/>
        <w:widowControl w:val="0"/>
        <w:shd w:val="clear" w:color="auto" w:fill="auto"/>
        <w:bidi w:val="0"/>
        <w:spacing w:before="0" w:after="40" w:line="283" w:lineRule="exact"/>
        <w:ind w:left="0" w:right="0" w:firstLine="380"/>
        <w:jc w:val="left"/>
      </w:pPr>
      <w:r>
        <w:rPr>
          <w:color w:val="000000"/>
          <w:spacing w:val="0"/>
          <w:w w:val="100"/>
          <w:position w:val="0"/>
        </w:rPr>
        <w:t>为控制该项风险，本公司综合运用票据结算、银行借款等多种融资手段，优化融资结构，保持融资持续性与灵活性之间 的平衡。本公司已从多家商业银行取得银行授信额度以满足营运资金需求和资本开支。</w:t>
      </w:r>
    </w:p>
    <w:p>
      <w:pPr>
        <w:pStyle w:val="Style17"/>
        <w:keepNext w:val="0"/>
        <w:keepLines w:val="0"/>
        <w:widowControl w:val="0"/>
        <w:shd w:val="clear" w:color="auto" w:fill="auto"/>
        <w:bidi w:val="0"/>
        <w:spacing w:before="0" w:after="80" w:line="312" w:lineRule="exact"/>
        <w:ind w:left="0" w:right="0" w:firstLine="380"/>
        <w:jc w:val="left"/>
      </w:pPr>
      <w:r>
        <w:rPr>
          <w:color w:val="000000"/>
          <w:spacing w:val="0"/>
          <w:w w:val="100"/>
          <w:position w:val="0"/>
        </w:rPr>
        <w:t>金融负债按剩余到期日分类</w:t>
      </w:r>
    </w:p>
    <w:tbl>
      <w:tblPr>
        <w:tblOverlap w:val="never"/>
        <w:jc w:val="center"/>
        <w:tblLayout w:type="fixed"/>
      </w:tblPr>
      <w:tblGrid>
        <w:gridCol w:w="1435"/>
        <w:gridCol w:w="1675"/>
        <w:gridCol w:w="1675"/>
        <w:gridCol w:w="1570"/>
        <w:gridCol w:w="1118"/>
        <w:gridCol w:w="1061"/>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70,400,833.34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71,863,254.17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71,863,254.17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7,282,916.64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7,282,916.64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7,282,916.64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172,798,119.34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172,798,119.34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172,798,119.34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22,510,111.55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22,510,111.55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22,510,111.55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2,476,079.73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2,554,812.82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1,804,250.09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750,562.73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35"/>
        <w:gridCol w:w="1675"/>
        <w:gridCol w:w="1675"/>
        <w:gridCol w:w="1570"/>
        <w:gridCol w:w="1118"/>
        <w:gridCol w:w="1061"/>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275,468,060.60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277,009,214.52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276,258,651.79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750,562.73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（续上表）</w:t>
      </w:r>
    </w:p>
    <w:tbl>
      <w:tblPr>
        <w:tblOverlap w:val="never"/>
        <w:jc w:val="center"/>
        <w:tblLayout w:type="fixed"/>
      </w:tblPr>
      <w:tblGrid>
        <w:gridCol w:w="1411"/>
        <w:gridCol w:w="1685"/>
        <w:gridCol w:w="1685"/>
        <w:gridCol w:w="1685"/>
        <w:gridCol w:w="1032"/>
        <w:gridCol w:w="1037"/>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130,109,694.44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130,505,180.55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130,505,180.55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16,974,086.04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16,974,086.04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16,974,086.04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132,787,363.66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132,787,363.66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132,787,363.66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43,444,852.23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43,444,852.23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43,444,852.23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323,315,996.37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323,711,482.48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323,711,482.48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317" w:lineRule="exact"/>
        <w:ind w:left="0" w:right="0"/>
        <w:jc w:val="both"/>
      </w:pPr>
      <w:bookmarkStart w:id="1698" w:name="bookmark1698"/>
      <w:r>
        <w:rPr>
          <w:rFonts w:ascii="Times New Roman" w:eastAsia="Times New Roman" w:hAnsi="Times New Roman" w:cs="Times New Roman"/>
          <w:color w:val="000000"/>
          <w:spacing w:val="0"/>
          <w:w w:val="100"/>
          <w:position w:val="0"/>
          <w:sz w:val="18"/>
          <w:szCs w:val="18"/>
        </w:rPr>
        <w:t>（</w:t>
      </w:r>
      <w:bookmarkEnd w:id="1698"/>
      <w:r>
        <w:rPr>
          <w:color w:val="000000"/>
          <w:spacing w:val="0"/>
          <w:w w:val="100"/>
          <w:position w:val="0"/>
        </w:rPr>
        <w:t>三</w:t>
      </w:r>
      <w:r>
        <w:rPr>
          <w:color w:val="000000"/>
          <w:spacing w:val="0"/>
          <w:w w:val="100"/>
          <w:position w:val="0"/>
          <w:sz w:val="18"/>
          <w:szCs w:val="18"/>
        </w:rPr>
        <w:t>）</w:t>
      </w:r>
      <w:r>
        <w:rPr>
          <w:color w:val="000000"/>
          <w:spacing w:val="0"/>
          <w:w w:val="100"/>
          <w:position w:val="0"/>
        </w:rPr>
        <w:t>市场风险</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市场风险，是指金融工具的公允价值或未来现金流量因市场价格变动而发生波动的风险。市场风险主要包括利率风险和 外汇风险。</w:t>
      </w:r>
    </w:p>
    <w:p>
      <w:pPr>
        <w:pStyle w:val="Style17"/>
        <w:keepNext w:val="0"/>
        <w:keepLines w:val="0"/>
        <w:widowControl w:val="0"/>
        <w:numPr>
          <w:ilvl w:val="0"/>
          <w:numId w:val="85"/>
        </w:numPr>
        <w:shd w:val="clear" w:color="auto" w:fill="auto"/>
        <w:tabs>
          <w:tab w:pos="661" w:val="left"/>
        </w:tabs>
        <w:bidi w:val="0"/>
        <w:spacing w:before="0" w:after="0" w:line="317" w:lineRule="exact"/>
        <w:ind w:left="0" w:right="0"/>
        <w:jc w:val="both"/>
      </w:pPr>
      <w:bookmarkStart w:id="1699" w:name="bookmark1699"/>
      <w:bookmarkEnd w:id="1699"/>
      <w:r>
        <w:rPr>
          <w:color w:val="000000"/>
          <w:spacing w:val="0"/>
          <w:w w:val="100"/>
          <w:position w:val="0"/>
        </w:rPr>
        <w:t>利率风险</w:t>
      </w:r>
    </w:p>
    <w:p>
      <w:pPr>
        <w:pStyle w:val="Style17"/>
        <w:keepNext w:val="0"/>
        <w:keepLines w:val="0"/>
        <w:widowControl w:val="0"/>
        <w:shd w:val="clear" w:color="auto" w:fill="auto"/>
        <w:bidi w:val="0"/>
        <w:spacing w:before="0" w:after="0" w:line="295" w:lineRule="exact"/>
        <w:ind w:left="0" w:right="0"/>
        <w:jc w:val="both"/>
      </w:pPr>
      <w:r>
        <w:rPr>
          <w:color w:val="000000"/>
          <w:spacing w:val="0"/>
          <w:w w:val="100"/>
          <w:position w:val="0"/>
        </w:rPr>
        <w:t>利率风险，是指金融工具的公允价值或未来现金流量因市场利率变动而发生波动的风险。固定利率的带息金融工具使本 公司面临公允价值利率风险，浮动利率的带息金融工具使本公司面临现金流量利率风险。本公司根据市场环境来决定固定利 率与浮动利率金融工具的比例，并通过定期审阅与监控维持适当的金融工具组合。</w:t>
      </w:r>
    </w:p>
    <w:p>
      <w:pPr>
        <w:pStyle w:val="Style17"/>
        <w:keepNext w:val="0"/>
        <w:keepLines w:val="0"/>
        <w:widowControl w:val="0"/>
        <w:numPr>
          <w:ilvl w:val="0"/>
          <w:numId w:val="85"/>
        </w:numPr>
        <w:shd w:val="clear" w:color="auto" w:fill="auto"/>
        <w:tabs>
          <w:tab w:pos="680" w:val="left"/>
        </w:tabs>
        <w:bidi w:val="0"/>
        <w:spacing w:before="0" w:after="0" w:line="317" w:lineRule="exact"/>
        <w:ind w:left="0" w:right="0"/>
        <w:jc w:val="both"/>
      </w:pPr>
      <w:bookmarkStart w:id="1700" w:name="bookmark1700"/>
      <w:bookmarkEnd w:id="1700"/>
      <w:r>
        <w:rPr>
          <w:color w:val="000000"/>
          <w:spacing w:val="0"/>
          <w:w w:val="100"/>
          <w:position w:val="0"/>
        </w:rPr>
        <w:t>外汇风险</w:t>
      </w:r>
    </w:p>
    <w:p>
      <w:pPr>
        <w:pStyle w:val="Style17"/>
        <w:keepNext w:val="0"/>
        <w:keepLines w:val="0"/>
        <w:widowControl w:val="0"/>
        <w:shd w:val="clear" w:color="auto" w:fill="auto"/>
        <w:bidi w:val="0"/>
        <w:spacing w:before="0" w:after="360" w:line="317" w:lineRule="exact"/>
        <w:ind w:left="0" w:right="0"/>
        <w:jc w:val="both"/>
      </w:pPr>
      <w:r>
        <w:rPr>
          <w:color w:val="000000"/>
          <w:spacing w:val="0"/>
          <w:w w:val="100"/>
          <w:position w:val="0"/>
        </w:rPr>
        <w:t>外汇风险，是指金融工具的公允价值或未来现金流量因外汇汇率变动而发生波动的风险。本公司于中国内地经营，且主 要活动以人民币计价。因此，本公司所承担的外汇变动市场风险不重大。</w:t>
      </w:r>
    </w:p>
    <w:p>
      <w:pPr>
        <w:pStyle w:val="Style21"/>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r>
        <w:rPr>
          <w:color w:val="000000"/>
          <w:spacing w:val="0"/>
          <w:w w:val="100"/>
          <w:position w:val="0"/>
        </w:rPr>
        <w:t>十一、公允价值的披露</w:t>
      </w:r>
      <w:bookmarkEnd w:id="1701"/>
      <w:bookmarkEnd w:id="1702"/>
      <w:bookmarkEnd w:id="1703"/>
    </w:p>
    <w:p>
      <w:pPr>
        <w:pStyle w:val="Style26"/>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04"/>
      <w:bookmarkEnd w:id="1705"/>
      <w:bookmarkEnd w:id="170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185,360,000.00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185,360,000.00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185,360,000.00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185,360,000.00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185,360,000.00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185,360,000.00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187,860,000.00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187,860,000.00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keepLines/>
        <w:widowControl w:val="0"/>
        <w:shd w:val="clear" w:color="auto" w:fill="auto"/>
        <w:tabs>
          <w:tab w:pos="378" w:val="left"/>
        </w:tabs>
        <w:bidi w:val="0"/>
        <w:spacing w:before="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2</w:t>
      </w:r>
      <w:bookmarkEnd w:id="1709"/>
      <w:r>
        <w:rPr>
          <w:color w:val="000000"/>
          <w:spacing w:val="0"/>
          <w:w w:val="100"/>
          <w:position w:val="0"/>
        </w:rPr>
        <w:t>、</w:t>
        <w:tab/>
        <w:t>持续和非持续第一层次公允价值计量项目市价的确定依据</w:t>
      </w:r>
      <w:bookmarkEnd w:id="1707"/>
      <w:bookmarkEnd w:id="1708"/>
      <w:bookmarkEnd w:id="1710"/>
    </w:p>
    <w:p>
      <w:pPr>
        <w:pStyle w:val="Style26"/>
        <w:keepNext/>
        <w:keepLines/>
        <w:widowControl w:val="0"/>
        <w:shd w:val="clear" w:color="auto" w:fill="auto"/>
        <w:tabs>
          <w:tab w:pos="378" w:val="left"/>
        </w:tabs>
        <w:bidi w:val="0"/>
        <w:spacing w:before="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3</w:t>
      </w:r>
      <w:bookmarkEnd w:id="1713"/>
      <w:r>
        <w:rPr>
          <w:color w:val="000000"/>
          <w:spacing w:val="0"/>
          <w:w w:val="100"/>
          <w:position w:val="0"/>
        </w:rPr>
        <w:t>、</w:t>
        <w:tab/>
        <w:t>持续和非持续第二层次公允价值计量项目，采用的估值技术和重要参数的定性及定量信息</w:t>
      </w:r>
      <w:bookmarkEnd w:id="1711"/>
      <w:bookmarkEnd w:id="1712"/>
      <w:bookmarkEnd w:id="1714"/>
    </w:p>
    <w:p>
      <w:pPr>
        <w:pStyle w:val="Style26"/>
        <w:keepNext/>
        <w:keepLines/>
        <w:widowControl w:val="0"/>
        <w:shd w:val="clear" w:color="auto" w:fill="auto"/>
        <w:tabs>
          <w:tab w:pos="378" w:val="left"/>
        </w:tabs>
        <w:bidi w:val="0"/>
        <w:spacing w:before="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4</w:t>
      </w:r>
      <w:bookmarkEnd w:id="1717"/>
      <w:r>
        <w:rPr>
          <w:color w:val="000000"/>
          <w:spacing w:val="0"/>
          <w:w w:val="100"/>
          <w:position w:val="0"/>
        </w:rPr>
        <w:t>、</w:t>
        <w:tab/>
        <w:t>持续和非持续第三层次公允价值计量项目，采用的估值技术和重要参数的定性及定量信息</w:t>
      </w:r>
      <w:bookmarkEnd w:id="1715"/>
      <w:bookmarkEnd w:id="1716"/>
      <w:bookmarkEnd w:id="1718"/>
    </w:p>
    <w:p>
      <w:pPr>
        <w:pStyle w:val="Style17"/>
        <w:keepNext w:val="0"/>
        <w:keepLines w:val="0"/>
        <w:widowControl w:val="0"/>
        <w:shd w:val="clear" w:color="auto" w:fill="auto"/>
        <w:bidi w:val="0"/>
        <w:spacing w:before="0" w:after="740" w:line="240" w:lineRule="auto"/>
        <w:ind w:left="0" w:right="0" w:firstLine="0"/>
        <w:jc w:val="left"/>
      </w:pPr>
      <w:r>
        <w:rPr>
          <w:color w:val="000000"/>
          <w:spacing w:val="0"/>
          <w:w w:val="100"/>
          <w:position w:val="0"/>
        </w:rPr>
        <w:t>对购买的银行理财产品，采用本金确定其公允价值；对于持有的和仁智慧公司的股权，采用成本确定其公允价值。</w:t>
      </w:r>
    </w:p>
    <w:p>
      <w:pPr>
        <w:pStyle w:val="Style26"/>
        <w:keepNext/>
        <w:keepLines/>
        <w:widowControl w:val="0"/>
        <w:shd w:val="clear" w:color="auto" w:fill="auto"/>
        <w:tabs>
          <w:tab w:pos="378" w:val="left"/>
        </w:tabs>
        <w:bidi w:val="0"/>
        <w:spacing w:before="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5</w:t>
      </w:r>
      <w:bookmarkEnd w:id="1721"/>
      <w:r>
        <w:rPr>
          <w:color w:val="000000"/>
          <w:spacing w:val="0"/>
          <w:w w:val="100"/>
          <w:position w:val="0"/>
        </w:rPr>
        <w:t>、</w:t>
        <w:tab/>
        <w:t>持续的第三层次公允价值计量项目，期初与期末账面价值间的调节信息及不可观察参数敏感性分析</w:t>
      </w:r>
      <w:bookmarkEnd w:id="1719"/>
      <w:bookmarkEnd w:id="1720"/>
      <w:bookmarkEnd w:id="1722"/>
    </w:p>
    <w:p>
      <w:pPr>
        <w:pStyle w:val="Style26"/>
        <w:keepNext/>
        <w:keepLines/>
        <w:widowControl w:val="0"/>
        <w:shd w:val="clear" w:color="auto" w:fill="auto"/>
        <w:tabs>
          <w:tab w:pos="378" w:val="left"/>
        </w:tabs>
        <w:bidi w:val="0"/>
        <w:spacing w:before="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6</w:t>
      </w:r>
      <w:bookmarkEnd w:id="1725"/>
      <w:r>
        <w:rPr>
          <w:color w:val="000000"/>
          <w:spacing w:val="0"/>
          <w:w w:val="100"/>
          <w:position w:val="0"/>
        </w:rPr>
        <w:t>、</w:t>
        <w:tab/>
        <w:t>持续的公允价值计量项目，本期内发生各层级之间转换的，转换的原因及确定转换时点的政策</w:t>
      </w:r>
      <w:bookmarkEnd w:id="1723"/>
      <w:bookmarkEnd w:id="1724"/>
      <w:bookmarkEnd w:id="1726"/>
    </w:p>
    <w:p>
      <w:pPr>
        <w:pStyle w:val="Style26"/>
        <w:keepNext/>
        <w:keepLines/>
        <w:widowControl w:val="0"/>
        <w:shd w:val="clear" w:color="auto" w:fill="auto"/>
        <w:tabs>
          <w:tab w:pos="378" w:val="left"/>
        </w:tabs>
        <w:bidi w:val="0"/>
        <w:spacing w:before="0" w:line="240" w:lineRule="auto"/>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7</w:t>
      </w:r>
      <w:bookmarkEnd w:id="1729"/>
      <w:r>
        <w:rPr>
          <w:color w:val="000000"/>
          <w:spacing w:val="0"/>
          <w:w w:val="100"/>
          <w:position w:val="0"/>
        </w:rPr>
        <w:t>、</w:t>
        <w:tab/>
        <w:t>本期内发生的估值技术变更及变更原因</w:t>
      </w:r>
      <w:bookmarkEnd w:id="1727"/>
      <w:bookmarkEnd w:id="1728"/>
      <w:bookmarkEnd w:id="1730"/>
    </w:p>
    <w:p>
      <w:pPr>
        <w:pStyle w:val="Style26"/>
        <w:keepNext/>
        <w:keepLines/>
        <w:widowControl w:val="0"/>
        <w:shd w:val="clear" w:color="auto" w:fill="auto"/>
        <w:tabs>
          <w:tab w:pos="378" w:val="left"/>
        </w:tabs>
        <w:bidi w:val="0"/>
        <w:spacing w:before="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8</w:t>
      </w:r>
      <w:bookmarkEnd w:id="1733"/>
      <w:r>
        <w:rPr>
          <w:color w:val="000000"/>
          <w:spacing w:val="0"/>
          <w:w w:val="100"/>
          <w:position w:val="0"/>
        </w:rPr>
        <w:t>、</w:t>
        <w:tab/>
        <w:t>不以公允价值计量的金融资产和金融负债的公允价值情况</w:t>
      </w:r>
      <w:bookmarkEnd w:id="1731"/>
      <w:bookmarkEnd w:id="1732"/>
      <w:bookmarkEnd w:id="1734"/>
    </w:p>
    <w:p>
      <w:pPr>
        <w:pStyle w:val="Style26"/>
        <w:keepNext/>
        <w:keepLines/>
        <w:widowControl w:val="0"/>
        <w:shd w:val="clear" w:color="auto" w:fill="auto"/>
        <w:tabs>
          <w:tab w:pos="378" w:val="left"/>
        </w:tabs>
        <w:bidi w:val="0"/>
        <w:spacing w:before="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9</w:t>
      </w:r>
      <w:bookmarkEnd w:id="1737"/>
      <w:r>
        <w:rPr>
          <w:color w:val="000000"/>
          <w:spacing w:val="0"/>
          <w:w w:val="100"/>
          <w:position w:val="0"/>
        </w:rPr>
        <w:t>、</w:t>
        <w:tab/>
        <w:t>其他</w:t>
      </w:r>
      <w:bookmarkEnd w:id="1735"/>
      <w:bookmarkEnd w:id="1736"/>
      <w:bookmarkEnd w:id="1738"/>
    </w:p>
    <w:p>
      <w:pPr>
        <w:pStyle w:val="Style21"/>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r>
        <w:rPr>
          <w:color w:val="000000"/>
          <w:spacing w:val="0"/>
          <w:w w:val="100"/>
          <w:position w:val="0"/>
        </w:rPr>
        <w:t>十二、关联方及关联交易</w:t>
      </w:r>
      <w:bookmarkEnd w:id="1739"/>
      <w:bookmarkEnd w:id="1740"/>
      <w:bookmarkEnd w:id="1741"/>
    </w:p>
    <w:p>
      <w:pPr>
        <w:pStyle w:val="Style26"/>
        <w:keepNext/>
        <w:keepLines/>
        <w:widowControl w:val="0"/>
        <w:shd w:val="clear" w:color="auto" w:fill="auto"/>
        <w:bidi w:val="0"/>
        <w:spacing w:before="0" w:after="260" w:line="240" w:lineRule="auto"/>
        <w:ind w:left="0" w:right="0" w:firstLine="0"/>
        <w:jc w:val="left"/>
      </w:pPr>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42"/>
      <w:bookmarkEnd w:id="1743"/>
      <w:bookmarkEnd w:id="1744"/>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磐源投资公司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w:t>
            </w:r>
          </w:p>
        </w:tc>
      </w:tr>
    </w:tbl>
    <w:p>
      <w:pPr>
        <w:pStyle w:val="Style17"/>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本企业的母公司情况的说明</w:t>
      </w:r>
    </w:p>
    <w:p>
      <w:pPr>
        <w:pStyle w:val="Style17"/>
        <w:keepNext w:val="0"/>
        <w:keepLines w:val="0"/>
        <w:widowControl w:val="0"/>
        <w:shd w:val="clear" w:color="auto" w:fill="auto"/>
        <w:bidi w:val="0"/>
        <w:spacing w:before="0" w:after="40" w:line="307" w:lineRule="exact"/>
        <w:ind w:left="0" w:right="0" w:firstLine="0"/>
        <w:jc w:val="left"/>
        <w:rPr>
          <w:sz w:val="18"/>
          <w:szCs w:val="18"/>
        </w:rPr>
      </w:pPr>
      <w:r>
        <w:rPr>
          <w:color w:val="000000"/>
          <w:spacing w:val="0"/>
          <w:w w:val="100"/>
          <w:position w:val="0"/>
          <w:sz w:val="17"/>
          <w:szCs w:val="17"/>
        </w:rPr>
        <w:t>注：截至资产负债表日，公司控股股东磐源投资公司累计出质其持有的本公司的股份</w:t>
      </w:r>
      <w:r>
        <w:rPr>
          <w:rFonts w:ascii="Times New Roman" w:eastAsia="Times New Roman" w:hAnsi="Times New Roman" w:cs="Times New Roman"/>
          <w:color w:val="000000"/>
          <w:spacing w:val="0"/>
          <w:w w:val="100"/>
          <w:position w:val="0"/>
          <w:sz w:val="18"/>
          <w:szCs w:val="18"/>
        </w:rPr>
        <w:t>69,617,200</w:t>
      </w:r>
      <w:r>
        <w:rPr>
          <w:color w:val="000000"/>
          <w:spacing w:val="0"/>
          <w:w w:val="100"/>
          <w:position w:val="0"/>
          <w:sz w:val="17"/>
          <w:szCs w:val="17"/>
        </w:rPr>
        <w:t>股，占其持有的本公司股份 的比例为</w:t>
      </w:r>
      <w:r>
        <w:rPr>
          <w:rFonts w:ascii="Times New Roman" w:eastAsia="Times New Roman" w:hAnsi="Times New Roman" w:cs="Times New Roman"/>
          <w:color w:val="000000"/>
          <w:spacing w:val="0"/>
          <w:w w:val="100"/>
          <w:position w:val="0"/>
          <w:sz w:val="18"/>
          <w:szCs w:val="18"/>
        </w:rPr>
        <w:t>59.78%</w:t>
      </w:r>
      <w:r>
        <w:rPr>
          <w:color w:val="000000"/>
          <w:spacing w:val="0"/>
          <w:w w:val="100"/>
          <w:position w:val="0"/>
          <w:sz w:val="17"/>
          <w:szCs w:val="17"/>
        </w:rPr>
        <w:t>，占本公司总股本的比例为</w:t>
      </w:r>
      <w:r>
        <w:rPr>
          <w:rFonts w:ascii="Times New Roman" w:eastAsia="Times New Roman" w:hAnsi="Times New Roman" w:cs="Times New Roman"/>
          <w:color w:val="000000"/>
          <w:spacing w:val="0"/>
          <w:w w:val="100"/>
          <w:position w:val="0"/>
          <w:sz w:val="18"/>
          <w:szCs w:val="18"/>
        </w:rPr>
        <w:t>26.27%</w:t>
      </w:r>
    </w:p>
    <w:p>
      <w:pPr>
        <w:pStyle w:val="Style17"/>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本企业最终控制方是杨一兵、杨波。</w:t>
      </w:r>
    </w:p>
    <w:p>
      <w:pPr>
        <w:pStyle w:val="Style17"/>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本公司实际控制人为杨一兵、杨波兄弟，其通过磐源投资公司、杭州磐鸿投资管理合伙企业（有限合伙）</w:t>
      </w:r>
      <w:r>
        <w:rPr>
          <w:color w:val="000000"/>
          <w:spacing w:val="0"/>
          <w:w w:val="100"/>
          <w:position w:val="0"/>
          <w:sz w:val="18"/>
          <w:szCs w:val="18"/>
        </w:rPr>
        <w:t>（</w:t>
      </w:r>
      <w:r>
        <w:rPr>
          <w:color w:val="000000"/>
          <w:spacing w:val="0"/>
          <w:w w:val="100"/>
          <w:position w:val="0"/>
        </w:rPr>
        <w:t>以下简称磐鸿投 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分别间接持有本公司</w:t>
      </w:r>
      <w:r>
        <w:rPr>
          <w:rFonts w:ascii="Times New Roman" w:eastAsia="Times New Roman" w:hAnsi="Times New Roman" w:cs="Times New Roman"/>
          <w:color w:val="000000"/>
          <w:spacing w:val="0"/>
          <w:w w:val="100"/>
          <w:position w:val="0"/>
          <w:sz w:val="18"/>
          <w:szCs w:val="18"/>
        </w:rPr>
        <w:t>89,464,045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14,906,237</w:t>
      </w:r>
      <w:r>
        <w:rPr>
          <w:color w:val="000000"/>
          <w:spacing w:val="0"/>
          <w:w w:val="100"/>
          <w:position w:val="0"/>
        </w:rPr>
        <w:t>股</w:t>
      </w:r>
      <w:r>
        <w:rPr>
          <w:color w:val="000000"/>
          <w:spacing w:val="0"/>
          <w:w w:val="100"/>
          <w:position w:val="0"/>
          <w:sz w:val="18"/>
          <w:szCs w:val="18"/>
        </w:rPr>
        <w:t>，</w:t>
      </w:r>
      <w:r>
        <w:rPr>
          <w:color w:val="000000"/>
          <w:spacing w:val="0"/>
          <w:w w:val="100"/>
          <w:position w:val="0"/>
        </w:rPr>
        <w:t>合计持有本公司</w:t>
      </w:r>
      <w:r>
        <w:rPr>
          <w:rFonts w:ascii="Times New Roman" w:eastAsia="Times New Roman" w:hAnsi="Times New Roman" w:cs="Times New Roman"/>
          <w:color w:val="000000"/>
          <w:spacing w:val="0"/>
          <w:w w:val="100"/>
          <w:position w:val="0"/>
          <w:sz w:val="18"/>
          <w:szCs w:val="18"/>
        </w:rPr>
        <w:t>104,370,282</w:t>
      </w:r>
      <w:r>
        <w:rPr>
          <w:color w:val="000000"/>
          <w:spacing w:val="0"/>
          <w:w w:val="100"/>
          <w:position w:val="0"/>
        </w:rPr>
        <w:t xml:space="preserve">股的股权，占本公司注册资本的 </w:t>
      </w:r>
      <w:r>
        <w:rPr>
          <w:rFonts w:ascii="Times New Roman" w:eastAsia="Times New Roman" w:hAnsi="Times New Roman" w:cs="Times New Roman"/>
          <w:color w:val="000000"/>
          <w:spacing w:val="0"/>
          <w:w w:val="100"/>
          <w:position w:val="0"/>
          <w:sz w:val="18"/>
          <w:szCs w:val="18"/>
        </w:rPr>
        <w:t>39.41%</w:t>
      </w:r>
      <w:r>
        <w:rPr>
          <w:color w:val="000000"/>
          <w:spacing w:val="0"/>
          <w:w w:val="100"/>
          <w:position w:val="0"/>
        </w:rPr>
        <w:t>。</w:t>
      </w:r>
    </w:p>
    <w:p>
      <w:pPr>
        <w:pStyle w:val="Style26"/>
        <w:keepNext/>
        <w:keepLines/>
        <w:widowControl w:val="0"/>
        <w:shd w:val="clear" w:color="auto" w:fill="auto"/>
        <w:tabs>
          <w:tab w:pos="378" w:val="left"/>
        </w:tabs>
        <w:bidi w:val="0"/>
        <w:spacing w:before="0" w:after="26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2</w:t>
      </w:r>
      <w:bookmarkEnd w:id="1747"/>
      <w:r>
        <w:rPr>
          <w:color w:val="000000"/>
          <w:spacing w:val="0"/>
          <w:w w:val="100"/>
          <w:position w:val="0"/>
        </w:rPr>
        <w:t>、</w:t>
        <w:tab/>
        <w:t>本企业的子公司情况</w:t>
      </w:r>
      <w:bookmarkEnd w:id="1745"/>
      <w:bookmarkEnd w:id="1746"/>
      <w:bookmarkEnd w:id="1748"/>
    </w:p>
    <w:p>
      <w:pPr>
        <w:pStyle w:val="Style17"/>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之说明。</w:t>
      </w:r>
    </w:p>
    <w:p>
      <w:pPr>
        <w:pStyle w:val="Style26"/>
        <w:keepNext/>
        <w:keepLines/>
        <w:widowControl w:val="0"/>
        <w:shd w:val="clear" w:color="auto" w:fill="auto"/>
        <w:tabs>
          <w:tab w:pos="378" w:val="left"/>
        </w:tabs>
        <w:bidi w:val="0"/>
        <w:spacing w:before="0" w:after="26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3</w:t>
      </w:r>
      <w:bookmarkEnd w:id="1751"/>
      <w:r>
        <w:rPr>
          <w:color w:val="000000"/>
          <w:spacing w:val="0"/>
          <w:w w:val="100"/>
          <w:position w:val="0"/>
        </w:rPr>
        <w:t>、</w:t>
        <w:tab/>
        <w:t>本企业合营和联营企业情况</w:t>
      </w:r>
      <w:bookmarkEnd w:id="1749"/>
      <w:bookmarkEnd w:id="1750"/>
      <w:bookmarkEnd w:id="1752"/>
    </w:p>
    <w:p>
      <w:pPr>
        <w:pStyle w:val="Style17"/>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之说明。</w:t>
      </w:r>
    </w:p>
    <w:p>
      <w:pPr>
        <w:pStyle w:val="Style17"/>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中原和仁公司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4</w:t>
      </w:r>
      <w:bookmarkEnd w:id="1755"/>
      <w:r>
        <w:rPr>
          <w:color w:val="000000"/>
          <w:spacing w:val="0"/>
          <w:w w:val="100"/>
          <w:position w:val="0"/>
        </w:rPr>
        <w:t>、其他关联方情况</w:t>
      </w:r>
      <w:bookmarkEnd w:id="1753"/>
      <w:bookmarkEnd w:id="1754"/>
      <w:bookmarkEnd w:id="175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济源和仁健康科技有限公司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bl>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月，本公司与中原和仁公司、河南济云智慧科技有限公司共同出资设立济源和仁健康科技有限公司，济源和仁健康 科技有限公司注册资本人民币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万元，本公司认缴</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，中原和仁公司认缴</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万元， 占注册资本的</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，河南济云智慧科技有限公司认缴</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。截至本财务报表批准报出日，公 司已支付投资款</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6"/>
        <w:keepNext/>
        <w:keepLines/>
        <w:widowControl w:val="0"/>
        <w:shd w:val="clear" w:color="auto" w:fill="auto"/>
        <w:bidi w:val="0"/>
        <w:spacing w:before="0" w:after="38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5</w:t>
      </w:r>
      <w:bookmarkEnd w:id="1759"/>
      <w:r>
        <w:rPr>
          <w:color w:val="000000"/>
          <w:spacing w:val="0"/>
          <w:w w:val="100"/>
          <w:position w:val="0"/>
        </w:rPr>
        <w:t>、关联交易情况</w:t>
      </w:r>
      <w:bookmarkEnd w:id="1757"/>
      <w:bookmarkEnd w:id="1758"/>
      <w:bookmarkEnd w:id="1760"/>
    </w:p>
    <w:p>
      <w:pPr>
        <w:pStyle w:val="Style31"/>
        <w:keepNext/>
        <w:keepLines/>
        <w:widowControl w:val="0"/>
        <w:shd w:val="clear" w:color="auto" w:fill="auto"/>
        <w:bidi w:val="0"/>
        <w:spacing w:before="0" w:after="260" w:line="240" w:lineRule="auto"/>
        <w:ind w:left="0" w:right="0" w:firstLine="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61"/>
      <w:bookmarkEnd w:id="1762"/>
      <w:bookmarkEnd w:id="1763"/>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7"/>
        <w:keepNext w:val="0"/>
        <w:keepLines w:val="0"/>
        <w:widowControl w:val="0"/>
        <w:shd w:val="clear" w:color="auto" w:fill="auto"/>
        <w:bidi w:val="0"/>
        <w:spacing w:before="0" w:after="100" w:line="314" w:lineRule="exact"/>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中原和仁公司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8,679,245.28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1"/>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64"/>
      <w:bookmarkEnd w:id="1765"/>
      <w:bookmarkEnd w:id="1766"/>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1"/>
        <w:keepNext/>
        <w:keepLines/>
        <w:widowControl w:val="0"/>
        <w:numPr>
          <w:ilvl w:val="0"/>
          <w:numId w:val="87"/>
        </w:numPr>
        <w:shd w:val="clear" w:color="auto" w:fill="auto"/>
        <w:bidi w:val="0"/>
        <w:spacing w:before="0" w:after="400" w:line="240" w:lineRule="auto"/>
        <w:ind w:left="0" w:right="0" w:firstLine="0"/>
        <w:jc w:val="both"/>
      </w:pPr>
      <w:bookmarkStart w:id="1767" w:name="bookmark1767"/>
      <w:bookmarkStart w:id="1768" w:name="bookmark1768"/>
      <w:bookmarkStart w:id="1769" w:name="bookmark1769"/>
      <w:bookmarkStart w:id="1770" w:name="bookmark1770"/>
      <w:bookmarkEnd w:id="1769"/>
      <w:r>
        <w:rPr>
          <w:color w:val="000000"/>
          <w:spacing w:val="0"/>
          <w:w w:val="100"/>
          <w:position w:val="0"/>
        </w:rPr>
        <w:t>关联租赁情况</w:t>
      </w:r>
      <w:bookmarkEnd w:id="1767"/>
      <w:bookmarkEnd w:id="1768"/>
      <w:bookmarkEnd w:id="1770"/>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本公司作为出租方：</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磐源投资公司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98,433.55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67,959.61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widowControl w:val="0"/>
        <w:spacing w:after="79" w:line="1" w:lineRule="exact"/>
      </w:pPr>
    </w:p>
    <w:p>
      <w:pPr>
        <w:pStyle w:val="Style1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关联租赁情况说明</w:t>
      </w:r>
    </w:p>
    <w:p>
      <w:pPr>
        <w:pStyle w:val="Style31"/>
        <w:keepNext/>
        <w:keepLines/>
        <w:widowControl w:val="0"/>
        <w:numPr>
          <w:ilvl w:val="0"/>
          <w:numId w:val="87"/>
        </w:numPr>
        <w:shd w:val="clear" w:color="auto" w:fill="auto"/>
        <w:bidi w:val="0"/>
        <w:spacing w:before="0" w:after="400" w:line="240" w:lineRule="auto"/>
        <w:ind w:left="0" w:right="0" w:firstLine="0"/>
        <w:jc w:val="both"/>
      </w:pPr>
      <w:bookmarkStart w:id="1771" w:name="bookmark1771"/>
      <w:bookmarkStart w:id="1772" w:name="bookmark1772"/>
      <w:bookmarkStart w:id="1773" w:name="bookmark1773"/>
      <w:bookmarkStart w:id="1774" w:name="bookmark1774"/>
      <w:bookmarkEnd w:id="1773"/>
      <w:r>
        <w:rPr>
          <w:color w:val="000000"/>
          <w:spacing w:val="0"/>
          <w:w w:val="100"/>
          <w:position w:val="0"/>
        </w:rPr>
        <w:t>关联担保情况</w:t>
      </w:r>
      <w:bookmarkEnd w:id="1771"/>
      <w:bookmarkEnd w:id="1772"/>
      <w:bookmarkEnd w:id="1774"/>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本公司作为担保方</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杨一兵、杨波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17"/>
        <w:keepNext w:val="0"/>
        <w:keepLines w:val="0"/>
        <w:widowControl w:val="0"/>
        <w:numPr>
          <w:ilvl w:val="0"/>
          <w:numId w:val="89"/>
        </w:numPr>
        <w:shd w:val="clear" w:color="auto" w:fill="auto"/>
        <w:tabs>
          <w:tab w:pos="795" w:val="left"/>
        </w:tabs>
        <w:bidi w:val="0"/>
        <w:spacing w:before="0" w:after="0" w:line="313" w:lineRule="exact"/>
        <w:ind w:left="0" w:right="0" w:firstLine="440"/>
        <w:jc w:val="both"/>
      </w:pPr>
      <w:bookmarkStart w:id="1775" w:name="bookmark1775"/>
      <w:bookmarkEnd w:id="1775"/>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月杨一兵与招商银行股份有限公司杭州分行签订的《最高额不可撤销担保书》，杨一兵为本公司与该银 行签订的期间为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日的合同提供最高额</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万元的担保。截至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日，本公司在该担 保项下尚未到期的应付票据余额</w:t>
      </w:r>
      <w:r>
        <w:rPr>
          <w:rFonts w:ascii="Times New Roman" w:eastAsia="Times New Roman" w:hAnsi="Times New Roman" w:cs="Times New Roman"/>
          <w:color w:val="000000"/>
          <w:spacing w:val="0"/>
          <w:w w:val="100"/>
          <w:position w:val="0"/>
          <w:sz w:val="18"/>
          <w:szCs w:val="18"/>
        </w:rPr>
        <w:t>121.24</w:t>
      </w:r>
      <w:r>
        <w:rPr>
          <w:color w:val="000000"/>
          <w:spacing w:val="0"/>
          <w:w w:val="100"/>
          <w:position w:val="0"/>
        </w:rPr>
        <w:t>万元，该等票据同时由本公司在该银行缴存</w:t>
      </w:r>
      <w:r>
        <w:rPr>
          <w:rFonts w:ascii="Times New Roman" w:eastAsia="Times New Roman" w:hAnsi="Times New Roman" w:cs="Times New Roman"/>
          <w:color w:val="000000"/>
          <w:spacing w:val="0"/>
          <w:w w:val="100"/>
          <w:position w:val="0"/>
          <w:sz w:val="18"/>
          <w:szCs w:val="18"/>
        </w:rPr>
        <w:t>36.37</w:t>
      </w:r>
      <w:r>
        <w:rPr>
          <w:color w:val="000000"/>
          <w:spacing w:val="0"/>
          <w:w w:val="100"/>
          <w:position w:val="0"/>
        </w:rPr>
        <w:t>万元保证金存款。本公司在该担保项 下尚未到期的保函金额</w:t>
      </w:r>
      <w:r>
        <w:rPr>
          <w:rFonts w:ascii="Times New Roman" w:eastAsia="Times New Roman" w:hAnsi="Times New Roman" w:cs="Times New Roman"/>
          <w:color w:val="000000"/>
          <w:spacing w:val="0"/>
          <w:w w:val="100"/>
          <w:position w:val="0"/>
          <w:sz w:val="18"/>
          <w:szCs w:val="18"/>
        </w:rPr>
        <w:t xml:space="preserve">18.8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万元，该等保函同时由本公司在该银行缴存</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万元保函保证金存款。</w:t>
      </w:r>
    </w:p>
    <w:p>
      <w:pPr>
        <w:pStyle w:val="Style17"/>
        <w:keepNext w:val="0"/>
        <w:keepLines w:val="0"/>
        <w:widowControl w:val="0"/>
        <w:numPr>
          <w:ilvl w:val="0"/>
          <w:numId w:val="89"/>
        </w:numPr>
        <w:shd w:val="clear" w:color="auto" w:fill="auto"/>
        <w:tabs>
          <w:tab w:pos="795" w:val="left"/>
        </w:tabs>
        <w:bidi w:val="0"/>
        <w:spacing w:before="0" w:after="0" w:line="313" w:lineRule="exact"/>
        <w:ind w:left="0" w:right="0" w:firstLine="440"/>
        <w:jc w:val="both"/>
      </w:pPr>
      <w:bookmarkStart w:id="1776" w:name="bookmark1776"/>
      <w:bookmarkEnd w:id="1776"/>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月杨一兵与中国工商银行股份有限公司杭州钱江支行签订的《最高额保证合同》，杨一兵为本公司与 该银行签订的期间为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日的合同提供最高额</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万元的担保。截至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日，本公司在 该担保项下尚未到期的保函金额</w:t>
      </w:r>
      <w:r>
        <w:rPr>
          <w:rFonts w:ascii="Times New Roman" w:eastAsia="Times New Roman" w:hAnsi="Times New Roman" w:cs="Times New Roman"/>
          <w:color w:val="000000"/>
          <w:spacing w:val="0"/>
          <w:w w:val="100"/>
          <w:position w:val="0"/>
          <w:sz w:val="18"/>
          <w:szCs w:val="18"/>
        </w:rPr>
        <w:t>246.80</w:t>
      </w:r>
      <w:r>
        <w:rPr>
          <w:color w:val="000000"/>
          <w:spacing w:val="0"/>
          <w:w w:val="100"/>
          <w:position w:val="0"/>
        </w:rPr>
        <w:t>万元，该等保函同时由本公司在该银行缴存</w:t>
      </w:r>
      <w:r>
        <w:rPr>
          <w:rFonts w:ascii="Times New Roman" w:eastAsia="Times New Roman" w:hAnsi="Times New Roman" w:cs="Times New Roman"/>
          <w:color w:val="000000"/>
          <w:spacing w:val="0"/>
          <w:w w:val="100"/>
          <w:position w:val="0"/>
          <w:sz w:val="18"/>
          <w:szCs w:val="18"/>
        </w:rPr>
        <w:t>24.68</w:t>
      </w:r>
      <w:r>
        <w:rPr>
          <w:color w:val="000000"/>
          <w:spacing w:val="0"/>
          <w:w w:val="100"/>
          <w:position w:val="0"/>
        </w:rPr>
        <w:t>万元保函保证金存款。本公司在该担 保项下尚未到期的流动资金借款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17"/>
        <w:keepNext w:val="0"/>
        <w:keepLines w:val="0"/>
        <w:widowControl w:val="0"/>
        <w:numPr>
          <w:ilvl w:val="0"/>
          <w:numId w:val="89"/>
        </w:numPr>
        <w:shd w:val="clear" w:color="auto" w:fill="auto"/>
        <w:tabs>
          <w:tab w:pos="795" w:val="left"/>
        </w:tabs>
        <w:bidi w:val="0"/>
        <w:spacing w:before="0" w:after="0" w:line="313" w:lineRule="exact"/>
        <w:ind w:left="0" w:right="0" w:firstLine="440"/>
        <w:jc w:val="both"/>
      </w:pPr>
      <w:bookmarkStart w:id="1777" w:name="bookmark1777"/>
      <w:bookmarkEnd w:id="1777"/>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月杨一兵与中国建设银行股份有限公司杭州滨江支行签订的《自然人保证合同》，杨一兵为本公司与 该银行签订的期间为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日的合同提供最高额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万元的担保。截至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日，本公司在该 担保项下尚未到期的流动资金借款</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17"/>
        <w:keepNext w:val="0"/>
        <w:keepLines w:val="0"/>
        <w:widowControl w:val="0"/>
        <w:numPr>
          <w:ilvl w:val="0"/>
          <w:numId w:val="89"/>
        </w:numPr>
        <w:shd w:val="clear" w:color="auto" w:fill="auto"/>
        <w:tabs>
          <w:tab w:pos="795" w:val="left"/>
        </w:tabs>
        <w:bidi w:val="0"/>
        <w:spacing w:before="0" w:after="120" w:line="313" w:lineRule="exact"/>
        <w:ind w:left="0" w:right="0" w:firstLine="440"/>
        <w:jc w:val="both"/>
      </w:pPr>
      <w:bookmarkStart w:id="1778" w:name="bookmark1778"/>
      <w:bookmarkEnd w:id="1778"/>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月杨一兵和杨波与杭州银行股份有限公司滨江支行支行签订的《个人最高额保证合同》，杨一兵和杨波 为本公司与该银行签订的期间为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日的合同提供最高额</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万元的担保。截至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本公司在该担保项下尚未到期的应付票据余额</w:t>
      </w:r>
      <w:r>
        <w:rPr>
          <w:rFonts w:ascii="Times New Roman" w:eastAsia="Times New Roman" w:hAnsi="Times New Roman" w:cs="Times New Roman"/>
          <w:color w:val="000000"/>
          <w:spacing w:val="0"/>
          <w:w w:val="100"/>
          <w:position w:val="0"/>
          <w:sz w:val="18"/>
          <w:szCs w:val="18"/>
        </w:rPr>
        <w:t>607.05</w:t>
      </w:r>
      <w:r>
        <w:rPr>
          <w:color w:val="000000"/>
          <w:spacing w:val="0"/>
          <w:w w:val="100"/>
          <w:position w:val="0"/>
        </w:rPr>
        <w:t>万元，该等票据同时由本公司在该银行缴存</w:t>
      </w:r>
      <w:r>
        <w:rPr>
          <w:rFonts w:ascii="Times New Roman" w:eastAsia="Times New Roman" w:hAnsi="Times New Roman" w:cs="Times New Roman"/>
          <w:color w:val="000000"/>
          <w:spacing w:val="0"/>
          <w:w w:val="100"/>
          <w:position w:val="0"/>
          <w:sz w:val="18"/>
          <w:szCs w:val="18"/>
        </w:rPr>
        <w:t>60.71</w:t>
      </w:r>
      <w:r>
        <w:rPr>
          <w:color w:val="000000"/>
          <w:spacing w:val="0"/>
          <w:w w:val="100"/>
          <w:position w:val="0"/>
        </w:rPr>
        <w:t>万元保证金存款。</w:t>
      </w:r>
      <w:r>
        <w:br w:type="page"/>
      </w:r>
    </w:p>
    <w:p>
      <w:pPr>
        <w:pStyle w:val="Style31"/>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79"/>
      <w:bookmarkEnd w:id="1780"/>
      <w:bookmarkEnd w:id="1782"/>
    </w:p>
    <w:p>
      <w:pPr>
        <w:widowControl w:val="0"/>
        <w:jc w:val="center"/>
        <w:rPr>
          <w:sz w:val="2"/>
          <w:szCs w:val="2"/>
        </w:rPr>
      </w:pPr>
      <w:r>
        <w:drawing>
          <wp:inline>
            <wp:extent cx="6126480" cy="95123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pic:blipFill>
                  <pic:spPr>
                    <a:xfrm>
                      <a:ext cx="6126480" cy="951230"/>
                    </a:xfrm>
                    <a:prstGeom prst="rect"/>
                  </pic:spPr>
                </pic:pic>
              </a:graphicData>
            </a:graphic>
          </wp:inline>
        </w:drawing>
      </w:r>
    </w:p>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w:t>
      </w:r>
      <w:bookmarkEnd w:id="178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83"/>
      <w:bookmarkEnd w:id="1784"/>
      <w:bookmarkEnd w:id="1786"/>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1787" w:name="bookmark1787"/>
      <w:bookmarkStart w:id="1788" w:name="bookmark1788"/>
      <w:bookmarkStart w:id="1789" w:name="bookmark1789"/>
      <w:bookmarkStart w:id="1790" w:name="bookmark1790"/>
      <w:r>
        <w:rPr>
          <w:color w:val="000000"/>
          <w:spacing w:val="0"/>
          <w:w w:val="100"/>
          <w:position w:val="0"/>
        </w:rPr>
        <w:t>（</w:t>
      </w:r>
      <w:bookmarkEnd w:id="178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787"/>
      <w:bookmarkEnd w:id="1788"/>
      <w:bookmarkEnd w:id="1790"/>
    </w:p>
    <w:tbl>
      <w:tblPr>
        <w:tblOverlap w:val="never"/>
        <w:jc w:val="center"/>
        <w:tblLayout w:type="fixed"/>
      </w:tblPr>
      <w:tblGrid>
        <w:gridCol w:w="3197"/>
        <w:gridCol w:w="3192"/>
        <w:gridCol w:w="3254"/>
      </w:tblGrid>
      <w:tr>
        <w:trPr>
          <w:trHeight w:val="312"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6,724,000.00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91"/>
      <w:bookmarkEnd w:id="1792"/>
      <w:bookmarkEnd w:id="1794"/>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both"/>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6</w:t>
      </w:r>
      <w:bookmarkEnd w:id="1797"/>
      <w:r>
        <w:rPr>
          <w:color w:val="000000"/>
          <w:spacing w:val="0"/>
          <w:w w:val="100"/>
          <w:position w:val="0"/>
        </w:rPr>
        <w:t>、关联方应收应付款项</w:t>
      </w:r>
      <w:bookmarkEnd w:id="1795"/>
      <w:bookmarkEnd w:id="1796"/>
      <w:bookmarkEnd w:id="1798"/>
    </w:p>
    <w:p>
      <w:pPr>
        <w:pStyle w:val="Style31"/>
        <w:keepNext/>
        <w:keepLines/>
        <w:widowControl w:val="0"/>
        <w:shd w:val="clear" w:color="auto" w:fill="auto"/>
        <w:bidi w:val="0"/>
        <w:spacing w:before="0" w:line="240" w:lineRule="auto"/>
        <w:ind w:left="0" w:right="0" w:firstLine="0"/>
        <w:jc w:val="both"/>
      </w:pPr>
      <w:bookmarkStart w:id="1799" w:name="bookmark1799"/>
      <w:bookmarkStart w:id="1800" w:name="bookmark1800"/>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99"/>
      <w:bookmarkEnd w:id="1800"/>
      <w:bookmarkEnd w:id="1801"/>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磐源投资公司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1802" w:name="bookmark1802"/>
      <w:bookmarkStart w:id="1803" w:name="bookmark1803"/>
      <w:bookmarkStart w:id="1804" w:name="bookmark18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02"/>
      <w:bookmarkEnd w:id="1803"/>
      <w:bookmarkEnd w:id="1804"/>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磐源投资公司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26,890.16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中原和仁公司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keepLines/>
        <w:widowControl w:val="0"/>
        <w:shd w:val="clear" w:color="auto" w:fill="auto"/>
        <w:tabs>
          <w:tab w:pos="373" w:val="left"/>
        </w:tabs>
        <w:bidi w:val="0"/>
        <w:spacing w:before="0" w:after="38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7</w:t>
      </w:r>
      <w:bookmarkEnd w:id="1807"/>
      <w:r>
        <w:rPr>
          <w:color w:val="000000"/>
          <w:spacing w:val="0"/>
          <w:w w:val="100"/>
          <w:position w:val="0"/>
        </w:rPr>
        <w:t>、</w:t>
        <w:tab/>
        <w:t>关联方承诺</w:t>
      </w:r>
      <w:bookmarkEnd w:id="1805"/>
      <w:bookmarkEnd w:id="1806"/>
      <w:bookmarkEnd w:id="1808"/>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38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8</w:t>
      </w:r>
      <w:bookmarkEnd w:id="1811"/>
      <w:r>
        <w:rPr>
          <w:color w:val="000000"/>
          <w:spacing w:val="0"/>
          <w:w w:val="100"/>
          <w:position w:val="0"/>
        </w:rPr>
        <w:t>、</w:t>
        <w:tab/>
        <w:t>其他</w:t>
      </w:r>
      <w:bookmarkEnd w:id="1809"/>
      <w:bookmarkEnd w:id="1810"/>
      <w:bookmarkEnd w:id="181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1813" w:name="bookmark1813"/>
      <w:bookmarkStart w:id="1814" w:name="bookmark1814"/>
      <w:bookmarkStart w:id="1815" w:name="bookmark1815"/>
      <w:r>
        <w:rPr>
          <w:color w:val="000000"/>
          <w:spacing w:val="0"/>
          <w:w w:val="100"/>
          <w:position w:val="0"/>
        </w:rPr>
        <w:t>十三、股份支付</w:t>
      </w:r>
      <w:bookmarkEnd w:id="1813"/>
      <w:bookmarkEnd w:id="1814"/>
      <w:bookmarkEnd w:id="1815"/>
    </w:p>
    <w:p>
      <w:pPr>
        <w:pStyle w:val="Style26"/>
        <w:keepNext/>
        <w:keepLines/>
        <w:widowControl w:val="0"/>
        <w:shd w:val="clear" w:color="auto" w:fill="auto"/>
        <w:bidi w:val="0"/>
        <w:spacing w:before="0" w:after="380" w:line="240" w:lineRule="auto"/>
        <w:ind w:left="0" w:right="0" w:firstLine="0"/>
        <w:jc w:val="left"/>
      </w:pPr>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16"/>
      <w:bookmarkEnd w:id="1817"/>
      <w:bookmarkEnd w:id="1818"/>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646,800.00</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年度授予的限制性股票授予价格</w:t>
            </w:r>
            <w:r>
              <w:rPr>
                <w:rFonts w:ascii="Times New Roman" w:eastAsia="Times New Roman" w:hAnsi="Times New Roman" w:cs="Times New Roman"/>
                <w:color w:val="000000"/>
                <w:spacing w:val="0"/>
                <w:w w:val="100"/>
                <w:position w:val="0"/>
                <w:sz w:val="18"/>
                <w:szCs w:val="18"/>
              </w:rPr>
              <w:t>16.53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 自授予的限制性股票登记完成之日起分四年解锁；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年度授予的限制性股票授予价格</w:t>
            </w:r>
            <w:r>
              <w:rPr>
                <w:rFonts w:ascii="Times New Roman" w:eastAsia="Times New Roman" w:hAnsi="Times New Roman" w:cs="Times New Roman"/>
                <w:color w:val="000000"/>
                <w:spacing w:val="0"/>
                <w:w w:val="100"/>
                <w:position w:val="0"/>
                <w:sz w:val="18"/>
                <w:szCs w:val="18"/>
              </w:rPr>
              <w:t>24.18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自授予的限制性股票登记完成之日起分四年解锁</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19"/>
      <w:bookmarkEnd w:id="1820"/>
      <w:bookmarkEnd w:id="1821"/>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公司采用授予日市价确定限制性股票的公允价值，限制性 股票成本由限制性股票公允价值减去限制性股票授予价格 确定</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按各解锁期的业绩条件估计确定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预计无法解锁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34,790,925.00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-5,701,308.33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根据公司限制性股票激励计划，本期为公司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年限制性股票激励计划首次授予的限制性股票第四个解锁期及预留授予的 限制性股票第三个解锁期，解锁业绩条件为以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年净利润为基数，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，本期公司未能达到 限制性股票激励计划中设定的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年度业绩条件，公司将该等无法解锁的权益工具已确认的累计股份支付费用冲回，相应 减少本期管理费用</w:t>
      </w:r>
      <w:r>
        <w:rPr>
          <w:rFonts w:ascii="Times New Roman" w:eastAsia="Times New Roman" w:hAnsi="Times New Roman" w:cs="Times New Roman"/>
          <w:color w:val="000000"/>
          <w:spacing w:val="0"/>
          <w:w w:val="100"/>
          <w:position w:val="0"/>
          <w:sz w:val="18"/>
          <w:szCs w:val="18"/>
        </w:rPr>
        <w:t>6,161,858.33</w:t>
      </w:r>
      <w:r>
        <w:rPr>
          <w:color w:val="000000"/>
          <w:spacing w:val="0"/>
          <w:w w:val="100"/>
          <w:position w:val="0"/>
        </w:rPr>
        <w:t>元、减少资本公积</w:t>
      </w:r>
      <w:r>
        <w:rPr>
          <w:rFonts w:ascii="Times New Roman" w:eastAsia="Times New Roman" w:hAnsi="Times New Roman" w:cs="Times New Roman"/>
          <w:color w:val="000000"/>
          <w:spacing w:val="0"/>
          <w:w w:val="100"/>
          <w:position w:val="0"/>
          <w:sz w:val="18"/>
          <w:szCs w:val="18"/>
        </w:rPr>
        <w:t>6,161,858.33</w:t>
      </w:r>
      <w:r>
        <w:rPr>
          <w:color w:val="000000"/>
          <w:spacing w:val="0"/>
          <w:w w:val="100"/>
          <w:position w:val="0"/>
        </w:rPr>
        <w:t>元。</w:t>
      </w:r>
    </w:p>
    <w:p>
      <w:pPr>
        <w:pStyle w:val="Style26"/>
        <w:keepNext/>
        <w:keepLines/>
        <w:widowControl w:val="0"/>
        <w:shd w:val="clear" w:color="auto" w:fill="auto"/>
        <w:tabs>
          <w:tab w:pos="378" w:val="left"/>
        </w:tabs>
        <w:bidi w:val="0"/>
        <w:spacing w:before="0" w:after="38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3</w:t>
      </w:r>
      <w:bookmarkEnd w:id="1824"/>
      <w:r>
        <w:rPr>
          <w:color w:val="000000"/>
          <w:spacing w:val="0"/>
          <w:w w:val="100"/>
          <w:position w:val="0"/>
        </w:rPr>
        <w:t>、</w:t>
        <w:tab/>
        <w:t>以现金结算的股份支付情况</w:t>
      </w:r>
      <w:bookmarkEnd w:id="1822"/>
      <w:bookmarkEnd w:id="1823"/>
      <w:bookmarkEnd w:id="1825"/>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78" w:val="left"/>
        </w:tabs>
        <w:bidi w:val="0"/>
        <w:spacing w:before="0" w:after="38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4</w:t>
      </w:r>
      <w:bookmarkEnd w:id="1828"/>
      <w:r>
        <w:rPr>
          <w:color w:val="000000"/>
          <w:spacing w:val="0"/>
          <w:w w:val="100"/>
          <w:position w:val="0"/>
        </w:rPr>
        <w:t>、</w:t>
        <w:tab/>
        <w:t>股份支付的修改、终止情况</w:t>
      </w:r>
      <w:bookmarkEnd w:id="1826"/>
      <w:bookmarkEnd w:id="1827"/>
      <w:bookmarkEnd w:id="1829"/>
    </w:p>
    <w:p>
      <w:pPr>
        <w:pStyle w:val="Style26"/>
        <w:keepNext/>
        <w:keepLines/>
        <w:widowControl w:val="0"/>
        <w:shd w:val="clear" w:color="auto" w:fill="auto"/>
        <w:tabs>
          <w:tab w:pos="378" w:val="left"/>
        </w:tabs>
        <w:bidi w:val="0"/>
        <w:spacing w:before="0" w:after="38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5</w:t>
      </w:r>
      <w:bookmarkEnd w:id="1832"/>
      <w:r>
        <w:rPr>
          <w:color w:val="000000"/>
          <w:spacing w:val="0"/>
          <w:w w:val="100"/>
          <w:position w:val="0"/>
        </w:rPr>
        <w:t>、</w:t>
        <w:tab/>
        <w:t>其他</w:t>
      </w:r>
      <w:bookmarkEnd w:id="1830"/>
      <w:bookmarkEnd w:id="1831"/>
      <w:bookmarkEnd w:id="1833"/>
    </w:p>
    <w:p>
      <w:pPr>
        <w:pStyle w:val="Style21"/>
        <w:keepNext/>
        <w:keepLines/>
        <w:widowControl w:val="0"/>
        <w:shd w:val="clear" w:color="auto" w:fill="auto"/>
        <w:bidi w:val="0"/>
        <w:spacing w:before="0" w:after="380" w:line="240" w:lineRule="auto"/>
        <w:ind w:left="0" w:right="0" w:firstLine="0"/>
        <w:jc w:val="left"/>
      </w:pPr>
      <w:bookmarkStart w:id="1834" w:name="bookmark1834"/>
      <w:bookmarkStart w:id="1835" w:name="bookmark1835"/>
      <w:bookmarkStart w:id="1836" w:name="bookmark1836"/>
      <w:r>
        <w:rPr>
          <w:color w:val="000000"/>
          <w:spacing w:val="0"/>
          <w:w w:val="100"/>
          <w:position w:val="0"/>
        </w:rPr>
        <w:t>十四、承诺及或有事项</w:t>
      </w:r>
      <w:bookmarkEnd w:id="1834"/>
      <w:bookmarkEnd w:id="1835"/>
      <w:bookmarkEnd w:id="1836"/>
    </w:p>
    <w:p>
      <w:pPr>
        <w:pStyle w:val="Style26"/>
        <w:keepNext/>
        <w:keepLines/>
        <w:widowControl w:val="0"/>
        <w:shd w:val="clear" w:color="auto" w:fill="auto"/>
        <w:tabs>
          <w:tab w:pos="368" w:val="left"/>
        </w:tabs>
        <w:bidi w:val="0"/>
        <w:spacing w:before="0" w:after="38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1</w:t>
      </w:r>
      <w:bookmarkEnd w:id="1839"/>
      <w:r>
        <w:rPr>
          <w:color w:val="000000"/>
          <w:spacing w:val="0"/>
          <w:w w:val="100"/>
          <w:position w:val="0"/>
        </w:rPr>
        <w:t>、</w:t>
        <w:tab/>
        <w:t>重要承诺事项</w:t>
      </w:r>
      <w:bookmarkEnd w:id="1837"/>
      <w:bookmarkEnd w:id="1838"/>
      <w:bookmarkEnd w:id="1840"/>
    </w:p>
    <w:p>
      <w:pPr>
        <w:pStyle w:val="Style17"/>
        <w:keepNext w:val="0"/>
        <w:keepLines w:val="0"/>
        <w:widowControl w:val="0"/>
        <w:shd w:val="clear" w:color="auto" w:fill="auto"/>
        <w:bidi w:val="0"/>
        <w:spacing w:before="0" w:after="500" w:line="240" w:lineRule="auto"/>
        <w:ind w:left="0" w:right="0" w:firstLine="0"/>
        <w:jc w:val="left"/>
      </w:pPr>
      <w:r>
        <w:rPr>
          <w:color w:val="000000"/>
          <w:spacing w:val="0"/>
          <w:w w:val="100"/>
          <w:position w:val="0"/>
        </w:rPr>
        <w:t>资产负债表日存在的重要承诺</w:t>
      </w:r>
    </w:p>
    <w:p>
      <w:pPr>
        <w:pStyle w:val="Style17"/>
        <w:keepNext w:val="0"/>
        <w:keepLines w:val="0"/>
        <w:widowControl w:val="0"/>
        <w:shd w:val="clear" w:color="auto" w:fill="auto"/>
        <w:bidi w:val="0"/>
        <w:spacing w:before="0" w:after="1040" w:line="240" w:lineRule="auto"/>
        <w:ind w:left="0" w:right="0" w:firstLine="0"/>
        <w:jc w:val="left"/>
      </w:pPr>
      <w:r>
        <w:rPr>
          <w:color w:val="000000"/>
          <w:spacing w:val="0"/>
          <w:w w:val="100"/>
          <w:position w:val="0"/>
        </w:rPr>
        <w:t>截至资产负债表日，本公司不存在需要披露的重要承诺事项。</w:t>
      </w:r>
    </w:p>
    <w:p>
      <w:pPr>
        <w:pStyle w:val="Style26"/>
        <w:keepNext/>
        <w:keepLines/>
        <w:widowControl w:val="0"/>
        <w:shd w:val="clear" w:color="auto" w:fill="auto"/>
        <w:tabs>
          <w:tab w:pos="378" w:val="left"/>
        </w:tabs>
        <w:bidi w:val="0"/>
        <w:spacing w:before="0" w:after="38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2</w:t>
      </w:r>
      <w:bookmarkEnd w:id="1843"/>
      <w:r>
        <w:rPr>
          <w:color w:val="000000"/>
          <w:spacing w:val="0"/>
          <w:w w:val="100"/>
          <w:position w:val="0"/>
        </w:rPr>
        <w:t>、</w:t>
        <w:tab/>
        <w:t>或有事项</w:t>
      </w:r>
      <w:bookmarkEnd w:id="1841"/>
      <w:bookmarkEnd w:id="1842"/>
      <w:bookmarkEnd w:id="1844"/>
    </w:p>
    <w:p>
      <w:pPr>
        <w:pStyle w:val="Style31"/>
        <w:keepNext/>
        <w:keepLines/>
        <w:widowControl w:val="0"/>
        <w:shd w:val="clear" w:color="auto" w:fill="auto"/>
        <w:tabs>
          <w:tab w:pos="493" w:val="left"/>
        </w:tabs>
        <w:bidi w:val="0"/>
        <w:spacing w:before="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45"/>
      <w:bookmarkEnd w:id="1846"/>
      <w:bookmarkEnd w:id="1848"/>
    </w:p>
    <w:p>
      <w:pPr>
        <w:pStyle w:val="Style17"/>
        <w:keepNext w:val="0"/>
        <w:keepLines w:val="0"/>
        <w:widowControl w:val="0"/>
        <w:shd w:val="clear" w:color="auto" w:fill="auto"/>
        <w:bidi w:val="0"/>
        <w:spacing w:before="0" w:after="740" w:line="240" w:lineRule="auto"/>
        <w:ind w:left="0" w:right="0" w:firstLine="0"/>
        <w:jc w:val="left"/>
      </w:pPr>
      <w:r>
        <w:rPr>
          <w:color w:val="000000"/>
          <w:spacing w:val="0"/>
          <w:w w:val="100"/>
          <w:position w:val="0"/>
        </w:rPr>
        <w:t>截至资产负债表日，本公司不存在需要披露的或有事项。</w:t>
      </w:r>
    </w:p>
    <w:p>
      <w:pPr>
        <w:pStyle w:val="Style31"/>
        <w:keepNext/>
        <w:keepLines/>
        <w:widowControl w:val="0"/>
        <w:shd w:val="clear" w:color="auto" w:fill="auto"/>
        <w:tabs>
          <w:tab w:pos="493" w:val="left"/>
        </w:tabs>
        <w:bidi w:val="0"/>
        <w:spacing w:before="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w:t>
      </w:r>
      <w:bookmarkEnd w:id="185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849"/>
      <w:bookmarkEnd w:id="1850"/>
      <w:bookmarkEnd w:id="185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26"/>
        <w:keepNext/>
        <w:keepLines/>
        <w:widowControl w:val="0"/>
        <w:shd w:val="clear" w:color="auto" w:fill="auto"/>
        <w:tabs>
          <w:tab w:pos="378" w:val="left"/>
        </w:tabs>
        <w:bidi w:val="0"/>
        <w:spacing w:before="0" w:after="38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3</w:t>
      </w:r>
      <w:bookmarkEnd w:id="1855"/>
      <w:r>
        <w:rPr>
          <w:color w:val="000000"/>
          <w:spacing w:val="0"/>
          <w:w w:val="100"/>
          <w:position w:val="0"/>
        </w:rPr>
        <w:t>、</w:t>
        <w:tab/>
        <w:t>其他</w:t>
      </w:r>
      <w:bookmarkEnd w:id="1853"/>
      <w:bookmarkEnd w:id="1854"/>
      <w:bookmarkEnd w:id="1856"/>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1857" w:name="bookmark1857"/>
      <w:bookmarkStart w:id="1858" w:name="bookmark1858"/>
      <w:bookmarkStart w:id="1859" w:name="bookmark1859"/>
      <w:r>
        <w:rPr>
          <w:color w:val="000000"/>
          <w:spacing w:val="0"/>
          <w:w w:val="100"/>
          <w:position w:val="0"/>
        </w:rPr>
        <w:t>十五、资产负债表日后事项</w:t>
      </w:r>
      <w:bookmarkEnd w:id="1857"/>
      <w:bookmarkEnd w:id="1858"/>
      <w:bookmarkEnd w:id="1859"/>
    </w:p>
    <w:p>
      <w:pPr>
        <w:pStyle w:val="Style26"/>
        <w:keepNext/>
        <w:keepLines/>
        <w:widowControl w:val="0"/>
        <w:shd w:val="clear" w:color="auto" w:fill="auto"/>
        <w:bidi w:val="0"/>
        <w:spacing w:before="0" w:after="380" w:line="240" w:lineRule="auto"/>
        <w:ind w:left="0" w:right="0" w:firstLine="0"/>
        <w:jc w:val="left"/>
      </w:pPr>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860"/>
      <w:bookmarkEnd w:id="1861"/>
      <w:bookmarkEnd w:id="186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5,297,713.62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5,297,713.62</w:t>
            </w:r>
          </w:p>
        </w:tc>
      </w:tr>
    </w:tbl>
    <w:p>
      <w:pPr>
        <w:widowControl w:val="0"/>
        <w:spacing w:after="379" w:line="1" w:lineRule="exact"/>
      </w:pPr>
    </w:p>
    <w:p>
      <w:pPr>
        <w:pStyle w:val="Style26"/>
        <w:keepNext/>
        <w:keepLines/>
        <w:widowControl w:val="0"/>
        <w:shd w:val="clear" w:color="auto" w:fill="auto"/>
        <w:bidi w:val="0"/>
        <w:spacing w:before="0" w:after="380" w:line="240" w:lineRule="auto"/>
        <w:ind w:left="0" w:right="0" w:firstLine="0"/>
        <w:jc w:val="left"/>
      </w:pPr>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863"/>
      <w:bookmarkEnd w:id="1864"/>
      <w:bookmarkEnd w:id="1865"/>
    </w:p>
    <w:p>
      <w:pPr>
        <w:pStyle w:val="Style17"/>
        <w:keepNext w:val="0"/>
        <w:keepLines w:val="0"/>
        <w:widowControl w:val="0"/>
        <w:numPr>
          <w:ilvl w:val="0"/>
          <w:numId w:val="91"/>
        </w:numPr>
        <w:shd w:val="clear" w:color="auto" w:fill="auto"/>
        <w:bidi w:val="0"/>
        <w:spacing w:before="0" w:after="380" w:line="240" w:lineRule="auto"/>
        <w:ind w:left="0" w:right="0" w:firstLine="380"/>
        <w:jc w:val="left"/>
      </w:pPr>
      <w:bookmarkStart w:id="1866" w:name="bookmark1866"/>
      <w:bookmarkEnd w:id="1866"/>
      <w:r>
        <w:rPr>
          <w:color w:val="000000"/>
          <w:spacing w:val="0"/>
          <w:w w:val="100"/>
          <w:position w:val="0"/>
        </w:rPr>
        <w:t>受让和仁智慧公司股权</w:t>
      </w:r>
    </w:p>
    <w:p>
      <w:pPr>
        <w:pStyle w:val="Style1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根据本公司与控股股东磐源投资公司于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日签订的《股权转让协议》，本公司以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元受让控股股东磐源投 资公司持有的和仁智慧公司</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的股权（磐源投资公司未实际出资）。转让完成后，本公司持有和仁智慧公司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 和仁智慧公司已于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日办妥工商变更登记手续。</w:t>
      </w:r>
    </w:p>
    <w:p>
      <w:pPr>
        <w:pStyle w:val="Style17"/>
        <w:keepNext w:val="0"/>
        <w:keepLines w:val="0"/>
        <w:widowControl w:val="0"/>
        <w:numPr>
          <w:ilvl w:val="0"/>
          <w:numId w:val="91"/>
        </w:numPr>
        <w:shd w:val="clear" w:color="auto" w:fill="auto"/>
        <w:bidi w:val="0"/>
        <w:spacing w:before="0" w:after="0" w:line="360" w:lineRule="auto"/>
        <w:ind w:left="0" w:right="0" w:firstLine="380"/>
        <w:jc w:val="both"/>
      </w:pPr>
      <w:bookmarkStart w:id="1867" w:name="bookmark1867"/>
      <w:bookmarkEnd w:id="1867"/>
      <w:r>
        <w:rPr>
          <w:color w:val="000000"/>
          <w:spacing w:val="0"/>
          <w:w w:val="100"/>
          <w:position w:val="0"/>
        </w:rPr>
        <w:t>转让中锦保理公司股权</w:t>
      </w:r>
    </w:p>
    <w:p>
      <w:pPr>
        <w:pStyle w:val="Style17"/>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经公司总经理工作会议审议通过，本公司与杭州中锦金融控股有限公司于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日签订《股权转让协议》，本 公司拟以</w:t>
      </w:r>
      <w:r>
        <w:rPr>
          <w:rFonts w:ascii="Times New Roman" w:eastAsia="Times New Roman" w:hAnsi="Times New Roman" w:cs="Times New Roman"/>
          <w:color w:val="000000"/>
          <w:spacing w:val="0"/>
          <w:w w:val="100"/>
          <w:position w:val="0"/>
          <w:sz w:val="18"/>
          <w:szCs w:val="18"/>
        </w:rPr>
        <w:t>2,950.00</w:t>
      </w:r>
      <w:r>
        <w:rPr>
          <w:color w:val="000000"/>
          <w:spacing w:val="0"/>
          <w:w w:val="100"/>
          <w:position w:val="0"/>
        </w:rPr>
        <w:t>万元向杭州中锦金融控股有限公司转让本公司持有的中锦保理公司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的股权，本公司已于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日收到股权转让款</w:t>
      </w:r>
      <w:r>
        <w:rPr>
          <w:rFonts w:ascii="Times New Roman" w:eastAsia="Times New Roman" w:hAnsi="Times New Roman" w:cs="Times New Roman"/>
          <w:color w:val="000000"/>
          <w:spacing w:val="0"/>
          <w:w w:val="100"/>
          <w:position w:val="0"/>
          <w:sz w:val="18"/>
          <w:szCs w:val="18"/>
        </w:rPr>
        <w:t>2,950.00</w:t>
      </w:r>
      <w:r>
        <w:rPr>
          <w:color w:val="000000"/>
          <w:spacing w:val="0"/>
          <w:w w:val="100"/>
          <w:position w:val="0"/>
        </w:rPr>
        <w:t>万元。截至本财务报表批准报出日，中锦保理公司尚未完成工商变更登记。</w:t>
      </w:r>
    </w:p>
    <w:p>
      <w:pPr>
        <w:pStyle w:val="Style21"/>
        <w:keepNext/>
        <w:keepLines/>
        <w:widowControl w:val="0"/>
        <w:shd w:val="clear" w:color="auto" w:fill="auto"/>
        <w:bidi w:val="0"/>
        <w:spacing w:before="0" w:line="240" w:lineRule="auto"/>
        <w:ind w:left="0" w:right="0" w:firstLine="0"/>
        <w:jc w:val="left"/>
      </w:pPr>
      <w:bookmarkStart w:id="1868" w:name="bookmark1868"/>
      <w:bookmarkStart w:id="1869" w:name="bookmark1869"/>
      <w:bookmarkStart w:id="1870" w:name="bookmark1870"/>
      <w:r>
        <w:rPr>
          <w:color w:val="000000"/>
          <w:spacing w:val="0"/>
          <w:w w:val="100"/>
          <w:position w:val="0"/>
        </w:rPr>
        <w:t>十六、其他重要事项</w:t>
      </w:r>
      <w:bookmarkEnd w:id="1868"/>
      <w:bookmarkEnd w:id="1869"/>
      <w:bookmarkEnd w:id="1870"/>
    </w:p>
    <w:p>
      <w:pPr>
        <w:pStyle w:val="Style26"/>
        <w:keepNext/>
        <w:keepLines/>
        <w:widowControl w:val="0"/>
        <w:shd w:val="clear" w:color="auto" w:fill="auto"/>
        <w:bidi w:val="0"/>
        <w:spacing w:before="0" w:line="240" w:lineRule="auto"/>
        <w:ind w:left="0" w:right="0" w:firstLine="0"/>
        <w:jc w:val="left"/>
      </w:pPr>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871"/>
      <w:bookmarkEnd w:id="1872"/>
      <w:bookmarkEnd w:id="1873"/>
    </w:p>
    <w:p>
      <w:pPr>
        <w:pStyle w:val="Style31"/>
        <w:keepNext/>
        <w:keepLines/>
        <w:widowControl w:val="0"/>
        <w:shd w:val="clear" w:color="auto" w:fill="auto"/>
        <w:tabs>
          <w:tab w:pos="493" w:val="left"/>
        </w:tabs>
        <w:bidi w:val="0"/>
        <w:spacing w:before="0" w:after="36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874"/>
      <w:bookmarkEnd w:id="1875"/>
      <w:bookmarkEnd w:id="1877"/>
    </w:p>
    <w:p>
      <w:pPr>
        <w:pStyle w:val="Style31"/>
        <w:keepNext/>
        <w:keepLines/>
        <w:widowControl w:val="0"/>
        <w:shd w:val="clear" w:color="auto" w:fill="auto"/>
        <w:tabs>
          <w:tab w:pos="493" w:val="left"/>
        </w:tabs>
        <w:bidi w:val="0"/>
        <w:spacing w:before="0" w:after="36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878"/>
      <w:bookmarkEnd w:id="1879"/>
      <w:bookmarkEnd w:id="188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tabs>
          <w:tab w:pos="493" w:val="left"/>
        </w:tabs>
        <w:bidi w:val="0"/>
        <w:spacing w:before="0" w:after="26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882"/>
      <w:bookmarkEnd w:id="1883"/>
      <w:bookmarkEnd w:id="1885"/>
    </w:p>
    <w:p>
      <w:pPr>
        <w:pStyle w:val="Style17"/>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本公司主要业务为医疗机构的医疗信息系统及数字化场景应用系统的研发销售、实施集成、服务支持。公司将此业务视 作为一个整体实施管理、评估经营成果。因此，本公司无需披露分部信息。</w:t>
      </w:r>
    </w:p>
    <w:p>
      <w:pPr>
        <w:pStyle w:val="Style31"/>
        <w:keepNext/>
        <w:keepLines/>
        <w:widowControl w:val="0"/>
        <w:shd w:val="clear" w:color="auto" w:fill="auto"/>
        <w:tabs>
          <w:tab w:pos="493" w:val="left"/>
        </w:tabs>
        <w:bidi w:val="0"/>
        <w:spacing w:before="0" w:after="360" w:line="240" w:lineRule="auto"/>
        <w:ind w:left="0" w:right="0" w:firstLine="0"/>
        <w:jc w:val="both"/>
      </w:pPr>
      <w:bookmarkStart w:id="1886" w:name="bookmark1886"/>
      <w:bookmarkStart w:id="1887" w:name="bookmark1887"/>
      <w:bookmarkStart w:id="1888" w:name="bookmark1888"/>
      <w:bookmarkStart w:id="1889" w:name="bookmark1889"/>
      <w:r>
        <w:rPr>
          <w:color w:val="000000"/>
          <w:spacing w:val="0"/>
          <w:w w:val="100"/>
          <w:position w:val="0"/>
        </w:rPr>
        <w:t>（</w:t>
      </w:r>
      <w:bookmarkEnd w:id="1888"/>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886"/>
      <w:bookmarkEnd w:id="1887"/>
      <w:bookmarkEnd w:id="1889"/>
    </w:p>
    <w:p>
      <w:pPr>
        <w:pStyle w:val="Style40"/>
        <w:keepNext w:val="0"/>
        <w:keepLines w:val="0"/>
        <w:widowControl w:val="0"/>
        <w:shd w:val="clear" w:color="auto" w:fill="auto"/>
        <w:bidi w:val="0"/>
        <w:spacing w:before="0" w:line="240" w:lineRule="auto"/>
        <w:ind w:left="0" w:right="0" w:firstLine="440"/>
        <w:jc w:val="left"/>
      </w:pPr>
      <w:r>
        <w:rPr>
          <w:color w:val="000000"/>
          <w:spacing w:val="0"/>
          <w:w w:val="100"/>
          <w:position w:val="0"/>
        </w:rPr>
        <w:t>无</w:t>
      </w:r>
    </w:p>
    <w:p>
      <w:pPr>
        <w:pStyle w:val="Style26"/>
        <w:keepNext/>
        <w:keepLines/>
        <w:widowControl w:val="0"/>
        <w:shd w:val="clear" w:color="auto" w:fill="auto"/>
        <w:tabs>
          <w:tab w:pos="378" w:val="left"/>
        </w:tabs>
        <w:bidi w:val="0"/>
        <w:spacing w:before="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2</w:t>
      </w:r>
      <w:bookmarkEnd w:id="1892"/>
      <w:r>
        <w:rPr>
          <w:color w:val="000000"/>
          <w:spacing w:val="0"/>
          <w:w w:val="100"/>
          <w:position w:val="0"/>
        </w:rPr>
        <w:t>、</w:t>
        <w:tab/>
        <w:t>其他对投资者决策有影响的重要交易和事项</w:t>
      </w:r>
      <w:bookmarkEnd w:id="1890"/>
      <w:bookmarkEnd w:id="1891"/>
      <w:bookmarkEnd w:id="1893"/>
    </w:p>
    <w:p>
      <w:pPr>
        <w:pStyle w:val="Style26"/>
        <w:keepNext/>
        <w:keepLines/>
        <w:widowControl w:val="0"/>
        <w:shd w:val="clear" w:color="auto" w:fill="auto"/>
        <w:tabs>
          <w:tab w:pos="378" w:val="left"/>
        </w:tabs>
        <w:bidi w:val="0"/>
        <w:spacing w:before="0" w:after="260" w:line="240" w:lineRule="auto"/>
        <w:ind w:left="0" w:right="0" w:firstLine="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3</w:t>
      </w:r>
      <w:bookmarkEnd w:id="1896"/>
      <w:r>
        <w:rPr>
          <w:color w:val="000000"/>
          <w:spacing w:val="0"/>
          <w:w w:val="100"/>
          <w:position w:val="0"/>
        </w:rPr>
        <w:t>、</w:t>
        <w:tab/>
        <w:t>其他</w:t>
      </w:r>
      <w:bookmarkEnd w:id="1894"/>
      <w:bookmarkEnd w:id="1895"/>
      <w:bookmarkEnd w:id="1897"/>
    </w:p>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租赁</w:t>
      </w:r>
    </w:p>
    <w:p>
      <w:pPr>
        <w:pStyle w:val="Style17"/>
        <w:keepNext w:val="0"/>
        <w:keepLines w:val="0"/>
        <w:widowControl w:val="0"/>
        <w:numPr>
          <w:ilvl w:val="0"/>
          <w:numId w:val="93"/>
        </w:numPr>
        <w:shd w:val="clear" w:color="auto" w:fill="auto"/>
        <w:bidi w:val="0"/>
        <w:spacing w:before="0" w:after="140" w:line="326" w:lineRule="exact"/>
        <w:ind w:left="0" w:right="0" w:firstLine="0"/>
        <w:jc w:val="left"/>
      </w:pPr>
      <w:bookmarkStart w:id="1898" w:name="bookmark1898"/>
      <w:bookmarkEnd w:id="1898"/>
      <w:r>
        <w:rPr>
          <w:color w:val="000000"/>
          <w:spacing w:val="0"/>
          <w:w w:val="100"/>
          <w:position w:val="0"/>
        </w:rPr>
        <w:t>公司作为承租人</w:t>
      </w:r>
    </w:p>
    <w:p>
      <w:pPr>
        <w:pStyle w:val="Style17"/>
        <w:keepNext w:val="0"/>
        <w:keepLines w:val="0"/>
        <w:widowControl w:val="0"/>
        <w:shd w:val="clear" w:color="auto" w:fill="auto"/>
        <w:tabs>
          <w:tab w:pos="402" w:val="left"/>
        </w:tabs>
        <w:bidi w:val="0"/>
        <w:spacing w:before="0" w:after="0" w:line="379" w:lineRule="auto"/>
        <w:ind w:left="0" w:right="0" w:firstLine="0"/>
        <w:jc w:val="left"/>
      </w:pPr>
      <w:bookmarkStart w:id="1899" w:name="bookmark1899"/>
      <w:r>
        <w:rPr>
          <w:rFonts w:ascii="Times New Roman" w:eastAsia="Times New Roman" w:hAnsi="Times New Roman" w:cs="Times New Roman"/>
          <w:color w:val="000000"/>
          <w:spacing w:val="0"/>
          <w:w w:val="100"/>
          <w:position w:val="0"/>
          <w:sz w:val="18"/>
          <w:szCs w:val="18"/>
        </w:rPr>
        <w:t>（</w:t>
      </w:r>
      <w:bookmarkEnd w:id="1899"/>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使用权资产相关信息详见本财务报表附注七、</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之说明。</w:t>
      </w:r>
    </w:p>
    <w:p>
      <w:pPr>
        <w:pStyle w:val="Style17"/>
        <w:keepNext w:val="0"/>
        <w:keepLines w:val="0"/>
        <w:widowControl w:val="0"/>
        <w:shd w:val="clear" w:color="auto" w:fill="auto"/>
        <w:tabs>
          <w:tab w:pos="402" w:val="left"/>
        </w:tabs>
        <w:bidi w:val="0"/>
        <w:spacing w:before="0" w:after="80" w:line="326" w:lineRule="exact"/>
        <w:ind w:left="0" w:right="0" w:firstLine="0"/>
        <w:jc w:val="left"/>
      </w:pPr>
      <w:bookmarkStart w:id="1900" w:name="bookmark1900"/>
      <w:r>
        <w:rPr>
          <w:rFonts w:ascii="Times New Roman" w:eastAsia="Times New Roman" w:hAnsi="Times New Roman" w:cs="Times New Roman"/>
          <w:color w:val="000000"/>
          <w:spacing w:val="0"/>
          <w:w w:val="100"/>
          <w:position w:val="0"/>
          <w:sz w:val="18"/>
          <w:szCs w:val="18"/>
        </w:rPr>
        <w:t>（</w:t>
      </w:r>
      <w:bookmarkEnd w:id="1900"/>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公司对短期租赁和低价值资产租赁的会计政策详见本财务报表附注五、</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之说明。计入当期损益的短期租赁费用和低价 值资产租赁费用金额如下：</w:t>
      </w:r>
    </w:p>
    <w:tbl>
      <w:tblPr>
        <w:tblOverlap w:val="never"/>
        <w:jc w:val="center"/>
        <w:tblLayout w:type="fixed"/>
      </w:tblPr>
      <w:tblGrid>
        <w:gridCol w:w="4690"/>
        <w:gridCol w:w="1930"/>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3,667,534.40</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3,667,534.40</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bookmarkStart w:id="1901" w:name="bookmark1901"/>
      <w:r>
        <w:rPr>
          <w:rFonts w:ascii="Times New Roman" w:eastAsia="Times New Roman" w:hAnsi="Times New Roman" w:cs="Times New Roman"/>
          <w:color w:val="000000"/>
          <w:spacing w:val="0"/>
          <w:w w:val="100"/>
          <w:position w:val="0"/>
          <w:sz w:val="18"/>
          <w:szCs w:val="18"/>
        </w:rPr>
        <w:t>（</w:t>
      </w:r>
      <w:bookmarkEnd w:id="1901"/>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与租赁相关的当期损益及现金流</w:t>
      </w:r>
    </w:p>
    <w:tbl>
      <w:tblPr>
        <w:tblOverlap w:val="never"/>
        <w:jc w:val="center"/>
        <w:tblLayout w:type="fixed"/>
      </w:tblPr>
      <w:tblGrid>
        <w:gridCol w:w="4690"/>
        <w:gridCol w:w="1930"/>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106,379.41</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与租赁相关的总现金流出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5,985,699.18</w:t>
            </w:r>
          </w:p>
        </w:tc>
      </w:tr>
    </w:tbl>
    <w:p>
      <w:pPr>
        <w:widowControl w:val="0"/>
        <w:spacing w:after="59" w:line="1" w:lineRule="exact"/>
      </w:pPr>
    </w:p>
    <w:p>
      <w:pPr>
        <w:pStyle w:val="Style17"/>
        <w:keepNext w:val="0"/>
        <w:keepLines w:val="0"/>
        <w:widowControl w:val="0"/>
        <w:numPr>
          <w:ilvl w:val="0"/>
          <w:numId w:val="95"/>
        </w:numPr>
        <w:shd w:val="clear" w:color="auto" w:fill="auto"/>
        <w:bidi w:val="0"/>
        <w:spacing w:before="0" w:after="140" w:line="240" w:lineRule="auto"/>
        <w:ind w:left="0" w:right="0" w:firstLine="0"/>
        <w:jc w:val="left"/>
      </w:pPr>
      <w:bookmarkStart w:id="1902" w:name="bookmark1902"/>
      <w:bookmarkEnd w:id="1902"/>
      <w:r>
        <w:rPr>
          <w:color w:val="000000"/>
          <w:spacing w:val="0"/>
          <w:w w:val="100"/>
          <w:position w:val="0"/>
        </w:rPr>
        <w:t>租赁负债的到期期限分析和相应流动性风险管理详见本财务报表附注十之说明。</w:t>
      </w:r>
    </w:p>
    <w:p>
      <w:pPr>
        <w:pStyle w:val="Style17"/>
        <w:keepNext w:val="0"/>
        <w:keepLines w:val="0"/>
        <w:widowControl w:val="0"/>
        <w:numPr>
          <w:ilvl w:val="0"/>
          <w:numId w:val="93"/>
        </w:numPr>
        <w:shd w:val="clear" w:color="auto" w:fill="auto"/>
        <w:bidi w:val="0"/>
        <w:spacing w:before="0" w:after="140" w:line="240" w:lineRule="auto"/>
        <w:ind w:left="0" w:right="0" w:firstLine="0"/>
        <w:jc w:val="left"/>
      </w:pPr>
      <w:bookmarkStart w:id="1903" w:name="bookmark1903"/>
      <w:bookmarkEnd w:id="1903"/>
      <w:r>
        <w:rPr>
          <w:color w:val="000000"/>
          <w:spacing w:val="0"/>
          <w:w w:val="100"/>
          <w:position w:val="0"/>
        </w:rPr>
        <w:t>公司作为出租人</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经营租赁</w:t>
      </w:r>
    </w:p>
    <w:p>
      <w:pPr>
        <w:pStyle w:val="Style1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租赁收入</w:t>
      </w:r>
    </w:p>
    <w:tbl>
      <w:tblPr>
        <w:tblOverlap w:val="never"/>
        <w:jc w:val="center"/>
        <w:tblLayout w:type="fixed"/>
      </w:tblPr>
      <w:tblGrid>
        <w:gridCol w:w="4690"/>
        <w:gridCol w:w="1930"/>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11,424,640.28</w:t>
            </w:r>
          </w:p>
        </w:tc>
      </w:tr>
    </w:tbl>
    <w:p>
      <w:pPr>
        <w:widowControl w:val="0"/>
        <w:spacing w:after="59" w:line="1" w:lineRule="exact"/>
      </w:pPr>
    </w:p>
    <w:p>
      <w:pPr>
        <w:pStyle w:val="Style1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经营租赁资产</w:t>
      </w:r>
    </w:p>
    <w:tbl>
      <w:tblPr>
        <w:tblOverlap w:val="never"/>
        <w:jc w:val="center"/>
        <w:tblLayout w:type="fixed"/>
      </w:tblPr>
      <w:tblGrid>
        <w:gridCol w:w="4690"/>
        <w:gridCol w:w="1930"/>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62,941,400.43</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62,941,400.43</w:t>
            </w:r>
          </w:p>
        </w:tc>
      </w:tr>
    </w:tbl>
    <w:p>
      <w:pPr>
        <w:widowControl w:val="0"/>
        <w:spacing w:after="599" w:line="1" w:lineRule="exact"/>
      </w:pPr>
    </w:p>
    <w:p>
      <w:pPr>
        <w:pStyle w:val="Style17"/>
        <w:keepNext w:val="0"/>
        <w:keepLines w:val="0"/>
        <w:widowControl w:val="0"/>
        <w:shd w:val="clear" w:color="auto" w:fill="auto"/>
        <w:bidi w:val="0"/>
        <w:spacing w:before="0" w:after="60" w:line="313" w:lineRule="exact"/>
        <w:ind w:left="0" w:right="0" w:firstLine="0"/>
        <w:jc w:val="left"/>
      </w:pPr>
      <w:r>
        <w:rPr>
          <w:color w:val="000000"/>
          <w:spacing w:val="0"/>
          <w:w w:val="100"/>
          <w:position w:val="0"/>
        </w:rPr>
        <w:t>控股股东及实际控制人变更</w:t>
      </w:r>
    </w:p>
    <w:p>
      <w:pPr>
        <w:pStyle w:val="Style17"/>
        <w:keepNext w:val="0"/>
        <w:keepLines w:val="0"/>
        <w:widowControl w:val="0"/>
        <w:shd w:val="clear" w:color="auto" w:fill="auto"/>
        <w:bidi w:val="0"/>
        <w:spacing w:before="0" w:after="60" w:line="313"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日，磐源投资公司、杨一兵及杨波与科学城(广州)信息科技集团有限公司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以下简称科学城信科集团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签署《股份转让协议》，同日，磐源投资公司、磐鸿投资合伙企业、杨一兵及杨波与科学城信科集团公司签署《表决权 放弃协议》，磐源投资公司拟通过协议转让方式向科学城信科集团公司转让其持有的本公司</w:t>
      </w:r>
      <w:r>
        <w:rPr>
          <w:rFonts w:ascii="Times New Roman" w:eastAsia="Times New Roman" w:hAnsi="Times New Roman" w:cs="Times New Roman"/>
          <w:color w:val="000000"/>
          <w:spacing w:val="0"/>
          <w:w w:val="100"/>
          <w:position w:val="0"/>
          <w:sz w:val="18"/>
          <w:szCs w:val="18"/>
        </w:rPr>
        <w:t>79,400,000</w:t>
      </w:r>
      <w:r>
        <w:rPr>
          <w:color w:val="000000"/>
          <w:spacing w:val="0"/>
          <w:w w:val="100"/>
          <w:position w:val="0"/>
        </w:rPr>
        <w:t>股股份，占本公司总 股本比例为</w:t>
      </w:r>
      <w:r>
        <w:rPr>
          <w:rFonts w:ascii="Times New Roman" w:eastAsia="Times New Roman" w:hAnsi="Times New Roman" w:cs="Times New Roman"/>
          <w:color w:val="000000"/>
          <w:spacing w:val="0"/>
          <w:w w:val="100"/>
          <w:position w:val="0"/>
          <w:sz w:val="18"/>
          <w:szCs w:val="18"/>
        </w:rPr>
        <w:t>29.96%</w:t>
      </w:r>
      <w:r>
        <w:rPr>
          <w:color w:val="000000"/>
          <w:spacing w:val="0"/>
          <w:w w:val="100"/>
          <w:position w:val="0"/>
        </w:rPr>
        <w:t>，转让总价</w:t>
      </w:r>
      <w:r>
        <w:rPr>
          <w:rFonts w:ascii="Times New Roman" w:eastAsia="Times New Roman" w:hAnsi="Times New Roman" w:cs="Times New Roman"/>
          <w:color w:val="000000"/>
          <w:spacing w:val="0"/>
          <w:w w:val="100"/>
          <w:position w:val="0"/>
          <w:sz w:val="18"/>
          <w:szCs w:val="18"/>
        </w:rPr>
        <w:t>1,078,252,000.00</w:t>
      </w:r>
      <w:r>
        <w:rPr>
          <w:color w:val="000000"/>
          <w:spacing w:val="0"/>
          <w:w w:val="100"/>
          <w:position w:val="0"/>
        </w:rPr>
        <w:t>元；自《股份转让协议》约定的股份交割完成日，磐源投资公司及磐鸿投资 合伙企业将放弃其持有的本公司</w:t>
      </w:r>
      <w:r>
        <w:rPr>
          <w:rFonts w:ascii="Times New Roman" w:eastAsia="Times New Roman" w:hAnsi="Times New Roman" w:cs="Times New Roman"/>
          <w:color w:val="000000"/>
          <w:spacing w:val="0"/>
          <w:w w:val="100"/>
          <w:position w:val="0"/>
          <w:sz w:val="18"/>
          <w:szCs w:val="18"/>
        </w:rPr>
        <w:t>24,796,236</w:t>
      </w:r>
      <w:r>
        <w:rPr>
          <w:color w:val="000000"/>
          <w:spacing w:val="0"/>
          <w:w w:val="100"/>
          <w:position w:val="0"/>
        </w:rPr>
        <w:t>股(即占本公司总股本</w:t>
      </w:r>
      <w:r>
        <w:rPr>
          <w:rFonts w:ascii="Times New Roman" w:eastAsia="Times New Roman" w:hAnsi="Times New Roman" w:cs="Times New Roman"/>
          <w:color w:val="000000"/>
          <w:spacing w:val="0"/>
          <w:w w:val="100"/>
          <w:position w:val="0"/>
          <w:sz w:val="18"/>
          <w:szCs w:val="18"/>
        </w:rPr>
        <w:t>9.36%</w:t>
      </w:r>
      <w:r>
        <w:rPr>
          <w:color w:val="000000"/>
          <w:spacing w:val="0"/>
          <w:w w:val="100"/>
          <w:position w:val="0"/>
        </w:rPr>
        <w:t>)的部分股份所涉及的表决权、提案权等根据法律、 法规和上市公司章程所约定的股东权利；磐源投资公司、磐鸿投资合伙企业、杨一兵及杨波就本公司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年业绩 进行承诺，现有业务在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年度实现的净利润分别不低于</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4,500.00 </w:t>
      </w:r>
      <w:r>
        <w:rPr>
          <w:color w:val="000000"/>
          <w:spacing w:val="0"/>
          <w:w w:val="100"/>
          <w:position w:val="0"/>
        </w:rPr>
        <w:t>万元，三年合计不低于</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万元，若公司现有业务在业绩承诺期间累计实现的净利润未达到承诺合计净利润的，磐源 投资公司、磐鸿投资合伙企业承诺在业绩承诺期最后一年的年度报告披露后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个工作日内，向科学城信科集团公司进行现 金补偿。</w:t>
      </w:r>
    </w:p>
    <w:p>
      <w:pPr>
        <w:pStyle w:val="Style17"/>
        <w:keepNext w:val="0"/>
        <w:keepLines w:val="0"/>
        <w:widowControl w:val="0"/>
        <w:shd w:val="clear" w:color="auto" w:fill="auto"/>
        <w:bidi w:val="0"/>
        <w:spacing w:before="0" w:after="60" w:line="316" w:lineRule="exact"/>
        <w:ind w:left="0" w:right="0" w:firstLine="380"/>
        <w:jc w:val="both"/>
      </w:pPr>
      <w:r>
        <w:rPr>
          <w:color w:val="000000"/>
          <w:spacing w:val="0"/>
          <w:w w:val="100"/>
          <w:position w:val="0"/>
        </w:rPr>
        <w:t>本次交易完成后，磐源投资公司将持有本公司股份</w:t>
      </w:r>
      <w:r>
        <w:rPr>
          <w:rFonts w:ascii="Times New Roman" w:eastAsia="Times New Roman" w:hAnsi="Times New Roman" w:cs="Times New Roman"/>
          <w:color w:val="000000"/>
          <w:spacing w:val="0"/>
          <w:w w:val="100"/>
          <w:position w:val="0"/>
          <w:sz w:val="18"/>
          <w:szCs w:val="18"/>
        </w:rPr>
        <w:t>37,054,980</w:t>
      </w:r>
      <w:r>
        <w:rPr>
          <w:color w:val="000000"/>
          <w:spacing w:val="0"/>
          <w:w w:val="100"/>
          <w:position w:val="0"/>
        </w:rPr>
        <w:t>股，占本公司总股本比例为</w:t>
      </w:r>
      <w:r>
        <w:rPr>
          <w:rFonts w:ascii="Times New Roman" w:eastAsia="Times New Roman" w:hAnsi="Times New Roman" w:cs="Times New Roman"/>
          <w:color w:val="000000"/>
          <w:spacing w:val="0"/>
          <w:w w:val="100"/>
          <w:position w:val="0"/>
          <w:sz w:val="18"/>
          <w:szCs w:val="18"/>
        </w:rPr>
        <w:t>13.98%</w:t>
      </w:r>
      <w:r>
        <w:rPr>
          <w:color w:val="000000"/>
          <w:spacing w:val="0"/>
          <w:w w:val="100"/>
          <w:position w:val="0"/>
        </w:rPr>
        <w:t>，享有本公司表决权 的股份占本公司总股本比例为</w:t>
      </w:r>
      <w:r>
        <w:rPr>
          <w:rFonts w:ascii="Times New Roman" w:eastAsia="Times New Roman" w:hAnsi="Times New Roman" w:cs="Times New Roman"/>
          <w:color w:val="000000"/>
          <w:spacing w:val="0"/>
          <w:w w:val="100"/>
          <w:position w:val="0"/>
          <w:sz w:val="18"/>
          <w:szCs w:val="18"/>
        </w:rPr>
        <w:t>4.63%</w:t>
      </w:r>
      <w:r>
        <w:rPr>
          <w:color w:val="000000"/>
          <w:spacing w:val="0"/>
          <w:w w:val="100"/>
          <w:position w:val="0"/>
        </w:rPr>
        <w:t>；磐鸿投资合伙企业持有本公司股份</w:t>
      </w:r>
      <w:r>
        <w:rPr>
          <w:rFonts w:ascii="Times New Roman" w:eastAsia="Times New Roman" w:hAnsi="Times New Roman" w:cs="Times New Roman"/>
          <w:color w:val="000000"/>
          <w:spacing w:val="0"/>
          <w:w w:val="100"/>
          <w:position w:val="0"/>
          <w:sz w:val="18"/>
          <w:szCs w:val="18"/>
        </w:rPr>
        <w:t>14,240,800</w:t>
      </w:r>
      <w:r>
        <w:rPr>
          <w:color w:val="000000"/>
          <w:spacing w:val="0"/>
          <w:w w:val="100"/>
          <w:position w:val="0"/>
        </w:rPr>
        <w:t>股，占本公司总股本比例为</w:t>
      </w:r>
      <w:r>
        <w:rPr>
          <w:rFonts w:ascii="Times New Roman" w:eastAsia="Times New Roman" w:hAnsi="Times New Roman" w:cs="Times New Roman"/>
          <w:color w:val="000000"/>
          <w:spacing w:val="0"/>
          <w:w w:val="100"/>
          <w:position w:val="0"/>
          <w:sz w:val="18"/>
          <w:szCs w:val="18"/>
        </w:rPr>
        <w:t>5.37%</w:t>
      </w:r>
      <w:r>
        <w:rPr>
          <w:color w:val="000000"/>
          <w:spacing w:val="0"/>
          <w:w w:val="100"/>
          <w:position w:val="0"/>
        </w:rPr>
        <w:t>，享 有本公司表决权的股份占本公司总股本比例为</w:t>
      </w:r>
      <w:r>
        <w:rPr>
          <w:rFonts w:ascii="Times New Roman" w:eastAsia="Times New Roman" w:hAnsi="Times New Roman" w:cs="Times New Roman"/>
          <w:color w:val="000000"/>
          <w:spacing w:val="0"/>
          <w:w w:val="100"/>
          <w:position w:val="0"/>
          <w:sz w:val="18"/>
          <w:szCs w:val="18"/>
        </w:rPr>
        <w:t>5.37%</w:t>
      </w:r>
      <w:r>
        <w:rPr>
          <w:color w:val="000000"/>
          <w:spacing w:val="0"/>
          <w:w w:val="100"/>
          <w:position w:val="0"/>
        </w:rPr>
        <w:t>。科学城信科集团公司将持有本公司</w:t>
      </w:r>
      <w:r>
        <w:rPr>
          <w:rFonts w:ascii="Times New Roman" w:eastAsia="Times New Roman" w:hAnsi="Times New Roman" w:cs="Times New Roman"/>
          <w:color w:val="000000"/>
          <w:spacing w:val="0"/>
          <w:w w:val="100"/>
          <w:position w:val="0"/>
          <w:sz w:val="18"/>
          <w:szCs w:val="18"/>
        </w:rPr>
        <w:t>79,400,000</w:t>
      </w:r>
      <w:r>
        <w:rPr>
          <w:color w:val="000000"/>
          <w:spacing w:val="0"/>
          <w:w w:val="100"/>
          <w:position w:val="0"/>
        </w:rPr>
        <w:t>股，占本公司总股本比 例为</w:t>
      </w:r>
      <w:r>
        <w:rPr>
          <w:rFonts w:ascii="Times New Roman" w:eastAsia="Times New Roman" w:hAnsi="Times New Roman" w:cs="Times New Roman"/>
          <w:color w:val="000000"/>
          <w:spacing w:val="0"/>
          <w:w w:val="100"/>
          <w:position w:val="0"/>
          <w:sz w:val="18"/>
          <w:szCs w:val="18"/>
        </w:rPr>
        <w:t>29.96%</w:t>
      </w:r>
      <w:r>
        <w:rPr>
          <w:color w:val="000000"/>
          <w:spacing w:val="0"/>
          <w:w w:val="100"/>
          <w:position w:val="0"/>
        </w:rPr>
        <w:t>，享有本公司表决权的股份占本公司总股本比例为</w:t>
      </w:r>
      <w:r>
        <w:rPr>
          <w:rFonts w:ascii="Times New Roman" w:eastAsia="Times New Roman" w:hAnsi="Times New Roman" w:cs="Times New Roman"/>
          <w:color w:val="000000"/>
          <w:spacing w:val="0"/>
          <w:w w:val="100"/>
          <w:position w:val="0"/>
          <w:sz w:val="18"/>
          <w:szCs w:val="18"/>
        </w:rPr>
        <w:t>39.32%</w:t>
      </w:r>
      <w:r>
        <w:rPr>
          <w:color w:val="000000"/>
          <w:spacing w:val="0"/>
          <w:w w:val="100"/>
          <w:position w:val="0"/>
        </w:rPr>
        <w:t>。本公司的控股股东将变更为科学城信科集团公司， 实际控制人将变更为广州经济技术开发区管理委员会。</w:t>
      </w:r>
    </w:p>
    <w:p>
      <w:pPr>
        <w:pStyle w:val="Style17"/>
        <w:keepNext w:val="0"/>
        <w:keepLines w:val="0"/>
        <w:widowControl w:val="0"/>
        <w:shd w:val="clear" w:color="auto" w:fill="auto"/>
        <w:bidi w:val="0"/>
        <w:spacing w:before="0" w:after="60" w:line="317" w:lineRule="exact"/>
        <w:ind w:left="0" w:right="0" w:firstLine="380"/>
        <w:jc w:val="both"/>
      </w:pPr>
      <w:r>
        <w:rPr>
          <w:color w:val="000000"/>
          <w:spacing w:val="0"/>
          <w:w w:val="100"/>
          <w:position w:val="0"/>
        </w:rPr>
        <w:t>截至本财务报表批准报出日，上述交易安排已通过国家市场监督管理总局反垄断审查，上述股权转让尚需受让方上级国 有资产监督管理部门的同意，以及通过深圳证券交易所合规性审核。</w:t>
      </w:r>
      <w:r>
        <w:br w:type="page"/>
      </w:r>
    </w:p>
    <w:p>
      <w:pPr>
        <w:pStyle w:val="Style21"/>
        <w:keepNext/>
        <w:keepLines/>
        <w:widowControl w:val="0"/>
        <w:shd w:val="clear" w:color="auto" w:fill="auto"/>
        <w:bidi w:val="0"/>
        <w:spacing w:before="0" w:after="380" w:line="240" w:lineRule="auto"/>
        <w:ind w:left="0" w:right="0" w:firstLine="0"/>
        <w:jc w:val="left"/>
      </w:pPr>
      <w:bookmarkStart w:id="1904" w:name="bookmark1904"/>
      <w:bookmarkStart w:id="1905" w:name="bookmark1905"/>
      <w:bookmarkStart w:id="1906" w:name="bookmark1906"/>
      <w:r>
        <w:rPr>
          <w:color w:val="000000"/>
          <w:spacing w:val="0"/>
          <w:w w:val="100"/>
          <w:position w:val="0"/>
        </w:rPr>
        <w:t>十七、母公司财务报表主要项目注释</w:t>
      </w:r>
      <w:bookmarkEnd w:id="1904"/>
      <w:bookmarkEnd w:id="1905"/>
      <w:bookmarkEnd w:id="1906"/>
    </w:p>
    <w:p>
      <w:pPr>
        <w:pStyle w:val="Style26"/>
        <w:keepNext/>
        <w:keepLines/>
        <w:widowControl w:val="0"/>
        <w:shd w:val="clear" w:color="auto" w:fill="auto"/>
        <w:bidi w:val="0"/>
        <w:spacing w:before="0" w:after="380" w:line="240" w:lineRule="auto"/>
        <w:ind w:left="0" w:right="0" w:firstLine="0"/>
        <w:jc w:val="left"/>
      </w:pPr>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07"/>
      <w:bookmarkEnd w:id="1908"/>
      <w:bookmarkEnd w:id="1909"/>
    </w:p>
    <w:p>
      <w:pPr>
        <w:pStyle w:val="Style31"/>
        <w:keepNext/>
        <w:keepLines/>
        <w:widowControl w:val="0"/>
        <w:shd w:val="clear" w:color="auto" w:fill="auto"/>
        <w:bidi w:val="0"/>
        <w:spacing w:before="0" w:line="240" w:lineRule="auto"/>
        <w:ind w:left="0" w:right="0" w:firstLine="0"/>
        <w:jc w:val="left"/>
      </w:pPr>
      <w:bookmarkStart w:id="1910" w:name="bookmark1910"/>
      <w:bookmarkStart w:id="1911" w:name="bookmark1911"/>
      <w:bookmarkStart w:id="1912" w:name="bookmark19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10"/>
      <w:bookmarkEnd w:id="1911"/>
      <w:bookmarkEnd w:id="1912"/>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294,692,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103,202,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95,780,07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198,036,22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294,692,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103,202,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95,780,07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198,036,22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17"/>
        <w:keepNext w:val="0"/>
        <w:keepLines w:val="0"/>
        <w:widowControl w:val="0"/>
        <w:shd w:val="clear" w:color="auto" w:fill="auto"/>
        <w:bidi w:val="0"/>
        <w:spacing w:before="0" w:after="80" w:line="312" w:lineRule="exact"/>
        <w:ind w:left="0" w:right="0" w:firstLine="0"/>
        <w:jc w:val="both"/>
      </w:pPr>
      <w:r>
        <w:rPr>
          <w:color w:val="000000"/>
          <w:spacing w:val="0"/>
          <w:w w:val="100"/>
          <w:position w:val="0"/>
        </w:rPr>
        <w:t>确定该组合依据的说明：</w:t>
      </w:r>
    </w:p>
    <w:p>
      <w:pPr>
        <w:pStyle w:val="Style1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参考历史信用损失经验，结合当前状况以及对未来经济状况的预测，通过违约风险敞口和整个存续期预期信用损失率，计算 预期信用损失。对于应收外部客户账款组合，本公司认为相同账龄的客户具有类似预期损失率。</w:t>
      </w:r>
    </w:p>
    <w:p>
      <w:pPr>
        <w:pStyle w:val="Style1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按账龄披露</w:t>
      </w:r>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83,972,950.60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73,195,560.78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41,149,416.70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96,374,739.63</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16,435,376.20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15,117,841.26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64,821,522.17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294,692,667.71</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913" w:name="bookmark1913"/>
      <w:bookmarkStart w:id="1914" w:name="bookmark1914"/>
      <w:bookmarkStart w:id="1915" w:name="bookmark19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13"/>
      <w:bookmarkEnd w:id="1914"/>
      <w:bookmarkEnd w:id="1915"/>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95,780,072.73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7,424,475.91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103,202,111.22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95,780,072.73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7,424,475.91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103,202,111.22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w:t>
      </w:r>
      <w:bookmarkEnd w:id="191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916"/>
      <w:bookmarkEnd w:id="1917"/>
      <w:bookmarkEnd w:id="1919"/>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运城市黄河金三角第一医院有限公司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2,437.42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运城市黄河金三角第 一医院有限公司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公司内部流程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2,437.42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1"/>
        <w:keepNext/>
        <w:keepLines/>
        <w:widowControl w:val="0"/>
        <w:shd w:val="clear" w:color="auto" w:fill="auto"/>
        <w:bidi w:val="0"/>
        <w:spacing w:before="0" w:line="240" w:lineRule="auto"/>
        <w:ind w:left="0" w:right="0" w:firstLine="0"/>
        <w:jc w:val="left"/>
      </w:pPr>
      <w:bookmarkStart w:id="1920" w:name="bookmark1920"/>
      <w:bookmarkStart w:id="1921" w:name="bookmark1921"/>
      <w:bookmarkStart w:id="1922" w:name="bookmark1922"/>
      <w:bookmarkStart w:id="1923" w:name="bookmark1923"/>
      <w:r>
        <w:rPr>
          <w:color w:val="000000"/>
          <w:spacing w:val="0"/>
          <w:w w:val="100"/>
          <w:position w:val="0"/>
        </w:rPr>
        <w:t>（</w:t>
      </w:r>
      <w:bookmarkEnd w:id="192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20"/>
      <w:bookmarkEnd w:id="1921"/>
      <w:bookmarkEnd w:id="1923"/>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55,819,077.22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54,864,775.27</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36,390,520.00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3,639,052.00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22,082,224.52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13,067,808.23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18,867,000.00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15,899,000.00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729,660.86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149,057,821.74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tabs>
          <w:tab w:pos="493" w:val="left"/>
        </w:tabs>
        <w:bidi w:val="0"/>
        <w:spacing w:before="0" w:after="360" w:line="240" w:lineRule="auto"/>
        <w:ind w:left="0" w:right="0" w:firstLine="0"/>
        <w:jc w:val="both"/>
      </w:pPr>
      <w:bookmarkStart w:id="1924" w:name="bookmark1924"/>
      <w:bookmarkStart w:id="1925" w:name="bookmark1925"/>
      <w:bookmarkStart w:id="1926" w:name="bookmark1926"/>
      <w:bookmarkStart w:id="1927" w:name="bookmark1927"/>
      <w:r>
        <w:rPr>
          <w:color w:val="000000"/>
          <w:spacing w:val="0"/>
          <w:w w:val="100"/>
          <w:position w:val="0"/>
        </w:rPr>
        <w:t>（</w:t>
      </w:r>
      <w:bookmarkEnd w:id="192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924"/>
      <w:bookmarkEnd w:id="1925"/>
      <w:bookmarkEnd w:id="1927"/>
    </w:p>
    <w:p>
      <w:pPr>
        <w:pStyle w:val="Style31"/>
        <w:keepNext/>
        <w:keepLines/>
        <w:widowControl w:val="0"/>
        <w:shd w:val="clear" w:color="auto" w:fill="auto"/>
        <w:tabs>
          <w:tab w:pos="493" w:val="left"/>
        </w:tabs>
        <w:bidi w:val="0"/>
        <w:spacing w:before="0" w:after="360" w:line="240" w:lineRule="auto"/>
        <w:ind w:left="0" w:right="0" w:firstLine="0"/>
        <w:jc w:val="both"/>
      </w:pPr>
      <w:bookmarkStart w:id="1928" w:name="bookmark1928"/>
      <w:bookmarkStart w:id="1929" w:name="bookmark1929"/>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928"/>
      <w:bookmarkEnd w:id="1929"/>
      <w:bookmarkEnd w:id="1931"/>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32"/>
      <w:bookmarkEnd w:id="1933"/>
      <w:bookmarkEnd w:id="1934"/>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23,215,183.38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19,342,157.46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23,215,183.38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19,342,157.46</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935" w:name="bookmark1935"/>
      <w:bookmarkStart w:id="1936" w:name="bookmark1936"/>
      <w:bookmarkStart w:id="1937" w:name="bookmark19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935"/>
      <w:bookmarkEnd w:id="1936"/>
      <w:bookmarkEnd w:id="1937"/>
    </w:p>
    <w:p>
      <w:pPr>
        <w:pStyle w:val="Style51"/>
        <w:keepNext/>
        <w:keepLines/>
        <w:widowControl w:val="0"/>
        <w:shd w:val="clear" w:color="auto" w:fill="auto"/>
        <w:bidi w:val="0"/>
        <w:spacing w:before="0" w:line="240" w:lineRule="auto"/>
        <w:ind w:left="0" w:right="0" w:firstLine="0"/>
        <w:jc w:val="left"/>
      </w:pPr>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38"/>
      <w:bookmarkEnd w:id="1939"/>
      <w:bookmarkEnd w:id="1940"/>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12,485,775.47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14,691,366.97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6,398,311.80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4,193,455.18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3,835,777.54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2,586,413.25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3,652,640.44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1,477,846.66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145,070.90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26,517,576.15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24,025,077.70</w:t>
            </w:r>
          </w:p>
        </w:tc>
      </w:tr>
    </w:tbl>
    <w:p>
      <w:pPr>
        <w:widowControl w:val="0"/>
        <w:spacing w:after="359" w:line="1" w:lineRule="exact"/>
      </w:pPr>
    </w:p>
    <w:p>
      <w:pPr>
        <w:pStyle w:val="Style51"/>
        <w:keepNext/>
        <w:keepLines/>
        <w:widowControl w:val="0"/>
        <w:shd w:val="clear" w:color="auto" w:fill="auto"/>
        <w:bidi w:val="0"/>
        <w:spacing w:before="0" w:line="240" w:lineRule="auto"/>
        <w:ind w:left="0" w:right="0" w:firstLine="0"/>
        <w:jc w:val="left"/>
      </w:pPr>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41"/>
      <w:bookmarkEnd w:id="1942"/>
      <w:bookmarkEnd w:id="1943"/>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212,228.76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527,026.14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3,943,665.34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4,682,920.24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-41,732.45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385,009.99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252,593.14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-1,588,480.16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-1,380,527.47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423,089.45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139,108.15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2,740,195.17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3,302,392.77</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17,938,759.25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1,391,081.54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3,850,099.86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3,337,635.50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2,707,600.00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561,734.00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26,517,576.15</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3</w:t>
      </w:r>
      <w:bookmarkEnd w:id="1946"/>
      <w:r>
        <w:rPr>
          <w:color w:val="000000"/>
          <w:spacing w:val="0"/>
          <w:w w:val="100"/>
          <w:position w:val="0"/>
        </w:rPr>
        <w:t>）本期计提、收回或转回的坏账准备情况</w:t>
      </w:r>
      <w:bookmarkEnd w:id="1944"/>
      <w:bookmarkEnd w:id="1945"/>
      <w:bookmarkEnd w:id="1947"/>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4,682,920.24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-1,380,527.47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3,302,392.77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4,682,920.24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-1,380,527.47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3,302,392.77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4</w:t>
      </w:r>
      <w:bookmarkEnd w:id="1950"/>
      <w:r>
        <w:rPr>
          <w:color w:val="000000"/>
          <w:spacing w:val="0"/>
          <w:w w:val="100"/>
          <w:position w:val="0"/>
        </w:rPr>
        <w:t>）本期实际核销的其他应收款情况</w:t>
      </w:r>
      <w:bookmarkEnd w:id="1948"/>
      <w:bookmarkEnd w:id="1949"/>
      <w:bookmarkEnd w:id="1951"/>
    </w:p>
    <w:p>
      <w:pPr>
        <w:pStyle w:val="Style17"/>
        <w:keepNext w:val="0"/>
        <w:keepLines w:val="0"/>
        <w:widowControl w:val="0"/>
        <w:shd w:val="clear" w:color="auto" w:fill="auto"/>
        <w:bidi w:val="0"/>
        <w:spacing w:before="0" w:after="140" w:line="240" w:lineRule="auto"/>
        <w:ind w:left="8940" w:right="0" w:firstLine="0"/>
        <w:jc w:val="left"/>
      </w:pPr>
      <w:bookmarkStart w:id="1952" w:name="bookmark1952"/>
      <w:r>
        <w:rPr>
          <w:color w:val="000000"/>
          <w:spacing w:val="0"/>
          <w:w w:val="100"/>
          <w:position w:val="0"/>
        </w:rPr>
        <w:t>单</w:t>
      </w:r>
      <w:bookmarkEnd w:id="1952"/>
      <w:r>
        <w:rPr>
          <w:color w:val="000000"/>
          <w:spacing w:val="0"/>
          <w:w w:val="100"/>
          <w:position w:val="0"/>
        </w:rPr>
        <w:t>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953" w:name="bookmark1953"/>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953"/>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国家税务总局杭州市 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3,835,777.54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陕西中医药大学第二 附属医院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2,027,253.20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405,450.64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广西国际壮医医院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1,614,400.00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761,240.00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杭州意照建筑劳务有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1,267,846.66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253,569.33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姚建民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1,052,992.50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31,589.78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9,798,269.90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1,451,849.75</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firstLine="0"/>
        <w:jc w:val="left"/>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6</w:t>
      </w:r>
      <w:bookmarkEnd w:id="1956"/>
      <w:r>
        <w:rPr>
          <w:color w:val="000000"/>
          <w:spacing w:val="0"/>
          <w:w w:val="100"/>
          <w:position w:val="0"/>
        </w:rPr>
        <w:t>）涉及政府补助的应收款项</w:t>
      </w:r>
      <w:bookmarkEnd w:id="1954"/>
      <w:bookmarkEnd w:id="1955"/>
      <w:bookmarkEnd w:id="1957"/>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国家税务总局杭州市税 务局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软件产品增值税超税负 退税款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3,835,777.54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截至财务报表批准报出 日均已收回</w:t>
            </w:r>
          </w:p>
        </w:tc>
      </w:tr>
    </w:tbl>
    <w:p>
      <w:pPr>
        <w:widowControl w:val="0"/>
        <w:spacing w:after="319" w:line="1" w:lineRule="exact"/>
      </w:pPr>
    </w:p>
    <w:p>
      <w:pPr>
        <w:pStyle w:val="Style51"/>
        <w:keepNext/>
        <w:keepLines/>
        <w:widowControl w:val="0"/>
        <w:shd w:val="clear" w:color="auto" w:fill="auto"/>
        <w:tabs>
          <w:tab w:pos="387" w:val="left"/>
        </w:tabs>
        <w:bidi w:val="0"/>
        <w:spacing w:before="0" w:after="380" w:line="240" w:lineRule="auto"/>
        <w:ind w:left="0" w:right="0" w:firstLine="0"/>
        <w:jc w:val="both"/>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7</w:t>
      </w:r>
      <w:bookmarkEnd w:id="1960"/>
      <w:r>
        <w:rPr>
          <w:color w:val="000000"/>
          <w:spacing w:val="0"/>
          <w:w w:val="100"/>
          <w:position w:val="0"/>
        </w:rPr>
        <w:t>）</w:t>
        <w:tab/>
        <w:t>因金融资产转移而终止确认的其他应收款</w:t>
      </w:r>
      <w:bookmarkEnd w:id="1958"/>
      <w:bookmarkEnd w:id="1959"/>
      <w:bookmarkEnd w:id="1961"/>
    </w:p>
    <w:p>
      <w:pPr>
        <w:pStyle w:val="Style51"/>
        <w:keepNext/>
        <w:keepLines/>
        <w:widowControl w:val="0"/>
        <w:shd w:val="clear" w:color="auto" w:fill="auto"/>
        <w:tabs>
          <w:tab w:pos="392" w:val="left"/>
        </w:tabs>
        <w:bidi w:val="0"/>
        <w:spacing w:before="0" w:after="380" w:line="240" w:lineRule="auto"/>
        <w:ind w:left="0" w:right="0" w:firstLine="0"/>
        <w:jc w:val="both"/>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8</w:t>
      </w:r>
      <w:bookmarkEnd w:id="1964"/>
      <w:r>
        <w:rPr>
          <w:color w:val="000000"/>
          <w:spacing w:val="0"/>
          <w:w w:val="100"/>
          <w:position w:val="0"/>
        </w:rPr>
        <w:t>）</w:t>
        <w:tab/>
        <w:t>转移其他应收款且继续涉入形成的资产、负债金额</w:t>
      </w:r>
      <w:bookmarkEnd w:id="1962"/>
      <w:bookmarkEnd w:id="1963"/>
      <w:bookmarkEnd w:id="1965"/>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3</w:t>
      </w:r>
      <w:bookmarkEnd w:id="1968"/>
      <w:r>
        <w:rPr>
          <w:color w:val="000000"/>
          <w:spacing w:val="0"/>
          <w:w w:val="100"/>
          <w:position w:val="0"/>
        </w:rPr>
        <w:t>、长期股权投资</w:t>
      </w:r>
      <w:bookmarkEnd w:id="1966"/>
      <w:bookmarkEnd w:id="1967"/>
      <w:bookmarkEnd w:id="1969"/>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4099"/>
        <w:gridCol w:w="411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56,784,633.24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56,784,633.24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70,071,190.24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70,071,190.24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56,784,633.24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56,784,633.24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70,071,190.24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70,071,190.24</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970" w:name="bookmark1970"/>
      <w:bookmarkStart w:id="1971" w:name="bookmark1971"/>
      <w:bookmarkStart w:id="1972" w:name="bookmark19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70"/>
      <w:bookmarkEnd w:id="1971"/>
      <w:bookmarkEnd w:id="197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和仁湘雅公司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5,686,557.00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5,686,557.00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8,570,922.00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8,570,922.00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江苏和仁公司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9,047,111.24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9,047,111.24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中锦保理公司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28,166,600.00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28,166,600.00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70,071,190.24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14,266,557.00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56,784,633.24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973" w:name="bookmark1973"/>
      <w:bookmarkStart w:id="1974" w:name="bookmark1974"/>
      <w:bookmarkStart w:id="1975" w:name="bookmark19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73"/>
      <w:bookmarkEnd w:id="1974"/>
      <w:bookmarkEnd w:id="197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rPr>
        <w:t>（</w:t>
      </w:r>
      <w:bookmarkEnd w:id="1978"/>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976"/>
      <w:bookmarkEnd w:id="1977"/>
      <w:bookmarkEnd w:id="1979"/>
    </w:p>
    <w:p>
      <w:pPr>
        <w:pStyle w:val="Style26"/>
        <w:keepNext/>
        <w:keepLines/>
        <w:widowControl w:val="0"/>
        <w:shd w:val="clear" w:color="auto" w:fill="auto"/>
        <w:bidi w:val="0"/>
        <w:spacing w:before="0" w:after="340" w:line="240" w:lineRule="auto"/>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4</w:t>
      </w:r>
      <w:bookmarkEnd w:id="1982"/>
      <w:r>
        <w:rPr>
          <w:color w:val="000000"/>
          <w:spacing w:val="0"/>
          <w:w w:val="100"/>
          <w:position w:val="0"/>
        </w:rPr>
        <w:t>、营业收入和营业成本</w:t>
      </w:r>
      <w:bookmarkEnd w:id="1980"/>
      <w:bookmarkEnd w:id="1981"/>
      <w:bookmarkEnd w:id="198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440,881,174.83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294,974,705.45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427,902,191.31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248,306,041.33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13,420,996.52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5,968,586.49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12,343,050.07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5,604,476.92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454,302,171.35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300,943,291.94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440,245,241.38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253,910,518.25</w:t>
            </w:r>
          </w:p>
        </w:tc>
      </w:tr>
    </w:tbl>
    <w:p>
      <w:pPr>
        <w:spacing w:lineRule="exact" w:line="1"/>
        <w:rPr>
          <w:sz w:val="2"/>
          <w:szCs w:val="2"/>
        </w:rPr>
      </w:pPr>
      <w:r>
        <w:br w:type="page"/>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医疗信息化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277,271,937.78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277,271,937.78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数字化场景应用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134,731,872.90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1,259,808.00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135,991,680.90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27,532,815.55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13,505,737.12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41,038,552.67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212,911,850.46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14,680,804.52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227,592,654.98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75,741,129.63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75,741,129.63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54,490,271.94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54,490,271.94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37,828,146.56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37,828,146.56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58,565,227.64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58,649,968.24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按商品转让的时间 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商品（在某一时点转 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284,572,643.42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284,657,384.02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服务（在某一时段内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154,963,982.81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14,680,804.52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169,644,787.33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439,536,626.23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14,765,545.12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454,302,171.35</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详见第十节财务报告、五、</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之说明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550,085,573.69</w:t>
      </w:r>
      <w:r>
        <w:rPr>
          <w:color w:val="000000"/>
          <w:spacing w:val="0"/>
          <w:w w:val="100"/>
          <w:position w:val="0"/>
        </w:rPr>
        <w:t>元。</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5</w:t>
      </w:r>
      <w:bookmarkEnd w:id="1986"/>
      <w:r>
        <w:rPr>
          <w:color w:val="000000"/>
          <w:spacing w:val="0"/>
          <w:w w:val="100"/>
          <w:position w:val="0"/>
        </w:rPr>
        <w:t>、投资收益</w:t>
      </w:r>
      <w:bookmarkEnd w:id="1984"/>
      <w:bookmarkEnd w:id="1985"/>
      <w:bookmarkEnd w:id="198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8,049,807.00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-1,798,119.70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-14,257,272.73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-3,185,181.46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7,869,267.75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5,059,229.95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-6,388,004.98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8,125,735.79</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6</w:t>
      </w:r>
      <w:bookmarkEnd w:id="1990"/>
      <w:r>
        <w:rPr>
          <w:color w:val="000000"/>
          <w:spacing w:val="0"/>
          <w:w w:val="100"/>
          <w:position w:val="0"/>
        </w:rPr>
        <w:t>、其他</w:t>
      </w:r>
      <w:bookmarkEnd w:id="1988"/>
      <w:bookmarkEnd w:id="1989"/>
      <w:bookmarkEnd w:id="1991"/>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line="240" w:lineRule="auto"/>
        <w:ind w:left="0" w:right="0" w:firstLine="0"/>
        <w:jc w:val="left"/>
      </w:pPr>
      <w:bookmarkStart w:id="1992" w:name="bookmark1992"/>
      <w:bookmarkStart w:id="1993" w:name="bookmark1993"/>
      <w:bookmarkStart w:id="1994" w:name="bookmark1994"/>
      <w:r>
        <w:rPr>
          <w:color w:val="000000"/>
          <w:spacing w:val="0"/>
          <w:w w:val="100"/>
          <w:position w:val="0"/>
        </w:rPr>
        <w:t>十八、补充资料</w:t>
      </w:r>
      <w:bookmarkEnd w:id="1992"/>
      <w:bookmarkEnd w:id="1993"/>
      <w:bookmarkEnd w:id="1994"/>
    </w:p>
    <w:p>
      <w:pPr>
        <w:pStyle w:val="Style26"/>
        <w:keepNext/>
        <w:keepLines/>
        <w:widowControl w:val="0"/>
        <w:shd w:val="clear" w:color="auto" w:fill="auto"/>
        <w:bidi w:val="0"/>
        <w:spacing w:before="0" w:line="240" w:lineRule="auto"/>
        <w:ind w:left="0" w:right="0" w:firstLine="0"/>
        <w:jc w:val="left"/>
      </w:pPr>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95"/>
      <w:bookmarkEnd w:id="1996"/>
      <w:bookmarkEnd w:id="1997"/>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-120,671.91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524,044.60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8,114,476.52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199,649.67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890,158.87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85,960.70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7,708,448.40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59" w:right="1064" w:bottom="1499" w:left="105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17"/>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7"/>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00" w:line="240" w:lineRule="auto"/>
        <w:ind w:left="0" w:right="0" w:firstLine="0"/>
        <w:jc w:val="both"/>
      </w:pPr>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98"/>
      <w:bookmarkEnd w:id="1999"/>
      <w:bookmarkEnd w:id="2000"/>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bl>
    <w:p>
      <w:pPr>
        <w:widowControl w:val="0"/>
        <w:spacing w:after="239" w:line="1" w:lineRule="exact"/>
      </w:pPr>
    </w:p>
    <w:p>
      <w:pPr>
        <w:pStyle w:val="Style26"/>
        <w:keepNext/>
        <w:keepLines/>
        <w:widowControl w:val="0"/>
        <w:shd w:val="clear" w:color="auto" w:fill="auto"/>
        <w:tabs>
          <w:tab w:pos="378" w:val="left"/>
        </w:tabs>
        <w:bidi w:val="0"/>
        <w:spacing w:before="0" w:after="300" w:line="326" w:lineRule="exact"/>
        <w:ind w:left="0" w:right="0" w:firstLine="0"/>
        <w:jc w:val="both"/>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3</w:t>
      </w:r>
      <w:bookmarkEnd w:id="2003"/>
      <w:r>
        <w:rPr>
          <w:color w:val="000000"/>
          <w:spacing w:val="0"/>
          <w:w w:val="100"/>
          <w:position w:val="0"/>
        </w:rPr>
        <w:t>、</w:t>
        <w:tab/>
        <w:t>境内外会计准则下会计数据差异</w:t>
      </w:r>
      <w:bookmarkEnd w:id="2001"/>
      <w:bookmarkEnd w:id="2002"/>
      <w:bookmarkEnd w:id="2004"/>
    </w:p>
    <w:p>
      <w:pPr>
        <w:pStyle w:val="Style31"/>
        <w:keepNext/>
        <w:keepLines/>
        <w:widowControl w:val="0"/>
        <w:shd w:val="clear" w:color="auto" w:fill="auto"/>
        <w:tabs>
          <w:tab w:pos="493" w:val="left"/>
        </w:tabs>
        <w:bidi w:val="0"/>
        <w:spacing w:before="0" w:line="326" w:lineRule="exact"/>
        <w:ind w:left="0" w:right="0" w:firstLine="0"/>
        <w:jc w:val="both"/>
      </w:pPr>
      <w:bookmarkStart w:id="2005" w:name="bookmark2005"/>
      <w:bookmarkStart w:id="2006" w:name="bookmark2006"/>
      <w:bookmarkStart w:id="2007" w:name="bookmark2007"/>
      <w:bookmarkStart w:id="2008" w:name="bookmark2008"/>
      <w:r>
        <w:rPr>
          <w:color w:val="000000"/>
          <w:spacing w:val="0"/>
          <w:w w:val="100"/>
          <w:position w:val="0"/>
        </w:rPr>
        <w:t>（</w:t>
      </w:r>
      <w:bookmarkEnd w:id="200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005"/>
      <w:bookmarkEnd w:id="2006"/>
      <w:bookmarkEnd w:id="2008"/>
    </w:p>
    <w:p>
      <w:pPr>
        <w:pStyle w:val="Style1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326" w:lineRule="exact"/>
        <w:ind w:left="0" w:right="0" w:firstLine="0"/>
        <w:jc w:val="both"/>
      </w:pPr>
      <w:bookmarkStart w:id="2009" w:name="bookmark2009"/>
      <w:bookmarkStart w:id="2010" w:name="bookmark2010"/>
      <w:bookmarkStart w:id="2011" w:name="bookmark2011"/>
      <w:bookmarkStart w:id="2012" w:name="bookmark2012"/>
      <w:r>
        <w:rPr>
          <w:color w:val="000000"/>
          <w:spacing w:val="0"/>
          <w:w w:val="100"/>
          <w:position w:val="0"/>
        </w:rPr>
        <w:t>（</w:t>
      </w:r>
      <w:bookmarkEnd w:id="201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009"/>
      <w:bookmarkEnd w:id="2010"/>
      <w:bookmarkEnd w:id="2012"/>
    </w:p>
    <w:p>
      <w:pPr>
        <w:pStyle w:val="Style1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00" w:line="326" w:lineRule="exact"/>
        <w:ind w:left="0" w:right="0" w:firstLine="0"/>
        <w:jc w:val="both"/>
      </w:pPr>
      <w:bookmarkStart w:id="2013" w:name="bookmark2013"/>
      <w:bookmarkStart w:id="2014" w:name="bookmark2014"/>
      <w:bookmarkStart w:id="2015" w:name="bookmark2015"/>
      <w:bookmarkStart w:id="2016" w:name="bookmark2016"/>
      <w:r>
        <w:rPr>
          <w:color w:val="000000"/>
          <w:spacing w:val="0"/>
          <w:w w:val="100"/>
          <w:position w:val="0"/>
        </w:rPr>
        <w:t>（</w:t>
      </w:r>
      <w:bookmarkEnd w:id="2015"/>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013"/>
      <w:bookmarkEnd w:id="2014"/>
      <w:bookmarkEnd w:id="2016"/>
    </w:p>
    <w:p>
      <w:pPr>
        <w:pStyle w:val="Style26"/>
        <w:keepNext/>
        <w:keepLines/>
        <w:widowControl w:val="0"/>
        <w:shd w:val="clear" w:color="auto" w:fill="auto"/>
        <w:tabs>
          <w:tab w:pos="378" w:val="left"/>
        </w:tabs>
        <w:bidi w:val="0"/>
        <w:spacing w:before="0" w:after="380" w:line="326" w:lineRule="exact"/>
        <w:ind w:left="0" w:right="0" w:firstLine="0"/>
        <w:jc w:val="both"/>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4</w:t>
      </w:r>
      <w:bookmarkEnd w:id="2019"/>
      <w:r>
        <w:rPr>
          <w:color w:val="000000"/>
          <w:spacing w:val="0"/>
          <w:w w:val="100"/>
          <w:position w:val="0"/>
        </w:rPr>
        <w:t>、</w:t>
        <w:tab/>
        <w:t>其他</w:t>
      </w:r>
      <w:bookmarkEnd w:id="2017"/>
      <w:bookmarkEnd w:id="2018"/>
      <w:bookmarkEnd w:id="2020"/>
    </w:p>
    <w:p>
      <w:pPr>
        <w:pStyle w:val="Style17"/>
        <w:keepNext w:val="0"/>
        <w:keepLines w:val="0"/>
        <w:widowControl w:val="0"/>
        <w:shd w:val="clear" w:color="auto" w:fill="auto"/>
        <w:bidi w:val="0"/>
        <w:spacing w:before="0" w:after="1400" w:line="240" w:lineRule="auto"/>
        <w:ind w:left="0" w:right="0" w:firstLine="0"/>
        <w:jc w:val="both"/>
      </w:pPr>
      <w:r>
        <w:rPr>
          <w:color w:val="000000"/>
          <w:spacing w:val="0"/>
          <w:w w:val="100"/>
          <w:position w:val="0"/>
        </w:rPr>
        <w:t>无</w:t>
      </w:r>
    </w:p>
    <w:p>
      <w:pPr>
        <w:pStyle w:val="Style11"/>
        <w:keepNext w:val="0"/>
        <w:keepLines w:val="0"/>
        <w:widowControl w:val="0"/>
        <w:shd w:val="clear" w:color="auto" w:fill="auto"/>
        <w:bidi w:val="0"/>
        <w:spacing w:before="0" w:after="240" w:line="240" w:lineRule="auto"/>
        <w:ind w:left="0" w:right="0" w:firstLine="0"/>
        <w:jc w:val="right"/>
        <w:rPr>
          <w:sz w:val="24"/>
          <w:szCs w:val="24"/>
        </w:rPr>
      </w:pPr>
      <w:r>
        <w:rPr>
          <w:b w:val="0"/>
          <w:bCs w:val="0"/>
          <w:color w:val="000000"/>
          <w:spacing w:val="0"/>
          <w:w w:val="100"/>
          <w:position w:val="0"/>
          <w:sz w:val="24"/>
          <w:szCs w:val="24"/>
        </w:rPr>
        <w:t>法定代表人：杨一兵</w:t>
      </w:r>
    </w:p>
    <w:p>
      <w:pPr>
        <w:pStyle w:val="Style11"/>
        <w:keepNext w:val="0"/>
        <w:keepLines w:val="0"/>
        <w:widowControl w:val="0"/>
        <w:shd w:val="clear" w:color="auto" w:fill="auto"/>
        <w:bidi w:val="0"/>
        <w:spacing w:before="0" w:after="240" w:line="240" w:lineRule="auto"/>
        <w:ind w:left="0" w:right="0" w:firstLine="0"/>
        <w:jc w:val="right"/>
        <w:rPr>
          <w:sz w:val="24"/>
          <w:szCs w:val="24"/>
        </w:rPr>
      </w:pPr>
      <w:r>
        <w:rPr>
          <w:b w:val="0"/>
          <w:bCs w:val="0"/>
          <w:color w:val="000000"/>
          <w:spacing w:val="0"/>
          <w:w w:val="100"/>
          <w:position w:val="0"/>
          <w:sz w:val="24"/>
          <w:szCs w:val="24"/>
        </w:rPr>
        <w:t>浙江和仁科技股份有限公司</w:t>
      </w:r>
    </w:p>
    <w:p>
      <w:pPr>
        <w:pStyle w:val="Style59"/>
        <w:keepNext w:val="0"/>
        <w:keepLines w:val="0"/>
        <w:widowControl w:val="0"/>
        <w:shd w:val="clear" w:color="auto" w:fill="auto"/>
        <w:bidi w:val="0"/>
        <w:spacing w:before="0"/>
        <w:ind w:left="0" w:right="0" w:firstLine="0"/>
        <w:jc w:val="right"/>
      </w:pPr>
      <w:r>
        <w:rPr>
          <w:color w:val="000000"/>
          <w:spacing w:val="0"/>
          <w:w w:val="100"/>
          <w:position w:val="0"/>
          <w:sz w:val="24"/>
          <w:szCs w:val="24"/>
        </w:rPr>
        <w:t>2022</w:t>
      </w:r>
      <w:r>
        <w:rPr>
          <w:rFonts w:ascii="SimSun" w:eastAsia="SimSun" w:hAnsi="SimSun" w:cs="SimSun"/>
          <w:color w:val="000000"/>
          <w:spacing w:val="0"/>
          <w:w w:val="100"/>
          <w:position w:val="0"/>
          <w:sz w:val="24"/>
          <w:szCs w:val="24"/>
        </w:rPr>
        <w:t>年</w:t>
      </w:r>
      <w:r>
        <w:rPr>
          <w:color w:val="000000"/>
          <w:spacing w:val="0"/>
          <w:w w:val="100"/>
          <w:position w:val="0"/>
          <w:sz w:val="24"/>
          <w:szCs w:val="24"/>
        </w:rPr>
        <w:t>4</w:t>
      </w:r>
      <w:r>
        <w:rPr>
          <w:rFonts w:ascii="SimSun" w:eastAsia="SimSun" w:hAnsi="SimSun" w:cs="SimSun"/>
          <w:color w:val="000000"/>
          <w:spacing w:val="0"/>
          <w:w w:val="100"/>
          <w:position w:val="0"/>
          <w:sz w:val="24"/>
          <w:szCs w:val="24"/>
        </w:rPr>
        <w:t>月</w:t>
      </w:r>
      <w:r>
        <w:rPr>
          <w:color w:val="000000"/>
          <w:spacing w:val="0"/>
          <w:w w:val="100"/>
          <w:position w:val="0"/>
          <w:sz w:val="24"/>
          <w:szCs w:val="24"/>
        </w:rPr>
        <w:t>26</w:t>
      </w:r>
      <w:r>
        <w:rPr>
          <w:rFonts w:ascii="SimSun" w:eastAsia="SimSun" w:hAnsi="SimSun" w:cs="SimSun"/>
          <w:color w:val="000000"/>
          <w:spacing w:val="0"/>
          <w:w w:val="100"/>
          <w:position w:val="0"/>
          <w:sz w:val="24"/>
          <w:szCs w:val="24"/>
        </w:rPr>
        <w:t>日</w:t>
      </w:r>
    </w:p>
    <w:sectPr>
      <w:footnotePr>
        <w:pos w:val="pageBottom"/>
        <w:numFmt w:val="decimal"/>
        <w:numRestart w:val="continuous"/>
      </w:footnotePr>
      <w:pgSz w:w="11900" w:h="16840"/>
      <w:pgMar w:top="1383" w:right="1114" w:bottom="1383" w:left="11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2)_"/>
    <w:basedOn w:val="DefaultParagraphFont"/>
    <w:link w:val="Style11"/>
    <w:rPr>
      <w:rFonts w:ascii="SimSun" w:eastAsia="SimSun" w:hAnsi="SimSun" w:cs="SimSun"/>
      <w:b/>
      <w:bCs/>
      <w:i w:val="0"/>
      <w:iCs w:val="0"/>
      <w:smallCaps w:val="0"/>
      <w:strike w:val="0"/>
      <w:sz w:val="26"/>
      <w:szCs w:val="26"/>
      <w:u w:val="none"/>
      <w:shd w:val="clear" w:color="auto" w:fill="auto"/>
    </w:rPr>
  </w:style>
  <w:style w:type="character" w:customStyle="1" w:styleId="CharStyle15">
    <w:name w:val="Table of contents_"/>
    <w:basedOn w:val="DefaultParagraphFont"/>
    <w:link w:val="Style14"/>
    <w:rPr>
      <w:rFonts w:ascii="SimSun" w:eastAsia="SimSun" w:hAnsi="SimSun" w:cs="SimSun"/>
      <w:b/>
      <w:bCs/>
      <w:i w:val="0"/>
      <w:iCs w:val="0"/>
      <w:smallCaps w:val="0"/>
      <w:strike w:val="0"/>
      <w:sz w:val="22"/>
      <w:szCs w:val="22"/>
      <w:u w:val="none"/>
      <w:shd w:val="clear" w:color="auto" w:fill="auto"/>
    </w:rPr>
  </w:style>
  <w:style w:type="character" w:customStyle="1" w:styleId="CharStyle18">
    <w:name w:val="Body text_"/>
    <w:basedOn w:val="DefaultParagraphFont"/>
    <w:link w:val="Style17"/>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Heading #3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2">
    <w:name w:val="Heading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41">
    <w:name w:val="Body text (5)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45">
    <w:name w:val="Body text (6)_"/>
    <w:basedOn w:val="DefaultParagraphFont"/>
    <w:link w:val="Style4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2">
    <w:name w:val="Heading #5_"/>
    <w:basedOn w:val="DefaultParagraphFont"/>
    <w:link w:val="Style51"/>
    <w:rPr>
      <w:rFonts w:ascii="SimSun" w:eastAsia="SimSun" w:hAnsi="SimSun" w:cs="SimSun"/>
      <w:b/>
      <w:bCs/>
      <w:i w:val="0"/>
      <w:iCs w:val="0"/>
      <w:smallCaps w:val="0"/>
      <w:strike w:val="0"/>
      <w:sz w:val="20"/>
      <w:szCs w:val="20"/>
      <w:u w:val="none"/>
      <w:shd w:val="clear" w:color="auto" w:fill="auto"/>
    </w:rPr>
  </w:style>
  <w:style w:type="character" w:customStyle="1" w:styleId="CharStyle60">
    <w:name w:val="Body text (7)_"/>
    <w:basedOn w:val="DefaultParagraphFont"/>
    <w:link w:val="Style59"/>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
    <w:name w:val="Heading #1"/>
    <w:basedOn w:val="Normal"/>
    <w:link w:val="CharStyle10"/>
    <w:pPr>
      <w:widowControl w:val="0"/>
      <w:shd w:val="clear" w:color="auto" w:fill="auto"/>
      <w:spacing w:before="27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2)"/>
    <w:basedOn w:val="Normal"/>
    <w:link w:val="CharStyle12"/>
    <w:pPr>
      <w:widowControl w:val="0"/>
      <w:shd w:val="clear" w:color="auto" w:fill="auto"/>
      <w:spacing w:after="40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4">
    <w:name w:val="Table of contents"/>
    <w:basedOn w:val="Normal"/>
    <w:link w:val="CharStyle15"/>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17">
    <w:name w:val="Body text"/>
    <w:basedOn w:val="Normal"/>
    <w:link w:val="CharStyle18"/>
    <w:qFormat/>
    <w:pPr>
      <w:widowControl w:val="0"/>
      <w:shd w:val="clear" w:color="auto" w:fill="auto"/>
      <w:spacing w:line="386"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Heading #2"/>
    <w:basedOn w:val="Normal"/>
    <w:link w:val="CharStyle22"/>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Heading #3"/>
    <w:basedOn w:val="Normal"/>
    <w:link w:val="CharStyle2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Heading #4"/>
    <w:basedOn w:val="Normal"/>
    <w:link w:val="CharStyle32"/>
    <w:pPr>
      <w:widowControl w:val="0"/>
      <w:shd w:val="clear" w:color="auto" w:fill="auto"/>
      <w:spacing w:after="380"/>
      <w:ind w:firstLine="41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0">
    <w:name w:val="Body text (5)"/>
    <w:basedOn w:val="Normal"/>
    <w:link w:val="CharStyle41"/>
    <w:pPr>
      <w:widowControl w:val="0"/>
      <w:shd w:val="clear" w:color="auto" w:fill="auto"/>
      <w:spacing w:after="360" w:line="317"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44">
    <w:name w:val="Body text (6)"/>
    <w:basedOn w:val="Normal"/>
    <w:link w:val="CharStyle45"/>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1">
    <w:name w:val="Heading #5"/>
    <w:basedOn w:val="Normal"/>
    <w:link w:val="CharStyle52"/>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9">
    <w:name w:val="Body text (7)"/>
    <w:basedOn w:val="Normal"/>
    <w:link w:val="CharStyle60"/>
    <w:pPr>
      <w:widowControl w:val="0"/>
      <w:shd w:val="clear" w:color="auto" w:fill="auto"/>
      <w:spacing w:after="300" w:line="283" w:lineRule="auto"/>
      <w:jc w:val="right"/>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浙江和仁科技股份有限公司2021年年度报告全文</dc:title>
  <dc:subject/>
  <dc:creator>浙江和仁科技股份有限公司</dc:creator>
  <cp:keywords/>
</cp:coreProperties>
</file>