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300" w:after="0" w:line="240" w:lineRule="auto"/>
        <w:ind w:left="0" w:right="0" w:firstLine="0"/>
        <w:jc w:val="center"/>
        <w:rPr>
          <w:sz w:val="162"/>
          <w:szCs w:val="162"/>
        </w:rPr>
      </w:pPr>
      <w:r>
        <w:rPr>
          <w:rFonts w:ascii="Arial" w:eastAsia="Arial" w:hAnsi="Arial" w:cs="Arial"/>
          <w:color w:val="2C9A9A"/>
          <w:spacing w:val="0"/>
          <w:w w:val="100"/>
          <w:position w:val="0"/>
          <w:sz w:val="162"/>
          <w:szCs w:val="162"/>
        </w:rPr>
        <w:t>H+</w:t>
      </w:r>
    </w:p>
    <w:p>
      <w:pPr>
        <w:pStyle w:val="Style2"/>
        <w:keepNext w:val="0"/>
        <w:keepLines w:val="0"/>
        <w:widowControl w:val="0"/>
        <w:shd w:val="clear" w:color="auto" w:fill="auto"/>
        <w:bidi w:val="0"/>
        <w:spacing w:before="0" w:after="840" w:line="228" w:lineRule="auto"/>
        <w:ind w:left="0" w:right="0" w:firstLine="0"/>
        <w:jc w:val="center"/>
        <w:rPr>
          <w:sz w:val="34"/>
          <w:szCs w:val="34"/>
        </w:rPr>
      </w:pPr>
      <w:r>
        <w:rPr>
          <w:rFonts w:ascii="Arial" w:eastAsia="Arial" w:hAnsi="Arial" w:cs="Arial"/>
          <w:b/>
          <w:bCs/>
          <w:color w:val="403F3D"/>
          <w:spacing w:val="0"/>
          <w:w w:val="100"/>
          <w:position w:val="0"/>
          <w:sz w:val="34"/>
          <w:szCs w:val="34"/>
        </w:rPr>
        <w:t>Heren Health</w:t>
      </w:r>
    </w:p>
    <w:p>
      <w:pPr>
        <w:pStyle w:val="Style2"/>
        <w:keepNext w:val="0"/>
        <w:keepLines w:val="0"/>
        <w:widowControl w:val="0"/>
        <w:shd w:val="clear" w:color="auto" w:fill="auto"/>
        <w:bidi w:val="0"/>
        <w:spacing w:before="0" w:after="640" w:line="240" w:lineRule="auto"/>
        <w:ind w:left="0" w:right="0" w:firstLine="0"/>
        <w:jc w:val="center"/>
        <w:rPr>
          <w:sz w:val="36"/>
          <w:szCs w:val="36"/>
        </w:rPr>
      </w:pPr>
      <w:r>
        <w:rPr>
          <w:b/>
          <w:bCs/>
          <w:color w:val="000000"/>
          <w:spacing w:val="0"/>
          <w:w w:val="100"/>
          <w:position w:val="0"/>
          <w:sz w:val="36"/>
          <w:szCs w:val="36"/>
        </w:rPr>
        <w:t>浙江和仁科技股份有限公司</w:t>
      </w:r>
    </w:p>
    <w:p>
      <w:pPr>
        <w:pStyle w:val="Style2"/>
        <w:keepNext w:val="0"/>
        <w:keepLines w:val="0"/>
        <w:widowControl w:val="0"/>
        <w:shd w:val="clear" w:color="auto" w:fill="auto"/>
        <w:bidi w:val="0"/>
        <w:spacing w:before="0" w:after="62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br/>
      </w:r>
      <w:r>
        <w:rPr>
          <w:rFonts w:ascii="Times New Roman" w:eastAsia="Times New Roman" w:hAnsi="Times New Roman" w:cs="Times New Roman"/>
          <w:b/>
          <w:bCs/>
          <w:color w:val="000000"/>
          <w:spacing w:val="0"/>
          <w:w w:val="100"/>
          <w:position w:val="0"/>
          <w:sz w:val="32"/>
          <w:szCs w:val="32"/>
        </w:rPr>
        <w:t>(2020-013</w:t>
      </w:r>
      <w:r>
        <w:rPr>
          <w:b/>
          <w:bCs/>
          <w:color w:val="000000"/>
          <w:spacing w:val="0"/>
          <w:w w:val="100"/>
          <w:position w:val="0"/>
          <w:sz w:val="32"/>
          <w:szCs w:val="32"/>
        </w:rPr>
        <w:t>)</w:t>
      </w:r>
    </w:p>
    <w:p>
      <w:pPr>
        <w:pStyle w:val="Style2"/>
        <w:keepNext w:val="0"/>
        <w:keepLines w:val="0"/>
        <w:widowControl w:val="0"/>
        <w:shd w:val="clear" w:color="auto" w:fill="auto"/>
        <w:bidi w:val="0"/>
        <w:spacing w:before="0" w:after="7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公司负责人杨一兵、主管会计工作负责人张雪峰及会计机构负责人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刘双双声明：保证本年度报告中财务报告的真实、准确、完整。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21" w:lineRule="exact"/>
        <w:ind w:left="0" w:right="0"/>
        <w:jc w:val="both"/>
      </w:pPr>
      <w:r>
        <w:rPr>
          <w:color w:val="000000"/>
          <w:spacing w:val="0"/>
          <w:w w:val="100"/>
          <w:position w:val="0"/>
        </w:rPr>
        <w:t>年度报告中所涉及的未来经营计划和目标等前瞻性描述，并不代表公司的 盈利预测，也不构成公司对投资者的实质承诺，能否实现取决于市场变化等多 种影响因素，公司在发展过程中面临着宏观经济周期波动的风险、医疗信息行 业调控政策变化的风险、应收账款回收风险等，请投资者注意投资风险。</w:t>
      </w:r>
    </w:p>
    <w:p>
      <w:pPr>
        <w:pStyle w:val="Style15"/>
        <w:keepNext w:val="0"/>
        <w:keepLines w:val="0"/>
        <w:widowControl w:val="0"/>
        <w:shd w:val="clear" w:color="auto" w:fill="auto"/>
        <w:bidi w:val="0"/>
        <w:spacing w:before="0"/>
        <w:ind w:left="0" w:right="0"/>
        <w:jc w:val="both"/>
      </w:pPr>
      <w:r>
        <w:rPr>
          <w:color w:val="000000"/>
          <w:spacing w:val="0"/>
          <w:w w:val="100"/>
          <w:position w:val="0"/>
        </w:rPr>
        <w:t>其他突发性风险</w:t>
      </w:r>
    </w:p>
    <w:p>
      <w:pPr>
        <w:pStyle w:val="Style15"/>
        <w:keepNext w:val="0"/>
        <w:keepLines w:val="0"/>
        <w:widowControl w:val="0"/>
        <w:shd w:val="clear" w:color="auto" w:fill="auto"/>
        <w:bidi w:val="0"/>
        <w:spacing w:before="0"/>
        <w:ind w:left="0" w:right="0"/>
        <w:jc w:val="both"/>
      </w:pPr>
      <w:r>
        <w:rPr>
          <w:color w:val="000000"/>
          <w:spacing w:val="0"/>
          <w:w w:val="100"/>
          <w:position w:val="0"/>
        </w:rPr>
        <w:t>例如新冠肺炎疫情导致全国企业不同程度的延迟复工、应收账款增多等， 对整个产业经济都有一定的影响。公司日常经营面临流动性风险、国家政策变 化、重大突发事件等多种宏观不可抗风险，公司作为智慧医疗领域的科技型企 业，一方面提升项目方案规划及风险规避预案的顶层设计，同时持续强化公司 在项目快速交付、实施方面的专业能力；另一方面通过募集资金、完善成本控 制等方面举措提高公司的抗风险能力、财务安全水平及灵活性，为公司进一步 发展提供资金保障，从而提升公司竞争力及持续盈利能力。</w:t>
      </w:r>
    </w:p>
    <w:p>
      <w:pPr>
        <w:pStyle w:val="Style15"/>
        <w:keepNext w:val="0"/>
        <w:keepLines w:val="0"/>
        <w:widowControl w:val="0"/>
        <w:shd w:val="clear" w:color="auto" w:fill="auto"/>
        <w:bidi w:val="0"/>
        <w:spacing w:before="0" w:after="0" w:line="622" w:lineRule="exact"/>
        <w:ind w:left="0" w:right="0"/>
        <w:jc w:val="left"/>
        <w:sectPr>
          <w:headerReference w:type="default" r:id="rId5"/>
          <w:footerReference w:type="default" r:id="rId6"/>
          <w:footnotePr>
            <w:pos w:val="pageBottom"/>
            <w:numFmt w:val="decimal"/>
            <w:numRestart w:val="continuous"/>
          </w:footnotePr>
          <w:pgSz w:w="11900" w:h="16840"/>
          <w:pgMar w:top="1306" w:right="1023" w:bottom="2314" w:left="1065" w:header="0" w:footer="3" w:gutter="0"/>
          <w:pgNumType w:start="1"/>
          <w:cols w:space="720"/>
          <w:noEndnote/>
          <w:rtlGutter w:val="0"/>
          <w:docGrid w:linePitch="360"/>
        </w:sectPr>
      </w:pPr>
      <w:r>
        <w:rPr>
          <w:color w:val="000000"/>
          <w:spacing w:val="0"/>
          <w:w w:val="100"/>
          <w:position w:val="0"/>
        </w:rPr>
        <w:t>公司经本次董事会审议通过的利润分配预案为：以未来实施</w:t>
      </w:r>
      <w:r>
        <w:rPr>
          <w:rFonts w:ascii="Times New Roman" w:eastAsia="Times New Roman" w:hAnsi="Times New Roman" w:cs="Times New Roman"/>
          <w:color w:val="000000"/>
          <w:spacing w:val="0"/>
          <w:w w:val="100"/>
          <w:position w:val="0"/>
        </w:rPr>
        <w:t>2020</w:t>
      </w:r>
      <w:r>
        <w:rPr>
          <w:color w:val="000000"/>
          <w:spacing w:val="0"/>
          <w:w w:val="100"/>
          <w:position w:val="0"/>
        </w:rPr>
        <w:t>年年度权 益分配方案时股权登记日享有利润分配、公积金转增股本权利的总股本为基数,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 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w:t>
      </w:r>
    </w:p>
    <w:p>
      <w:pPr>
        <w:pStyle w:val="Style2"/>
        <w:keepNext w:val="0"/>
        <w:keepLines w:val="0"/>
        <w:widowControl w:val="0"/>
        <w:shd w:val="clear" w:color="auto" w:fill="auto"/>
        <w:bidi w:val="0"/>
        <w:spacing w:before="1460" w:after="1580" w:line="240" w:lineRule="auto"/>
        <w:ind w:left="0" w:right="0" w:firstLine="0"/>
        <w:jc w:val="center"/>
        <w:rPr>
          <w:sz w:val="36"/>
          <w:szCs w:val="36"/>
        </w:rPr>
      </w:pPr>
      <w:r>
        <w:rPr>
          <w:b/>
          <w:bCs/>
          <w:color w:val="000000"/>
          <w:spacing w:val="0"/>
          <w:w w:val="100"/>
          <w:position w:val="0"/>
          <w:sz w:val="36"/>
          <w:szCs w:val="36"/>
        </w:rPr>
        <w:t>目录</w:t>
      </w:r>
    </w:p>
    <w:p>
      <w:pPr>
        <w:pStyle w:val="Style18"/>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48"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86"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261"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44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516"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520"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524"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568"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656"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94</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660"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95</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2050"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204</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浙江和仁科技股份有限公司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和仁湘雅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湖南和仁湘雅数字医疗技术有限公司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和仁（天津）科技有限公司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北京和仁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和仁数字科技（北京）有限公司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赣州和仁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赣州和仁信息服务有限公司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重庆和仁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重庆和仁同创科技有限公司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广西和仁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广西和仁医铭科技有限公司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江苏和仁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江苏和仁泰颐智能科技有限公司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西安和仁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西安和仁汇达信息科技有限公司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和仁科技北京分公司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浙江和仁科技股份有限公司北京分公司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中原和仁公司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中原和仁医疗科技有限公司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中锦保理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商业保理有限公司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和仁智慧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和仁智慧健康科技有限公司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四川和仁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四川和仁乾堂科技有限公司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磐源投资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杭州磐源投资有限公司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磐鸿投资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杭州磐鸿投资管理合伙企业（有限合伙）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复贞投资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杭州复贞投资管理有限公司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云骥投资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杭州云骥投资管理有限公司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杭州云医健康服务有限公司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浙江和仁科技有限公司</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通过计算机技术、网络通信技术及数据库技术，为医疗机构提供诊疗 信息和管理信息的收集、存储、处理、提取和数据交换，并满足授权 用户的功能需求。</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医院管理信息系统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以收费为中心，将门诊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急诊挂号、核价、收费、配药和住院登记、收 费，以及医疗机构人、财、物等资源调配信息，借助信息网络技术进 行管理，并采集整合各节点信息，供相关人员查询、分析和决策。</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临床医疗管理信息系统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CIS</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以患者为中心，以医生临床诊疗行为为导向，借助多种软件应用系统 整合患者临床诊疗数据，完成电子化汇总、集成、共享，医务人员通 过信息终端浏览辅助诊疗路径、发送医嘱、接受诊疗结果、完成分析， 实现全院级别的诊疗信息与管理信息集成，并在此基础上，不断延伸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出各类信息应用系统。</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区域公共医疗管理信息系统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GMIS</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将一定区域内的所有医疗机构诊疗业务和管理信息集成整合，将医疗 保险、社区医疗、远程医疗、卫生管理机构、药品及医疗器械供应商 等相关主体连接为一个用于汇总处理卫生行业数据的信息平台，从而 实现区域医疗资源智能管理和信息共享，提高区域医疗服务水平、医 疗卫生体系运转效率以及卫生行政管理科学性。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医疗管理应用系统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以企业管理的视角，将商业分析</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BD</w:t>
            </w:r>
            <w:r>
              <w:rPr>
                <w:color w:val="000000"/>
                <w:spacing w:val="0"/>
                <w:w w:val="100"/>
                <w:position w:val="0"/>
              </w:rPr>
              <w:t>、企业资源计划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w:t>
            </w:r>
            <w:r>
              <w:rPr>
                <w:color w:val="000000"/>
                <w:spacing w:val="0"/>
                <w:w w:val="100"/>
                <w:position w:val="0"/>
              </w:rPr>
              <w:t>客 户关系管理（</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w:t>
            </w:r>
            <w:r>
              <w:rPr>
                <w:color w:val="000000"/>
                <w:spacing w:val="0"/>
                <w:w w:val="100"/>
                <w:position w:val="0"/>
              </w:rPr>
              <w:t>等企业经营管理理念运用于医疗机构日常运营， 其最终实现需以医疗机构临床业务信息为基础，因此，将其归为临床 医疗管理信息系统的分支之一。</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数字化场景应用方案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以信息设备为基础，借助信息技术、网络技术、数据库技术、流媒体 技术，通过系统集成实现医疗机构具体运营场景的信息化管理，包括 一体化手术室系统、远程协同医疗系统、医疗机构运营控制系统、病 房管理系统、环境监测系统、安防监控系统等。</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数字化医院整体解决方案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以数字化场景应用方案、管理信息系统（</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w:t>
            </w:r>
            <w:r>
              <w:rPr>
                <w:color w:val="000000"/>
                <w:spacing w:val="0"/>
                <w:w w:val="100"/>
                <w:position w:val="0"/>
              </w:rPr>
              <w:t>、临床医疗管理信息 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CIS</w:t>
            </w:r>
            <w:r>
              <w:rPr>
                <w:color w:val="000000"/>
                <w:spacing w:val="0"/>
                <w:w w:val="100"/>
                <w:position w:val="0"/>
              </w:rPr>
              <w:t>）</w:t>
            </w:r>
            <w:r>
              <w:rPr>
                <w:color w:val="000000"/>
                <w:spacing w:val="0"/>
                <w:w w:val="100"/>
                <w:position w:val="0"/>
              </w:rPr>
              <w:t>为基础，包括医疗机构信息化蓝图规划、软硬件配置， 实施定制开发、系统集成、流程优化、数据融合，上线调试、业务培 训等工作内容在内的全套医疗信息化业务，具有系统实施、整体交付、 一体化服务等特点。</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电子病历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EMR</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医务人员在医疗活动过程中，通过医院信息系统生成的文字、符号、 图表、图形、数据、影像等数字化信息，并能实现存储、管理、传输 和重现的医疗记录。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电子病历系统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医疗机构内部支持电子病历信息的采集、存储和访问，并围绕提高医 疗质量、保障医疗安全、提高医疗效率而提供信息处理和智能化服务 功能的计算机信息系统，既包括应用于门（急）诊、病房的临床信息 系统，也包括医技科室的信息系统，其产出物为电子病历。电子病历 系统是一个动态的系统，它的数据和信息来源于多个临床部门，所以 电子病历系统需要与其他各种系统集成以获取信息；同时电子病历系 统也是临床路径管理和未来区域医疗信息管理的基础。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2"/>
        <w:keepNext/>
        <w:keepLines/>
        <w:widowControl w:val="0"/>
        <w:shd w:val="clear" w:color="auto" w:fill="auto"/>
        <w:bidi w:val="0"/>
        <w:spacing w:before="0" w:after="30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浙江和仁科技股份有限公司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浙江和仁科技股份有限公司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Heren Health Co.,Ltd.</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Heren Health</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浙江省杭州市滨江区西兴街道新联路</w:t>
            </w: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浙江省杭州市滨江区西兴街道新联路</w:t>
            </w: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herenit.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contact@herenit. com</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屈鑫</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浙江省杭州市滨江区西兴街道新联路</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浙江省杭州市滨江区西兴街道新联路</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0571-81397006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0571-81397006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0571-81397100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0571-81397100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contact@herenit.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contact@herenit. com</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浙江省杭州市滨江区西兴街道新联路</w:t>
            </w: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号和仁科技董事会办公室</w:t>
            </w:r>
          </w:p>
        </w:tc>
      </w:tr>
    </w:tbl>
    <w:p>
      <w:pPr>
        <w:spacing w:lineRule="exact" w:line="1"/>
        <w:rPr>
          <w:sz w:val="2"/>
          <w:szCs w:val="2"/>
        </w:rPr>
      </w:pPr>
      <w:r>
        <w:br w:type="page"/>
      </w:r>
    </w:p>
    <w:p>
      <w:pPr>
        <w:pStyle w:val="Style22"/>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、其他有关资料</w:t>
      </w:r>
      <w:bookmarkEnd w:id="19"/>
      <w:bookmarkEnd w:id="20"/>
      <w:bookmarkEnd w:id="22"/>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浙江省杭州市钱江路</w:t>
            </w:r>
            <w:r>
              <w:rPr>
                <w:rFonts w:ascii="Times New Roman" w:eastAsia="Times New Roman" w:hAnsi="Times New Roman" w:cs="Times New Roman"/>
                <w:color w:val="000000"/>
                <w:spacing w:val="0"/>
                <w:w w:val="100"/>
                <w:position w:val="0"/>
                <w:sz w:val="18"/>
                <w:szCs w:val="18"/>
              </w:rPr>
              <w:t>1366</w:t>
            </w:r>
            <w:r>
              <w:rPr>
                <w:color w:val="000000"/>
                <w:spacing w:val="0"/>
                <w:w w:val="100"/>
                <w:position w:val="0"/>
              </w:rPr>
              <w:t>号华润大厦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郑俭、吴传淼</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上海市广东路</w:t>
            </w:r>
            <w:r>
              <w:rPr>
                <w:rFonts w:ascii="Times New Roman" w:eastAsia="Times New Roman" w:hAnsi="Times New Roman" w:cs="Times New Roman"/>
                <w:color w:val="000000"/>
                <w:spacing w:val="0"/>
                <w:w w:val="100"/>
                <w:position w:val="0"/>
                <w:sz w:val="18"/>
                <w:szCs w:val="18"/>
              </w:rPr>
              <w:t>689</w:t>
            </w:r>
            <w:r>
              <w:rPr>
                <w:color w:val="000000"/>
                <w:spacing w:val="0"/>
                <w:w w:val="100"/>
                <w:position w:val="0"/>
              </w:rPr>
              <w:t>号海通证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郑光炼、林剑辉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、主要会计数据和财务指标</w:t>
      </w:r>
      <w:bookmarkEnd w:id="23"/>
      <w:bookmarkEnd w:id="24"/>
      <w:bookmarkEnd w:id="2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454,738,265.15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440,959,834.78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391,421,018.50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43,142,792.75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41,234,827.65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40,444,026.83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32,034,191.63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32,192,174.83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34,900,971.38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-67,562,479.64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41,415,638.33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18,228,433.35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1,562,326,060.38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953,077,638.81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943,820,410.81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1,095,082,733.06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618,277,579.88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547,191,116.31</w:t>
            </w:r>
          </w:p>
        </w:tc>
      </w:tr>
    </w:tbl>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公司报告期末至年度报告披露日股本是否因发行新股、增发、配股、股权激励行权、回购等原因发生变化且影响所有者权益 金额</w:t>
      </w:r>
    </w:p>
    <w:p>
      <w:pPr>
        <w:pStyle w:val="Style26"/>
        <w:keepNext w:val="0"/>
        <w:keepLines w:val="0"/>
        <w:widowControl w:val="0"/>
        <w:shd w:val="clear" w:color="auto" w:fill="auto"/>
        <w:bidi w:val="0"/>
        <w:spacing w:before="0" w:after="8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4526"/>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0.2279</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、分季度主要财务指标</w:t>
      </w:r>
      <w:bookmarkEnd w:id="27"/>
      <w:bookmarkEnd w:id="28"/>
      <w:bookmarkEnd w:id="3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55,111,482.65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109,805,524.16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125,036,048.49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164,785,209.85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623,402.16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6,096,601.69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18,060,661.24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18,362,127.66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138,179.15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5,304,989.23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15,582,124.62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11,008,898.63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-87,058,500.91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-19,350,744.49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-18,762,673.11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57,609,438.87</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22" w:val="left"/>
        </w:tabs>
        <w:bidi w:val="0"/>
        <w:spacing w:before="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0"/>
        <w:keepNext/>
        <w:keepLines/>
        <w:widowControl w:val="0"/>
        <w:shd w:val="clear" w:color="auto" w:fill="auto"/>
        <w:tabs>
          <w:tab w:pos="395" w:val="left"/>
        </w:tabs>
        <w:bidi w:val="0"/>
        <w:spacing w:before="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395"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非经常性损益项目及金额</w:t>
      </w:r>
      <w:bookmarkEnd w:id="43"/>
      <w:bookmarkEnd w:id="44"/>
      <w:bookmarkEnd w:id="46"/>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-476,839.98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-55,382.38</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 密切相关，按照国家统一标准定额或定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8,503,947.16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4,989,150.77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839,998.66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量享受的政府补助除外）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企业取得子公司、联营企业及合营企业 的投资成本小于取得投资时应享有被投 资单位可辨认净资产公允价值产生的收 </w:t>
            </w:r>
            <w:r>
              <w:rPr>
                <w:color w:val="000000"/>
                <w:spacing w:val="0"/>
                <w:w w:val="100"/>
                <w:position w:val="0"/>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421,613.16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5,363,380.89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7,286,027.70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6,013,471.97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-1,192,468.96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-162,373.08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142,335.61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890,189.31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1,627,476.91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989,896.24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1,385,893.92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857,486.52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102,763.48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11,108,601.12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9,042,652.82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5,543,055.45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388" w:right="1117" w:bottom="1724" w:left="1092"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3"/>
        <w:keepNext/>
        <w:keepLines/>
        <w:widowControl w:val="0"/>
        <w:shd w:val="clear" w:color="auto" w:fill="auto"/>
        <w:bidi w:val="0"/>
        <w:spacing w:before="540" w:line="240" w:lineRule="auto"/>
        <w:ind w:left="0" w:right="0" w:firstLine="0"/>
        <w:jc w:val="center"/>
      </w:pPr>
      <w:bookmarkStart w:id="47" w:name="bookmark47"/>
      <w:bookmarkStart w:id="48" w:name="bookmark48"/>
      <w:bookmarkStart w:id="49" w:name="bookmark49"/>
      <w:r>
        <w:rPr>
          <w:color w:val="000000"/>
          <w:spacing w:val="0"/>
          <w:w w:val="100"/>
          <w:position w:val="0"/>
        </w:rPr>
        <w:t>第三节公司业务概要</w:t>
      </w:r>
      <w:bookmarkEnd w:id="47"/>
      <w:bookmarkEnd w:id="48"/>
      <w:bookmarkEnd w:id="49"/>
    </w:p>
    <w:p>
      <w:pPr>
        <w:pStyle w:val="Style22"/>
        <w:keepNext/>
        <w:keepLines/>
        <w:widowControl w:val="0"/>
        <w:shd w:val="clear" w:color="auto" w:fill="auto"/>
        <w:bidi w:val="0"/>
        <w:spacing w:before="0" w:after="260" w:line="240" w:lineRule="auto"/>
        <w:ind w:left="0" w:right="0" w:firstLine="0"/>
        <w:jc w:val="left"/>
      </w:pPr>
      <w:bookmarkStart w:id="50" w:name="bookmark50"/>
      <w:bookmarkStart w:id="51" w:name="bookmark51"/>
      <w:bookmarkStart w:id="52" w:name="bookmark52"/>
      <w:bookmarkStart w:id="53" w:name="bookmark53"/>
      <w:bookmarkStart w:id="54" w:name="bookmark54"/>
      <w:r>
        <w:rPr>
          <w:color w:val="000000"/>
          <w:spacing w:val="0"/>
          <w:w w:val="100"/>
          <w:position w:val="0"/>
          <w:sz w:val="24"/>
          <w:szCs w:val="24"/>
        </w:rPr>
        <w:t>一</w:t>
      </w:r>
      <w:bookmarkEnd w:id="53"/>
      <w:r>
        <w:rPr>
          <w:color w:val="000000"/>
          <w:spacing w:val="0"/>
          <w:w w:val="100"/>
          <w:position w:val="0"/>
          <w:sz w:val="24"/>
          <w:szCs w:val="24"/>
        </w:rPr>
        <w:t>、报告期内公司从事的主要业务</w:t>
      </w:r>
      <w:bookmarkEnd w:id="51"/>
      <w:bookmarkEnd w:id="52"/>
      <w:bookmarkEnd w:id="54"/>
      <w:bookmarkEnd w:id="50"/>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tabs>
          <w:tab w:pos="867" w:val="left"/>
        </w:tabs>
        <w:bidi w:val="0"/>
        <w:spacing w:before="0" w:after="0" w:line="312" w:lineRule="exact"/>
        <w:ind w:left="0" w:right="0"/>
        <w:jc w:val="left"/>
      </w:pPr>
      <w:bookmarkStart w:id="55" w:name="bookmark55"/>
      <w:r>
        <w:rPr>
          <w:b/>
          <w:bCs/>
          <w:color w:val="000000"/>
          <w:spacing w:val="0"/>
          <w:w w:val="100"/>
          <w:position w:val="0"/>
        </w:rPr>
        <w:t>（</w:t>
      </w:r>
      <w:bookmarkEnd w:id="55"/>
      <w:r>
        <w:rPr>
          <w:b/>
          <w:bCs/>
          <w:color w:val="000000"/>
          <w:spacing w:val="0"/>
          <w:w w:val="100"/>
          <w:position w:val="0"/>
        </w:rPr>
        <w:t>一）</w:t>
        <w:tab/>
        <w:t>公司主要业务</w:t>
      </w:r>
    </w:p>
    <w:p>
      <w:pPr>
        <w:pStyle w:val="Style26"/>
        <w:keepNext w:val="0"/>
        <w:keepLines w:val="0"/>
        <w:widowControl w:val="0"/>
        <w:shd w:val="clear" w:color="auto" w:fill="auto"/>
        <w:bidi w:val="0"/>
        <w:spacing w:before="0" w:after="0" w:line="312" w:lineRule="exact"/>
        <w:ind w:left="0" w:right="0"/>
        <w:jc w:val="left"/>
      </w:pPr>
      <w:r>
        <w:rPr>
          <w:color w:val="000000"/>
          <w:spacing w:val="0"/>
          <w:w w:val="100"/>
          <w:position w:val="0"/>
        </w:rPr>
        <w:t>公司是以医疗信息系统及数字化场景应用系统的研发、销售、实施集成、服务支持为主营业务的总体解决方案服务商。 从数据、流程、系统的角度，公司为医疗机构、医疗卫生管理及协作机构的数据采集、融合、处理、存储、传输、共享和应 用提出基于自有核心系统的整体解决方案。公司的主要业务分为医疗信息系统和数字化场景应用系统两大部分。</w:t>
      </w:r>
    </w:p>
    <w:p>
      <w:pPr>
        <w:pStyle w:val="Style26"/>
        <w:keepNext w:val="0"/>
        <w:keepLines w:val="0"/>
        <w:widowControl w:val="0"/>
        <w:shd w:val="clear" w:color="auto" w:fill="auto"/>
        <w:tabs>
          <w:tab w:pos="656" w:val="left"/>
        </w:tabs>
        <w:bidi w:val="0"/>
        <w:spacing w:before="0" w:after="0" w:line="312" w:lineRule="exact"/>
        <w:ind w:left="0" w:right="0"/>
        <w:jc w:val="left"/>
      </w:pPr>
      <w:bookmarkStart w:id="56" w:name="bookmark56"/>
      <w:r>
        <w:rPr>
          <w:color w:val="000000"/>
          <w:spacing w:val="0"/>
          <w:w w:val="100"/>
          <w:position w:val="0"/>
          <w:sz w:val="18"/>
          <w:szCs w:val="18"/>
        </w:rPr>
        <w:t>1</w:t>
      </w:r>
      <w:bookmarkEnd w:id="56"/>
      <w:r>
        <w:rPr>
          <w:color w:val="000000"/>
          <w:spacing w:val="0"/>
          <w:w w:val="100"/>
          <w:position w:val="0"/>
        </w:rPr>
        <w:t>、</w:t>
        <w:tab/>
        <w:t>医疗信息系统</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医疗信息系统是根据医疗机构和医疗卫生管理及协作机构的具体业务流程和数据管理需求，构建相应系统和底层数据架 构，最终实现医疗行为流程的应用服务、系统管理、数据融合。医疗信息系统可以具体分为医院临床信息系统、城市级智慧 医疗解决方案两个板块。</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医院临床信息系统以电子病历为核心实现临床医疗行为的完整纪录，包括数据的不错、不漏和实时互联互通。该系统主 要包括高端结构化电子病历系统、一体化医护工作站、医疗信息集成平台、临床数据中心、临床路径和辅助决策系统</w:t>
      </w:r>
      <w:r>
        <w:rPr>
          <w:color w:val="000000"/>
          <w:spacing w:val="0"/>
          <w:w w:val="100"/>
          <w:position w:val="0"/>
          <w:sz w:val="18"/>
          <w:szCs w:val="18"/>
        </w:rPr>
        <w:t>（</w:t>
      </w:r>
      <w:r>
        <w:rPr>
          <w:color w:val="000000"/>
          <w:spacing w:val="0"/>
          <w:w w:val="100"/>
          <w:position w:val="0"/>
          <w:sz w:val="18"/>
          <w:szCs w:val="18"/>
        </w:rPr>
        <w:t xml:space="preserve">CDSS） </w:t>
      </w:r>
      <w:r>
        <w:rPr>
          <w:color w:val="000000"/>
          <w:spacing w:val="0"/>
          <w:w w:val="100"/>
          <w:position w:val="0"/>
        </w:rPr>
        <w:t>等电子病历及临床应用系统和将商业分析</w:t>
      </w:r>
      <w:r>
        <w:rPr>
          <w:color w:val="000000"/>
          <w:spacing w:val="0"/>
          <w:w w:val="100"/>
          <w:position w:val="0"/>
          <w:sz w:val="18"/>
          <w:szCs w:val="18"/>
        </w:rPr>
        <w:t>（BI）</w:t>
      </w:r>
      <w:r>
        <w:rPr>
          <w:color w:val="000000"/>
          <w:spacing w:val="0"/>
          <w:w w:val="100"/>
          <w:position w:val="0"/>
        </w:rPr>
        <w:t>、企业资源管理</w:t>
      </w:r>
      <w:r>
        <w:rPr>
          <w:color w:val="000000"/>
          <w:spacing w:val="0"/>
          <w:w w:val="100"/>
          <w:position w:val="0"/>
          <w:sz w:val="18"/>
          <w:szCs w:val="18"/>
        </w:rPr>
        <w:t>（HRP）</w:t>
      </w:r>
      <w:r>
        <w:rPr>
          <w:color w:val="000000"/>
          <w:spacing w:val="0"/>
          <w:w w:val="100"/>
          <w:position w:val="0"/>
        </w:rPr>
        <w:t>、客户关系管理</w:t>
      </w:r>
      <w:r>
        <w:rPr>
          <w:color w:val="000000"/>
          <w:spacing w:val="0"/>
          <w:w w:val="100"/>
          <w:position w:val="0"/>
          <w:sz w:val="18"/>
          <w:szCs w:val="18"/>
        </w:rPr>
        <w:t>（CRM）</w:t>
      </w:r>
      <w:r>
        <w:rPr>
          <w:color w:val="000000"/>
          <w:spacing w:val="0"/>
          <w:w w:val="100"/>
          <w:position w:val="0"/>
        </w:rPr>
        <w:t>等企业经营管理理念运用于 医疗机构日常运营的管理应用系统。医院临床信息系统覆盖和支撑医院线下业务、线上互联网医疗业务，以及医院集团和医 联体业务。</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城市级智慧医疗解决方案是城市范围内基于医疗-卫生-健康数据的互联互通,实现机构间业务流程协同和患者全程服务 的整体解决方案，是院内业务协同与数据互联互通在区域范围的延伸和拓展。该方案立足于大医疗、大卫生、大健康和大服 务的角度，实现跨机构的业务协同和可能的业务创新，提供检查检验结果共享互认、在线支付、区域版电子病历、医生移动 助手，与健康档案融合并提供实时在线查询、信用就医等惠民便民的医疗健康服务；实现智慧医院、医院集团、医联体、医 共体等医疗健康服务机构的业务协作、分级诊疗、慢病和健康管理等业务协作；同时辅助医院和管理部门实现业务的有效监 管、质量控制、综合控费、辅助决策、应急防疫等数字治理和实时服务需求；通过搭建基于云架构的综合服务平台，可对接 数字城市平台（城市大脑），满足数字城市总体建设中医疗健康的业务与数据的深度应用需求，支撑健康产业发展。</w:t>
      </w:r>
    </w:p>
    <w:p>
      <w:pPr>
        <w:pStyle w:val="Style26"/>
        <w:keepNext w:val="0"/>
        <w:keepLines w:val="0"/>
        <w:widowControl w:val="0"/>
        <w:shd w:val="clear" w:color="auto" w:fill="auto"/>
        <w:tabs>
          <w:tab w:pos="671" w:val="left"/>
        </w:tabs>
        <w:bidi w:val="0"/>
        <w:spacing w:before="0" w:after="0" w:line="312" w:lineRule="exact"/>
        <w:ind w:left="0" w:right="0"/>
        <w:jc w:val="both"/>
      </w:pPr>
      <w:bookmarkStart w:id="57" w:name="bookmark57"/>
      <w:r>
        <w:rPr>
          <w:b/>
          <w:bCs/>
          <w:color w:val="000000"/>
          <w:spacing w:val="0"/>
          <w:w w:val="100"/>
          <w:position w:val="0"/>
        </w:rPr>
        <w:t>2</w:t>
      </w:r>
      <w:bookmarkEnd w:id="57"/>
      <w:r>
        <w:rPr>
          <w:b/>
          <w:bCs/>
          <w:color w:val="000000"/>
          <w:spacing w:val="0"/>
          <w:w w:val="100"/>
          <w:position w:val="0"/>
        </w:rPr>
        <w:t>、</w:t>
        <w:tab/>
        <w:t>数字化场景应用系统</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数字化场景应用系统是公司临床信息系统在不同医疗服务场景下的延续应用。该系统以各场景内的业务需求为导向，借 助无线网络、物联网、</w:t>
      </w:r>
      <w:r>
        <w:rPr>
          <w:color w:val="000000"/>
          <w:spacing w:val="0"/>
          <w:w w:val="100"/>
          <w:position w:val="0"/>
          <w:sz w:val="18"/>
          <w:szCs w:val="18"/>
        </w:rPr>
        <w:t>5G</w:t>
      </w:r>
      <w:r>
        <w:rPr>
          <w:color w:val="000000"/>
          <w:spacing w:val="0"/>
          <w:w w:val="100"/>
          <w:position w:val="0"/>
        </w:rPr>
        <w:t>、</w:t>
      </w:r>
      <w:r>
        <w:rPr>
          <w:color w:val="000000"/>
          <w:spacing w:val="0"/>
          <w:w w:val="100"/>
          <w:position w:val="0"/>
        </w:rPr>
        <w:t>区块链等通讯技术整合临床医疗信息系统、运营管理信息系统及该场景内其他设备、仪器等的数 据，进行该特定应用场景下的业务支撑和医疗及管理数据分析、挖掘和应用。该系统主要包括智慧门诊、智慧住院、智慧医 技、智慧手术、智慧重症监护、远程医疗、智慧后勤、智慧机房综合运维平台、综合运营和管理中心</w:t>
      </w:r>
      <w:r>
        <w:rPr>
          <w:color w:val="000000"/>
          <w:spacing w:val="0"/>
          <w:w w:val="100"/>
          <w:position w:val="0"/>
          <w:sz w:val="18"/>
          <w:szCs w:val="18"/>
        </w:rPr>
        <w:t>（</w:t>
      </w:r>
      <w:r>
        <w:rPr>
          <w:color w:val="000000"/>
          <w:spacing w:val="0"/>
          <w:w w:val="100"/>
          <w:position w:val="0"/>
          <w:sz w:val="18"/>
          <w:szCs w:val="18"/>
        </w:rPr>
        <w:t>HCC）</w:t>
      </w:r>
      <w:r>
        <w:rPr>
          <w:color w:val="000000"/>
          <w:spacing w:val="0"/>
          <w:w w:val="100"/>
          <w:position w:val="0"/>
        </w:rPr>
        <w:t>等。</w:t>
      </w:r>
    </w:p>
    <w:p>
      <w:pPr>
        <w:pStyle w:val="Style26"/>
        <w:keepNext w:val="0"/>
        <w:keepLines w:val="0"/>
        <w:widowControl w:val="0"/>
        <w:shd w:val="clear" w:color="auto" w:fill="auto"/>
        <w:tabs>
          <w:tab w:pos="867" w:val="left"/>
        </w:tabs>
        <w:bidi w:val="0"/>
        <w:spacing w:before="0" w:after="0" w:line="312" w:lineRule="exact"/>
        <w:ind w:left="0" w:right="0"/>
        <w:jc w:val="left"/>
      </w:pPr>
      <w:bookmarkStart w:id="58" w:name="bookmark58"/>
      <w:r>
        <w:rPr>
          <w:b/>
          <w:bCs/>
          <w:color w:val="000000"/>
          <w:spacing w:val="0"/>
          <w:w w:val="100"/>
          <w:position w:val="0"/>
        </w:rPr>
        <w:t>（</w:t>
      </w:r>
      <w:bookmarkEnd w:id="58"/>
      <w:r>
        <w:rPr>
          <w:b/>
          <w:bCs/>
          <w:color w:val="000000"/>
          <w:spacing w:val="0"/>
          <w:w w:val="100"/>
          <w:position w:val="0"/>
        </w:rPr>
        <w:t>二）</w:t>
        <w:tab/>
        <w:t>客户行业情况</w:t>
      </w:r>
    </w:p>
    <w:p>
      <w:pPr>
        <w:pStyle w:val="Style26"/>
        <w:keepNext w:val="0"/>
        <w:keepLines w:val="0"/>
        <w:widowControl w:val="0"/>
        <w:shd w:val="clear" w:color="auto" w:fill="auto"/>
        <w:bidi w:val="0"/>
        <w:spacing w:before="0" w:after="0" w:line="312" w:lineRule="exact"/>
        <w:ind w:left="0" w:right="0"/>
        <w:jc w:val="both"/>
      </w:pPr>
      <w:bookmarkStart w:id="59" w:name="bookmark59"/>
      <w:r>
        <w:rPr>
          <w:color w:val="000000"/>
          <w:spacing w:val="0"/>
          <w:w w:val="100"/>
          <w:position w:val="0"/>
          <w:sz w:val="18"/>
          <w:szCs w:val="18"/>
        </w:rPr>
        <w:t>1</w:t>
      </w:r>
      <w:bookmarkEnd w:id="59"/>
      <w:r>
        <w:rPr>
          <w:color w:val="000000"/>
          <w:spacing w:val="0"/>
          <w:w w:val="100"/>
          <w:position w:val="0"/>
        </w:rPr>
        <w:t>、公司所在行业发展阶段、周期性特点</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公司自成立至今一直耕耘于医疗健康行业，为各级医疗卫生机构和卫生监管及协作机构提供信息技术服务，从而使其业 务服务能力更高效、患者就医更便捷、临床医疗更安全、政府管理更精细。各级医疗机构和政府管理部门作为医疗服务和管 理的主体，是公司的主要目标市场。</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九十年代开始，随着信息技术的发展，医疗行业开始出现了信息化建设的需求。早期的医院信息化建设主要是医院信息 系统</w:t>
      </w:r>
      <w:r>
        <w:rPr>
          <w:color w:val="000000"/>
          <w:spacing w:val="0"/>
          <w:w w:val="100"/>
          <w:position w:val="0"/>
          <w:sz w:val="18"/>
          <w:szCs w:val="18"/>
        </w:rPr>
        <w:t>（HIS）</w:t>
      </w:r>
      <w:r>
        <w:rPr>
          <w:color w:val="000000"/>
          <w:spacing w:val="0"/>
          <w:w w:val="100"/>
          <w:position w:val="0"/>
          <w:sz w:val="18"/>
          <w:szCs w:val="18"/>
        </w:rPr>
        <w:t>，</w:t>
      </w:r>
      <w:r>
        <w:rPr>
          <w:color w:val="000000"/>
          <w:spacing w:val="0"/>
          <w:w w:val="100"/>
          <w:position w:val="0"/>
        </w:rPr>
        <w:t>功能是财务记账和收费，其核心是财务信息。</w:t>
      </w:r>
      <w:r>
        <w:rPr>
          <w:color w:val="000000"/>
          <w:spacing w:val="0"/>
          <w:w w:val="100"/>
          <w:position w:val="0"/>
          <w:sz w:val="18"/>
          <w:szCs w:val="18"/>
        </w:rPr>
        <w:t>HIS</w:t>
      </w:r>
      <w:r>
        <w:rPr>
          <w:color w:val="000000"/>
          <w:spacing w:val="0"/>
          <w:w w:val="100"/>
          <w:position w:val="0"/>
        </w:rPr>
        <w:t>系统不断扩充药品信息，建立了医生工作站，通过医嘱驱动 收费业务和药品库存业务，成为了当时医院的主要信息系统。</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随着医技部门的发展和医技设备的普及，逐步发展了医技科室使用的临床信息系统，如影像存档传输系统</w:t>
      </w:r>
      <w:r>
        <w:rPr>
          <w:color w:val="000000"/>
          <w:spacing w:val="0"/>
          <w:w w:val="100"/>
          <w:position w:val="0"/>
          <w:sz w:val="18"/>
          <w:szCs w:val="18"/>
        </w:rPr>
        <w:t>（PACS）</w:t>
      </w:r>
      <w:r>
        <w:rPr>
          <w:color w:val="000000"/>
          <w:spacing w:val="0"/>
          <w:w w:val="100"/>
          <w:position w:val="0"/>
        </w:rPr>
        <w:t>、放 射信息系统</w:t>
      </w:r>
      <w:r>
        <w:rPr>
          <w:color w:val="000000"/>
          <w:spacing w:val="0"/>
          <w:w w:val="100"/>
          <w:position w:val="0"/>
          <w:sz w:val="18"/>
          <w:szCs w:val="18"/>
        </w:rPr>
        <w:t>（RIS）</w:t>
      </w:r>
      <w:r>
        <w:rPr>
          <w:color w:val="000000"/>
          <w:spacing w:val="0"/>
          <w:w w:val="100"/>
          <w:position w:val="0"/>
        </w:rPr>
        <w:t>、检验信息系统</w:t>
      </w:r>
      <w:r>
        <w:rPr>
          <w:color w:val="000000"/>
          <w:spacing w:val="0"/>
          <w:w w:val="100"/>
          <w:position w:val="0"/>
          <w:sz w:val="18"/>
          <w:szCs w:val="18"/>
        </w:rPr>
        <w:t>（LIS）</w:t>
      </w:r>
      <w:r>
        <w:rPr>
          <w:color w:val="000000"/>
          <w:spacing w:val="0"/>
          <w:w w:val="100"/>
          <w:position w:val="0"/>
        </w:rPr>
        <w:t>、</w:t>
      </w:r>
      <w:r>
        <w:rPr>
          <w:color w:val="000000"/>
          <w:spacing w:val="0"/>
          <w:w w:val="100"/>
          <w:position w:val="0"/>
        </w:rPr>
        <w:t>超声信息系统</w:t>
      </w:r>
      <w:r>
        <w:rPr>
          <w:color w:val="000000"/>
          <w:spacing w:val="0"/>
          <w:w w:val="100"/>
          <w:position w:val="0"/>
          <w:sz w:val="18"/>
          <w:szCs w:val="18"/>
        </w:rPr>
        <w:t>（UIS）</w:t>
      </w:r>
      <w:r>
        <w:rPr>
          <w:color w:val="000000"/>
          <w:spacing w:val="0"/>
          <w:w w:val="100"/>
          <w:position w:val="0"/>
        </w:rPr>
        <w:t xml:space="preserve">等。患者的数据分散在这些不同科室的系统内，检查检 验结果需要患者进行收集后提供给医生进行诊断。随着医院各类信息系统不断增加，信息孤岛越来越多，数据共享程度低， 系统难以有效地按业务流程进行协作，不能体现以患者为中心的“数据一元化”管理。另一方面，对医护人员的临床业务支 </w:t>
      </w:r>
      <w:r>
        <w:rPr>
          <w:color w:val="000000"/>
          <w:spacing w:val="0"/>
          <w:w w:val="100"/>
          <w:position w:val="0"/>
        </w:rPr>
        <w:t>撑能力不足，医患人员急需能够帮助他们提升临床服务水平、减少临床差错、提高工作效率的信息化工具。因此电子病历、 集成平台和临床数据中心应运而生，成为医疗信息化的重要内容。</w:t>
      </w:r>
    </w:p>
    <w:p>
      <w:pPr>
        <w:pStyle w:val="Style26"/>
        <w:keepNext w:val="0"/>
        <w:keepLines w:val="0"/>
        <w:widowControl w:val="0"/>
        <w:shd w:val="clear" w:color="auto" w:fill="auto"/>
        <w:bidi w:val="0"/>
        <w:spacing w:before="0" w:after="0" w:line="310" w:lineRule="exact"/>
        <w:ind w:left="0" w:right="0"/>
        <w:jc w:val="both"/>
      </w:pPr>
      <w:r>
        <w:rPr>
          <w:color w:val="000000"/>
          <w:spacing w:val="0"/>
          <w:w w:val="100"/>
          <w:position w:val="0"/>
        </w:rPr>
        <w:t>随着国家医药体制改革的深化和信息技术的持续发展，医疗信息系统逐步衍生出互联网医院、医院集团解决方案、医联 体和医共体解决方案，同时行业开始探索基于互联网+和大数据的临床和管理应用。</w:t>
      </w:r>
    </w:p>
    <w:p>
      <w:pPr>
        <w:pStyle w:val="Style26"/>
        <w:keepNext w:val="0"/>
        <w:keepLines w:val="0"/>
        <w:widowControl w:val="0"/>
        <w:shd w:val="clear" w:color="auto" w:fill="auto"/>
        <w:bidi w:val="0"/>
        <w:spacing w:before="0" w:after="0" w:line="310" w:lineRule="exact"/>
        <w:ind w:left="0" w:right="0"/>
        <w:jc w:val="both"/>
      </w:pPr>
      <w:r>
        <w:rPr>
          <w:color w:val="000000"/>
          <w:spacing w:val="0"/>
          <w:w w:val="100"/>
          <w:position w:val="0"/>
        </w:rPr>
        <w:t>医疗健康行业属于典型的弱周期行业。作为服务于医疗机构和管理部门的医疗-卫生-健康信息化行业，其发展受国家医 疗体制改革政策、医疗卫生事业发展规划、医疗机构信息化支出水平的影响，整体呈弱周期性特征。近年来，随着健康中国、 新冠疫情、国家和省市十四五规划的推动，医疗-卫生-健康信息化被前所未有的重视，国家、医院、市场都较以前加大了投 入，逐步出现高速、持续发展状态。</w:t>
      </w:r>
    </w:p>
    <w:p>
      <w:pPr>
        <w:pStyle w:val="Style26"/>
        <w:keepNext w:val="0"/>
        <w:keepLines w:val="0"/>
        <w:widowControl w:val="0"/>
        <w:shd w:val="clear" w:color="auto" w:fill="auto"/>
        <w:bidi w:val="0"/>
        <w:spacing w:before="0" w:after="0" w:line="310" w:lineRule="exact"/>
        <w:ind w:left="0" w:right="0"/>
        <w:jc w:val="both"/>
      </w:pPr>
      <w:r>
        <w:rPr>
          <w:color w:val="000000"/>
          <w:spacing w:val="0"/>
          <w:w w:val="100"/>
          <w:position w:val="0"/>
        </w:rPr>
        <w:t>医疗健康行业的发展同时受到科技水平，特别是信息技术发展的支撑，近期大力发展的互联网、云平台、大数据、人工 智能、物联网、</w:t>
      </w:r>
      <w:r>
        <w:rPr>
          <w:color w:val="000000"/>
          <w:spacing w:val="0"/>
          <w:w w:val="100"/>
          <w:position w:val="0"/>
          <w:sz w:val="18"/>
          <w:szCs w:val="18"/>
        </w:rPr>
        <w:t>5G</w:t>
      </w:r>
      <w:r>
        <w:rPr>
          <w:color w:val="000000"/>
          <w:spacing w:val="0"/>
          <w:w w:val="100"/>
          <w:position w:val="0"/>
        </w:rPr>
        <w:t>等新兴技术和服务模式，对行业起到了极大推动作用，并且拓展服务内容和服务模式。</w:t>
      </w:r>
    </w:p>
    <w:p>
      <w:pPr>
        <w:pStyle w:val="Style26"/>
        <w:keepNext w:val="0"/>
        <w:keepLines w:val="0"/>
        <w:widowControl w:val="0"/>
        <w:shd w:val="clear" w:color="auto" w:fill="auto"/>
        <w:bidi w:val="0"/>
        <w:spacing w:before="0" w:after="0" w:line="310" w:lineRule="exact"/>
        <w:ind w:left="0" w:right="0"/>
        <w:jc w:val="both"/>
      </w:pPr>
      <w:r>
        <w:rPr>
          <w:color w:val="000000"/>
          <w:spacing w:val="0"/>
          <w:w w:val="100"/>
          <w:position w:val="0"/>
        </w:rPr>
        <w:t>医疗卫生领域内的采购工作大多执行预算管理制度，预算审批集中于当年上半年，采购招标则集中于年中完成，下半年 进入项目执行期。因此，上半年订单相对较少，当年新增项目实施在下半年相对集中，销售回款在年末或次年初较为集中， 使得本行业具有一定的季节性特征。公司的订单金额对相对于公司的年度收入规模来说金额较大，公司业务的季节性特征可 能受大金额项目的签约、实施节奏影响。</w:t>
      </w:r>
    </w:p>
    <w:p>
      <w:pPr>
        <w:pStyle w:val="Style26"/>
        <w:keepNext w:val="0"/>
        <w:keepLines w:val="0"/>
        <w:widowControl w:val="0"/>
        <w:shd w:val="clear" w:color="auto" w:fill="auto"/>
        <w:bidi w:val="0"/>
        <w:spacing w:before="0" w:after="0" w:line="310" w:lineRule="exact"/>
        <w:ind w:left="0" w:right="0"/>
        <w:jc w:val="both"/>
      </w:pPr>
      <w:bookmarkStart w:id="60" w:name="bookmark60"/>
      <w:r>
        <w:rPr>
          <w:color w:val="000000"/>
          <w:spacing w:val="0"/>
          <w:w w:val="100"/>
          <w:position w:val="0"/>
          <w:sz w:val="18"/>
          <w:szCs w:val="18"/>
        </w:rPr>
        <w:t>2</w:t>
      </w:r>
      <w:bookmarkEnd w:id="60"/>
      <w:r>
        <w:rPr>
          <w:color w:val="000000"/>
          <w:spacing w:val="0"/>
          <w:w w:val="100"/>
          <w:position w:val="0"/>
        </w:rPr>
        <w:t>、公司行业地位</w:t>
      </w:r>
    </w:p>
    <w:p>
      <w:pPr>
        <w:pStyle w:val="Style26"/>
        <w:keepNext w:val="0"/>
        <w:keepLines w:val="0"/>
        <w:widowControl w:val="0"/>
        <w:shd w:val="clear" w:color="auto" w:fill="auto"/>
        <w:bidi w:val="0"/>
        <w:spacing w:before="0" w:after="0" w:line="310" w:lineRule="exact"/>
        <w:ind w:left="0" w:right="0"/>
        <w:jc w:val="both"/>
      </w:pPr>
      <w:r>
        <w:rPr>
          <w:color w:val="000000"/>
          <w:spacing w:val="0"/>
          <w:w w:val="100"/>
          <w:position w:val="0"/>
        </w:rPr>
        <w:t>公司是国内较早进入临床医疗信息化的产品服务商之一，成立至今一直专注于医疗卫生信息化领域，目前拥有领先的技 术体系、较强的自主研发能力、优势的产品服务，丰富的总体解决方案和大型项目实施交付经验，能够满足大型医疗机构客 户的建设需求，在医疗卫生信息化行业跻身前列。自成立以来，公司凭借良好的行业口碑，发展了一批以</w:t>
      </w:r>
      <w:r>
        <w:rPr>
          <w:color w:val="000000"/>
          <w:spacing w:val="0"/>
          <w:w w:val="100"/>
          <w:position w:val="0"/>
          <w:sz w:val="18"/>
          <w:szCs w:val="18"/>
        </w:rPr>
        <w:t>301</w:t>
      </w:r>
      <w:r>
        <w:rPr>
          <w:color w:val="000000"/>
          <w:spacing w:val="0"/>
          <w:w w:val="100"/>
          <w:position w:val="0"/>
        </w:rPr>
        <w:t>医院、西京医 院、同济医院、华西医院、湘雅医院、湘雅二院、浙医二院等国内</w:t>
      </w:r>
      <w:r>
        <w:rPr>
          <w:color w:val="000000"/>
          <w:spacing w:val="0"/>
          <w:w w:val="100"/>
          <w:position w:val="0"/>
          <w:sz w:val="18"/>
          <w:szCs w:val="18"/>
        </w:rPr>
        <w:t>TOP20</w:t>
      </w:r>
      <w:r>
        <w:rPr>
          <w:color w:val="000000"/>
          <w:spacing w:val="0"/>
          <w:w w:val="100"/>
          <w:position w:val="0"/>
        </w:rPr>
        <w:t>的一流知名医院为代表的标杆客户，体现了公司解 决方案在行业内的领先优势。</w:t>
      </w:r>
    </w:p>
    <w:p>
      <w:pPr>
        <w:pStyle w:val="Style26"/>
        <w:keepNext w:val="0"/>
        <w:keepLines w:val="0"/>
        <w:widowControl w:val="0"/>
        <w:shd w:val="clear" w:color="auto" w:fill="auto"/>
        <w:bidi w:val="0"/>
        <w:spacing w:before="0" w:after="0" w:line="310" w:lineRule="exact"/>
        <w:ind w:left="0" w:right="0"/>
        <w:jc w:val="both"/>
      </w:pPr>
      <w:r>
        <w:rPr>
          <w:color w:val="000000"/>
          <w:spacing w:val="0"/>
          <w:w w:val="100"/>
          <w:position w:val="0"/>
        </w:rPr>
        <w:t>公司拥有一支由博士领衔，由管理专家、信息技术专家、医疗业务专家等共同组成的精英团队。公司注重产学研合作和 国际技术交流，通过持续的开拓创新，技术理念和技术成果居于行业领先地位。公司是浙江省重点企业研究院、浙江省高新 技术企业研发中心、浙江省级企业技术中心、浙江省博士后科研工作站，并拥有计算机信息系统集成资质（一级）、建筑智 能化工程设计与施工资质（壹级）等资质认定及技术评级；公司也着力保持技术水平持续提升，</w:t>
      </w:r>
      <w:r>
        <w:rPr>
          <w:color w:val="000000"/>
          <w:spacing w:val="0"/>
          <w:w w:val="100"/>
          <w:position w:val="0"/>
          <w:sz w:val="18"/>
          <w:szCs w:val="18"/>
        </w:rPr>
        <w:t>2020</w:t>
      </w:r>
      <w:r>
        <w:rPr>
          <w:color w:val="000000"/>
          <w:spacing w:val="0"/>
          <w:w w:val="100"/>
          <w:position w:val="0"/>
        </w:rPr>
        <w:t>年度内先后实现顺利通 过</w:t>
      </w:r>
      <w:r>
        <w:rPr>
          <w:color w:val="000000"/>
          <w:spacing w:val="0"/>
          <w:w w:val="100"/>
          <w:position w:val="0"/>
          <w:sz w:val="18"/>
          <w:szCs w:val="18"/>
        </w:rPr>
        <w:t>CMMI5</w:t>
      </w:r>
      <w:r>
        <w:rPr>
          <w:color w:val="000000"/>
          <w:spacing w:val="0"/>
          <w:w w:val="100"/>
          <w:position w:val="0"/>
        </w:rPr>
        <w:t>复评、荣列</w:t>
      </w:r>
      <w:r>
        <w:rPr>
          <w:color w:val="000000"/>
          <w:spacing w:val="0"/>
          <w:w w:val="100"/>
          <w:position w:val="0"/>
          <w:sz w:val="18"/>
          <w:szCs w:val="18"/>
        </w:rPr>
        <w:t>“2019</w:t>
      </w:r>
      <w:r>
        <w:rPr>
          <w:color w:val="000000"/>
          <w:spacing w:val="0"/>
          <w:w w:val="100"/>
          <w:position w:val="0"/>
        </w:rPr>
        <w:t>年度国家规划布局内重点软件企业”。</w:t>
      </w:r>
    </w:p>
    <w:p>
      <w:pPr>
        <w:pStyle w:val="Style26"/>
        <w:keepNext w:val="0"/>
        <w:keepLines w:val="0"/>
        <w:widowControl w:val="0"/>
        <w:shd w:val="clear" w:color="auto" w:fill="auto"/>
        <w:bidi w:val="0"/>
        <w:spacing w:before="0" w:after="0" w:line="310" w:lineRule="exact"/>
        <w:ind w:left="0" w:right="0"/>
        <w:jc w:val="both"/>
      </w:pPr>
      <w:r>
        <w:rPr>
          <w:color w:val="000000"/>
          <w:spacing w:val="0"/>
          <w:w w:val="100"/>
          <w:position w:val="0"/>
        </w:rPr>
        <w:t>公司凭借技术、产品、解决方案和服务能力的综合优势，除持续获得大型综合医院集团的订单外，也在各地知名专科医 疗机构的信息化建设及升级过程中获得充分认可，如</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月，中标江苏省中医院集团信息化项目，中标额</w:t>
      </w:r>
      <w:r>
        <w:rPr>
          <w:color w:val="000000"/>
          <w:spacing w:val="0"/>
          <w:w w:val="100"/>
          <w:position w:val="0"/>
          <w:sz w:val="18"/>
          <w:szCs w:val="18"/>
        </w:rPr>
        <w:t>3990</w:t>
      </w:r>
      <w:r>
        <w:rPr>
          <w:color w:val="000000"/>
          <w:spacing w:val="0"/>
          <w:w w:val="100"/>
          <w:position w:val="0"/>
        </w:rPr>
        <w:t>万元。公 司亦通过自身技术升级及服务水平提升，帮助客户持续提升医院信息化建设水准，其中包括江西省儿童医院顺利完成电子病 历</w:t>
      </w:r>
      <w:r>
        <w:rPr>
          <w:color w:val="000000"/>
          <w:spacing w:val="0"/>
          <w:w w:val="100"/>
          <w:position w:val="0"/>
          <w:sz w:val="18"/>
          <w:szCs w:val="18"/>
        </w:rPr>
        <w:t>5</w:t>
      </w:r>
      <w:r>
        <w:rPr>
          <w:color w:val="000000"/>
          <w:spacing w:val="0"/>
          <w:w w:val="100"/>
          <w:position w:val="0"/>
        </w:rPr>
        <w:t>级评级、浙江省人民医院成功入选</w:t>
      </w:r>
      <w:r>
        <w:rPr>
          <w:color w:val="000000"/>
          <w:spacing w:val="0"/>
          <w:w w:val="100"/>
          <w:position w:val="0"/>
          <w:sz w:val="18"/>
          <w:szCs w:val="18"/>
        </w:rPr>
        <w:t xml:space="preserve">CHIMA </w:t>
      </w:r>
      <w:r>
        <w:rPr>
          <w:color w:val="000000"/>
          <w:spacing w:val="0"/>
          <w:w w:val="100"/>
          <w:position w:val="0"/>
          <w:sz w:val="18"/>
          <w:szCs w:val="18"/>
        </w:rPr>
        <w:t>2020</w:t>
      </w:r>
      <w:r>
        <w:rPr>
          <w:color w:val="000000"/>
          <w:spacing w:val="0"/>
          <w:w w:val="100"/>
          <w:position w:val="0"/>
        </w:rPr>
        <w:t>优秀案例等，提升自我、成就客户。</w:t>
      </w:r>
    </w:p>
    <w:p>
      <w:pPr>
        <w:pStyle w:val="Style26"/>
        <w:keepNext w:val="0"/>
        <w:keepLines w:val="0"/>
        <w:widowControl w:val="0"/>
        <w:shd w:val="clear" w:color="auto" w:fill="auto"/>
        <w:bidi w:val="0"/>
        <w:spacing w:before="0" w:after="0" w:line="314" w:lineRule="exact"/>
        <w:ind w:left="0" w:right="0"/>
        <w:jc w:val="both"/>
      </w:pPr>
      <w:bookmarkStart w:id="61" w:name="bookmark61"/>
      <w:r>
        <w:rPr>
          <w:color w:val="000000"/>
          <w:spacing w:val="0"/>
          <w:w w:val="100"/>
          <w:position w:val="0"/>
        </w:rPr>
        <w:t>（</w:t>
      </w:r>
      <w:bookmarkEnd w:id="61"/>
      <w:r>
        <w:rPr>
          <w:color w:val="000000"/>
          <w:spacing w:val="0"/>
          <w:w w:val="100"/>
          <w:position w:val="0"/>
        </w:rPr>
        <w:t>三）客户行业情况</w:t>
      </w:r>
    </w:p>
    <w:p>
      <w:pPr>
        <w:pStyle w:val="Style26"/>
        <w:keepNext w:val="0"/>
        <w:keepLines w:val="0"/>
        <w:widowControl w:val="0"/>
        <w:shd w:val="clear" w:color="auto" w:fill="auto"/>
        <w:bidi w:val="0"/>
        <w:spacing w:before="0" w:after="0" w:line="314" w:lineRule="exact"/>
        <w:ind w:left="0" w:right="0"/>
        <w:jc w:val="both"/>
      </w:pPr>
      <w:bookmarkStart w:id="62" w:name="bookmark62"/>
      <w:r>
        <w:rPr>
          <w:b/>
          <w:bCs/>
          <w:color w:val="000000"/>
          <w:spacing w:val="0"/>
          <w:w w:val="100"/>
          <w:position w:val="0"/>
        </w:rPr>
        <w:t>1</w:t>
      </w:r>
      <w:bookmarkEnd w:id="62"/>
      <w:r>
        <w:rPr>
          <w:b/>
          <w:bCs/>
          <w:color w:val="000000"/>
          <w:spacing w:val="0"/>
          <w:w w:val="100"/>
          <w:position w:val="0"/>
        </w:rPr>
        <w:t>、客户所处行业的相关变化情况</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报告期内，中国国内和全球爆发“新冠”疫情，党和国家发动举国之力抗击疫情，取得重大胜利，目前继续内防反复、 外防输入、人物同防的常态化做战中。在此背景下，“健康中国”战略稳步推进中，围绕分级诊疗、三医联动、提升医疗服 务能力和患者服务满意度等重点工作，国家卫健委、国家医保局出台了一系列的政策和文件，来推动和落实；强调完善重大 疫情防控体制机制，健全国家公共卫生应急服务体系；加强国家医学中心和国家区域医疗中心建设；同时推动数字城市（城 市大脑）建设，让数字空间成为城市新的数字基础设施，推动各个行业，包括医疗卫生健康行业的服务内容和服务模式创新。</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国家卫健委进一步明确“互联网+医疗服务”的工作和考核细则，推动“互联网+医疗服务”的发展，进一步推动医疗机 构的“智慧服务”建设。</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06</w:t>
      </w:r>
      <w:r>
        <w:rPr>
          <w:color w:val="000000"/>
          <w:spacing w:val="0"/>
          <w:w w:val="100"/>
          <w:position w:val="0"/>
        </w:rPr>
        <w:t>日国家卫生健康委办公厅印发了《关于在疫情防控中做好互联网诊疗咨询服务工作的通知》</w:t>
      </w:r>
      <w:r>
        <w:rPr>
          <w:color w:val="000000"/>
          <w:spacing w:val="0"/>
          <w:w w:val="100"/>
          <w:position w:val="0"/>
          <w:sz w:val="18"/>
          <w:szCs w:val="18"/>
        </w:rPr>
        <w:t>，</w:t>
      </w:r>
      <w:r>
        <w:rPr>
          <w:color w:val="000000"/>
          <w:spacing w:val="0"/>
          <w:w w:val="100"/>
          <w:position w:val="0"/>
        </w:rPr>
        <w:t>充分发挥互 联网诊疗咨询服务在疫情防控中的作用，同时，加强对互联网诊疗服务的监管。</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13</w:t>
      </w:r>
      <w:r>
        <w:rPr>
          <w:color w:val="000000"/>
          <w:spacing w:val="0"/>
          <w:w w:val="100"/>
          <w:position w:val="0"/>
        </w:rPr>
        <w:t>日国家卫生健康委网站发布《关于做好公立医疗机构“互联网</w:t>
      </w:r>
      <w:r>
        <w:rPr>
          <w:color w:val="000000"/>
          <w:spacing w:val="0"/>
          <w:w w:val="100"/>
          <w:position w:val="0"/>
          <w:sz w:val="18"/>
          <w:szCs w:val="18"/>
        </w:rPr>
        <w:t>+</w:t>
      </w:r>
      <w:r>
        <w:rPr>
          <w:color w:val="000000"/>
          <w:spacing w:val="0"/>
          <w:w w:val="100"/>
          <w:position w:val="0"/>
        </w:rPr>
        <w:t>医疗服务”项目技术规范及财务管理工作 的通知》，明确会计核算及财务管理，包括：医院收费记账+分配关系。</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05</w:t>
      </w:r>
      <w:r>
        <w:rPr>
          <w:color w:val="000000"/>
          <w:spacing w:val="0"/>
          <w:w w:val="100"/>
          <w:position w:val="0"/>
        </w:rPr>
        <w:t>日中共中央国务院《关于深化医疗保障制度改革的意见》</w:t>
      </w:r>
      <w:r>
        <w:rPr>
          <w:color w:val="000000"/>
          <w:spacing w:val="0"/>
          <w:w w:val="100"/>
          <w:position w:val="0"/>
          <w:sz w:val="18"/>
          <w:szCs w:val="18"/>
        </w:rPr>
        <w:t>，</w:t>
      </w:r>
      <w:r>
        <w:rPr>
          <w:color w:val="000000"/>
          <w:spacing w:val="0"/>
          <w:w w:val="100"/>
          <w:position w:val="0"/>
        </w:rPr>
        <w:t>以健康中国为总目标，强化和完善多层次医疗 保障制度体系，</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25</w:t>
      </w:r>
      <w:r>
        <w:rPr>
          <w:color w:val="000000"/>
          <w:spacing w:val="0"/>
          <w:w w:val="100"/>
          <w:position w:val="0"/>
        </w:rPr>
        <w:t>日国家医保局印发《全面推广应用医保电子凭证的通知》，推动智慧医保加速发展。</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18</w:t>
      </w:r>
      <w:r>
        <w:rPr>
          <w:color w:val="000000"/>
          <w:spacing w:val="0"/>
          <w:w w:val="100"/>
          <w:position w:val="0"/>
        </w:rPr>
        <w:t>日国家医保局发布《医疗保障疾病诊断相关分组</w:t>
      </w:r>
      <w:r>
        <w:rPr>
          <w:color w:val="000000"/>
          <w:spacing w:val="0"/>
          <w:w w:val="100"/>
          <w:position w:val="0"/>
          <w:sz w:val="18"/>
          <w:szCs w:val="18"/>
        </w:rPr>
        <w:t>（CHS-DRG）</w:t>
      </w:r>
      <w:r>
        <w:rPr>
          <w:color w:val="000000"/>
          <w:spacing w:val="0"/>
          <w:w w:val="100"/>
          <w:position w:val="0"/>
        </w:rPr>
        <w:t>细分组方案</w:t>
      </w:r>
      <w:r>
        <w:rPr>
          <w:color w:val="000000"/>
          <w:spacing w:val="0"/>
          <w:w w:val="100"/>
          <w:position w:val="0"/>
          <w:sz w:val="18"/>
          <w:szCs w:val="18"/>
        </w:rPr>
        <w:t>（1.0</w:t>
      </w:r>
      <w:r>
        <w:rPr>
          <w:color w:val="000000"/>
          <w:spacing w:val="0"/>
          <w:w w:val="100"/>
          <w:position w:val="0"/>
        </w:rPr>
        <w:t>版）》</w:t>
      </w:r>
      <w:r>
        <w:rPr>
          <w:color w:val="000000"/>
          <w:spacing w:val="0"/>
          <w:w w:val="100"/>
          <w:position w:val="0"/>
          <w:sz w:val="18"/>
          <w:szCs w:val="18"/>
        </w:rPr>
        <w:t>,</w:t>
      </w:r>
      <w:r>
        <w:rPr>
          <w:color w:val="000000"/>
          <w:spacing w:val="0"/>
          <w:w w:val="100"/>
          <w:position w:val="0"/>
        </w:rPr>
        <w:t>要求各试点城市参考</w:t>
      </w:r>
      <w:r>
        <w:rPr>
          <w:color w:val="000000"/>
          <w:spacing w:val="0"/>
          <w:w w:val="100"/>
          <w:position w:val="0"/>
          <w:sz w:val="18"/>
          <w:szCs w:val="18"/>
        </w:rPr>
        <w:t xml:space="preserve">CHS-DRG </w:t>
      </w:r>
      <w:r>
        <w:rPr>
          <w:color w:val="000000"/>
          <w:spacing w:val="0"/>
          <w:w w:val="100"/>
          <w:position w:val="0"/>
        </w:rPr>
        <w:t>细分组，制定本地的</w:t>
      </w:r>
      <w:r>
        <w:rPr>
          <w:color w:val="000000"/>
          <w:spacing w:val="0"/>
          <w:w w:val="100"/>
          <w:position w:val="0"/>
          <w:sz w:val="18"/>
          <w:szCs w:val="18"/>
        </w:rPr>
        <w:t>DRG</w:t>
      </w:r>
      <w:r>
        <w:rPr>
          <w:color w:val="000000"/>
          <w:spacing w:val="0"/>
          <w:w w:val="100"/>
          <w:position w:val="0"/>
        </w:rPr>
        <w:t>细分组，也可直接使用</w:t>
      </w:r>
      <w:r>
        <w:rPr>
          <w:color w:val="000000"/>
          <w:spacing w:val="0"/>
          <w:w w:val="100"/>
          <w:position w:val="0"/>
          <w:sz w:val="18"/>
          <w:szCs w:val="18"/>
        </w:rPr>
        <w:t>CHS-DRG</w:t>
      </w:r>
      <w:r>
        <w:rPr>
          <w:color w:val="000000"/>
          <w:spacing w:val="0"/>
          <w:w w:val="100"/>
          <w:position w:val="0"/>
        </w:rPr>
        <w:t>细分组开展本地的</w:t>
      </w:r>
      <w:r>
        <w:rPr>
          <w:color w:val="000000"/>
          <w:spacing w:val="0"/>
          <w:w w:val="100"/>
          <w:position w:val="0"/>
          <w:sz w:val="18"/>
          <w:szCs w:val="18"/>
        </w:rPr>
        <w:t>DRG</w:t>
      </w:r>
      <w:r>
        <w:rPr>
          <w:color w:val="000000"/>
          <w:spacing w:val="0"/>
          <w:w w:val="100"/>
          <w:position w:val="0"/>
        </w:rPr>
        <w:t>付费国家试点工作。</w:t>
      </w:r>
    </w:p>
    <w:p>
      <w:pPr>
        <w:pStyle w:val="Style26"/>
        <w:keepNext w:val="0"/>
        <w:keepLines w:val="0"/>
        <w:widowControl w:val="0"/>
        <w:shd w:val="clear" w:color="auto" w:fill="auto"/>
        <w:bidi w:val="0"/>
        <w:spacing w:before="0" w:after="0" w:line="314" w:lineRule="exact"/>
        <w:ind w:left="0" w:right="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01</w:t>
      </w:r>
      <w:r>
        <w:rPr>
          <w:color w:val="000000"/>
          <w:spacing w:val="0"/>
          <w:w w:val="100"/>
          <w:position w:val="0"/>
        </w:rPr>
        <w:t>日国家卫生健康委办公厅下发《关于</w:t>
      </w:r>
      <w:r>
        <w:rPr>
          <w:color w:val="000000"/>
          <w:spacing w:val="0"/>
          <w:w w:val="100"/>
          <w:position w:val="0"/>
          <w:sz w:val="18"/>
          <w:szCs w:val="18"/>
        </w:rPr>
        <w:t>2018</w:t>
      </w:r>
      <w:r>
        <w:rPr>
          <w:color w:val="000000"/>
          <w:spacing w:val="0"/>
          <w:w w:val="100"/>
          <w:position w:val="0"/>
        </w:rPr>
        <w:t>年度全国三级公立医院绩效考核国家监测分析有关情况的通报》， 通报显示</w:t>
      </w:r>
      <w:r>
        <w:rPr>
          <w:color w:val="000000"/>
          <w:spacing w:val="0"/>
          <w:w w:val="100"/>
          <w:position w:val="0"/>
          <w:sz w:val="18"/>
          <w:szCs w:val="18"/>
        </w:rPr>
        <w:t>2019</w:t>
      </w:r>
      <w:r>
        <w:rPr>
          <w:color w:val="000000"/>
          <w:spacing w:val="0"/>
          <w:w w:val="100"/>
          <w:position w:val="0"/>
        </w:rPr>
        <w:t>年国家卫生健康委联合相关部门，根据全国三级公立医院</w:t>
      </w:r>
      <w:r>
        <w:rPr>
          <w:color w:val="000000"/>
          <w:spacing w:val="0"/>
          <w:w w:val="100"/>
          <w:position w:val="0"/>
          <w:sz w:val="18"/>
          <w:szCs w:val="18"/>
        </w:rPr>
        <w:t>2018</w:t>
      </w:r>
      <w:r>
        <w:rPr>
          <w:color w:val="000000"/>
          <w:spacing w:val="0"/>
          <w:w w:val="100"/>
          <w:position w:val="0"/>
        </w:rPr>
        <w:t>年的数据，对</w:t>
      </w:r>
      <w:r>
        <w:rPr>
          <w:color w:val="000000"/>
          <w:spacing w:val="0"/>
          <w:w w:val="100"/>
          <w:position w:val="0"/>
          <w:sz w:val="18"/>
          <w:szCs w:val="18"/>
        </w:rPr>
        <w:t>26</w:t>
      </w:r>
      <w:r>
        <w:rPr>
          <w:color w:val="000000"/>
          <w:spacing w:val="0"/>
          <w:w w:val="100"/>
          <w:position w:val="0"/>
        </w:rPr>
        <w:t>个绩效考核监测指标进行了分析， 极大的推动了公立医院改革，包括：绩效考核工作、地区不平衡、医院管理效率、医务人员积极性等重点内容。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28</w:t>
      </w:r>
      <w:r>
        <w:rPr>
          <w:color w:val="000000"/>
          <w:spacing w:val="0"/>
          <w:w w:val="100"/>
          <w:position w:val="0"/>
        </w:rPr>
        <w:t>日国家卫生健康委发布《关于印发三级医院评审标准</w:t>
      </w:r>
      <w:r>
        <w:rPr>
          <w:color w:val="000000"/>
          <w:spacing w:val="0"/>
          <w:w w:val="100"/>
          <w:position w:val="0"/>
          <w:sz w:val="18"/>
          <w:szCs w:val="18"/>
        </w:rPr>
        <w:t>（2020</w:t>
      </w:r>
      <w:r>
        <w:rPr>
          <w:color w:val="000000"/>
          <w:spacing w:val="0"/>
          <w:w w:val="100"/>
          <w:position w:val="0"/>
        </w:rPr>
        <w:t>年版）的通知》</w:t>
      </w:r>
      <w:r>
        <w:rPr>
          <w:color w:val="000000"/>
          <w:spacing w:val="0"/>
          <w:w w:val="100"/>
          <w:position w:val="0"/>
          <w:sz w:val="18"/>
          <w:szCs w:val="18"/>
        </w:rPr>
        <w:t>，</w:t>
      </w:r>
      <w:r>
        <w:rPr>
          <w:color w:val="000000"/>
          <w:spacing w:val="0"/>
          <w:w w:val="100"/>
          <w:position w:val="0"/>
        </w:rPr>
        <w:t>新标准秉承“继承、发展、创新，兼顾普 遍适用与专科特点”的原则，推动医院评审由以现场检查、主观定性、集中检查为主的评审形式转向以日常监测、客观指标、 现场检查、定量与定性评价相结合的工作思路和工作方向，进一步促进医院践行“三个转变、三个提高”。</w:t>
      </w:r>
    </w:p>
    <w:p>
      <w:pPr>
        <w:pStyle w:val="Style26"/>
        <w:keepNext w:val="0"/>
        <w:keepLines w:val="0"/>
        <w:widowControl w:val="0"/>
        <w:shd w:val="clear" w:color="auto" w:fill="auto"/>
        <w:bidi w:val="0"/>
        <w:spacing w:before="0" w:after="0" w:line="314" w:lineRule="exact"/>
        <w:ind w:left="0" w:right="0"/>
        <w:jc w:val="left"/>
      </w:pPr>
      <w:r>
        <w:rPr>
          <w:color w:val="000000"/>
          <w:spacing w:val="0"/>
          <w:w w:val="100"/>
          <w:position w:val="0"/>
        </w:rPr>
        <w:t>这些政策和文件的发布，进一步明确了 “健康中国”的要求，细化了医疗-卫生-健康信息化的具体要求，持续推升医疗 信息化投资需求。即通过提升智慧医院和互联网医院建设，拓展医院的服务空间和内容；通过城市医疗集团、县域医共体为 核心的分级诊疗体系，落实优质医疗资源的多样化下沉；通过城市级的公共卫生服务体系和医疗健康服务平台，提升数字治 理和健康服务能力，提高服务效率，创新服务模式，满足人民群众日益增长的医疗卫生健康需求。</w:t>
      </w:r>
    </w:p>
    <w:p>
      <w:pPr>
        <w:pStyle w:val="Style26"/>
        <w:keepNext w:val="0"/>
        <w:keepLines w:val="0"/>
        <w:widowControl w:val="0"/>
        <w:shd w:val="clear" w:color="auto" w:fill="auto"/>
        <w:tabs>
          <w:tab w:pos="693" w:val="left"/>
        </w:tabs>
        <w:bidi w:val="0"/>
        <w:spacing w:before="0" w:after="0" w:line="314" w:lineRule="exact"/>
        <w:ind w:left="0" w:right="0"/>
        <w:jc w:val="left"/>
      </w:pPr>
      <w:bookmarkStart w:id="63" w:name="bookmark63"/>
      <w:r>
        <w:rPr>
          <w:b/>
          <w:bCs/>
          <w:color w:val="000000"/>
          <w:spacing w:val="0"/>
          <w:w w:val="100"/>
          <w:position w:val="0"/>
        </w:rPr>
        <w:t>2</w:t>
      </w:r>
      <w:bookmarkEnd w:id="63"/>
      <w:r>
        <w:rPr>
          <w:b/>
          <w:bCs/>
          <w:color w:val="000000"/>
          <w:spacing w:val="0"/>
          <w:w w:val="100"/>
          <w:position w:val="0"/>
        </w:rPr>
        <w:t>、</w:t>
        <w:tab/>
        <w:t>客户的以上情况变化对公司当期以及未来发展的影响</w:t>
      </w:r>
    </w:p>
    <w:p>
      <w:pPr>
        <w:pStyle w:val="Style26"/>
        <w:keepNext w:val="0"/>
        <w:keepLines w:val="0"/>
        <w:widowControl w:val="0"/>
        <w:shd w:val="clear" w:color="auto" w:fill="auto"/>
        <w:bidi w:val="0"/>
        <w:spacing w:before="0" w:after="0" w:line="312" w:lineRule="exact"/>
        <w:ind w:left="0" w:right="0"/>
        <w:jc w:val="left"/>
      </w:pPr>
      <w:r>
        <w:rPr>
          <w:color w:val="000000"/>
          <w:spacing w:val="0"/>
          <w:w w:val="100"/>
          <w:position w:val="0"/>
        </w:rPr>
        <w:t>在健康中国建设、深化医药改革的背景下，人民群众多层次多样化的健康需求不断增长，医疗信息化发展方向和行业标 准不断明晰和规范，市场建设需求将持续稳定增长。同时，在新冠疫情冲击下，医疗服务、卫生管理、健康服务将产生新的 变化，比如：基于云平台的服务内容和服务模式的加速、医疗和疾控业务进一步融合、基层能力提升的加速等。基于公司的 核心价值和深厚的行业积累，公司在医疗信息化市场及相关领域的创新业务方面将迎来更大的发展空间和机遇。</w:t>
      </w:r>
    </w:p>
    <w:p>
      <w:pPr>
        <w:pStyle w:val="Style26"/>
        <w:keepNext w:val="0"/>
        <w:keepLines w:val="0"/>
        <w:widowControl w:val="0"/>
        <w:shd w:val="clear" w:color="auto" w:fill="auto"/>
        <w:tabs>
          <w:tab w:pos="693" w:val="left"/>
        </w:tabs>
        <w:bidi w:val="0"/>
        <w:spacing w:before="0" w:after="0" w:line="314" w:lineRule="exact"/>
        <w:ind w:left="0" w:right="0"/>
        <w:jc w:val="left"/>
      </w:pPr>
      <w:bookmarkStart w:id="64" w:name="bookmark64"/>
      <w:r>
        <w:rPr>
          <w:b/>
          <w:bCs/>
          <w:color w:val="000000"/>
          <w:spacing w:val="0"/>
          <w:w w:val="100"/>
          <w:position w:val="0"/>
        </w:rPr>
        <w:t>3</w:t>
      </w:r>
      <w:bookmarkEnd w:id="64"/>
      <w:r>
        <w:rPr>
          <w:b/>
          <w:bCs/>
          <w:color w:val="000000"/>
          <w:spacing w:val="0"/>
          <w:w w:val="100"/>
          <w:position w:val="0"/>
        </w:rPr>
        <w:t>、</w:t>
        <w:tab/>
        <w:t>公司针对上述影响所采取的措施</w:t>
      </w:r>
    </w:p>
    <w:p>
      <w:pPr>
        <w:pStyle w:val="Style26"/>
        <w:keepNext w:val="0"/>
        <w:keepLines w:val="0"/>
        <w:widowControl w:val="0"/>
        <w:shd w:val="clear" w:color="auto" w:fill="auto"/>
        <w:bidi w:val="0"/>
        <w:spacing w:before="0" w:after="680" w:line="314" w:lineRule="exact"/>
        <w:ind w:left="0" w:right="0" w:firstLine="440"/>
        <w:jc w:val="both"/>
      </w:pPr>
      <w:r>
        <w:rPr>
          <w:color w:val="000000"/>
          <w:spacing w:val="0"/>
          <w:w w:val="100"/>
          <w:position w:val="0"/>
        </w:rPr>
        <w:t>针对上述影响，公司将在继续聚焦“智慧医院”领域和“城市级智慧医疗”领域持续发力，推出新产品、新服务，为 客户创造更大价值。公司持续积极研发符合未来智慧医院、医联体、医共体、云服务等新理念的整体解决方案，从产品和服 务的综合方案提供方进一步向综合服务整合及运营方进化，提升医疗健康服务效率，在合规的框架下充分挖掘数据价值，以 构造生态的多方共赢方式实现商业模式的创新和盈利能力的提升。</w:t>
      </w:r>
    </w:p>
    <w:p>
      <w:pPr>
        <w:pStyle w:val="Style22"/>
        <w:keepNext/>
        <w:keepLines/>
        <w:widowControl w:val="0"/>
        <w:shd w:val="clear" w:color="auto" w:fill="auto"/>
        <w:bidi w:val="0"/>
        <w:spacing w:before="0" w:after="38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二</w:t>
      </w:r>
      <w:bookmarkEnd w:id="67"/>
      <w:r>
        <w:rPr>
          <w:color w:val="000000"/>
          <w:spacing w:val="0"/>
          <w:w w:val="100"/>
          <w:position w:val="0"/>
          <w:sz w:val="24"/>
          <w:szCs w:val="24"/>
        </w:rPr>
        <w:t>、主要资产重大变化情况</w:t>
      </w:r>
      <w:bookmarkEnd w:id="65"/>
      <w:bookmarkEnd w:id="66"/>
      <w:bookmarkEnd w:id="68"/>
    </w:p>
    <w:p>
      <w:pPr>
        <w:pStyle w:val="Style30"/>
        <w:keepNext/>
        <w:keepLines/>
        <w:widowControl w:val="0"/>
        <w:shd w:val="clear" w:color="auto" w:fill="auto"/>
        <w:bidi w:val="0"/>
        <w:spacing w:before="0" w:after="34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1</w:t>
      </w:r>
      <w:bookmarkEnd w:id="71"/>
      <w:r>
        <w:rPr>
          <w:color w:val="000000"/>
          <w:spacing w:val="0"/>
          <w:w w:val="100"/>
          <w:position w:val="0"/>
        </w:rPr>
        <w:t>、主要资产重大变化情况</w:t>
      </w:r>
      <w:bookmarkEnd w:id="69"/>
      <w:bookmarkEnd w:id="70"/>
      <w:bookmarkEnd w:id="72"/>
    </w:p>
    <w:tbl>
      <w:tblPr>
        <w:tblOverlap w:val="never"/>
        <w:jc w:val="center"/>
        <w:tblLayout w:type="fixed"/>
      </w:tblPr>
      <w:tblGrid>
        <w:gridCol w:w="3058"/>
        <w:gridCol w:w="6523"/>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新增办公楼改造装修工程</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2</w:t>
      </w:r>
      <w:bookmarkEnd w:id="75"/>
      <w:r>
        <w:rPr>
          <w:color w:val="000000"/>
          <w:spacing w:val="0"/>
          <w:w w:val="100"/>
          <w:position w:val="0"/>
        </w:rPr>
        <w:t>、主要境外资产情况</w:t>
      </w:r>
      <w:bookmarkEnd w:id="73"/>
      <w:bookmarkEnd w:id="74"/>
      <w:bookmarkEnd w:id="76"/>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三</w:t>
      </w:r>
      <w:bookmarkEnd w:id="79"/>
      <w:r>
        <w:rPr>
          <w:color w:val="000000"/>
          <w:spacing w:val="0"/>
          <w:w w:val="100"/>
          <w:position w:val="0"/>
          <w:sz w:val="24"/>
          <w:szCs w:val="24"/>
        </w:rPr>
        <w:t>、核心竞争力分析</w:t>
      </w:r>
      <w:bookmarkEnd w:id="77"/>
      <w:bookmarkEnd w:id="78"/>
      <w:bookmarkEnd w:id="80"/>
    </w:p>
    <w:p>
      <w:pPr>
        <w:pStyle w:val="Style26"/>
        <w:keepNext w:val="0"/>
        <w:keepLines w:val="0"/>
        <w:widowControl w:val="0"/>
        <w:shd w:val="clear" w:color="auto" w:fill="auto"/>
        <w:bidi w:val="0"/>
        <w:spacing w:before="0" w:after="340" w:line="240" w:lineRule="auto"/>
        <w:ind w:left="0" w:right="0"/>
        <w:jc w:val="both"/>
      </w:pPr>
      <w:r>
        <w:rPr>
          <w:color w:val="000000"/>
          <w:spacing w:val="0"/>
          <w:w w:val="100"/>
          <w:position w:val="0"/>
          <w:sz w:val="18"/>
          <w:szCs w:val="18"/>
        </w:rPr>
        <w:t>1</w:t>
      </w:r>
      <w:r>
        <w:rPr>
          <w:color w:val="000000"/>
          <w:spacing w:val="0"/>
          <w:w w:val="100"/>
          <w:position w:val="0"/>
        </w:rPr>
        <w:t>、基于临床核心产品的整体解决方案能力</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公司基于对医疗机构的业务流程、组织编制、管理模式、技术环境和操作习惯等应用场景和业务的深刻理解，以临床数 据的互联互通为核心，根据数据采集、融合、应用的思路，为医疗机构提供具有顶层设计的全院级别智慧医院整体解决方案。</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首先，基于公司顾问式的咨询服务能力，整体解决方案的顶层设计思路使得公司与医院之间不仅是简单的产品销售关系， 而是包括需求分析、流程优化、方案设计、定制化开发、系统实施、总体运维等环节在内的全方位合作。公司整体解决方案 定位于大型医院全院级别信息应用的系统工程，充分考虑了大型医院全科室、大门诊量、应用软件繁杂等业务特征，以电子 病历为核心，结合定制化需求开发，构建临床医疗管理信息平台。</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其次，凭借以自有临床产品为核心的整体解决方案，公司占据了医疗信息化建设的核心位置。临床数据处理是医院信息 系统的核心，公司的高端结构化电子病历系统是医院医护人员的临床业务操作系统，是医护一体化的业务管理平台，是完整 纪录临床行为、完整采集并融合临床数据的医院核心业务系统。公司通过集成平台与</w:t>
      </w:r>
      <w:r>
        <w:rPr>
          <w:color w:val="000000"/>
          <w:spacing w:val="0"/>
          <w:w w:val="100"/>
          <w:position w:val="0"/>
          <w:sz w:val="18"/>
          <w:szCs w:val="18"/>
        </w:rPr>
        <w:t xml:space="preserve">HIS </w:t>
      </w:r>
      <w:r>
        <w:rPr>
          <w:color w:val="000000"/>
          <w:spacing w:val="0"/>
          <w:w w:val="100"/>
          <w:position w:val="0"/>
        </w:rPr>
        <w:t>（医院信息系统）、</w:t>
      </w:r>
      <w:r>
        <w:rPr>
          <w:color w:val="000000"/>
          <w:spacing w:val="0"/>
          <w:w w:val="100"/>
          <w:position w:val="0"/>
          <w:sz w:val="18"/>
          <w:szCs w:val="18"/>
        </w:rPr>
        <w:t xml:space="preserve">PACS </w:t>
      </w:r>
      <w:r>
        <w:rPr>
          <w:color w:val="000000"/>
          <w:spacing w:val="0"/>
          <w:w w:val="100"/>
          <w:position w:val="0"/>
        </w:rPr>
        <w:t>（影像存 档传输系统）、</w:t>
      </w:r>
      <w:r>
        <w:rPr>
          <w:color w:val="000000"/>
          <w:spacing w:val="0"/>
          <w:w w:val="100"/>
          <w:position w:val="0"/>
          <w:sz w:val="18"/>
          <w:szCs w:val="18"/>
        </w:rPr>
        <w:t xml:space="preserve">RIS </w:t>
      </w:r>
      <w:r>
        <w:rPr>
          <w:color w:val="000000"/>
          <w:spacing w:val="0"/>
          <w:w w:val="100"/>
          <w:position w:val="0"/>
        </w:rPr>
        <w:t>（放射信息系统）、</w:t>
      </w:r>
      <w:r>
        <w:rPr>
          <w:color w:val="000000"/>
          <w:spacing w:val="0"/>
          <w:w w:val="100"/>
          <w:position w:val="0"/>
          <w:sz w:val="18"/>
          <w:szCs w:val="18"/>
        </w:rPr>
        <w:t xml:space="preserve">LIS </w:t>
      </w:r>
      <w:r>
        <w:rPr>
          <w:color w:val="000000"/>
          <w:spacing w:val="0"/>
          <w:w w:val="100"/>
          <w:position w:val="0"/>
        </w:rPr>
        <w:t>（检验信息系统）等众多医院其他信息系统进行数据的实时、双向的互联互通； 将病人分散在各个系统中的数据按照一元化、标准化、结构化的原则进行数据的采集、融合，形成院级临床数据中心，并统 一从数据中心支撑各项数据应用。</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公司紧跟互联网技术发展与应用，结合医疗机构的业务需求，将医院的院内诊疗服务延伸至线上和院外。公司的云医院 解决方案将通过互联网工具向患者提供分时段预约挂号、排队叫号、就诊导航、报告查询、历次电子病历查询、在线综合支 付、随访及满意度点评、医患互动等各种惠民就医服务，帮助医院提高患者服务能力和服务水平。随着医疗机构的集团化发 展的趋势与政府监管的新变化新要求，公司发展了集团化医院、医联体、医共体、城市级智慧医疗等多种业务形态的解决方 案，将公司在院内的流程、系统、数据的服务能力延伸至院间和区域。</w:t>
      </w:r>
    </w:p>
    <w:p>
      <w:pPr>
        <w:pStyle w:val="Style26"/>
        <w:keepNext w:val="0"/>
        <w:keepLines w:val="0"/>
        <w:widowControl w:val="0"/>
        <w:shd w:val="clear" w:color="auto" w:fill="auto"/>
        <w:tabs>
          <w:tab w:pos="664" w:val="left"/>
        </w:tabs>
        <w:bidi w:val="0"/>
        <w:spacing w:before="0" w:after="0" w:line="312" w:lineRule="exact"/>
        <w:ind w:left="0" w:right="0"/>
        <w:jc w:val="both"/>
      </w:pPr>
      <w:bookmarkStart w:id="81" w:name="bookmark81"/>
      <w:r>
        <w:rPr>
          <w:color w:val="000000"/>
          <w:spacing w:val="0"/>
          <w:w w:val="100"/>
          <w:position w:val="0"/>
          <w:sz w:val="18"/>
          <w:szCs w:val="18"/>
        </w:rPr>
        <w:t>2</w:t>
      </w:r>
      <w:bookmarkEnd w:id="81"/>
      <w:r>
        <w:rPr>
          <w:color w:val="000000"/>
          <w:spacing w:val="0"/>
          <w:w w:val="100"/>
          <w:position w:val="0"/>
        </w:rPr>
        <w:t>、</w:t>
        <w:tab/>
        <w:t>先进的技术水平与持续的创新能力</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不同于标准化产品起步的软件产品公司技术路线，公司产品在研发设计之初即以医院客户的临床需求为导向，以一流医 院客户为产品迭代成熟环境，以医护人员的实际业务操作效果为检验，公司的产品及方案的应用水平和适配性在行业中处于 前列。公司电子病历系统参照原卫生部电子病历评级规范的最高级要求进行设计、开发，拥有独立医疗数据中心和信息集成 平台，符合国际规范的统一数据标准，实现完全结构化的医疗文档管理系统，便于临床信息的浏览和处理，适应标准更新和 流程变化的可扩展性，能够实现多种临床功能和医嘱闭环管理，支持区域医疗信息平台扩展。</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同时，公司在与国内顶尖大型三甲医院的合作过程中，加强了对医院的医疗信息化需求的把握和对临床业务流程的理解， 能够借助丰富的医疗专家资源与珍贵的临床试验机会有效降低公司的研发风险，大幅提高了公司的研发效率与产品适用性。 公司基于原有电子病历系统开发的</w:t>
      </w:r>
      <w:r>
        <w:rPr>
          <w:color w:val="000000"/>
          <w:spacing w:val="0"/>
          <w:w w:val="100"/>
          <w:position w:val="0"/>
          <w:sz w:val="18"/>
          <w:szCs w:val="18"/>
        </w:rPr>
        <w:t>HIS（</w:t>
      </w:r>
      <w:r>
        <w:rPr>
          <w:color w:val="000000"/>
          <w:spacing w:val="0"/>
          <w:w w:val="100"/>
          <w:position w:val="0"/>
        </w:rPr>
        <w:t>医院信息系统）和电子病历系统一体化的新一代医院信息系统，是国内目前规模最大 的基于</w:t>
      </w:r>
      <w:r>
        <w:rPr>
          <w:color w:val="000000"/>
          <w:spacing w:val="0"/>
          <w:w w:val="100"/>
          <w:position w:val="0"/>
          <w:sz w:val="18"/>
          <w:szCs w:val="18"/>
        </w:rPr>
        <w:t>HTML5</w:t>
      </w:r>
      <w:r>
        <w:rPr>
          <w:color w:val="000000"/>
          <w:spacing w:val="0"/>
          <w:w w:val="100"/>
          <w:position w:val="0"/>
        </w:rPr>
        <w:t>和云计算技术的新一代医院核心业务系统，支持云部署、集团化医院和医联体的应用。同时，该系统将急诊系 统、分诊、移动医疗、临床路径、</w:t>
      </w:r>
      <w:r>
        <w:rPr>
          <w:color w:val="000000"/>
          <w:spacing w:val="0"/>
          <w:w w:val="100"/>
          <w:position w:val="0"/>
          <w:sz w:val="18"/>
          <w:szCs w:val="18"/>
        </w:rPr>
        <w:t>HRP</w:t>
      </w:r>
      <w:r>
        <w:rPr>
          <w:color w:val="000000"/>
          <w:spacing w:val="0"/>
          <w:w w:val="100"/>
          <w:position w:val="0"/>
        </w:rPr>
        <w:t>（医院资源管理系统）、感染监控等业务系统整体纳入一体化系统的业务管理范围， 形成了医院核心业务的一体化管理系统。</w:t>
      </w:r>
    </w:p>
    <w:p>
      <w:pPr>
        <w:pStyle w:val="Style26"/>
        <w:keepNext w:val="0"/>
        <w:keepLines w:val="0"/>
        <w:widowControl w:val="0"/>
        <w:shd w:val="clear" w:color="auto" w:fill="auto"/>
        <w:tabs>
          <w:tab w:pos="664" w:val="left"/>
        </w:tabs>
        <w:bidi w:val="0"/>
        <w:spacing w:before="0" w:after="0" w:line="312" w:lineRule="exact"/>
        <w:ind w:left="0" w:right="0"/>
        <w:jc w:val="both"/>
      </w:pPr>
      <w:bookmarkStart w:id="82" w:name="bookmark82"/>
      <w:r>
        <w:rPr>
          <w:color w:val="000000"/>
          <w:spacing w:val="0"/>
          <w:w w:val="100"/>
          <w:position w:val="0"/>
          <w:sz w:val="18"/>
          <w:szCs w:val="18"/>
        </w:rPr>
        <w:t>3</w:t>
      </w:r>
      <w:bookmarkEnd w:id="82"/>
      <w:r>
        <w:rPr>
          <w:color w:val="000000"/>
          <w:spacing w:val="0"/>
          <w:w w:val="100"/>
          <w:position w:val="0"/>
        </w:rPr>
        <w:t>、</w:t>
        <w:tab/>
        <w:t>全生命周期的管家式服务水平</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公司基于对客户需求的实时响应，为客户提供全生命周期的管家式服务，形成咨询、建设、优化、运维、升级的闭环。 公司建立了成熟规范的市场化运作机制，在合作关系建立、客户需求调查、技术预研、项目实施、现场运维响应和技术服务 等环节均能较高效率的开展相关工作，满足了客户在服务效率等方面的要求。此外，公司依托项目开发和运维服务，全面及 时的收集了客户需求信息，通过深入分析有预见性地实施技术研发、针对性地开展技术攻关，提升了技术服务水平和客户满 意度。公司的服务质量取得了多家客户的好评，具备较为明显的服务优势。</w:t>
      </w:r>
    </w:p>
    <w:p>
      <w:pPr>
        <w:pStyle w:val="Style26"/>
        <w:keepNext w:val="0"/>
        <w:keepLines w:val="0"/>
        <w:widowControl w:val="0"/>
        <w:shd w:val="clear" w:color="auto" w:fill="auto"/>
        <w:tabs>
          <w:tab w:pos="669" w:val="left"/>
        </w:tabs>
        <w:bidi w:val="0"/>
        <w:spacing w:before="0" w:after="0" w:line="312" w:lineRule="exact"/>
        <w:ind w:left="0" w:right="0"/>
        <w:jc w:val="both"/>
      </w:pPr>
      <w:bookmarkStart w:id="83" w:name="bookmark83"/>
      <w:r>
        <w:rPr>
          <w:color w:val="000000"/>
          <w:spacing w:val="0"/>
          <w:w w:val="100"/>
          <w:position w:val="0"/>
          <w:sz w:val="18"/>
          <w:szCs w:val="18"/>
        </w:rPr>
        <w:t>4</w:t>
      </w:r>
      <w:bookmarkEnd w:id="83"/>
      <w:r>
        <w:rPr>
          <w:color w:val="000000"/>
          <w:spacing w:val="0"/>
          <w:w w:val="100"/>
          <w:position w:val="0"/>
        </w:rPr>
        <w:t>、</w:t>
        <w:tab/>
        <w:t>具有优质客户资源与良好品牌形象</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经过多年的市场开拓和业务经营，公司已与军队系统医疗机构、浙江、湖南、天津、湖北、陕西、江西、江苏等地方的 国内一流大型医疗机构建立了长期广泛的业务合作关系。公司在临床信息化领域技术储备丰富，特别是在军队和地方大型医 疗机构中，公司已积累了较多的成功案例，积累了成熟的实施管理经验，树立了良好的品牌形象。公司通过对大型医疗机构 的需求进行持续跟踪、持续参与客户信息化建设的规划迭代，并针对性地实施产品开发、提供高质量的技术服务，与其保 持了稳定的合作关系。通过长期稳定的合作关系，公司也较早的深度挖掘了大型医疗机构的前沿需求，针对共性需求进行新 产品新业务的研发，从而保障了公司业务的持续发展和持续领先性。</w:t>
      </w:r>
    </w:p>
    <w:p>
      <w:pPr>
        <w:pStyle w:val="Style26"/>
        <w:keepNext w:val="0"/>
        <w:keepLines w:val="0"/>
        <w:widowControl w:val="0"/>
        <w:shd w:val="clear" w:color="auto" w:fill="auto"/>
        <w:tabs>
          <w:tab w:pos="669" w:val="left"/>
        </w:tabs>
        <w:bidi w:val="0"/>
        <w:spacing w:before="0" w:after="0" w:line="312" w:lineRule="exact"/>
        <w:ind w:left="0" w:right="0"/>
        <w:jc w:val="both"/>
      </w:pPr>
      <w:bookmarkStart w:id="84" w:name="bookmark84"/>
      <w:r>
        <w:rPr>
          <w:color w:val="000000"/>
          <w:spacing w:val="0"/>
          <w:w w:val="100"/>
          <w:position w:val="0"/>
          <w:sz w:val="18"/>
          <w:szCs w:val="18"/>
        </w:rPr>
        <w:t>5</w:t>
      </w:r>
      <w:bookmarkEnd w:id="84"/>
      <w:r>
        <w:rPr>
          <w:color w:val="000000"/>
          <w:spacing w:val="0"/>
          <w:w w:val="100"/>
          <w:position w:val="0"/>
        </w:rPr>
        <w:t>、</w:t>
        <w:tab/>
        <w:t>复合型管理团队与高素质人才优势</w:t>
      </w:r>
    </w:p>
    <w:p>
      <w:pPr>
        <w:pStyle w:val="Style26"/>
        <w:keepNext w:val="0"/>
        <w:keepLines w:val="0"/>
        <w:widowControl w:val="0"/>
        <w:shd w:val="clear" w:color="auto" w:fill="auto"/>
        <w:bidi w:val="0"/>
        <w:spacing w:before="0" w:after="0" w:line="312" w:lineRule="exact"/>
        <w:ind w:left="0" w:right="0" w:firstLine="440"/>
        <w:jc w:val="both"/>
        <w:sectPr>
          <w:footnotePr>
            <w:pos w:val="pageBottom"/>
            <w:numFmt w:val="decimal"/>
            <w:numRestart w:val="continuous"/>
          </w:footnotePr>
          <w:pgSz w:w="11900" w:h="16840"/>
          <w:pgMar w:top="1369" w:right="1013" w:bottom="1499" w:left="1105" w:header="0" w:footer="3" w:gutter="0"/>
          <w:cols w:space="720"/>
          <w:noEndnote/>
          <w:rtlGutter w:val="0"/>
          <w:docGrid w:linePitch="360"/>
        </w:sectPr>
      </w:pPr>
      <w:r>
        <w:rPr>
          <w:color w:val="000000"/>
          <w:spacing w:val="0"/>
          <w:w w:val="100"/>
          <w:position w:val="0"/>
        </w:rPr>
        <w:t xml:space="preserve">公司管理团队有较高学历背景，行业经验丰富，团队稳定，战略规划清晰，规范意识较强。同时，医疗信息化业务需 </w:t>
      </w:r>
      <w:r>
        <w:rPr>
          <w:color w:val="000000"/>
          <w:spacing w:val="0"/>
          <w:w w:val="100"/>
          <w:position w:val="0"/>
        </w:rPr>
        <w:t>要兼具信息技术和医疗业务的复合型人才，项目管理人员需具备丰富的大中型项目管理经验、较高的执行效率，能有效组织、 部署和开展项目工作；技术人员需要熟悉行业内的多种系统协议、标准和规范，熟练应用多种系统开发技术，对医疗机构的 信息化现状、业务流程、管理模式和使用习惯有清晰的了解；业务人员需要具备较强的沟通能力、文档交付能力和快速反应 能力，能够准确把握和深入挖掘客户信息化需求。公司经过多年的经验积累，现已构建了具有丰富项目实施经验和复合专业 背景的产品研发团队、解决方案咨询团队和现场实施团队，保证了公司项目销售、实施和产品研发的高效。</w:t>
      </w:r>
    </w:p>
    <w:p>
      <w:pPr>
        <w:pStyle w:val="Style13"/>
        <w:keepNext/>
        <w:keepLines/>
        <w:widowControl w:val="0"/>
        <w:shd w:val="clear" w:color="auto" w:fill="auto"/>
        <w:bidi w:val="0"/>
        <w:spacing w:before="560" w:line="240" w:lineRule="auto"/>
        <w:ind w:left="0" w:right="0" w:firstLine="0"/>
        <w:jc w:val="center"/>
      </w:pPr>
      <w:bookmarkStart w:id="85" w:name="bookmark85"/>
      <w:bookmarkStart w:id="86" w:name="bookmark86"/>
      <w:bookmarkStart w:id="87" w:name="bookmark87"/>
      <w:r>
        <w:rPr>
          <w:color w:val="000000"/>
          <w:spacing w:val="0"/>
          <w:w w:val="100"/>
          <w:position w:val="0"/>
        </w:rPr>
        <w:t>第四节经营情况讨论与分析</w:t>
      </w:r>
      <w:bookmarkEnd w:id="85"/>
      <w:bookmarkEnd w:id="86"/>
      <w:bookmarkEnd w:id="87"/>
    </w:p>
    <w:p>
      <w:pPr>
        <w:pStyle w:val="Style22"/>
        <w:keepNext/>
        <w:keepLines/>
        <w:widowControl w:val="0"/>
        <w:shd w:val="clear" w:color="auto" w:fill="auto"/>
        <w:bidi w:val="0"/>
        <w:spacing w:before="0" w:after="260" w:line="240" w:lineRule="auto"/>
        <w:ind w:left="0" w:right="0" w:firstLine="0"/>
        <w:jc w:val="left"/>
      </w:pPr>
      <w:bookmarkStart w:id="88" w:name="bookmark88"/>
      <w:bookmarkStart w:id="89" w:name="bookmark89"/>
      <w:bookmarkStart w:id="90" w:name="bookmark90"/>
      <w:bookmarkStart w:id="91" w:name="bookmark91"/>
      <w:bookmarkStart w:id="92" w:name="bookmark92"/>
      <w:r>
        <w:rPr>
          <w:color w:val="000000"/>
          <w:spacing w:val="0"/>
          <w:w w:val="100"/>
          <w:position w:val="0"/>
          <w:sz w:val="24"/>
          <w:szCs w:val="24"/>
        </w:rPr>
        <w:t>一</w:t>
      </w:r>
      <w:bookmarkEnd w:id="91"/>
      <w:r>
        <w:rPr>
          <w:color w:val="000000"/>
          <w:spacing w:val="0"/>
          <w:w w:val="100"/>
          <w:position w:val="0"/>
          <w:sz w:val="24"/>
          <w:szCs w:val="24"/>
        </w:rPr>
        <w:t>、概述</w:t>
      </w:r>
      <w:bookmarkEnd w:id="89"/>
      <w:bookmarkEnd w:id="90"/>
      <w:bookmarkEnd w:id="92"/>
      <w:bookmarkEnd w:id="88"/>
    </w:p>
    <w:p>
      <w:pPr>
        <w:pStyle w:val="Style26"/>
        <w:keepNext w:val="0"/>
        <w:keepLines w:val="0"/>
        <w:widowControl w:val="0"/>
        <w:shd w:val="clear" w:color="auto" w:fill="auto"/>
        <w:bidi w:val="0"/>
        <w:spacing w:before="0" w:after="0" w:line="311" w:lineRule="exact"/>
        <w:ind w:left="0" w:right="0" w:firstLine="360"/>
        <w:jc w:val="both"/>
      </w:pPr>
      <w:r>
        <w:rPr>
          <w:color w:val="000000"/>
          <w:spacing w:val="0"/>
          <w:w w:val="100"/>
          <w:position w:val="0"/>
          <w:sz w:val="18"/>
          <w:szCs w:val="18"/>
        </w:rPr>
        <w:t>1</w:t>
      </w:r>
      <w:r>
        <w:rPr>
          <w:color w:val="000000"/>
          <w:spacing w:val="0"/>
          <w:w w:val="100"/>
          <w:position w:val="0"/>
        </w:rPr>
        <w:t>、总体经营情况</w:t>
      </w:r>
    </w:p>
    <w:p>
      <w:pPr>
        <w:pStyle w:val="Style26"/>
        <w:keepNext w:val="0"/>
        <w:keepLines w:val="0"/>
        <w:widowControl w:val="0"/>
        <w:shd w:val="clear" w:color="auto" w:fill="auto"/>
        <w:bidi w:val="0"/>
        <w:spacing w:before="0" w:after="0" w:line="311" w:lineRule="exact"/>
        <w:ind w:left="0" w:right="0" w:firstLine="360"/>
        <w:jc w:val="both"/>
      </w:pPr>
      <w:r>
        <w:rPr>
          <w:color w:val="000000"/>
          <w:spacing w:val="0"/>
          <w:w w:val="100"/>
          <w:position w:val="0"/>
          <w:sz w:val="18"/>
          <w:szCs w:val="18"/>
        </w:rPr>
        <w:t>2020</w:t>
      </w:r>
      <w:r>
        <w:rPr>
          <w:color w:val="000000"/>
          <w:spacing w:val="0"/>
          <w:w w:val="100"/>
          <w:position w:val="0"/>
        </w:rPr>
        <w:t>年，公司管理层根据发展战略，结合当期市场形势，致力于产品研发和市场拓展，在激烈的市场竞争环境下，报告 期内，公司实现营业收入</w:t>
      </w:r>
      <w:r>
        <w:rPr>
          <w:color w:val="000000"/>
          <w:spacing w:val="0"/>
          <w:w w:val="100"/>
          <w:position w:val="0"/>
          <w:sz w:val="18"/>
          <w:szCs w:val="18"/>
        </w:rPr>
        <w:t>45,473.83</w:t>
      </w:r>
      <w:r>
        <w:rPr>
          <w:color w:val="000000"/>
          <w:spacing w:val="0"/>
          <w:w w:val="100"/>
          <w:position w:val="0"/>
        </w:rPr>
        <w:t>万元，比上年同期增长</w:t>
      </w:r>
      <w:r>
        <w:rPr>
          <w:color w:val="000000"/>
          <w:spacing w:val="0"/>
          <w:w w:val="100"/>
          <w:position w:val="0"/>
          <w:sz w:val="18"/>
          <w:szCs w:val="18"/>
        </w:rPr>
        <w:t>3.12%；</w:t>
      </w:r>
      <w:r>
        <w:rPr>
          <w:color w:val="000000"/>
          <w:spacing w:val="0"/>
          <w:w w:val="100"/>
          <w:position w:val="0"/>
        </w:rPr>
        <w:t>实现营业利润</w:t>
      </w:r>
      <w:r>
        <w:rPr>
          <w:color w:val="000000"/>
          <w:spacing w:val="0"/>
          <w:w w:val="100"/>
          <w:position w:val="0"/>
          <w:sz w:val="18"/>
          <w:szCs w:val="18"/>
        </w:rPr>
        <w:t xml:space="preserve">4,784. </w:t>
      </w:r>
      <w:r>
        <w:rPr>
          <w:color w:val="000000"/>
          <w:spacing w:val="0"/>
          <w:w w:val="100"/>
          <w:position w:val="0"/>
          <w:sz w:val="18"/>
          <w:szCs w:val="18"/>
        </w:rPr>
        <w:t>79</w:t>
      </w:r>
      <w:r>
        <w:rPr>
          <w:color w:val="000000"/>
          <w:spacing w:val="0"/>
          <w:w w:val="100"/>
          <w:position w:val="0"/>
        </w:rPr>
        <w:t>万元，比上年同期增长</w:t>
      </w:r>
      <w:r>
        <w:rPr>
          <w:color w:val="000000"/>
          <w:spacing w:val="0"/>
          <w:w w:val="100"/>
          <w:position w:val="0"/>
          <w:sz w:val="18"/>
          <w:szCs w:val="18"/>
        </w:rPr>
        <w:t>5.67%；</w:t>
      </w:r>
      <w:r>
        <w:rPr>
          <w:color w:val="000000"/>
          <w:spacing w:val="0"/>
          <w:w w:val="100"/>
          <w:position w:val="0"/>
        </w:rPr>
        <w:t>实 现归属于上市公司股东的净利润</w:t>
      </w:r>
      <w:r>
        <w:rPr>
          <w:color w:val="000000"/>
          <w:spacing w:val="0"/>
          <w:w w:val="100"/>
          <w:position w:val="0"/>
          <w:sz w:val="18"/>
          <w:szCs w:val="18"/>
        </w:rPr>
        <w:t>4,314.28</w:t>
      </w:r>
      <w:r>
        <w:rPr>
          <w:color w:val="000000"/>
          <w:spacing w:val="0"/>
          <w:w w:val="100"/>
          <w:position w:val="0"/>
        </w:rPr>
        <w:t>万元，比上年同期增长</w:t>
      </w:r>
      <w:r>
        <w:rPr>
          <w:color w:val="000000"/>
          <w:spacing w:val="0"/>
          <w:w w:val="100"/>
          <w:position w:val="0"/>
          <w:sz w:val="18"/>
          <w:szCs w:val="18"/>
        </w:rPr>
        <w:t>4.63%</w:t>
      </w: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日，公司资产总额为</w:t>
      </w:r>
      <w:r>
        <w:rPr>
          <w:color w:val="000000"/>
          <w:spacing w:val="0"/>
          <w:w w:val="100"/>
          <w:position w:val="0"/>
          <w:sz w:val="18"/>
          <w:szCs w:val="18"/>
        </w:rPr>
        <w:t xml:space="preserve">156,232.61 </w:t>
      </w:r>
      <w:r>
        <w:rPr>
          <w:color w:val="000000"/>
          <w:spacing w:val="0"/>
          <w:w w:val="100"/>
          <w:position w:val="0"/>
        </w:rPr>
        <w:t>万元，同比增长</w:t>
      </w:r>
      <w:r>
        <w:rPr>
          <w:color w:val="000000"/>
          <w:spacing w:val="0"/>
          <w:w w:val="100"/>
          <w:position w:val="0"/>
          <w:sz w:val="18"/>
          <w:szCs w:val="18"/>
        </w:rPr>
        <w:t xml:space="preserve">63. </w:t>
      </w:r>
      <w:r>
        <w:rPr>
          <w:color w:val="000000"/>
          <w:spacing w:val="0"/>
          <w:w w:val="100"/>
          <w:position w:val="0"/>
          <w:sz w:val="18"/>
          <w:szCs w:val="18"/>
        </w:rPr>
        <w:t>92%</w:t>
      </w:r>
      <w:r>
        <w:rPr>
          <w:color w:val="000000"/>
          <w:spacing w:val="0"/>
          <w:w w:val="100"/>
          <w:position w:val="0"/>
        </w:rPr>
        <w:t>。归属于上市公司股东的净资产</w:t>
      </w:r>
      <w:r>
        <w:rPr>
          <w:color w:val="000000"/>
          <w:spacing w:val="0"/>
          <w:w w:val="100"/>
          <w:position w:val="0"/>
          <w:sz w:val="18"/>
          <w:szCs w:val="18"/>
        </w:rPr>
        <w:t>109,508.27</w:t>
      </w:r>
      <w:r>
        <w:rPr>
          <w:color w:val="000000"/>
          <w:spacing w:val="0"/>
          <w:w w:val="100"/>
          <w:position w:val="0"/>
        </w:rPr>
        <w:t>万元，同比增长</w:t>
      </w:r>
      <w:r>
        <w:rPr>
          <w:color w:val="000000"/>
          <w:spacing w:val="0"/>
          <w:w w:val="100"/>
          <w:position w:val="0"/>
          <w:sz w:val="18"/>
          <w:szCs w:val="18"/>
        </w:rPr>
        <w:t>77.12%</w:t>
      </w:r>
      <w:r>
        <w:rPr>
          <w:color w:val="000000"/>
          <w:spacing w:val="0"/>
          <w:w w:val="100"/>
          <w:position w:val="0"/>
        </w:rPr>
        <w:t>。</w:t>
      </w:r>
    </w:p>
    <w:p>
      <w:pPr>
        <w:pStyle w:val="Style26"/>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报告期内，公司坚持“产品研发+市场实践”的双循环驱动，持续将符合市场趋势及医改政策导向的技术框架、产品逻 辑及应用成果，有效转化为与客户需求同步迭代的项目实践。公司自主研发的新一代医院信息系统经过近两年深度精细化产 品打磨及种子用户试点，已具备可复制推广及批量化交付的基础。</w:t>
      </w:r>
      <w:r>
        <w:rPr>
          <w:color w:val="000000"/>
          <w:spacing w:val="0"/>
          <w:w w:val="100"/>
          <w:position w:val="0"/>
          <w:sz w:val="18"/>
          <w:szCs w:val="18"/>
        </w:rPr>
        <w:t>2020</w:t>
      </w:r>
      <w:r>
        <w:rPr>
          <w:color w:val="000000"/>
          <w:spacing w:val="0"/>
          <w:w w:val="100"/>
          <w:position w:val="0"/>
        </w:rPr>
        <w:t>年上半年新冠疫情在国内得到有效控制后，随市场复 苏及公立医院推进智慧医院信息化建设进入政策收官攻坚阶段，公司新一代医院信息系统也取得了良好的市场拓展效果，拓 展服务客户已从最初的</w:t>
      </w:r>
      <w:r>
        <w:rPr>
          <w:color w:val="000000"/>
          <w:spacing w:val="0"/>
          <w:w w:val="100"/>
          <w:position w:val="0"/>
          <w:sz w:val="18"/>
          <w:szCs w:val="18"/>
        </w:rPr>
        <w:t>1</w:t>
      </w:r>
      <w:r>
        <w:rPr>
          <w:color w:val="000000"/>
          <w:spacing w:val="0"/>
          <w:w w:val="100"/>
          <w:position w:val="0"/>
        </w:rPr>
        <w:t>家种子客户增至</w:t>
      </w:r>
      <w:r>
        <w:rPr>
          <w:color w:val="000000"/>
          <w:spacing w:val="0"/>
          <w:w w:val="100"/>
          <w:position w:val="0"/>
          <w:sz w:val="18"/>
          <w:szCs w:val="18"/>
        </w:rPr>
        <w:t>6</w:t>
      </w:r>
      <w:r>
        <w:rPr>
          <w:color w:val="000000"/>
          <w:spacing w:val="0"/>
          <w:w w:val="100"/>
          <w:position w:val="0"/>
        </w:rPr>
        <w:t>家，市场前景向好；此外，新一代医院信息系统实现了研发和交付的相对分离，这 也使得交付效率得到有效提升，项目平均上线周期从上一代产品实施交付的一年左右缩短至半年内；同时，基于一体化平台 技术架构及研发模块化设计（支持最小功能单元开发），该系统还能快速支持医院各级内部单位灵活配置各类功能设置、权 限设置等并沉淀至系统配置模板，从而满足自主生成面向各类角色、科室的业务工作站，差异化的业务工作站在一家医院的 数量级在百个以上，显著优于同行业其他产品。</w:t>
      </w:r>
    </w:p>
    <w:p>
      <w:pPr>
        <w:pStyle w:val="Style26"/>
        <w:keepNext w:val="0"/>
        <w:keepLines w:val="0"/>
        <w:widowControl w:val="0"/>
        <w:shd w:val="clear" w:color="auto" w:fill="auto"/>
        <w:bidi w:val="0"/>
        <w:spacing w:before="0" w:after="0" w:line="311" w:lineRule="exact"/>
        <w:ind w:left="0" w:right="0" w:firstLine="360"/>
        <w:jc w:val="both"/>
      </w:pPr>
      <w:r>
        <w:rPr>
          <w:color w:val="000000"/>
          <w:spacing w:val="0"/>
          <w:w w:val="100"/>
          <w:position w:val="0"/>
        </w:rPr>
        <w:t>随着具备以上特质的新一代医院信息化系统，逐步扩大客户应用群体，其覆盖核心业务的全流程一体化平台以及采用全 新一体化数据模型设计，可实现高精度、结构化的临床数据源更好驱动医疗服务质量和医院管理控制。这也契合近年来国家 针对“智慧医院”三位一体的顶层设计及政策要求，即能满足大型医院集团及专业类医疗机构，充分依托“以电子病历为核 心的医院信息化基础”，围绕“医院智慧管理分级评估”（智慧管理：面向医院管理）、“电子病历系统应用水平分级评价” （智慧临床：面向医务人员）、“医院智慧服务分级评估”（智慧服务：面向患者），科学、规范地在国家编制的建设体系 和制度框架内开展智慧医院建设工作。</w:t>
      </w:r>
    </w:p>
    <w:p>
      <w:pPr>
        <w:pStyle w:val="Style26"/>
        <w:keepNext w:val="0"/>
        <w:keepLines w:val="0"/>
        <w:widowControl w:val="0"/>
        <w:shd w:val="clear" w:color="auto" w:fill="auto"/>
        <w:bidi w:val="0"/>
        <w:spacing w:before="0" w:after="340" w:line="311" w:lineRule="exact"/>
        <w:ind w:left="0" w:right="0" w:firstLine="360"/>
        <w:jc w:val="both"/>
      </w:pPr>
      <w:r>
        <w:rPr>
          <w:color w:val="000000"/>
          <w:spacing w:val="0"/>
          <w:w w:val="100"/>
          <w:position w:val="0"/>
        </w:rPr>
        <w:t>为更好地配合市场拓展节奏，报告期内公司也针对组织架构进行人员配置优化，在适度进行优化组合的同时，对产品及 交付条线的人员进行重点引进及批量招聘。</w:t>
      </w:r>
      <w:r>
        <w:rPr>
          <w:color w:val="000000"/>
          <w:spacing w:val="0"/>
          <w:w w:val="100"/>
          <w:position w:val="0"/>
          <w:sz w:val="18"/>
          <w:szCs w:val="18"/>
        </w:rPr>
        <w:t>2020</w:t>
      </w:r>
      <w:r>
        <w:rPr>
          <w:color w:val="000000"/>
          <w:spacing w:val="0"/>
          <w:w w:val="100"/>
          <w:position w:val="0"/>
        </w:rPr>
        <w:t>年公司人员整体增幅达到</w:t>
      </w:r>
      <w:r>
        <w:rPr>
          <w:color w:val="000000"/>
          <w:spacing w:val="0"/>
          <w:w w:val="100"/>
          <w:position w:val="0"/>
          <w:sz w:val="18"/>
          <w:szCs w:val="18"/>
        </w:rPr>
        <w:t xml:space="preserve">21. </w:t>
      </w:r>
      <w:r>
        <w:rPr>
          <w:color w:val="000000"/>
          <w:spacing w:val="0"/>
          <w:w w:val="100"/>
          <w:position w:val="0"/>
          <w:sz w:val="18"/>
          <w:szCs w:val="18"/>
        </w:rPr>
        <w:t>83%，</w:t>
      </w:r>
      <w:r>
        <w:rPr>
          <w:color w:val="000000"/>
          <w:spacing w:val="0"/>
          <w:w w:val="100"/>
          <w:position w:val="0"/>
        </w:rPr>
        <w:t>而新增人员主要集中于产品研发及实施等 关键业务岗位，产品中心人员数量增幅为</w:t>
      </w:r>
      <w:r>
        <w:rPr>
          <w:color w:val="000000"/>
          <w:spacing w:val="0"/>
          <w:w w:val="100"/>
          <w:position w:val="0"/>
          <w:sz w:val="18"/>
          <w:szCs w:val="18"/>
        </w:rPr>
        <w:t>77.1%,</w:t>
      </w:r>
      <w:r>
        <w:rPr>
          <w:color w:val="000000"/>
          <w:spacing w:val="0"/>
          <w:w w:val="100"/>
          <w:position w:val="0"/>
        </w:rPr>
        <w:t>为快速落地的签约项目储备了人力投入的产能资源。</w:t>
      </w:r>
    </w:p>
    <w:p>
      <w:pPr>
        <w:pStyle w:val="Style26"/>
        <w:keepNext w:val="0"/>
        <w:keepLines w:val="0"/>
        <w:widowControl w:val="0"/>
        <w:shd w:val="clear" w:color="auto" w:fill="auto"/>
        <w:bidi w:val="0"/>
        <w:spacing w:before="0" w:after="40" w:line="311" w:lineRule="exact"/>
        <w:ind w:left="0" w:right="0" w:firstLine="440"/>
        <w:jc w:val="both"/>
      </w:pPr>
      <w:r>
        <w:rPr>
          <w:color w:val="000000"/>
          <w:spacing w:val="0"/>
          <w:w w:val="100"/>
          <w:position w:val="0"/>
          <w:sz w:val="18"/>
          <w:szCs w:val="18"/>
        </w:rPr>
        <w:t>2</w:t>
      </w:r>
      <w:r>
        <w:rPr>
          <w:color w:val="000000"/>
          <w:spacing w:val="0"/>
          <w:w w:val="100"/>
          <w:position w:val="0"/>
        </w:rPr>
        <w:t>、重点工作回顾</w:t>
      </w:r>
    </w:p>
    <w:p>
      <w:pPr>
        <w:pStyle w:val="Style26"/>
        <w:keepNext w:val="0"/>
        <w:keepLines w:val="0"/>
        <w:widowControl w:val="0"/>
        <w:shd w:val="clear" w:color="auto" w:fill="auto"/>
        <w:bidi w:val="0"/>
        <w:spacing w:before="0" w:after="0" w:line="310" w:lineRule="exact"/>
        <w:ind w:left="0" w:right="0" w:firstLine="440"/>
        <w:jc w:val="both"/>
      </w:pPr>
      <w:bookmarkStart w:id="93" w:name="bookmark93"/>
      <w:r>
        <w:rPr>
          <w:color w:val="000000"/>
          <w:spacing w:val="0"/>
          <w:w w:val="100"/>
          <w:position w:val="0"/>
          <w:sz w:val="18"/>
          <w:szCs w:val="18"/>
        </w:rPr>
        <w:t>1</w:t>
      </w:r>
      <w:bookmarkEnd w:id="93"/>
      <w:r>
        <w:rPr>
          <w:color w:val="000000"/>
          <w:spacing w:val="0"/>
          <w:w w:val="100"/>
          <w:position w:val="0"/>
          <w:sz w:val="18"/>
          <w:szCs w:val="18"/>
        </w:rPr>
        <w:t>）</w:t>
      </w:r>
      <w:r>
        <w:rPr>
          <w:color w:val="000000"/>
          <w:spacing w:val="0"/>
          <w:w w:val="100"/>
          <w:position w:val="0"/>
        </w:rPr>
        <w:t>新产品与新技术的开发</w:t>
      </w:r>
    </w:p>
    <w:p>
      <w:pPr>
        <w:pStyle w:val="Style26"/>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报告期内，公司自主研发的新一代医院信息系统，不断持续深化应用、优化流程，并聚焦和探索大数据、人工智能在医 疗领域的深度应用。目前，该系统作为以电子病历为核心、覆盖传统“</w:t>
      </w:r>
      <w:r>
        <w:rPr>
          <w:color w:val="000000"/>
          <w:spacing w:val="0"/>
          <w:w w:val="100"/>
          <w:position w:val="0"/>
          <w:sz w:val="18"/>
          <w:szCs w:val="18"/>
        </w:rPr>
        <w:t>HIS+EMRS+</w:t>
      </w:r>
      <w:r>
        <w:rPr>
          <w:color w:val="000000"/>
          <w:spacing w:val="0"/>
          <w:w w:val="100"/>
          <w:position w:val="0"/>
        </w:rPr>
        <w:t>互联网医院”的医院全流程核心业务一体 化操作平台，在应用场景上可满足集团化医院的一体化管理，能快速搭建和实现包括基于统一信用平台的信用就医、无纸化、 医疗合理性管控、全流程闭环管理、慢病风险识别等。同时，新一代医院信息系统率先研发便利第三方系统对接的开放服务 平台，进一步完善以医院核心操作系统为中心的医疗信息系统生态建设，增厚新一代医院信息系统的业务内涵。报告期内， 公司新一代医院信息系统市场推广效果良好，新增台州市第一人民医院、嘉兴市第二人民医院、江苏省中医院等多地医院客 户。</w:t>
      </w:r>
    </w:p>
    <w:p>
      <w:pPr>
        <w:pStyle w:val="Style26"/>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新一代医院信息系统采用全新一体化数据模型设计，以临床为中心，临床源数据更准确，颗粒度更细，结构化程度高， 并且以临床为中心驱动财务数据和药品数据，高质量的临床数据能够驱动业务和医疗质量控制。在医院客户诸多应用场景上 充分体现产品和技术的赋能效果。</w:t>
      </w:r>
    </w:p>
    <w:p>
      <w:pPr>
        <w:pStyle w:val="Style26"/>
        <w:keepNext w:val="0"/>
        <w:keepLines w:val="0"/>
        <w:widowControl w:val="0"/>
        <w:shd w:val="clear" w:color="auto" w:fill="auto"/>
        <w:bidi w:val="0"/>
        <w:spacing w:before="0" w:after="0" w:line="310" w:lineRule="exact"/>
        <w:ind w:left="0" w:right="0" w:firstLine="360"/>
        <w:jc w:val="both"/>
      </w:pPr>
      <w:r>
        <w:rPr>
          <w:color w:val="000000"/>
          <w:spacing w:val="0"/>
          <w:w w:val="100"/>
          <w:position w:val="0"/>
        </w:rPr>
        <w:t xml:space="preserve">此外，新一代医院信息系统实现了研发和交付的相对分离，研发负责完成最小功能单元的开发，交付团队负责根据用户 个性化需求组合这些最小功能单元，形成面向各类角色、科室的业务工作站，能够极大降低个性化开发成本，避免版本的碎 </w:t>
      </w:r>
      <w:r>
        <w:rPr>
          <w:color w:val="000000"/>
          <w:spacing w:val="0"/>
          <w:w w:val="100"/>
          <w:position w:val="0"/>
        </w:rPr>
        <w:t>片化。而在系统部署方面，目前采用高效、经济、安全的混合云部署模式（院内私有云核心系统+公有云灾备系统），充分 利用公有云资源按需使用的特性，减少医院硬件资源的投入，可灵活满足集团化医院和医共体的平稳延伸需求，在当下政策 大力推进医疗资源结构均衡化、医联体、医共体大发展的背景下，具有明显优势和市场竞争力。</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报告期内，在公司</w:t>
      </w:r>
      <w:r>
        <w:rPr>
          <w:color w:val="000000"/>
          <w:spacing w:val="0"/>
          <w:w w:val="100"/>
          <w:position w:val="0"/>
          <w:sz w:val="18"/>
          <w:szCs w:val="18"/>
        </w:rPr>
        <w:t>pride</w:t>
      </w:r>
      <w:r>
        <w:rPr>
          <w:color w:val="000000"/>
          <w:spacing w:val="0"/>
          <w:w w:val="100"/>
          <w:position w:val="0"/>
        </w:rPr>
        <w:t>电子病历研发基础上持续迭代了传统医院信息系统解决方案，有效地对公司上一代</w:t>
      </w:r>
      <w:r>
        <w:rPr>
          <w:color w:val="000000"/>
          <w:spacing w:val="0"/>
          <w:w w:val="100"/>
          <w:position w:val="0"/>
          <w:sz w:val="18"/>
          <w:szCs w:val="18"/>
        </w:rPr>
        <w:t xml:space="preserve">EMR </w:t>
      </w:r>
      <w:r>
        <w:rPr>
          <w:color w:val="000000"/>
          <w:spacing w:val="0"/>
          <w:w w:val="100"/>
          <w:position w:val="0"/>
        </w:rPr>
        <w:t>（电子病 历系统）集成</w:t>
      </w:r>
      <w:r>
        <w:rPr>
          <w:color w:val="000000"/>
          <w:spacing w:val="0"/>
          <w:w w:val="100"/>
          <w:position w:val="0"/>
          <w:sz w:val="18"/>
          <w:szCs w:val="18"/>
        </w:rPr>
        <w:t xml:space="preserve">HIS </w:t>
      </w:r>
      <w:r>
        <w:rPr>
          <w:color w:val="000000"/>
          <w:spacing w:val="0"/>
          <w:w w:val="100"/>
          <w:position w:val="0"/>
        </w:rPr>
        <w:t>（医院信息系统）方式的解决方案进行升级，形成了另一套技术路线的电子病历</w:t>
      </w:r>
      <w:r>
        <w:rPr>
          <w:color w:val="000000"/>
          <w:spacing w:val="0"/>
          <w:w w:val="100"/>
          <w:position w:val="0"/>
          <w:sz w:val="18"/>
          <w:szCs w:val="18"/>
        </w:rPr>
        <w:t>+HIS</w:t>
      </w:r>
      <w:r>
        <w:rPr>
          <w:color w:val="000000"/>
          <w:spacing w:val="0"/>
          <w:w w:val="100"/>
          <w:position w:val="0"/>
        </w:rPr>
        <w:t>一体化的临床业务平 台，与新一代医院信息系统形成了互补性技术和产品方案，可满足新老客户不同需求、响应市场差异化选择。报告期内，该 新一代产品先后完成江西省妇幼保健院八一大道总院、渭南市中心医院、临夏州妇幼保健院一体化信息系统的整体切换上线。</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在场景即时应用方面，作为系统“云到端”的最新应用</w:t>
      </w:r>
      <w:r>
        <w:rPr>
          <w:color w:val="000000"/>
          <w:spacing w:val="0"/>
          <w:w w:val="100"/>
          <w:position w:val="0"/>
        </w:rPr>
        <w:t>一</w:t>
      </w:r>
      <w:r>
        <w:rPr>
          <w:color w:val="000000"/>
          <w:spacing w:val="0"/>
          <w:w w:val="100"/>
          <w:position w:val="0"/>
          <w:sz w:val="18"/>
          <w:szCs w:val="18"/>
        </w:rPr>
        <w:t>HI</w:t>
      </w:r>
      <w:r>
        <w:rPr>
          <w:color w:val="000000"/>
          <w:spacing w:val="0"/>
          <w:w w:val="100"/>
          <w:position w:val="0"/>
        </w:rPr>
        <w:t>医生</w:t>
      </w:r>
      <w:r>
        <w:rPr>
          <w:color w:val="000000"/>
          <w:spacing w:val="0"/>
          <w:w w:val="100"/>
          <w:position w:val="0"/>
          <w:sz w:val="18"/>
          <w:szCs w:val="18"/>
        </w:rPr>
        <w:t>（APP）</w:t>
      </w:r>
      <w:r>
        <w:rPr>
          <w:color w:val="000000"/>
          <w:spacing w:val="0"/>
          <w:w w:val="100"/>
          <w:position w:val="0"/>
          <w:sz w:val="18"/>
          <w:szCs w:val="18"/>
        </w:rPr>
        <w:t>，</w:t>
      </w:r>
      <w:r>
        <w:rPr>
          <w:color w:val="000000"/>
          <w:spacing w:val="0"/>
          <w:w w:val="100"/>
          <w:position w:val="0"/>
        </w:rPr>
        <w:t>不仅是和仁科技新一代医院信息系统的移动 端，它更是基于</w:t>
      </w:r>
      <w:r>
        <w:rPr>
          <w:color w:val="000000"/>
          <w:spacing w:val="0"/>
          <w:w w:val="100"/>
          <w:position w:val="0"/>
          <w:sz w:val="18"/>
          <w:szCs w:val="18"/>
        </w:rPr>
        <w:t>HIS</w:t>
      </w:r>
      <w:r>
        <w:rPr>
          <w:color w:val="000000"/>
          <w:spacing w:val="0"/>
          <w:w w:val="100"/>
          <w:position w:val="0"/>
        </w:rPr>
        <w:t>系统的深度集成，可以跟不同</w:t>
      </w:r>
      <w:r>
        <w:rPr>
          <w:color w:val="000000"/>
          <w:spacing w:val="0"/>
          <w:w w:val="100"/>
          <w:position w:val="0"/>
          <w:sz w:val="18"/>
          <w:szCs w:val="18"/>
        </w:rPr>
        <w:t>HIS</w:t>
      </w:r>
      <w:r>
        <w:rPr>
          <w:color w:val="000000"/>
          <w:spacing w:val="0"/>
          <w:w w:val="100"/>
          <w:position w:val="0"/>
        </w:rPr>
        <w:t>系统无缝对接，对医疗场景业务的渗透更加细化，为医生提供实时且一 致性的线上线下联动的医疗数据。在此基础上，作为医生现有</w:t>
      </w:r>
      <w:r>
        <w:rPr>
          <w:color w:val="000000"/>
          <w:spacing w:val="0"/>
          <w:w w:val="100"/>
          <w:position w:val="0"/>
          <w:sz w:val="18"/>
          <w:szCs w:val="18"/>
        </w:rPr>
        <w:t>PC</w:t>
      </w:r>
      <w:r>
        <w:rPr>
          <w:color w:val="000000"/>
          <w:spacing w:val="0"/>
          <w:w w:val="100"/>
          <w:position w:val="0"/>
        </w:rPr>
        <w:t>业务的补充和延伸，利用互联网+技术，增加了手术安排、 业务授权、</w:t>
      </w:r>
      <w:r>
        <w:rPr>
          <w:color w:val="000000"/>
          <w:spacing w:val="0"/>
          <w:w w:val="100"/>
          <w:position w:val="0"/>
          <w:sz w:val="18"/>
          <w:szCs w:val="18"/>
        </w:rPr>
        <w:t>CA</w:t>
      </w:r>
      <w:r>
        <w:rPr>
          <w:color w:val="000000"/>
          <w:spacing w:val="0"/>
          <w:w w:val="100"/>
          <w:position w:val="0"/>
        </w:rPr>
        <w:t>登录认证病历审核、我的关注病人、护理单等特色功能，能有效提高临床医护人员的工作效率、提升工作质量。 该产品在投入使用后，目前已成为医护人员开展临床业务深受欢迎的生产工具，持续为浙江省人民医院、浙江大学医学院附 属邵逸夫医院、中南大学湘雅三医院、广西中医药大学第一附属医院、江西省妇幼保健院、江西省儿童医院、江苏省中医院 等大型医院提供服务。</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由于贴合一线工作需求、提供良好用户体验，越来越多的医生和护士将</w:t>
      </w:r>
      <w:r>
        <w:rPr>
          <w:color w:val="000000"/>
          <w:spacing w:val="0"/>
          <w:w w:val="100"/>
          <w:position w:val="0"/>
          <w:sz w:val="18"/>
          <w:szCs w:val="18"/>
        </w:rPr>
        <w:t>HI</w:t>
      </w:r>
      <w:r>
        <w:rPr>
          <w:color w:val="000000"/>
          <w:spacing w:val="0"/>
          <w:w w:val="100"/>
          <w:position w:val="0"/>
        </w:rPr>
        <w:t>医生</w:t>
      </w:r>
      <w:r>
        <w:rPr>
          <w:color w:val="000000"/>
          <w:spacing w:val="0"/>
          <w:w w:val="100"/>
          <w:position w:val="0"/>
          <w:sz w:val="18"/>
          <w:szCs w:val="18"/>
        </w:rPr>
        <w:t>（APP</w:t>
      </w:r>
      <w:r>
        <w:rPr>
          <w:color w:val="000000"/>
          <w:spacing w:val="0"/>
          <w:w w:val="100"/>
          <w:position w:val="0"/>
          <w:sz w:val="18"/>
          <w:szCs w:val="18"/>
        </w:rPr>
        <w:t>）</w:t>
      </w:r>
      <w:r>
        <w:rPr>
          <w:color w:val="000000"/>
          <w:spacing w:val="0"/>
          <w:w w:val="100"/>
          <w:position w:val="0"/>
        </w:rPr>
        <w:t>作为日常工作场景的即时生产工 具，逐渐基于该平台开展在线复诊、</w:t>
      </w:r>
      <w:r>
        <w:rPr>
          <w:color w:val="000000"/>
          <w:spacing w:val="0"/>
          <w:w w:val="100"/>
          <w:position w:val="0"/>
          <w:sz w:val="18"/>
          <w:szCs w:val="18"/>
        </w:rPr>
        <w:t>AI</w:t>
      </w:r>
      <w:r>
        <w:rPr>
          <w:color w:val="000000"/>
          <w:spacing w:val="0"/>
          <w:w w:val="100"/>
          <w:position w:val="0"/>
        </w:rPr>
        <w:t>医生预问诊等互联网医院业务，作为院内诊疗流程的自然拓展，实现医患双方线上 线下一体化的就医和诊疗体验。报告期内，新增浙江省人民医院、台州市第一人民医院、嘉兴市第二医院等互联网医院用户； 嘉兴市第二医院通过“互联网+医保”模式，突破传统的就医问诊地理位置束缚，进一步解决患者就医看病难的问题，开出 了全市第一张“互联网+医保”模式下的互联网处方，通过在线人员绑定、复诊申请、互联网处方开立、在线医保脱卡支付、 医院药房取药等多个诊疗环节的线上打通，为实现优质医疗服务和医保业务向互联网端延伸打下了坚实基础。</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公司持续研发智慧云医疗平台，充分利用区域内多家医疗机构异构系统的业务融合和数据集成技术，配合卫健系统，从 数字化、场景化角度出发不断推进“健康城市”项目的落地应用，进而优化患者就医流程、改善患者就医体验、规范医护人 员临床诊疗行为，并提高管理部门运营监管水平。</w:t>
      </w:r>
      <w:r>
        <w:rPr>
          <w:color w:val="000000"/>
          <w:spacing w:val="0"/>
          <w:w w:val="100"/>
          <w:position w:val="0"/>
          <w:sz w:val="18"/>
          <w:szCs w:val="18"/>
        </w:rPr>
        <w:t>2020</w:t>
      </w:r>
      <w:r>
        <w:rPr>
          <w:color w:val="000000"/>
          <w:spacing w:val="0"/>
          <w:w w:val="100"/>
          <w:position w:val="0"/>
        </w:rPr>
        <w:t>年，公司为“杭州城市大脑•舒心就医平台”平稳运行持续提供保障， 该项目也成功入选《</w:t>
      </w:r>
      <w:r>
        <w:rPr>
          <w:color w:val="000000"/>
          <w:spacing w:val="0"/>
          <w:w w:val="100"/>
          <w:position w:val="0"/>
          <w:sz w:val="18"/>
          <w:szCs w:val="18"/>
        </w:rPr>
        <w:t>2020</w:t>
      </w:r>
      <w:r>
        <w:rPr>
          <w:color w:val="000000"/>
          <w:spacing w:val="0"/>
          <w:w w:val="100"/>
          <w:position w:val="0"/>
        </w:rPr>
        <w:t>年浙江省软件产业高质量发展重点项目》，荣获浙江省数字经济“五新”优秀案例（“新治理”案 例）。</w:t>
      </w:r>
    </w:p>
    <w:p>
      <w:pPr>
        <w:pStyle w:val="Style26"/>
        <w:keepNext w:val="0"/>
        <w:keepLines w:val="0"/>
        <w:widowControl w:val="0"/>
        <w:shd w:val="clear" w:color="auto" w:fill="auto"/>
        <w:bidi w:val="0"/>
        <w:spacing w:before="0" w:after="360" w:line="314" w:lineRule="exact"/>
        <w:ind w:left="0" w:right="0"/>
        <w:jc w:val="left"/>
      </w:pPr>
      <w:r>
        <w:rPr>
          <w:color w:val="000000"/>
          <w:spacing w:val="0"/>
          <w:w w:val="100"/>
          <w:position w:val="0"/>
        </w:rPr>
        <w:t>报告期内，公司持续开展新发明、新技术的深入研究，新获得软件著作权</w:t>
      </w:r>
      <w:r>
        <w:rPr>
          <w:color w:val="000000"/>
          <w:spacing w:val="0"/>
          <w:w w:val="100"/>
          <w:position w:val="0"/>
          <w:sz w:val="18"/>
          <w:szCs w:val="18"/>
        </w:rPr>
        <w:t>10</w:t>
      </w:r>
      <w:r>
        <w:rPr>
          <w:color w:val="000000"/>
          <w:spacing w:val="0"/>
          <w:w w:val="100"/>
          <w:position w:val="0"/>
        </w:rPr>
        <w:t>项。</w:t>
      </w:r>
    </w:p>
    <w:p>
      <w:pPr>
        <w:pStyle w:val="Style26"/>
        <w:keepNext w:val="0"/>
        <w:keepLines w:val="0"/>
        <w:widowControl w:val="0"/>
        <w:shd w:val="clear" w:color="auto" w:fill="auto"/>
        <w:bidi w:val="0"/>
        <w:spacing w:before="0" w:after="0" w:line="314" w:lineRule="exact"/>
        <w:ind w:left="0" w:right="0" w:firstLine="0"/>
        <w:jc w:val="both"/>
      </w:pPr>
      <w:bookmarkStart w:id="94" w:name="bookmark94"/>
      <w:r>
        <w:rPr>
          <w:color w:val="000000"/>
          <w:spacing w:val="0"/>
          <w:w w:val="100"/>
          <w:position w:val="0"/>
          <w:sz w:val="18"/>
          <w:szCs w:val="18"/>
        </w:rPr>
        <w:t>2</w:t>
      </w:r>
      <w:bookmarkEnd w:id="94"/>
      <w:r>
        <w:rPr>
          <w:color w:val="000000"/>
          <w:spacing w:val="0"/>
          <w:w w:val="100"/>
          <w:position w:val="0"/>
          <w:sz w:val="18"/>
          <w:szCs w:val="18"/>
        </w:rPr>
        <w:t>）</w:t>
      </w:r>
      <w:r>
        <w:rPr>
          <w:color w:val="000000"/>
          <w:spacing w:val="0"/>
          <w:w w:val="100"/>
          <w:position w:val="0"/>
        </w:rPr>
        <w:t>立足医疗信息化行业，持续开拓区域市场，拓展客户细分种类</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报告期内，公司在巩固原有地方公立医院业务的同时，部队医院业务取得了一定的增长，在新增合同中占比达</w:t>
      </w:r>
      <w:r>
        <w:rPr>
          <w:color w:val="000000"/>
          <w:spacing w:val="0"/>
          <w:w w:val="100"/>
          <w:position w:val="0"/>
          <w:sz w:val="18"/>
          <w:szCs w:val="18"/>
        </w:rPr>
        <w:t xml:space="preserve">11.37%； </w:t>
      </w:r>
      <w:r>
        <w:rPr>
          <w:color w:val="000000"/>
          <w:spacing w:val="0"/>
          <w:w w:val="100"/>
          <w:position w:val="0"/>
        </w:rPr>
        <w:t>在销售网络建设方面，公司利用在全国各地的渠道，积极整合各方资源，在全国市场继续扩大营销网络布局；公司继续保持 在三级医院高端市场的传统优势，同时发挥智慧医院总体解决方案的业务优势，以“交钥匙”工程的服务形式进一步开拓新 建医院市场，在新增合同中新建医院的合同额占比达</w:t>
      </w:r>
      <w:r>
        <w:rPr>
          <w:color w:val="000000"/>
          <w:spacing w:val="0"/>
          <w:w w:val="100"/>
          <w:position w:val="0"/>
          <w:sz w:val="18"/>
          <w:szCs w:val="18"/>
        </w:rPr>
        <w:t>36.39%</w:t>
      </w:r>
      <w:r>
        <w:rPr>
          <w:color w:val="000000"/>
          <w:spacing w:val="0"/>
          <w:w w:val="100"/>
          <w:position w:val="0"/>
        </w:rPr>
        <w:t>。</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报告期内，公司在全国市场范围内不断拓展挖掘优质客户，江苏省中医院集团信息化平台项目、四川大学华西天府医院 项目、台州市第一人民医院、临夏回族自治州人民医院、湖州市南浔区中医院迁建项目等项目中标金额均在</w:t>
      </w:r>
      <w:r>
        <w:rPr>
          <w:color w:val="000000"/>
          <w:spacing w:val="0"/>
          <w:w w:val="100"/>
          <w:position w:val="0"/>
          <w:sz w:val="18"/>
          <w:szCs w:val="18"/>
        </w:rPr>
        <w:t>3000</w:t>
      </w:r>
      <w:r>
        <w:rPr>
          <w:color w:val="000000"/>
          <w:spacing w:val="0"/>
          <w:w w:val="100"/>
          <w:position w:val="0"/>
        </w:rPr>
        <w:t>万元以上， 属于各地区综合实力排名靠前的大型现代化标杆医院。以上项目的中标签约意味着公司持续获取并深耕地区重点标杆客户， 有利于巩固深化公司全国化发展布局。</w:t>
      </w:r>
    </w:p>
    <w:p>
      <w:pPr>
        <w:pStyle w:val="Style26"/>
        <w:keepNext w:val="0"/>
        <w:keepLines w:val="0"/>
        <w:widowControl w:val="0"/>
        <w:shd w:val="clear" w:color="auto" w:fill="auto"/>
        <w:bidi w:val="0"/>
        <w:spacing w:before="0" w:after="60" w:line="313" w:lineRule="exact"/>
        <w:ind w:left="0" w:right="0"/>
        <w:jc w:val="both"/>
      </w:pPr>
      <w:r>
        <w:rPr>
          <w:color w:val="000000"/>
          <w:spacing w:val="0"/>
          <w:w w:val="100"/>
          <w:position w:val="0"/>
          <w:sz w:val="18"/>
          <w:szCs w:val="18"/>
        </w:rPr>
        <w:t>2020</w:t>
      </w:r>
      <w:r>
        <w:rPr>
          <w:color w:val="000000"/>
          <w:spacing w:val="0"/>
          <w:w w:val="100"/>
          <w:position w:val="0"/>
        </w:rPr>
        <w:t>年新增合同按客户类型分布如下：</w:t>
      </w:r>
    </w:p>
    <w:tbl>
      <w:tblPr>
        <w:tblOverlap w:val="never"/>
        <w:jc w:val="center"/>
        <w:tblLayout w:type="fixed"/>
      </w:tblPr>
      <w:tblGrid>
        <w:gridCol w:w="2246"/>
        <w:gridCol w:w="1800"/>
        <w:gridCol w:w="1795"/>
        <w:gridCol w:w="1560"/>
      </w:tblGrid>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终端客户类型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8"/>
                <w:szCs w:val="18"/>
              </w:rPr>
              <w:t>2020</w:t>
            </w:r>
            <w:r>
              <w:rPr>
                <w:color w:val="000000"/>
                <w:spacing w:val="0"/>
                <w:w w:val="100"/>
                <w:position w:val="0"/>
              </w:rPr>
              <w:t>年新增 合同额占比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8"/>
                <w:szCs w:val="18"/>
              </w:rPr>
              <w:t>2019</w:t>
            </w:r>
            <w:r>
              <w:rPr>
                <w:color w:val="000000"/>
                <w:spacing w:val="0"/>
                <w:w w:val="100"/>
                <w:position w:val="0"/>
              </w:rPr>
              <w:t>年新增 合同额占比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8"/>
                <w:szCs w:val="18"/>
              </w:rPr>
              <w:t>2018</w:t>
            </w:r>
            <w:r>
              <w:rPr>
                <w:color w:val="000000"/>
                <w:spacing w:val="0"/>
                <w:w w:val="100"/>
                <w:position w:val="0"/>
              </w:rPr>
              <w:t>年新增 合同额占比</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地方公立医院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w:t>
            </w:r>
            <w:r>
              <w:rPr>
                <w:color w:val="000000"/>
                <w:spacing w:val="0"/>
                <w:w w:val="100"/>
                <w:position w:val="0"/>
                <w:sz w:val="18"/>
                <w:szCs w:val="18"/>
              </w:rPr>
              <w:t>33%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部队医院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城市级智慧医疗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4.64%</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307" w:lineRule="exact"/>
        <w:ind w:left="0" w:right="0"/>
        <w:jc w:val="both"/>
      </w:pPr>
      <w:r>
        <w:rPr>
          <w:color w:val="000000"/>
          <w:spacing w:val="0"/>
          <w:w w:val="100"/>
          <w:position w:val="0"/>
        </w:rPr>
        <w:t>从区域划分上分析，报告期内，公司业务除继续聚焦华东地区外，也紧跟大型医院客户升级换代的地域变化趋势，逐步 向全国各地域发力，在西北、华南、西南等地快速进行拓展。</w:t>
      </w:r>
    </w:p>
    <w:p>
      <w:pPr>
        <w:pStyle w:val="Style26"/>
        <w:keepNext w:val="0"/>
        <w:keepLines w:val="0"/>
        <w:widowControl w:val="0"/>
        <w:shd w:val="clear" w:color="auto" w:fill="auto"/>
        <w:bidi w:val="0"/>
        <w:spacing w:before="0" w:after="60" w:line="307" w:lineRule="exact"/>
        <w:ind w:left="0" w:right="0"/>
        <w:jc w:val="both"/>
      </w:pPr>
      <w:r>
        <w:rPr>
          <w:color w:val="000000"/>
          <w:spacing w:val="0"/>
          <w:w w:val="100"/>
          <w:position w:val="0"/>
          <w:sz w:val="18"/>
          <w:szCs w:val="18"/>
        </w:rPr>
        <w:t>2020</w:t>
      </w:r>
      <w:r>
        <w:rPr>
          <w:color w:val="000000"/>
          <w:spacing w:val="0"/>
          <w:w w:val="100"/>
          <w:position w:val="0"/>
        </w:rPr>
        <w:t>年新增合同按区域分布如下：</w:t>
      </w:r>
    </w:p>
    <w:tbl>
      <w:tblPr>
        <w:tblOverlap w:val="never"/>
        <w:jc w:val="center"/>
        <w:tblLayout w:type="fixed"/>
      </w:tblPr>
      <w:tblGrid>
        <w:gridCol w:w="2064"/>
        <w:gridCol w:w="1651"/>
        <w:gridCol w:w="1646"/>
        <w:gridCol w:w="1430"/>
      </w:tblGrid>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区域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8"/>
                <w:szCs w:val="18"/>
              </w:rPr>
              <w:t>2020</w:t>
            </w:r>
            <w:r>
              <w:rPr>
                <w:color w:val="000000"/>
                <w:spacing w:val="0"/>
                <w:w w:val="100"/>
                <w:position w:val="0"/>
              </w:rPr>
              <w:t>年新增 合同额占比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8"/>
                <w:szCs w:val="18"/>
              </w:rPr>
              <w:t>2019</w:t>
            </w:r>
            <w:r>
              <w:rPr>
                <w:color w:val="000000"/>
                <w:spacing w:val="0"/>
                <w:w w:val="100"/>
                <w:position w:val="0"/>
              </w:rPr>
              <w:t>年新增 合同额占比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8"/>
                <w:szCs w:val="18"/>
              </w:rPr>
              <w:t>2018</w:t>
            </w:r>
            <w:r>
              <w:rPr>
                <w:color w:val="000000"/>
                <w:spacing w:val="0"/>
                <w:w w:val="100"/>
                <w:position w:val="0"/>
              </w:rPr>
              <w:t>年新增 合同额占比</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37.79%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华北、东北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华南、西南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22.06%</w:t>
            </w:r>
          </w:p>
        </w:tc>
      </w:tr>
    </w:tbl>
    <w:p>
      <w:pPr>
        <w:widowControl w:val="0"/>
        <w:spacing w:after="239" w:line="1" w:lineRule="exact"/>
      </w:pPr>
    </w:p>
    <w:p>
      <w:pPr>
        <w:pStyle w:val="Style26"/>
        <w:keepNext w:val="0"/>
        <w:keepLines w:val="0"/>
        <w:widowControl w:val="0"/>
        <w:shd w:val="clear" w:color="auto" w:fill="auto"/>
        <w:bidi w:val="0"/>
        <w:spacing w:before="0" w:after="0" w:line="305" w:lineRule="exact"/>
        <w:ind w:left="0" w:right="0"/>
        <w:jc w:val="both"/>
      </w:pPr>
      <w:r>
        <w:rPr>
          <w:color w:val="000000"/>
          <w:spacing w:val="0"/>
          <w:w w:val="100"/>
          <w:position w:val="0"/>
        </w:rPr>
        <w:t>报告期内，公司巩固在三级医院市场的传统优势的基础上，伴随着各地标杆大医院项目的成功建设，标杆医院向下级医 院的示范效应和辐射能力的体现，公司在当地的服务也逐步拓展到三级以下的医院客户，在新增合同中三级以下医院的同额 占比达</w:t>
      </w:r>
      <w:r>
        <w:rPr>
          <w:color w:val="000000"/>
          <w:spacing w:val="0"/>
          <w:w w:val="100"/>
          <w:position w:val="0"/>
          <w:sz w:val="18"/>
          <w:szCs w:val="18"/>
        </w:rPr>
        <w:t xml:space="preserve">29. </w:t>
      </w:r>
      <w:r>
        <w:rPr>
          <w:color w:val="000000"/>
          <w:spacing w:val="0"/>
          <w:w w:val="100"/>
          <w:position w:val="0"/>
          <w:sz w:val="18"/>
          <w:szCs w:val="18"/>
        </w:rPr>
        <w:t>86%</w:t>
      </w:r>
      <w:r>
        <w:rPr>
          <w:color w:val="000000"/>
          <w:spacing w:val="0"/>
          <w:w w:val="100"/>
          <w:position w:val="0"/>
        </w:rPr>
        <w:t>。</w:t>
      </w:r>
    </w:p>
    <w:p>
      <w:pPr>
        <w:pStyle w:val="Style26"/>
        <w:keepNext w:val="0"/>
        <w:keepLines w:val="0"/>
        <w:widowControl w:val="0"/>
        <w:shd w:val="clear" w:color="auto" w:fill="auto"/>
        <w:bidi w:val="0"/>
        <w:spacing w:before="0" w:after="60" w:line="305" w:lineRule="exact"/>
        <w:ind w:left="0" w:right="0"/>
        <w:jc w:val="both"/>
      </w:pPr>
      <w:r>
        <w:rPr>
          <w:color w:val="000000"/>
          <w:spacing w:val="0"/>
          <w:w w:val="100"/>
          <w:position w:val="0"/>
          <w:sz w:val="18"/>
          <w:szCs w:val="18"/>
        </w:rPr>
        <w:t>2020</w:t>
      </w:r>
      <w:r>
        <w:rPr>
          <w:color w:val="000000"/>
          <w:spacing w:val="0"/>
          <w:w w:val="100"/>
          <w:position w:val="0"/>
        </w:rPr>
        <w:t>年新增合同按医院等级分布如下：</w:t>
      </w:r>
    </w:p>
    <w:tbl>
      <w:tblPr>
        <w:tblOverlap w:val="never"/>
        <w:jc w:val="center"/>
        <w:tblLayout w:type="fixed"/>
      </w:tblPr>
      <w:tblGrid>
        <w:gridCol w:w="1709"/>
        <w:gridCol w:w="2323"/>
        <w:gridCol w:w="1872"/>
        <w:gridCol w:w="2021"/>
      </w:tblGrid>
      <w:tr>
        <w:trPr>
          <w:trHeight w:val="9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医院客户等级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年新增合同额占比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年新增合同额占比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年新增合同额占比</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三级以下医院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城市级智慧医疗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4.64%</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25.14%</w:t>
            </w:r>
          </w:p>
        </w:tc>
      </w:tr>
    </w:tbl>
    <w:p>
      <w:pPr>
        <w:widowControl w:val="0"/>
        <w:spacing w:after="239" w:line="1" w:lineRule="exact"/>
      </w:pP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公司以自身先进的解决方案为基点，通过建立与政府、城市国有资产平台、智慧城市总包商、集成商、银行等的合作关 系，拓展了业务渠道。报告期内，公司与湖州市政府签订战略合作框架协议，围绕数字健康城市建设，在整体规划、系统开 发、项目实施和技术服务等方面展开合作，未来将打造全国数字健康城市示范样板，推动现代智慧城市和健康中国先行示范 区建设城市级智慧医疗业务。</w:t>
      </w:r>
    </w:p>
    <w:p>
      <w:pPr>
        <w:pStyle w:val="Style26"/>
        <w:keepNext w:val="0"/>
        <w:keepLines w:val="0"/>
        <w:widowControl w:val="0"/>
        <w:shd w:val="clear" w:color="auto" w:fill="auto"/>
        <w:tabs>
          <w:tab w:pos="738" w:val="left"/>
        </w:tabs>
        <w:bidi w:val="0"/>
        <w:spacing w:before="0" w:after="0" w:line="314" w:lineRule="exact"/>
        <w:ind w:left="0" w:right="0" w:firstLine="440"/>
        <w:jc w:val="both"/>
      </w:pPr>
      <w:bookmarkStart w:id="95" w:name="bookmark95"/>
      <w:r>
        <w:rPr>
          <w:color w:val="000000"/>
          <w:spacing w:val="0"/>
          <w:w w:val="100"/>
          <w:position w:val="0"/>
          <w:sz w:val="18"/>
          <w:szCs w:val="18"/>
        </w:rPr>
        <w:t>3</w:t>
      </w:r>
      <w:bookmarkEnd w:id="95"/>
      <w:r>
        <w:rPr>
          <w:color w:val="000000"/>
          <w:spacing w:val="0"/>
          <w:w w:val="100"/>
          <w:position w:val="0"/>
          <w:sz w:val="18"/>
          <w:szCs w:val="18"/>
        </w:rPr>
        <w:t>）</w:t>
        <w:tab/>
      </w:r>
      <w:r>
        <w:rPr>
          <w:color w:val="000000"/>
          <w:spacing w:val="0"/>
          <w:w w:val="100"/>
          <w:position w:val="0"/>
        </w:rPr>
        <w:t>内部管理控制</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报告期内，公司从战略高度上重视品牌建设与推广，着力提升品牌影响力。</w:t>
      </w:r>
      <w:r>
        <w:rPr>
          <w:color w:val="000000"/>
          <w:spacing w:val="0"/>
          <w:w w:val="100"/>
          <w:position w:val="0"/>
          <w:sz w:val="18"/>
          <w:szCs w:val="18"/>
        </w:rPr>
        <w:t>2020</w:t>
      </w:r>
      <w:r>
        <w:rPr>
          <w:color w:val="000000"/>
          <w:spacing w:val="0"/>
          <w:w w:val="100"/>
          <w:position w:val="0"/>
        </w:rPr>
        <w:t>年公司参加</w:t>
      </w:r>
      <w:r>
        <w:rPr>
          <w:color w:val="000000"/>
          <w:spacing w:val="0"/>
          <w:w w:val="100"/>
          <w:position w:val="0"/>
          <w:sz w:val="18"/>
          <w:szCs w:val="18"/>
        </w:rPr>
        <w:t>CHINC</w:t>
      </w:r>
      <w:r>
        <w:rPr>
          <w:color w:val="000000"/>
          <w:spacing w:val="0"/>
          <w:w w:val="100"/>
          <w:position w:val="0"/>
        </w:rPr>
        <w:t>展会，以“新一代医 院信息化系统”携典型客户案例亮相市场，产生较大影响；同时，持续完善品牌资料体系化建设，先后完成产品资料库搭建、 公司历史案例资料库搭建、公司全新形象宣传片视频制作，并启用新的产品及客户案例手册，多方面更新并展示公司的核心 优势及软实力。</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报告期内，公司加强组织团队建设，建立起优胜劣汰的发展机制并根据客户特征及市场发展需要，针对业务条线进行有 计划的组织优化调整。报告期内公司也进一步加大人才储备及梯队建设，其中公司总人数较</w:t>
      </w:r>
      <w:r>
        <w:rPr>
          <w:color w:val="000000"/>
          <w:spacing w:val="0"/>
          <w:w w:val="100"/>
          <w:position w:val="0"/>
          <w:sz w:val="18"/>
          <w:szCs w:val="18"/>
        </w:rPr>
        <w:t>2019</w:t>
      </w:r>
      <w:r>
        <w:rPr>
          <w:color w:val="000000"/>
          <w:spacing w:val="0"/>
          <w:w w:val="100"/>
          <w:position w:val="0"/>
        </w:rPr>
        <w:t>年度整体增加</w:t>
      </w:r>
      <w:r>
        <w:rPr>
          <w:color w:val="000000"/>
          <w:spacing w:val="0"/>
          <w:w w:val="100"/>
          <w:position w:val="0"/>
          <w:sz w:val="18"/>
          <w:szCs w:val="18"/>
        </w:rPr>
        <w:t>21.83%，</w:t>
      </w:r>
      <w:r>
        <w:rPr>
          <w:color w:val="000000"/>
          <w:spacing w:val="0"/>
          <w:w w:val="100"/>
          <w:position w:val="0"/>
        </w:rPr>
        <w:t>而新 增人员主要集中于产品研发及实施等关键技术岗位。此外，公司还持续开展“青年骨干培训班”，重点培养公司青年干部储 备人才梯队，并更新颁布《招聘管理制度》、《培训管理制度（试行）》、《激励管理制度》、《用工管理制度》等一系列 管理制度，完善人才队伍管理体系。</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报告期内，公司持续加强管理制度和流程体系建设，不断进行公司制度的修订与迭代，其中重点包括《采购付款制度》、 《企业资金管理制度》、《销售与收款管理制度》等一系列管理制度，通过加强管理制度和流程体系建设，为公司持续提 升业务流程管理标准。</w:t>
      </w:r>
    </w:p>
    <w:p>
      <w:pPr>
        <w:pStyle w:val="Style26"/>
        <w:keepNext w:val="0"/>
        <w:keepLines w:val="0"/>
        <w:widowControl w:val="0"/>
        <w:shd w:val="clear" w:color="auto" w:fill="auto"/>
        <w:tabs>
          <w:tab w:pos="743" w:val="left"/>
        </w:tabs>
        <w:bidi w:val="0"/>
        <w:spacing w:before="0" w:after="0" w:line="314" w:lineRule="exact"/>
        <w:ind w:left="0" w:right="0" w:firstLine="440"/>
        <w:jc w:val="both"/>
      </w:pPr>
      <w:bookmarkStart w:id="96" w:name="bookmark96"/>
      <w:r>
        <w:rPr>
          <w:color w:val="000000"/>
          <w:spacing w:val="0"/>
          <w:w w:val="100"/>
          <w:position w:val="0"/>
          <w:sz w:val="18"/>
          <w:szCs w:val="18"/>
        </w:rPr>
        <w:t>4</w:t>
      </w:r>
      <w:bookmarkEnd w:id="96"/>
      <w:r>
        <w:rPr>
          <w:color w:val="000000"/>
          <w:spacing w:val="0"/>
          <w:w w:val="100"/>
          <w:position w:val="0"/>
          <w:sz w:val="18"/>
          <w:szCs w:val="18"/>
        </w:rPr>
        <w:t>）</w:t>
        <w:tab/>
      </w:r>
      <w:r>
        <w:rPr>
          <w:color w:val="000000"/>
          <w:spacing w:val="0"/>
          <w:w w:val="100"/>
          <w:position w:val="0"/>
        </w:rPr>
        <w:t>研发投入情况</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公司一直高度注重研发投入与技术储备工作，持续加强技术创新和新产品研发投入，进一步完善技术创新体系，增强技</w:t>
        <w:br w:type="page"/>
      </w:r>
      <w:r>
        <w:rPr>
          <w:color w:val="000000"/>
          <w:spacing w:val="0"/>
          <w:w w:val="100"/>
          <w:position w:val="0"/>
        </w:rPr>
        <w:t>术交流与合作研发机制，加强人才队伍建设，完善绩效激励机制，创造良好的创新氛围，激发公司的创新动力，进一步增强 公司产品竞争力。</w:t>
      </w:r>
    </w:p>
    <w:p>
      <w:pPr>
        <w:pStyle w:val="Style26"/>
        <w:keepNext w:val="0"/>
        <w:keepLines w:val="0"/>
        <w:widowControl w:val="0"/>
        <w:shd w:val="clear" w:color="auto" w:fill="auto"/>
        <w:bidi w:val="0"/>
        <w:spacing w:before="0" w:after="660" w:line="312" w:lineRule="exact"/>
        <w:ind w:left="0" w:right="0" w:firstLine="0"/>
        <w:jc w:val="both"/>
      </w:pPr>
      <w:r>
        <w:rPr>
          <w:color w:val="000000"/>
          <w:spacing w:val="0"/>
          <w:w w:val="100"/>
          <w:position w:val="0"/>
        </w:rPr>
        <w:t>公司目标客户以国内大型三级医院为主，目标客户在临床业务管理、医院综合运营管理、数据综合应用等方面的能力均处于 医疗行业较高水平，是国内医疗行业的优质客户。这些客户在自身发展过程中不断加强临床业务、运营管理的深化发展，同 时也对智慧医院建设提出了更具前瞻性的建设需求和建设深度要求。公司作为这类客户的智慧医院建设服务提供者也在积极 响应客户不断发展的建设需求，双方的深度合作共生发展过程中推动了公司产品及解决方案不断升级迭代并保持了产品及解 决方案的前瞻性和领先性。为此，公司不断完善和提升原有产品的技术，积极主动发掘医院信息化应用需求，推动信息化在 医院业务、管理、控制等各个方面的场景化应用，适应国家医疗体制改革政策、医疗卫生事业发展规划、医疗卫生行业标准 和规范。公司一方面密切关注市场需求，围绕公司战略客户及重要客户，进行产品合作开发，确保公司配套任务的顺利完成； 同时，围绕以临床医疗信息系统为核心，秉承''以患者为中心、以医疗业务为导向、以信息应用为目标”的经营理念，为客 户进行前瞻性技术开发与新产品开发；另一方面做好新技术和新产品的成果转化，突破关键技术和技术难点，取得了良好的 成效。</w:t>
      </w:r>
    </w:p>
    <w:p>
      <w:pPr>
        <w:pStyle w:val="Style22"/>
        <w:keepNext/>
        <w:keepLines/>
        <w:widowControl w:val="0"/>
        <w:shd w:val="clear" w:color="auto" w:fill="auto"/>
        <w:bidi w:val="0"/>
        <w:spacing w:before="0" w:after="380" w:line="240" w:lineRule="auto"/>
        <w:ind w:left="0" w:right="0" w:firstLine="0"/>
        <w:jc w:val="both"/>
      </w:pPr>
      <w:bookmarkStart w:id="100" w:name="bookmark100"/>
      <w:bookmarkStart w:id="97" w:name="bookmark97"/>
      <w:bookmarkStart w:id="98" w:name="bookmark98"/>
      <w:bookmarkStart w:id="99" w:name="bookmark99"/>
      <w:r>
        <w:rPr>
          <w:color w:val="000000"/>
          <w:spacing w:val="0"/>
          <w:w w:val="100"/>
          <w:position w:val="0"/>
          <w:sz w:val="24"/>
          <w:szCs w:val="24"/>
        </w:rPr>
        <w:t>二</w:t>
      </w:r>
      <w:bookmarkEnd w:id="99"/>
      <w:r>
        <w:rPr>
          <w:color w:val="000000"/>
          <w:spacing w:val="0"/>
          <w:w w:val="100"/>
          <w:position w:val="0"/>
          <w:sz w:val="24"/>
          <w:szCs w:val="24"/>
        </w:rPr>
        <w:t>、主营业务分析</w:t>
      </w:r>
      <w:bookmarkEnd w:id="100"/>
      <w:bookmarkEnd w:id="97"/>
      <w:bookmarkEnd w:id="98"/>
    </w:p>
    <w:p>
      <w:pPr>
        <w:pStyle w:val="Style30"/>
        <w:keepNext/>
        <w:keepLines/>
        <w:widowControl w:val="0"/>
        <w:shd w:val="clear" w:color="auto" w:fill="auto"/>
        <w:tabs>
          <w:tab w:pos="331" w:val="left"/>
        </w:tabs>
        <w:bidi w:val="0"/>
        <w:spacing w:before="0" w:after="280" w:line="240" w:lineRule="auto"/>
        <w:ind w:left="0" w:right="0" w:firstLine="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概述</w:t>
      </w:r>
      <w:bookmarkEnd w:id="101"/>
      <w:bookmarkEnd w:id="102"/>
      <w:bookmarkEnd w:id="104"/>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0"/>
        <w:keepNext/>
        <w:keepLines/>
        <w:widowControl w:val="0"/>
        <w:shd w:val="clear" w:color="auto" w:fill="auto"/>
        <w:tabs>
          <w:tab w:pos="341" w:val="left"/>
        </w:tabs>
        <w:bidi w:val="0"/>
        <w:spacing w:before="0" w:after="380" w:line="240" w:lineRule="auto"/>
        <w:ind w:left="0" w:right="0" w:firstLine="0"/>
        <w:jc w:val="both"/>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收入与成本</w:t>
      </w:r>
      <w:bookmarkEnd w:id="105"/>
      <w:bookmarkEnd w:id="106"/>
      <w:bookmarkEnd w:id="108"/>
    </w:p>
    <w:p>
      <w:pPr>
        <w:pStyle w:val="Style37"/>
        <w:keepNext/>
        <w:keepLines/>
        <w:widowControl w:val="0"/>
        <w:numPr>
          <w:ilvl w:val="0"/>
          <w:numId w:val="1"/>
        </w:numPr>
        <w:shd w:val="clear" w:color="auto" w:fill="auto"/>
        <w:bidi w:val="0"/>
        <w:spacing w:before="0" w:after="280" w:line="240" w:lineRule="auto"/>
        <w:ind w:left="0" w:right="0" w:firstLine="0"/>
        <w:jc w:val="both"/>
      </w:pPr>
      <w:bookmarkStart w:id="109" w:name="bookmark109"/>
      <w:bookmarkStart w:id="110" w:name="bookmark110"/>
      <w:bookmarkStart w:id="111" w:name="bookmark111"/>
      <w:bookmarkStart w:id="112" w:name="bookmark112"/>
      <w:bookmarkEnd w:id="111"/>
      <w:r>
        <w:rPr>
          <w:color w:val="000000"/>
          <w:spacing w:val="0"/>
          <w:w w:val="100"/>
          <w:position w:val="0"/>
        </w:rPr>
        <w:t>营业收入构成</w:t>
      </w:r>
      <w:bookmarkEnd w:id="109"/>
      <w:bookmarkEnd w:id="110"/>
      <w:bookmarkEnd w:id="112"/>
    </w:p>
    <w:p>
      <w:pPr>
        <w:pStyle w:val="Style2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营业收入整体情况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8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454,738,265.15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440,959,834.78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439,410,662.40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428,643,899.03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15,327,602.75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12,315,935.75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24.45%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场景化应用系统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127,514,885.03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192,390,893.01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282,690,979.05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207,398,203.80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44,532,401.07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41,170,737.97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8.17%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257,483,865.14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205,397,441.13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25.36%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116,912,998.75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103,542,797.40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21,185,509.70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47,173,198.86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32,640,201.98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45,141,692.09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26,515,689.58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39,704,705.30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13"/>
        <w:gridCol w:w="1008"/>
        <w:gridCol w:w="1013"/>
        <w:gridCol w:w="1003"/>
        <w:gridCol w:w="1003"/>
        <w:gridCol w:w="1003"/>
        <w:gridCol w:w="109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第四季度</w:t>
            </w: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55,111,482.6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109,805,524.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125,036,048.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164,785,209.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64,374,593.4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121,715,383.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107,222,436.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147,647,421.</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623,402.16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6,096,601.69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18,060,661.2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18,362,127.6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6,457,702.82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14,773,742.0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13,441,931.5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6,561,451.18</w:t>
            </w:r>
          </w:p>
        </w:tc>
      </w:tr>
      <w:tr>
        <w:trPr>
          <w:trHeight w:val="3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销售回款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32,159,296.2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65,263,855.8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62,741,676.7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164,571,190.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90,488,925.6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84,229,493.2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100,547,250.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193,102,638.</w:t>
            </w:r>
          </w:p>
        </w:tc>
      </w:tr>
      <w:tr>
        <w:trPr>
          <w:trHeight w:val="346"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6"/>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从上表可以看出：（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）公司第一季度收入额均小于其他季度，进而导致一季度归属于上市公司股东的净利润小于其他 季度；（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）第四季度回款额均高于其他季度。</w:t>
      </w:r>
    </w:p>
    <w:p>
      <w:pPr>
        <w:pStyle w:val="Style26"/>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受客户所处行业的影响，公司业务存在着较为明显的季节性波动。主要由于公司客户多为公立性医疗机构，其医疗信息 化采购计划通常采用预算管理制度，一般上半年主要进行预算审批、采购选型、招投标等工作，当年新增项目执行、验收主 要集中于下半年。一季度或上半年由于新增项目较少，加上春节的影响，所以一季度可能会出现微利甚至亏损的情况。</w:t>
      </w:r>
    </w:p>
    <w:p>
      <w:pPr>
        <w:pStyle w:val="Style26"/>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第四季度回款额均高于其他季度，主要由于公立医院受预算的影响，款项支付项目款在年末较为集中，因此本行业具有 一定的季节性特征。</w:t>
      </w:r>
    </w:p>
    <w:p>
      <w:pPr>
        <w:pStyle w:val="Style37"/>
        <w:keepNext/>
        <w:keepLines/>
        <w:widowControl w:val="0"/>
        <w:shd w:val="clear" w:color="auto" w:fill="auto"/>
        <w:bidi w:val="0"/>
        <w:spacing w:before="0" w:line="240" w:lineRule="auto"/>
        <w:ind w:left="0" w:right="0" w:firstLine="0"/>
        <w:jc w:val="both"/>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3"/>
      <w:bookmarkEnd w:id="114"/>
      <w:bookmarkEnd w:id="116"/>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439,410,662.40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252,061,144.00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15,327,602.75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6,851,835.79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场景化应用系统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127,514,885.03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110,990,397.37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282,690,979.05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126,837,034.94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44,532,401.07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21,085,547.48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257,483,865.14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127,535,516.93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116,912,998.75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88,743,904.74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r>
    </w:tbl>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7"/>
      <w:bookmarkEnd w:id="118"/>
      <w:bookmarkEnd w:id="120"/>
    </w:p>
    <w:p>
      <w:pPr>
        <w:pStyle w:val="Style26"/>
        <w:keepNext w:val="0"/>
        <w:keepLines w:val="0"/>
        <w:widowControl w:val="0"/>
        <w:shd w:val="clear" w:color="auto" w:fill="auto"/>
        <w:bidi w:val="0"/>
        <w:spacing w:before="0" w:after="220" w:line="41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1"/>
      <w:bookmarkEnd w:id="122"/>
      <w:bookmarkEnd w:id="124"/>
    </w:p>
    <w:p>
      <w:pPr>
        <w:pStyle w:val="Style26"/>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35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单一销售合同金额占公司最近一个会计年度经审计营业收入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 xml:space="preserve">万元的正在履行的合同情况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56"/>
        <w:gridCol w:w="1070"/>
        <w:gridCol w:w="1061"/>
        <w:gridCol w:w="1066"/>
        <w:gridCol w:w="107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业务类型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项目执行进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本期确认收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累计确认收</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回款情况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项目进展是 否达到计划 进度或预期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未达到计划 进度或预期 的原因</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解放军总医 院门急诊综 合楼弱电智 能化工程分 包合同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场景化应用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已验收未决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137,834,643.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127,262,600.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项目目前已 完工，尚未进 行最终的决 算审计，项目 款项需待决 算审计后收 回。项目决算 材料已提交。</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江西省妇幼 保健院红谷 滩医院（一 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标段弱 电智能化信 息化采购与 安装项目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82,091,258.4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正常进行中， 总体进度</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26,250,876.8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59,281,242.2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44,916,895.3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江西省儿童 医院红谷滩 新院智能信 息化项目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正常进行中， 总体进度</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31,423,397.1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36,415,853.0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58,749,692.9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临渭区中医 医院整体迁 建项目智能 化信息化工 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86,983,897.0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尚未有进展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项目未按约 定时间进行</w:t>
            </w:r>
          </w:p>
        </w:tc>
      </w:tr>
    </w:tbl>
    <w:p>
      <w:pPr>
        <w:spacing w:lineRule="exact" w:line="1"/>
        <w:rPr>
          <w:sz w:val="2"/>
          <w:szCs w:val="2"/>
        </w:rPr>
      </w:pPr>
      <w:r>
        <w:br w:type="page"/>
      </w:r>
    </w:p>
    <w:p>
      <w:pPr>
        <w:pStyle w:val="Style37"/>
        <w:keepNext/>
        <w:keepLines/>
        <w:widowControl w:val="0"/>
        <w:numPr>
          <w:ilvl w:val="0"/>
          <w:numId w:val="3"/>
        </w:numPr>
        <w:shd w:val="clear" w:color="auto" w:fill="auto"/>
        <w:bidi w:val="0"/>
        <w:spacing w:before="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营业成本构成</w:t>
      </w:r>
      <w:bookmarkEnd w:id="125"/>
      <w:bookmarkEnd w:id="126"/>
      <w:bookmarkEnd w:id="128"/>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场景化应用系统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96,654,099.73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122,015,652.10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51,958,185.54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42,858,596.52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9,956,625.20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12,409,484.01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主营业务成本构成</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8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147,153,907.28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151,164,713.07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39,140,433.91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22,055,468.83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67,014,161.68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62,036,646.69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r>
    </w:tbl>
    <w:p>
      <w:pPr>
        <w:widowControl w:val="0"/>
        <w:spacing w:after="299" w:line="1" w:lineRule="exact"/>
      </w:pPr>
    </w:p>
    <w:p>
      <w:pPr>
        <w:pStyle w:val="Style37"/>
        <w:keepNext/>
        <w:keepLines/>
        <w:widowControl w:val="0"/>
        <w:numPr>
          <w:ilvl w:val="0"/>
          <w:numId w:val="3"/>
        </w:numPr>
        <w:shd w:val="clear" w:color="auto" w:fill="auto"/>
        <w:bidi w:val="0"/>
        <w:spacing w:before="0" w:after="30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报告期内合并范围是否发生变动</w:t>
      </w:r>
      <w:bookmarkEnd w:id="129"/>
      <w:bookmarkEnd w:id="130"/>
      <w:bookmarkEnd w:id="132"/>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报告期内，公司纳入合并范围子公司发生变动，增加中锦保理子公司，减少广西和仁子公司、北京和仁子公司、重庆和仁子 公司。合并范围变更主体的具体信息详见本报告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numPr>
          <w:ilvl w:val="0"/>
          <w:numId w:val="3"/>
        </w:numPr>
        <w:shd w:val="clear" w:color="auto" w:fill="auto"/>
        <w:tabs>
          <w:tab w:pos="493" w:val="left"/>
        </w:tabs>
        <w:bidi w:val="0"/>
        <w:spacing w:before="0" w:after="30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公司报告期内业务、产品或服务发生重大变化或调整有关情况</w:t>
      </w:r>
      <w:bookmarkEnd w:id="133"/>
      <w:bookmarkEnd w:id="134"/>
      <w:bookmarkEnd w:id="136"/>
    </w:p>
    <w:p>
      <w:pPr>
        <w:pStyle w:val="Style26"/>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3"/>
        </w:numPr>
        <w:shd w:val="clear" w:color="auto" w:fill="auto"/>
        <w:tabs>
          <w:tab w:pos="493" w:val="left"/>
        </w:tabs>
        <w:bidi w:val="0"/>
        <w:spacing w:before="0" w:line="240" w:lineRule="auto"/>
        <w:ind w:left="0" w:right="0" w:firstLine="0"/>
        <w:jc w:val="left"/>
      </w:pPr>
      <w:bookmarkStart w:id="137" w:name="bookmark137"/>
      <w:bookmarkStart w:id="138" w:name="bookmark138"/>
      <w:bookmarkStart w:id="139" w:name="bookmark139"/>
      <w:bookmarkStart w:id="140" w:name="bookmark140"/>
      <w:bookmarkEnd w:id="139"/>
      <w:r>
        <w:rPr>
          <w:color w:val="000000"/>
          <w:spacing w:val="0"/>
          <w:w w:val="100"/>
          <w:position w:val="0"/>
        </w:rPr>
        <w:t>主要销售客户和主要供应商情况</w:t>
      </w:r>
      <w:bookmarkEnd w:id="137"/>
      <w:bookmarkEnd w:id="138"/>
      <w:bookmarkEnd w:id="140"/>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174,908,885.87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54,820,000.00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32,742,300.86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31,423,397.16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29,672,311.02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26,250,876.83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174,908,885.87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38.47%</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39,709,602.36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10,818,020.84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9,372,511.93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6,958,997.40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6,484,870.00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6,075,202.20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39,709,602.36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19.21%</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32,633,465.36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33,537,624.47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52,923,179.19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63,424,943.14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股权激励费用较上年同期减少</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-574,123.84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3,059,443.44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贷款利率低于去年同期影响</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45,718,691.00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47,355,553.90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公司一直高度注重研发投入与技术储备工作，持续加强技术创新和新产品研发投入，进一步完善技术创新体系，增强技 术交流与合作研发机制，加强人才队伍建设，完善绩效激励机制，创造良好的创新氛围，激发公司的创新动力，进一步增强 公司产品竞争力。</w:t>
      </w:r>
    </w:p>
    <w:p>
      <w:pPr>
        <w:pStyle w:val="Style26"/>
        <w:keepNext w:val="0"/>
        <w:keepLines w:val="0"/>
        <w:widowControl w:val="0"/>
        <w:shd w:val="clear" w:color="auto" w:fill="auto"/>
        <w:bidi w:val="0"/>
        <w:spacing w:before="0" w:after="80" w:line="312" w:lineRule="exact"/>
        <w:ind w:left="0" w:right="0" w:firstLine="480"/>
        <w:jc w:val="both"/>
      </w:pPr>
      <w:r>
        <w:rPr>
          <w:color w:val="000000"/>
          <w:spacing w:val="0"/>
          <w:w w:val="100"/>
          <w:position w:val="0"/>
        </w:rPr>
        <w:t>公司目标客户以国内大型三级医院为主，目标客户在临床业务管理、医院综合运营管理、数据综合应用等方面的能力均 处于医疗行业较高水平，是国内医疗行业的优质客户。这些客户在自身发展过程中不断加强临床业务、运营管理的深化发展， 同时也对智慧医院建设提出了更具前瞻性的建设需求和建设深度要求。公司作为这类客户的智慧医院建设服务提供者也在积 极响应客户不断发展的建设需求,双方的深度合作共生发展过程中推动了公司产品及解决方案不断升级迭代并保持了产品及 解决方案的前瞻性和领先性。为此，公司不断完善和提升原有产品的技术，积极主动发掘医院信息化应用需求，推动信息化 在医院业务、管理、控制等各个方面的场景化应用，适应国家医疗体制改革政策、医疗卫生事业发展规划、医疗卫生行业标 准和规范。公司一方面密切关注市场需求，围绕公司战略客户及重要客户，进行产品合作开发，确保公司配套任务的顺利完 成；同时，围绕以临床医疗信息系统为核心，秉承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以患者为中心、以医疗业务为导向、以信息应用为目标</w:t>
      </w:r>
      <w:r>
        <w:rPr>
          <w:color w:val="000000"/>
          <w:spacing w:val="0"/>
          <w:w w:val="100"/>
          <w:position w:val="0"/>
        </w:rPr>
        <w:t>''</w:t>
      </w:r>
      <w:r>
        <w:rPr>
          <w:color w:val="000000"/>
          <w:spacing w:val="0"/>
          <w:w w:val="100"/>
          <w:position w:val="0"/>
        </w:rPr>
        <w:t>的经营理念，为 客户进行前瞻性技术开发与新产品开发；另一方面做好新技术和新产品的成果转化，突破关键技术和技术难点，取得了良好 的成效。</w:t>
      </w:r>
    </w:p>
    <w:tbl>
      <w:tblPr>
        <w:tblOverlap w:val="never"/>
        <w:jc w:val="center"/>
        <w:tblLayout w:type="fixed"/>
      </w:tblPr>
      <w:tblGrid>
        <w:gridCol w:w="710"/>
        <w:gridCol w:w="1603"/>
        <w:gridCol w:w="5851"/>
        <w:gridCol w:w="1699"/>
      </w:tblGrid>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研发项目基本情况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项目进展</w:t>
            </w:r>
          </w:p>
        </w:tc>
      </w:tr>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通过人工智能技术在医疗方面的应用，提升医院终末病历质量；有效干 预</w:t>
            </w:r>
            <w:r>
              <w:rPr>
                <w:rFonts w:ascii="Times New Roman" w:eastAsia="Times New Roman" w:hAnsi="Times New Roman" w:cs="Times New Roman"/>
                <w:color w:val="000000"/>
                <w:spacing w:val="0"/>
                <w:w w:val="100"/>
                <w:position w:val="0"/>
                <w:sz w:val="18"/>
                <w:szCs w:val="18"/>
              </w:rPr>
              <w:t>VTE</w:t>
            </w:r>
            <w:r>
              <w:rPr>
                <w:color w:val="000000"/>
                <w:spacing w:val="0"/>
                <w:w w:val="100"/>
                <w:position w:val="0"/>
              </w:rPr>
              <w:t>相关医疗过程行为，并为及时质量改进与持续提升提供数据支撑； 通过控制过程质量，避免人为的遗漏和疏忽，持续提升医疗服务和质量 安全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进行中</w:t>
            </w:r>
          </w:p>
        </w:tc>
      </w:tr>
      <w:tr>
        <w:trPr>
          <w:trHeight w:val="17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结合当前医疗卫生健康行业的实际需求，顶层设计并形成妇幼专科电子 病历整体解决方案，重点突出母婴管理、新生儿管理、产房工作站及相 关规范流程、产科专业文书等特色，致力于打造妇幼专科路线，解决专 科医院个性化流程问题，为客户带来实际的便利。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进行中</w:t>
            </w:r>
          </w:p>
        </w:tc>
      </w:tr>
      <w:tr>
        <w:trPr>
          <w:trHeight w:val="13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本系统满足实际业务需要，符合标准及互联互通评级的需求，以更好地 服务于客户的信息化建设，更可以帮助基层医疗卫生服务机构的医护工 作人员，进行居民健康档案、公共卫生服务、电子病历记录等日常工作 的记录和管理。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目前已经完成产品 的基本功能的开发</w:t>
            </w:r>
          </w:p>
        </w:tc>
      </w:tr>
      <w:tr>
        <w:trPr>
          <w:trHeight w:val="18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通过建立一个统一的数据标准，利用数据集成引擎实现对各不同机构间 不同信息系统厂商的数据集成，把不同来源、格式、特点性质的数据在 逻辑上或物理上有机地集中，从而为医院及监管单位提供更全面的数据， 实现医疗卫生健康业务的全面动态监管，最终实现全面的居民健康服务。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目前完成数据及标 准的设计、开发</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797"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76,648,995.19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47,387,109.78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46,634,408.87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31,593,011.51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1,678,389.28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1,949,610.55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bl>
    <w:p>
      <w:pPr>
        <w:pStyle w:val="Style26"/>
        <w:keepNext w:val="0"/>
        <w:keepLines w:val="0"/>
        <w:widowControl w:val="0"/>
        <w:shd w:val="clear" w:color="auto" w:fill="auto"/>
        <w:bidi w:val="0"/>
        <w:spacing w:before="0" w:after="140" w:line="322" w:lineRule="exact"/>
        <w:ind w:left="0" w:right="0" w:firstLine="0"/>
        <w:jc w:val="both"/>
      </w:pPr>
      <w:r>
        <w:rPr>
          <w:color w:val="000000"/>
          <w:spacing w:val="0"/>
          <w:w w:val="100"/>
          <w:position w:val="0"/>
        </w:rPr>
        <w:t>研发投入总额占营业收入的比重较上年发生显著变化的原因</w:t>
      </w:r>
    </w:p>
    <w:p>
      <w:pPr>
        <w:pStyle w:val="Style26"/>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22" w:lineRule="exact"/>
        <w:ind w:left="0" w:right="0" w:firstLine="0"/>
        <w:jc w:val="both"/>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17"/>
          <w:szCs w:val="17"/>
        </w:rPr>
        <w:t>本年度公司有两项研发项目进入开发阶段，满足开发阶段支出资本化的所有条件，基于开发完成的软件产品存在广阔的市场 前景和良好的收益，根据企业会计准则相关规定，公司将项目开发阶段的相关支出计入开发支出</w:t>
      </w:r>
      <w:r>
        <w:rPr>
          <w:color w:val="000000"/>
          <w:spacing w:val="0"/>
          <w:w w:val="100"/>
          <w:position w:val="0"/>
          <w:sz w:val="20"/>
          <w:szCs w:val="20"/>
        </w:rPr>
        <w:t>。</w:t>
      </w:r>
    </w:p>
    <w:p>
      <w:pPr>
        <w:pStyle w:val="Style26"/>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20,502,928.68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通过人工智能技术在医疗方 面的应用，提升医院终末病 历质量；有效干预</w:t>
            </w:r>
            <w:r>
              <w:rPr>
                <w:rFonts w:ascii="Times New Roman" w:eastAsia="Times New Roman" w:hAnsi="Times New Roman" w:cs="Times New Roman"/>
                <w:color w:val="000000"/>
                <w:spacing w:val="0"/>
                <w:w w:val="100"/>
                <w:position w:val="0"/>
                <w:sz w:val="18"/>
                <w:szCs w:val="18"/>
              </w:rPr>
              <w:t>VTE</w:t>
            </w:r>
            <w:r>
              <w:rPr>
                <w:color w:val="000000"/>
                <w:spacing w:val="0"/>
                <w:w w:val="100"/>
                <w:position w:val="0"/>
              </w:rPr>
              <w:t>相关 医疗过程行为，并为及时质 量改进与持续提升提供数据 支撑；通过控制过程质量， 避免人为的遗漏和疏忽，持 续提升医疗服务和质量安 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11,090,082.83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结合当前医疗卫生健康行业 的实际需求，顶层设计并形 成妇幼专科电子病历整体解 决方案，重点突出母婴管理、 新生儿管理、产房工作站及 相关规范流程、产科专业文 书等特色，致力于打造妇幼 专科路线，解决专科医院个 性化流程问题，为客户带来 实际的便利。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r>
    </w:tbl>
    <w:p>
      <w:pPr>
        <w:pStyle w:val="Style26"/>
        <w:keepNext w:val="0"/>
        <w:keepLines w:val="0"/>
        <w:widowControl w:val="0"/>
        <w:shd w:val="clear" w:color="auto" w:fill="auto"/>
        <w:bidi w:val="0"/>
        <w:spacing w:before="0" w:after="140" w:line="313" w:lineRule="exact"/>
        <w:ind w:left="0" w:right="0" w:firstLine="0"/>
        <w:jc w:val="both"/>
      </w:pPr>
      <w:r>
        <w:rPr>
          <w:color w:val="000000"/>
          <w:spacing w:val="0"/>
          <w:w w:val="100"/>
          <w:position w:val="0"/>
        </w:rPr>
        <w:t>上述项目均经过市场调研、可行性研究、项目立项、项目预算审批、项目决策分析等环节，各环节均有严格的项目评审。上 述资本化研发项目所使用的技术均为公司自有，在技术上具有可行性，且公司有将上述无形资产进行销售的意图，基于开发 完成的软件产品存在市场。公司研发经验丰富，有足够的技术、财务资源和其他资源支持，以完成该项目的开发，并有能力 使用或出售该无形资产。公司设立了完善的研发体系，从产品的立项、评审、开发、测试、发布评审、发布等均建立了相应 的流程，确保资本化的准确。</w:t>
      </w:r>
      <w:r>
        <w:br w:type="page"/>
      </w:r>
    </w:p>
    <w:p>
      <w:pPr>
        <w:pStyle w:val="Style30"/>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367,404,076.61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500,034,024.01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434,966,556.25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458,618,385.68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-67,562,479.64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41,415,638.33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541,913,684.67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936,501,317.53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787,825,797.36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1,099,232,971.88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-28.33%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-245,912,112.69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-162,731,654.35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629,617,592.57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99,553,100.00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102,414,217.89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116,999,531.43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527,203,374.68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-17,446,431.43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213,728,782.35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-138,762,447.45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-254.02%</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tabs>
          <w:tab w:pos="349" w:val="left"/>
        </w:tabs>
        <w:bidi w:val="0"/>
        <w:spacing w:before="0" w:after="120" w:line="240" w:lineRule="auto"/>
        <w:ind w:left="0" w:right="0" w:firstLine="0"/>
        <w:jc w:val="both"/>
      </w:pPr>
      <w:bookmarkStart w:id="153" w:name="bookmark153"/>
      <w:r>
        <w:rPr>
          <w:rFonts w:ascii="Times New Roman" w:eastAsia="Times New Roman" w:hAnsi="Times New Roman" w:cs="Times New Roman"/>
          <w:color w:val="000000"/>
          <w:spacing w:val="0"/>
          <w:w w:val="100"/>
          <w:position w:val="0"/>
          <w:sz w:val="18"/>
          <w:szCs w:val="18"/>
        </w:rPr>
        <w:t>1</w:t>
      </w:r>
      <w:bookmarkEnd w:id="153"/>
      <w:r>
        <w:rPr>
          <w:color w:val="000000"/>
          <w:spacing w:val="0"/>
          <w:w w:val="100"/>
          <w:position w:val="0"/>
        </w:rPr>
        <w:t>）</w:t>
        <w:tab/>
        <w:t>投资活动现金流入、现金流出变动主要受银行理财产品购买及赎回、购买中锦保理公司股权、购买固定资产影响;</w:t>
      </w:r>
    </w:p>
    <w:p>
      <w:pPr>
        <w:pStyle w:val="Style26"/>
        <w:keepNext w:val="0"/>
        <w:keepLines w:val="0"/>
        <w:widowControl w:val="0"/>
        <w:shd w:val="clear" w:color="auto" w:fill="auto"/>
        <w:bidi w:val="0"/>
        <w:spacing w:before="0" w:after="500" w:line="240" w:lineRule="auto"/>
        <w:ind w:left="0" w:right="0" w:firstLine="0"/>
        <w:jc w:val="both"/>
      </w:pPr>
      <w:bookmarkStart w:id="154" w:name="bookmark154"/>
      <w:r>
        <w:rPr>
          <w:rFonts w:ascii="Times New Roman" w:eastAsia="Times New Roman" w:hAnsi="Times New Roman" w:cs="Times New Roman"/>
          <w:color w:val="000000"/>
          <w:spacing w:val="0"/>
          <w:w w:val="100"/>
          <w:position w:val="0"/>
          <w:sz w:val="18"/>
          <w:szCs w:val="18"/>
        </w:rPr>
        <w:t>2</w:t>
      </w:r>
      <w:bookmarkEnd w:id="154"/>
      <w:r>
        <w:rPr>
          <w:color w:val="000000"/>
          <w:spacing w:val="0"/>
          <w:w w:val="100"/>
          <w:position w:val="0"/>
          <w:sz w:val="18"/>
          <w:szCs w:val="18"/>
        </w:rPr>
        <w:t xml:space="preserve">） </w:t>
      </w:r>
      <w:r>
        <w:rPr>
          <w:color w:val="000000"/>
          <w:spacing w:val="0"/>
          <w:w w:val="100"/>
          <w:position w:val="0"/>
        </w:rPr>
        <w:t>筹资活动现金流入变动</w:t>
      </w:r>
      <w:r>
        <w:rPr>
          <w:color w:val="000000"/>
          <w:spacing w:val="0"/>
          <w:w w:val="100"/>
          <w:position w:val="0"/>
          <w:sz w:val="18"/>
          <w:szCs w:val="18"/>
        </w:rPr>
        <w:t>532.44%,</w:t>
      </w:r>
      <w:r>
        <w:rPr>
          <w:color w:val="000000"/>
          <w:spacing w:val="0"/>
          <w:w w:val="100"/>
          <w:position w:val="0"/>
        </w:rPr>
        <w:t>主要受非公开发行股票募集资金及短期贷款金额增加影响；</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155" w:name="bookmark155"/>
      <w:bookmarkStart w:id="156" w:name="bookmark156"/>
      <w:bookmarkStart w:id="157" w:name="bookmark157"/>
      <w:bookmarkStart w:id="158" w:name="bookmark158"/>
      <w:r>
        <w:rPr>
          <w:color w:val="000000"/>
          <w:spacing w:val="0"/>
          <w:w w:val="100"/>
          <w:position w:val="0"/>
          <w:sz w:val="24"/>
          <w:szCs w:val="24"/>
        </w:rPr>
        <w:t>三</w:t>
      </w:r>
      <w:bookmarkEnd w:id="157"/>
      <w:r>
        <w:rPr>
          <w:color w:val="000000"/>
          <w:spacing w:val="0"/>
          <w:w w:val="100"/>
          <w:position w:val="0"/>
          <w:sz w:val="24"/>
          <w:szCs w:val="24"/>
        </w:rPr>
        <w:t>、非主营业务情况</w:t>
      </w:r>
      <w:bookmarkEnd w:id="155"/>
      <w:bookmarkEnd w:id="156"/>
      <w:bookmarkEnd w:id="158"/>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3,145,253.84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按权益法核算的联营企 业投资收益及理财收益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公允价值变动损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-33,778,354.05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918,634.67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与企业日常活动无关的 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1,119,416.26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22"/>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sz w:val="24"/>
          <w:szCs w:val="24"/>
        </w:rPr>
        <w:t>四</w:t>
      </w:r>
      <w:bookmarkEnd w:id="161"/>
      <w:r>
        <w:rPr>
          <w:color w:val="000000"/>
          <w:spacing w:val="0"/>
          <w:w w:val="100"/>
          <w:position w:val="0"/>
          <w:sz w:val="24"/>
          <w:szCs w:val="24"/>
        </w:rPr>
        <w:t>、资产及负债状况分析</w:t>
      </w:r>
      <w:bookmarkEnd w:id="159"/>
      <w:bookmarkEnd w:id="160"/>
      <w:bookmarkEnd w:id="162"/>
    </w:p>
    <w:p>
      <w:pPr>
        <w:pStyle w:val="Style30"/>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1</w:t>
      </w:r>
      <w:bookmarkEnd w:id="165"/>
      <w:r>
        <w:rPr>
          <w:color w:val="000000"/>
          <w:spacing w:val="0"/>
          <w:w w:val="100"/>
          <w:position w:val="0"/>
        </w:rPr>
        <w:t>、资产构成重大变动情况</w:t>
      </w:r>
      <w:bookmarkEnd w:id="163"/>
      <w:bookmarkEnd w:id="164"/>
      <w:bookmarkEnd w:id="166"/>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440,209,354.5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299,629,587.66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220,023,307.5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166,487,726.57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50,006,256.76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39,185,675.47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66,882,263.12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70,560,652.22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1,798,119.70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83,703,260.54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85,943,289.73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4,961,441.91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130,109,694.4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80,752,591.67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6,128,905.02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100,864,952.69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理财产品赎回影响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372,380,000.0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理财产品购买影响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195,834,206.5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106,492,311.54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2</w:t>
      </w:r>
      <w:bookmarkEnd w:id="169"/>
      <w:r>
        <w:rPr>
          <w:color w:val="000000"/>
          <w:spacing w:val="0"/>
          <w:w w:val="100"/>
          <w:position w:val="0"/>
        </w:rPr>
        <w:t>、以公允价值计量的资产和负债</w:t>
      </w:r>
      <w:bookmarkEnd w:id="167"/>
      <w:bookmarkEnd w:id="168"/>
      <w:bookmarkEnd w:id="170"/>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195"/>
        <w:gridCol w:w="931"/>
        <w:gridCol w:w="1195"/>
        <w:gridCol w:w="1061"/>
        <w:gridCol w:w="917"/>
        <w:gridCol w:w="122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372,380,000.00</w:t>
            </w:r>
          </w:p>
        </w:tc>
      </w:tr>
    </w:tbl>
    <w:p>
      <w:pPr>
        <w:spacing w:lineRule="exact" w:line="1"/>
        <w:rPr>
          <w:sz w:val="2"/>
          <w:szCs w:val="2"/>
        </w:rPr>
      </w:pPr>
      <w:r>
        <w:br w:type="page"/>
      </w:r>
    </w:p>
    <w:tbl>
      <w:tblPr>
        <w:tblOverlap w:val="never"/>
        <w:jc w:val="center"/>
        <w:tblLayout w:type="fixed"/>
      </w:tblPr>
      <w:tblGrid>
        <w:gridCol w:w="984"/>
        <w:gridCol w:w="1018"/>
        <w:gridCol w:w="1061"/>
        <w:gridCol w:w="1195"/>
        <w:gridCol w:w="931"/>
        <w:gridCol w:w="1195"/>
        <w:gridCol w:w="1061"/>
        <w:gridCol w:w="917"/>
        <w:gridCol w:w="122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372,380,000.00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其他变动的内容</w:t>
      </w:r>
    </w:p>
    <w:p>
      <w:pPr>
        <w:pStyle w:val="Style26"/>
        <w:keepNext w:val="0"/>
        <w:keepLines w:val="0"/>
        <w:widowControl w:val="0"/>
        <w:shd w:val="clear" w:color="auto" w:fill="auto"/>
        <w:bidi w:val="0"/>
        <w:spacing w:before="0" w:after="140" w:line="365" w:lineRule="exact"/>
        <w:ind w:left="0" w:right="0" w:firstLine="0"/>
        <w:jc w:val="left"/>
      </w:pPr>
      <w:r>
        <w:rPr>
          <w:color w:val="000000"/>
          <w:spacing w:val="0"/>
          <w:w w:val="100"/>
          <w:position w:val="0"/>
        </w:rPr>
        <w:t>本期其他变动</w:t>
      </w:r>
      <w:r>
        <w:rPr>
          <w:rFonts w:ascii="Times New Roman" w:eastAsia="Times New Roman" w:hAnsi="Times New Roman" w:cs="Times New Roman"/>
          <w:color w:val="000000"/>
          <w:spacing w:val="0"/>
          <w:w w:val="100"/>
          <w:position w:val="0"/>
          <w:sz w:val="18"/>
          <w:szCs w:val="18"/>
        </w:rPr>
        <w:t>55,650,000.00</w:t>
      </w:r>
      <w:r>
        <w:rPr>
          <w:color w:val="000000"/>
          <w:spacing w:val="0"/>
          <w:w w:val="100"/>
          <w:position w:val="0"/>
        </w:rPr>
        <w:t>元系转入中锦保理合并日持有的理财产品。 报告期内公司主要资产计量属性是否发生重大变化</w:t>
      </w:r>
    </w:p>
    <w:p>
      <w:pPr>
        <w:pStyle w:val="Style26"/>
        <w:keepNext w:val="0"/>
        <w:keepLines w:val="0"/>
        <w:widowControl w:val="0"/>
        <w:shd w:val="clear" w:color="auto" w:fill="auto"/>
        <w:bidi w:val="0"/>
        <w:spacing w:before="0" w:after="200" w:line="42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、截至报告期末的资产权利受限情况</w:t>
      </w:r>
      <w:bookmarkEnd w:id="171"/>
      <w:bookmarkEnd w:id="172"/>
      <w:bookmarkEnd w:id="174"/>
    </w:p>
    <w:tbl>
      <w:tblPr>
        <w:tblOverlap w:val="never"/>
        <w:jc w:val="center"/>
        <w:tblLayout w:type="fixed"/>
      </w:tblPr>
      <w:tblGrid>
        <w:gridCol w:w="3293"/>
        <w:gridCol w:w="3288"/>
        <w:gridCol w:w="3293"/>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8,762,318.61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各类保证金存款</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8,762,318.61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2"/>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sz w:val="24"/>
          <w:szCs w:val="24"/>
        </w:rPr>
        <w:t>五</w:t>
      </w:r>
      <w:bookmarkEnd w:id="177"/>
      <w:r>
        <w:rPr>
          <w:color w:val="000000"/>
          <w:spacing w:val="0"/>
          <w:w w:val="100"/>
          <w:position w:val="0"/>
          <w:sz w:val="24"/>
          <w:szCs w:val="24"/>
        </w:rPr>
        <w:t>、投资状况分析</w:t>
      </w:r>
      <w:bookmarkEnd w:id="175"/>
      <w:bookmarkEnd w:id="176"/>
      <w:bookmarkEnd w:id="178"/>
    </w:p>
    <w:p>
      <w:pPr>
        <w:pStyle w:val="Style30"/>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、总体情况</w:t>
      </w:r>
      <w:bookmarkEnd w:id="179"/>
      <w:bookmarkEnd w:id="180"/>
      <w:bookmarkEnd w:id="182"/>
    </w:p>
    <w:p>
      <w:pPr>
        <w:pStyle w:val="Style2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28,870,100.00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704.76%</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、报告期内获取的重大的股权投资情况</w:t>
      </w:r>
      <w:bookmarkEnd w:id="183"/>
      <w:bookmarkEnd w:id="184"/>
      <w:bookmarkEnd w:id="186"/>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60" w:line="240" w:lineRule="auto"/>
        <w:ind w:left="0" w:right="200" w:firstLine="0"/>
        <w:jc w:val="right"/>
      </w:pPr>
      <w:r>
        <w:rPr>
          <w:color w:val="000000"/>
          <w:spacing w:val="0"/>
          <w:w w:val="100"/>
          <w:position w:val="0"/>
        </w:rPr>
        <w:t>单位：元</w:t>
      </w:r>
    </w:p>
    <w:tbl>
      <w:tblPr>
        <w:tblOverlap w:val="never"/>
        <w:jc w:val="center"/>
        <w:tblLayout w:type="fixed"/>
      </w:tblPr>
      <w:tblGrid>
        <w:gridCol w:w="667"/>
        <w:gridCol w:w="653"/>
        <w:gridCol w:w="619"/>
        <w:gridCol w:w="624"/>
        <w:gridCol w:w="619"/>
        <w:gridCol w:w="619"/>
        <w:gridCol w:w="619"/>
        <w:gridCol w:w="614"/>
        <w:gridCol w:w="629"/>
        <w:gridCol w:w="581"/>
        <w:gridCol w:w="595"/>
        <w:gridCol w:w="691"/>
        <w:gridCol w:w="691"/>
        <w:gridCol w:w="691"/>
        <w:gridCol w:w="672"/>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披露日 期（如</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披露索 引（如</w:t>
            </w:r>
          </w:p>
          <w:p>
            <w:pPr>
              <w:pStyle w:val="Style2"/>
              <w:keepNext w:val="0"/>
              <w:keepLines w:val="0"/>
              <w:widowControl w:val="0"/>
              <w:shd w:val="clear" w:color="auto" w:fill="auto"/>
              <w:bidi w:val="0"/>
              <w:spacing w:before="0" w:after="0" w:line="307" w:lineRule="exact"/>
              <w:ind w:left="0" w:right="0" w:firstLine="140"/>
              <w:jc w:val="left"/>
            </w:pPr>
            <w:r>
              <w:rPr>
                <w:color w:val="000000"/>
                <w:spacing w:val="0"/>
                <w:w w:val="100"/>
                <w:position w:val="0"/>
              </w:rPr>
              <w:t>有）</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中锦</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（天 津）商 业保理 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以受让 应收账 款的方 式提供 贸易融 资；应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28,166,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杭州中 锦金融 控股有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667"/>
        <w:gridCol w:w="653"/>
        <w:gridCol w:w="619"/>
        <w:gridCol w:w="624"/>
        <w:gridCol w:w="619"/>
        <w:gridCol w:w="619"/>
        <w:gridCol w:w="619"/>
        <w:gridCol w:w="614"/>
        <w:gridCol w:w="619"/>
        <w:gridCol w:w="590"/>
        <w:gridCol w:w="595"/>
        <w:gridCol w:w="691"/>
        <w:gridCol w:w="691"/>
        <w:gridCol w:w="691"/>
        <w:gridCol w:w="672"/>
      </w:tblGrid>
      <w:tr>
        <w:trPr>
          <w:trHeight w:val="473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收账款 的收付 结算、 管理与 催收； 销售分 户（分 类）账 管理； 客户资 信调查 与评 估；相 关咨询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、报告期内正在进行的重大的非股权投资情况</w:t>
      </w:r>
      <w:bookmarkEnd w:id="187"/>
      <w:bookmarkEnd w:id="188"/>
      <w:bookmarkEnd w:id="190"/>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4</w:t>
      </w:r>
      <w:bookmarkEnd w:id="193"/>
      <w:r>
        <w:rPr>
          <w:color w:val="000000"/>
          <w:spacing w:val="0"/>
          <w:w w:val="100"/>
          <w:position w:val="0"/>
        </w:rPr>
        <w:t>、以公允价值计量的金融资产</w:t>
      </w:r>
      <w:bookmarkEnd w:id="191"/>
      <w:bookmarkEnd w:id="192"/>
      <w:bookmarkEnd w:id="194"/>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累计投资收</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5,363,380.8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372,380,000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募集及自有 资金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5,363,380.8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372,380,000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bookmarkStart w:id="195" w:name="bookmark195"/>
      <w:r>
        <w:rPr>
          <w:color w:val="000000"/>
          <w:spacing w:val="0"/>
          <w:w w:val="100"/>
          <w:position w:val="0"/>
        </w:rPr>
        <w:t>注：本期有其他变动</w:t>
      </w:r>
      <w:r>
        <w:rPr>
          <w:rFonts w:ascii="Times New Roman" w:eastAsia="Times New Roman" w:hAnsi="Times New Roman" w:cs="Times New Roman"/>
          <w:color w:val="000000"/>
          <w:spacing w:val="0"/>
          <w:w w:val="100"/>
          <w:position w:val="0"/>
          <w:sz w:val="18"/>
          <w:szCs w:val="18"/>
        </w:rPr>
        <w:t>55,650,000.00</w:t>
      </w:r>
      <w:r>
        <w:rPr>
          <w:color w:val="000000"/>
          <w:spacing w:val="0"/>
          <w:w w:val="100"/>
          <w:position w:val="0"/>
        </w:rPr>
        <w:t>元系转入中锦保理合并日持有的理财产品。</w:t>
      </w:r>
      <w:bookmarkEnd w:id="195"/>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5</w:t>
      </w:r>
      <w:bookmarkEnd w:id="198"/>
      <w:r>
        <w:rPr>
          <w:color w:val="000000"/>
          <w:spacing w:val="0"/>
          <w:w w:val="100"/>
          <w:position w:val="0"/>
        </w:rPr>
        <w:t>、募集资金使用情况</w:t>
      </w:r>
      <w:bookmarkEnd w:id="196"/>
      <w:bookmarkEnd w:id="197"/>
      <w:bookmarkEnd w:id="199"/>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both"/>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0"/>
      <w:bookmarkEnd w:id="201"/>
      <w:bookmarkEnd w:id="203"/>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49,777.51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保本性理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财产品及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活期存款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49,777.51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277"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40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实际募集资金金额和资金到账时间</w:t>
            </w: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1243</w:t>
            </w:r>
            <w:r>
              <w:rPr>
                <w:color w:val="000000"/>
                <w:spacing w:val="0"/>
                <w:w w:val="100"/>
                <w:position w:val="0"/>
              </w:rPr>
              <w:t>号文核准，并经深圳证券交易所同意，本公司由主承销商海通证券股份 有限公司采用全部向特定对象非公开发行的方式，向特定对象非公开发行人民币普通股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25,862,558</w:t>
            </w:r>
            <w:r>
              <w:rPr>
                <w:color w:val="000000"/>
                <w:spacing w:val="0"/>
                <w:w w:val="100"/>
                <w:position w:val="0"/>
              </w:rPr>
              <w:t>股，发行 价为每股人民币</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元，共计募集资金</w:t>
            </w:r>
            <w:r>
              <w:rPr>
                <w:rFonts w:ascii="Times New Roman" w:eastAsia="Times New Roman" w:hAnsi="Times New Roman" w:cs="Times New Roman"/>
                <w:color w:val="000000"/>
                <w:spacing w:val="0"/>
                <w:w w:val="100"/>
                <w:position w:val="0"/>
                <w:sz w:val="18"/>
                <w:szCs w:val="18"/>
              </w:rPr>
              <w:t>507,164,762.38</w:t>
            </w:r>
            <w:r>
              <w:rPr>
                <w:color w:val="000000"/>
                <w:spacing w:val="0"/>
                <w:w w:val="100"/>
                <w:position w:val="0"/>
              </w:rPr>
              <w:t>元，坐扣承销和保荐费用</w:t>
            </w:r>
            <w:r>
              <w:rPr>
                <w:rFonts w:ascii="Times New Roman" w:eastAsia="Times New Roman" w:hAnsi="Times New Roman" w:cs="Times New Roman"/>
                <w:color w:val="000000"/>
                <w:spacing w:val="0"/>
                <w:w w:val="100"/>
                <w:position w:val="0"/>
                <w:sz w:val="18"/>
                <w:szCs w:val="18"/>
              </w:rPr>
              <w:t>7,547,169.81</w:t>
            </w:r>
            <w:r>
              <w:rPr>
                <w:color w:val="000000"/>
                <w:spacing w:val="0"/>
                <w:w w:val="100"/>
                <w:position w:val="0"/>
              </w:rPr>
              <w:t xml:space="preserve">元后的募集资金为 </w:t>
            </w:r>
            <w:r>
              <w:rPr>
                <w:rFonts w:ascii="Times New Roman" w:eastAsia="Times New Roman" w:hAnsi="Times New Roman" w:cs="Times New Roman"/>
                <w:color w:val="000000"/>
                <w:spacing w:val="0"/>
                <w:w w:val="100"/>
                <w:position w:val="0"/>
                <w:sz w:val="18"/>
                <w:szCs w:val="18"/>
              </w:rPr>
              <w:t>499,617,592.57</w:t>
            </w:r>
            <w:r>
              <w:rPr>
                <w:color w:val="000000"/>
                <w:spacing w:val="0"/>
                <w:w w:val="100"/>
                <w:position w:val="0"/>
              </w:rPr>
              <w:t>元，已由主承销商海通证券股份有限公司公司于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日汇入本公司募集资金监管账户。另减除 上申报会计师费、律师费、证券登记费等与发行权益性证券直接相关的新增外部费用</w:t>
            </w:r>
            <w:r>
              <w:rPr>
                <w:rFonts w:ascii="Times New Roman" w:eastAsia="Times New Roman" w:hAnsi="Times New Roman" w:cs="Times New Roman"/>
                <w:color w:val="000000"/>
                <w:spacing w:val="0"/>
                <w:w w:val="100"/>
                <w:position w:val="0"/>
                <w:sz w:val="18"/>
                <w:szCs w:val="18"/>
              </w:rPr>
              <w:t>3,297,983.47</w:t>
            </w:r>
            <w:r>
              <w:rPr>
                <w:color w:val="000000"/>
                <w:spacing w:val="0"/>
                <w:w w:val="100"/>
                <w:position w:val="0"/>
              </w:rPr>
              <w:t>元后，公司本次募集资 金净额为</w:t>
            </w:r>
            <w:r>
              <w:rPr>
                <w:rFonts w:ascii="Times New Roman" w:eastAsia="Times New Roman" w:hAnsi="Times New Roman" w:cs="Times New Roman"/>
                <w:color w:val="000000"/>
                <w:spacing w:val="0"/>
                <w:w w:val="100"/>
                <w:position w:val="0"/>
                <w:sz w:val="18"/>
                <w:szCs w:val="18"/>
              </w:rPr>
              <w:t>496,319,609.10</w:t>
            </w:r>
            <w:r>
              <w:rPr>
                <w:color w:val="000000"/>
                <w:spacing w:val="0"/>
                <w:w w:val="100"/>
                <w:position w:val="0"/>
              </w:rPr>
              <w:t>元。上述募集资金到位情况业经天健会计师事务所（特殊普通合伙）验证，并由其出具《验资报 告》（天健验〔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415</w:t>
            </w:r>
            <w:r>
              <w:rPr>
                <w:color w:val="000000"/>
                <w:spacing w:val="0"/>
                <w:w w:val="100"/>
                <w:position w:val="0"/>
              </w:rPr>
              <w:t>号）。</w:t>
            </w:r>
          </w:p>
          <w:p>
            <w:pPr>
              <w:pStyle w:val="Style2"/>
              <w:keepNext w:val="0"/>
              <w:keepLines w:val="0"/>
              <w:widowControl w:val="0"/>
              <w:shd w:val="clear" w:color="auto" w:fill="auto"/>
              <w:tabs>
                <w:tab w:pos="39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募集资金使用和结余情况</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年度收到的银行理财产品收益以及银行存款利息扣除银行手续费的净额为</w:t>
            </w:r>
            <w:r>
              <w:rPr>
                <w:rFonts w:ascii="Times New Roman" w:eastAsia="Times New Roman" w:hAnsi="Times New Roman" w:cs="Times New Roman"/>
                <w:color w:val="000000"/>
                <w:spacing w:val="0"/>
                <w:w w:val="100"/>
                <w:position w:val="0"/>
                <w:sz w:val="18"/>
                <w:szCs w:val="18"/>
              </w:rPr>
              <w:t>1,431,129.79</w:t>
            </w:r>
            <w:r>
              <w:rPr>
                <w:color w:val="000000"/>
                <w:spacing w:val="0"/>
                <w:w w:val="100"/>
                <w:position w:val="0"/>
              </w:rPr>
              <w:t xml:space="preserve">元，购买银行理财产品 </w:t>
            </w:r>
            <w:r>
              <w:rPr>
                <w:rFonts w:ascii="Times New Roman" w:eastAsia="Times New Roman" w:hAnsi="Times New Roman" w:cs="Times New Roman"/>
                <w:color w:val="000000"/>
                <w:spacing w:val="0"/>
                <w:w w:val="100"/>
                <w:position w:val="0"/>
                <w:sz w:val="18"/>
                <w:szCs w:val="18"/>
              </w:rPr>
              <w:t>249,000,000.00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日，尚未使用的募集资金余额为人民币</w:t>
            </w:r>
            <w:r>
              <w:rPr>
                <w:rFonts w:ascii="Times New Roman" w:eastAsia="Times New Roman" w:hAnsi="Times New Roman" w:cs="Times New Roman"/>
                <w:color w:val="000000"/>
                <w:spacing w:val="0"/>
                <w:w w:val="100"/>
                <w:position w:val="0"/>
                <w:sz w:val="18"/>
                <w:szCs w:val="18"/>
              </w:rPr>
              <w:t>497,775,137.47</w:t>
            </w:r>
            <w:r>
              <w:rPr>
                <w:color w:val="000000"/>
                <w:spacing w:val="0"/>
                <w:w w:val="100"/>
                <w:position w:val="0"/>
              </w:rPr>
              <w:t>元（包括存款</w:t>
            </w:r>
            <w:r>
              <w:rPr>
                <w:rFonts w:ascii="Times New Roman" w:eastAsia="Times New Roman" w:hAnsi="Times New Roman" w:cs="Times New Roman"/>
                <w:color w:val="000000"/>
                <w:spacing w:val="0"/>
                <w:w w:val="100"/>
                <w:position w:val="0"/>
                <w:sz w:val="18"/>
                <w:szCs w:val="18"/>
              </w:rPr>
              <w:t xml:space="preserve">248,775,137.47 </w:t>
            </w:r>
            <w:r>
              <w:rPr>
                <w:color w:val="000000"/>
                <w:spacing w:val="0"/>
                <w:w w:val="100"/>
                <w:position w:val="0"/>
              </w:rPr>
              <w:t>元，理财产品</w:t>
            </w:r>
            <w:r>
              <w:rPr>
                <w:rFonts w:ascii="Times New Roman" w:eastAsia="Times New Roman" w:hAnsi="Times New Roman" w:cs="Times New Roman"/>
                <w:color w:val="000000"/>
                <w:spacing w:val="0"/>
                <w:w w:val="100"/>
                <w:position w:val="0"/>
                <w:sz w:val="18"/>
                <w:szCs w:val="18"/>
              </w:rPr>
              <w:t>249,000,000.00</w:t>
            </w:r>
            <w:r>
              <w:rPr>
                <w:color w:val="000000"/>
                <w:spacing w:val="0"/>
                <w:w w:val="100"/>
                <w:position w:val="0"/>
              </w:rPr>
              <w:t>元，收到的银行存款利息扣除银行手续费等的净额</w:t>
            </w:r>
            <w:r>
              <w:rPr>
                <w:rFonts w:ascii="Times New Roman" w:eastAsia="Times New Roman" w:hAnsi="Times New Roman" w:cs="Times New Roman"/>
                <w:color w:val="000000"/>
                <w:spacing w:val="0"/>
                <w:w w:val="100"/>
                <w:position w:val="0"/>
                <w:sz w:val="18"/>
                <w:szCs w:val="18"/>
              </w:rPr>
              <w:t>1,431,129.79</w:t>
            </w:r>
            <w:r>
              <w:rPr>
                <w:color w:val="000000"/>
                <w:spacing w:val="0"/>
                <w:w w:val="100"/>
                <w:position w:val="0"/>
              </w:rPr>
              <w:t>元，以及已由公司一般账户 支付尚未从募资资金账户中转出的应付未付的与发行权益性证券直接相关的证券登记费用</w:t>
            </w:r>
            <w:r>
              <w:rPr>
                <w:rFonts w:ascii="Times New Roman" w:eastAsia="Times New Roman" w:hAnsi="Times New Roman" w:cs="Times New Roman"/>
                <w:color w:val="000000"/>
                <w:spacing w:val="0"/>
                <w:w w:val="100"/>
                <w:position w:val="0"/>
                <w:sz w:val="18"/>
                <w:szCs w:val="18"/>
              </w:rPr>
              <w:t>24,398.64</w:t>
            </w:r>
            <w:r>
              <w:rPr>
                <w:color w:val="000000"/>
                <w:spacing w:val="0"/>
                <w:w w:val="100"/>
                <w:position w:val="0"/>
              </w:rPr>
              <w:t>元）。</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4"/>
      <w:bookmarkEnd w:id="205"/>
      <w:bookmarkEnd w:id="207"/>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承诺投 资项目 和超募 资金投</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6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截止报告 期末累计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0" w:lineRule="exact"/>
              <w:ind w:left="0" w:right="0" w:firstLine="260"/>
              <w:jc w:val="left"/>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基于物 联网及 大数据 技术的 智慧医 院一体 化建设 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39,631.96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39,631.96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20"/>
        <w:gridCol w:w="734"/>
        <w:gridCol w:w="893"/>
        <w:gridCol w:w="898"/>
        <w:gridCol w:w="725"/>
        <w:gridCol w:w="902"/>
        <w:gridCol w:w="898"/>
        <w:gridCol w:w="725"/>
        <w:gridCol w:w="730"/>
        <w:gridCol w:w="898"/>
        <w:gridCol w:w="725"/>
        <w:gridCol w:w="739"/>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补充流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49,631.96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49,631.96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49,631.96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49,631.96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超募资 金的金 额、用途 及使用 进展情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62"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施方式 调整情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71"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5"/>
        <w:gridCol w:w="886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 募集资 金暂时 补充流 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尚未使用的募集资金存放于公司募集资金专户及购买保本性理财产品</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8"/>
      <w:bookmarkEnd w:id="209"/>
      <w:bookmarkEnd w:id="211"/>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2"/>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sz w:val="24"/>
          <w:szCs w:val="24"/>
        </w:rPr>
        <w:t>六</w:t>
      </w:r>
      <w:bookmarkEnd w:id="214"/>
      <w:r>
        <w:rPr>
          <w:color w:val="000000"/>
          <w:spacing w:val="0"/>
          <w:w w:val="100"/>
          <w:position w:val="0"/>
          <w:sz w:val="24"/>
          <w:szCs w:val="24"/>
        </w:rPr>
        <w:t>、重大资产和股权出售</w:t>
      </w:r>
      <w:bookmarkEnd w:id="212"/>
      <w:bookmarkEnd w:id="213"/>
      <w:bookmarkEnd w:id="215"/>
    </w:p>
    <w:p>
      <w:pPr>
        <w:pStyle w:val="Style30"/>
        <w:keepNext/>
        <w:keepLines/>
        <w:widowControl w:val="0"/>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1</w:t>
      </w:r>
      <w:bookmarkEnd w:id="218"/>
      <w:r>
        <w:rPr>
          <w:color w:val="000000"/>
          <w:spacing w:val="0"/>
          <w:w w:val="100"/>
          <w:position w:val="0"/>
        </w:rPr>
        <w:t>、出售重大资产情况</w:t>
      </w:r>
      <w:bookmarkEnd w:id="216"/>
      <w:bookmarkEnd w:id="217"/>
      <w:bookmarkEnd w:id="21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bidi w:val="0"/>
        <w:spacing w:before="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2</w:t>
      </w:r>
      <w:bookmarkEnd w:id="222"/>
      <w:r>
        <w:rPr>
          <w:color w:val="000000"/>
          <w:spacing w:val="0"/>
          <w:w w:val="100"/>
          <w:position w:val="0"/>
        </w:rPr>
        <w:t>、出售重大股权情况</w:t>
      </w:r>
      <w:bookmarkEnd w:id="220"/>
      <w:bookmarkEnd w:id="221"/>
      <w:bookmarkEnd w:id="22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sz w:val="24"/>
          <w:szCs w:val="24"/>
        </w:rPr>
        <w:t>七</w:t>
      </w:r>
      <w:bookmarkEnd w:id="226"/>
      <w:r>
        <w:rPr>
          <w:color w:val="000000"/>
          <w:spacing w:val="0"/>
          <w:w w:val="100"/>
          <w:position w:val="0"/>
          <w:sz w:val="24"/>
          <w:szCs w:val="24"/>
        </w:rPr>
        <w:t>、主要控股参股公司分析</w:t>
      </w:r>
      <w:bookmarkEnd w:id="224"/>
      <w:bookmarkEnd w:id="225"/>
      <w:bookmarkEnd w:id="227"/>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软件技术开 发、技术服 务等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20,484,782.5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11,506,492.1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16,574,302.7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-5,447,475.6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-5,498,313.8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广西和仁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因业务战略调整清算子公司，对生产经 营及业绩无实质影响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重庆和仁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因业务战略调整清算子公司，对生产经 营及业绩无实质影响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北京和仁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因业务战略调整清算子公司，对生产经 营及业绩无实质影响</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中锦保理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对生产经营及业绩无实质影响</w:t>
            </w:r>
          </w:p>
        </w:tc>
      </w:tr>
    </w:tbl>
    <w:p>
      <w:pPr>
        <w:pStyle w:val="Style2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主要控股参股公司情况说明 无</w:t>
      </w:r>
    </w:p>
    <w:p>
      <w:pPr>
        <w:pStyle w:val="Style22"/>
        <w:keepNext/>
        <w:keepLines/>
        <w:widowControl w:val="0"/>
        <w:shd w:val="clear" w:color="auto" w:fill="auto"/>
        <w:tabs>
          <w:tab w:pos="517" w:val="left"/>
        </w:tabs>
        <w:bidi w:val="0"/>
        <w:spacing w:before="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八</w:t>
      </w:r>
      <w:bookmarkEnd w:id="230"/>
      <w:r>
        <w:rPr>
          <w:color w:val="000000"/>
          <w:spacing w:val="0"/>
          <w:w w:val="100"/>
          <w:position w:val="0"/>
          <w:sz w:val="24"/>
          <w:szCs w:val="24"/>
        </w:rPr>
        <w:t>、</w:t>
        <w:tab/>
        <w:t>公司控制的结构化主体情况</w:t>
      </w:r>
      <w:bookmarkEnd w:id="228"/>
      <w:bookmarkEnd w:id="229"/>
      <w:bookmarkEnd w:id="231"/>
    </w:p>
    <w:p>
      <w:pPr>
        <w:pStyle w:val="Style26"/>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280" w:line="317" w:lineRule="exact"/>
        <w:ind w:left="0" w:right="0" w:firstLine="0"/>
        <w:jc w:val="left"/>
        <w:rPr>
          <w:sz w:val="17"/>
          <w:szCs w:val="17"/>
        </w:rPr>
      </w:pPr>
      <w:bookmarkStart w:id="232" w:name="bookmark232"/>
      <w:bookmarkStart w:id="233" w:name="bookmark233"/>
      <w:bookmarkStart w:id="234" w:name="bookmark234"/>
      <w:bookmarkStart w:id="235" w:name="bookmark235"/>
      <w:r>
        <w:rPr>
          <w:b w:val="0"/>
          <w:bCs w:val="0"/>
          <w:color w:val="000000"/>
          <w:spacing w:val="0"/>
          <w:w w:val="100"/>
          <w:position w:val="0"/>
          <w:sz w:val="17"/>
          <w:szCs w:val="17"/>
        </w:rPr>
        <w:t>九</w:t>
      </w:r>
      <w:bookmarkEnd w:id="234"/>
      <w:r>
        <w:rPr>
          <w:b w:val="0"/>
          <w:bCs w:val="0"/>
          <w:color w:val="000000"/>
          <w:spacing w:val="0"/>
          <w:w w:val="100"/>
          <w:position w:val="0"/>
          <w:sz w:val="17"/>
          <w:szCs w:val="17"/>
        </w:rPr>
        <w:t>、</w:t>
        <w:tab/>
        <w:t>公司未来发展的展望</w:t>
      </w:r>
      <w:bookmarkEnd w:id="232"/>
      <w:bookmarkEnd w:id="233"/>
      <w:bookmarkEnd w:id="235"/>
    </w:p>
    <w:p>
      <w:pPr>
        <w:pStyle w:val="Style26"/>
        <w:keepNext w:val="0"/>
        <w:keepLines w:val="0"/>
        <w:widowControl w:val="0"/>
        <w:shd w:val="clear" w:color="auto" w:fill="auto"/>
        <w:bidi w:val="0"/>
        <w:spacing w:before="0" w:after="0" w:line="317" w:lineRule="exact"/>
        <w:ind w:left="0" w:right="0"/>
        <w:jc w:val="both"/>
      </w:pPr>
      <w:bookmarkStart w:id="236" w:name="bookmark236"/>
      <w:r>
        <w:rPr>
          <w:color w:val="000000"/>
          <w:spacing w:val="0"/>
          <w:w w:val="100"/>
          <w:position w:val="0"/>
        </w:rPr>
        <w:t>（</w:t>
      </w:r>
      <w:bookmarkEnd w:id="236"/>
      <w:r>
        <w:rPr>
          <w:color w:val="000000"/>
          <w:spacing w:val="0"/>
          <w:w w:val="100"/>
          <w:position w:val="0"/>
        </w:rPr>
        <w:t>一）公司未来发展战略</w:t>
      </w:r>
    </w:p>
    <w:p>
      <w:pPr>
        <w:pStyle w:val="Style26"/>
        <w:keepNext w:val="0"/>
        <w:keepLines w:val="0"/>
        <w:widowControl w:val="0"/>
        <w:shd w:val="clear" w:color="auto" w:fill="auto"/>
        <w:bidi w:val="0"/>
        <w:spacing w:before="0" w:after="0" w:line="317" w:lineRule="exact"/>
        <w:ind w:left="0" w:right="0"/>
        <w:jc w:val="both"/>
      </w:pPr>
      <w:bookmarkStart w:id="237" w:name="bookmark237"/>
      <w:r>
        <w:rPr>
          <w:color w:val="000000"/>
          <w:spacing w:val="0"/>
          <w:w w:val="100"/>
          <w:position w:val="0"/>
          <w:sz w:val="18"/>
          <w:szCs w:val="18"/>
        </w:rPr>
        <w:t>1</w:t>
      </w:r>
      <w:bookmarkEnd w:id="237"/>
      <w:r>
        <w:rPr>
          <w:color w:val="000000"/>
          <w:spacing w:val="0"/>
          <w:w w:val="100"/>
          <w:position w:val="0"/>
        </w:rPr>
        <w:t>、持续深化智慧医院整体解决方案</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智慧医院整体解决方案是包含了以电子病历为核心的临床医疗信息系统、以</w:t>
      </w:r>
      <w:r>
        <w:rPr>
          <w:color w:val="000000"/>
          <w:spacing w:val="0"/>
          <w:w w:val="100"/>
          <w:position w:val="0"/>
          <w:sz w:val="18"/>
          <w:szCs w:val="18"/>
        </w:rPr>
        <w:t>HRP</w:t>
      </w:r>
      <w:r>
        <w:rPr>
          <w:color w:val="000000"/>
          <w:spacing w:val="0"/>
          <w:w w:val="100"/>
          <w:position w:val="0"/>
        </w:rPr>
        <w:t>为核心的运营管理信息系统、以医院设 施设备为基础的物联网解决方案和以互联网医院为主的新型服务系统，以及将上述系统根据场景特色、业务流程、管理需求 进行集成融合的整体解决方案。</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公司将提供以自有产品为核心的整体信息化建设以及专业的</w:t>
      </w:r>
      <w:r>
        <w:rPr>
          <w:color w:val="000000"/>
          <w:spacing w:val="0"/>
          <w:w w:val="100"/>
          <w:position w:val="0"/>
          <w:sz w:val="18"/>
          <w:szCs w:val="18"/>
        </w:rPr>
        <w:t>HIT</w:t>
      </w:r>
      <w:r>
        <w:rPr>
          <w:color w:val="000000"/>
          <w:spacing w:val="0"/>
          <w:w w:val="100"/>
          <w:position w:val="0"/>
        </w:rPr>
        <w:t>服务，包括软件选型建议、系统集成、数据管理、需求 实现等，持续为医院提供智慧医院信息化建设。软件产品是更好服务医院的工具和手段，专业的服务是最大化发挥产品价值 的形式和助推器。通过不断地服务客户，从客户中汲取有价值的产品需求，将更加有利于公司产品进化，从而构建强大的核 心竞争力和护城河，保障公司可持续发展。</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公司将抓住电子病历以及集成平台、临床数据中心等系统升级换代给医疗信息化行业带来的巨大发展契机，持续优化以 </w:t>
      </w:r>
      <w:r>
        <w:rPr>
          <w:color w:val="000000"/>
          <w:spacing w:val="0"/>
          <w:w w:val="100"/>
          <w:position w:val="0"/>
        </w:rPr>
        <w:t>电子病历</w:t>
      </w:r>
      <w:r>
        <w:rPr>
          <w:color w:val="000000"/>
          <w:spacing w:val="0"/>
          <w:w w:val="100"/>
          <w:position w:val="0"/>
          <w:sz w:val="18"/>
          <w:szCs w:val="18"/>
        </w:rPr>
        <w:t>&amp;HIS</w:t>
      </w:r>
      <w:r>
        <w:rPr>
          <w:color w:val="000000"/>
          <w:spacing w:val="0"/>
          <w:w w:val="100"/>
          <w:position w:val="0"/>
        </w:rPr>
        <w:t>一体化为核心的新一代医疗信息系统，提高产品的适用性，在产品不断迭代完善的同时加大市场推广，目前公 司已持续与各地头部及大型医院达成建设意向，为全面市场拓展奠定基础。</w:t>
      </w:r>
    </w:p>
    <w:p>
      <w:pPr>
        <w:pStyle w:val="Style26"/>
        <w:keepNext w:val="0"/>
        <w:keepLines w:val="0"/>
        <w:widowControl w:val="0"/>
        <w:shd w:val="clear" w:color="auto" w:fill="auto"/>
        <w:bidi w:val="0"/>
        <w:spacing w:before="0" w:after="0" w:line="308" w:lineRule="exact"/>
        <w:ind w:left="0" w:right="0"/>
        <w:jc w:val="both"/>
      </w:pPr>
      <w:r>
        <w:rPr>
          <w:color w:val="000000"/>
          <w:spacing w:val="0"/>
          <w:w w:val="100"/>
          <w:position w:val="0"/>
        </w:rPr>
        <w:t>同时，面对“互联网+医疗健康”建设的迫切需求，公司将进一步加大和加深互联网医院的应用深度，借助</w:t>
      </w:r>
      <w:r>
        <w:rPr>
          <w:color w:val="000000"/>
          <w:spacing w:val="0"/>
          <w:w w:val="100"/>
          <w:position w:val="0"/>
          <w:sz w:val="18"/>
          <w:szCs w:val="18"/>
        </w:rPr>
        <w:t>5G</w:t>
      </w:r>
      <w:r>
        <w:rPr>
          <w:color w:val="000000"/>
          <w:spacing w:val="0"/>
          <w:w w:val="100"/>
          <w:position w:val="0"/>
        </w:rPr>
        <w:t>、</w:t>
      </w:r>
      <w:r>
        <w:rPr>
          <w:color w:val="000000"/>
          <w:spacing w:val="0"/>
          <w:w w:val="100"/>
          <w:position w:val="0"/>
        </w:rPr>
        <w:t>云计算 等技术不断升级现有的方案和应用场景，为患者和医院提供打破空间和时间限制的优质服务，极大发挥产品价值。</w:t>
      </w:r>
    </w:p>
    <w:p>
      <w:pPr>
        <w:pStyle w:val="Style26"/>
        <w:keepNext w:val="0"/>
        <w:keepLines w:val="0"/>
        <w:widowControl w:val="0"/>
        <w:shd w:val="clear" w:color="auto" w:fill="auto"/>
        <w:bidi w:val="0"/>
        <w:spacing w:before="0" w:after="0" w:line="308" w:lineRule="exact"/>
        <w:ind w:left="0" w:right="0"/>
        <w:jc w:val="both"/>
      </w:pPr>
      <w:r>
        <w:rPr>
          <w:color w:val="000000"/>
          <w:spacing w:val="0"/>
          <w:w w:val="100"/>
          <w:position w:val="0"/>
        </w:rPr>
        <w:t>紧扣“万物互联”，公司将进一步加强物联网解决方案建设，打造汇聚智慧医院建设的智慧医疗、智慧服务、智慧管理 等各业务模块的综合运营管理平台，不断迭代升级，通过数据信息的管理应用，为医院客户提供数字化、智能化、集成式的 运营管理体系工具。</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把控“大数据和人工智能”的医疗健康信息化热点，公司将持续深化自身核心产品一电子病历系统功能，重点聚焦于临 床决策支持系统</w:t>
      </w:r>
      <w:r>
        <w:rPr>
          <w:color w:val="000000"/>
          <w:spacing w:val="0"/>
          <w:w w:val="100"/>
          <w:position w:val="0"/>
          <w:sz w:val="18"/>
          <w:szCs w:val="18"/>
        </w:rPr>
        <w:t>（CDSS）</w:t>
      </w:r>
      <w:r>
        <w:rPr>
          <w:color w:val="000000"/>
          <w:spacing w:val="0"/>
          <w:w w:val="100"/>
          <w:position w:val="0"/>
        </w:rPr>
        <w:t>、</w:t>
      </w:r>
      <w:r>
        <w:rPr>
          <w:color w:val="000000"/>
          <w:spacing w:val="0"/>
          <w:w w:val="100"/>
          <w:position w:val="0"/>
        </w:rPr>
        <w:t>基于</w:t>
      </w:r>
      <w:r>
        <w:rPr>
          <w:color w:val="000000"/>
          <w:spacing w:val="0"/>
          <w:w w:val="100"/>
          <w:position w:val="0"/>
          <w:sz w:val="18"/>
          <w:szCs w:val="18"/>
        </w:rPr>
        <w:t>AI</w:t>
      </w:r>
      <w:r>
        <w:rPr>
          <w:color w:val="000000"/>
          <w:spacing w:val="0"/>
          <w:w w:val="100"/>
          <w:position w:val="0"/>
        </w:rPr>
        <w:t>技术实现病历内涵质控，逐步实现海量历史数据的一体化管理及与医院各业务生产系统数 据库保持实时同步、数据一致性的关键技术。后续公司还将基于医院积累的已有数据逐步开展大数据应用，帮助医院挖掘现 有电子病历中的数据，为医院开展临床科研、临床辅助决策提供更好的工具和服务。</w:t>
      </w:r>
    </w:p>
    <w:p>
      <w:pPr>
        <w:pStyle w:val="Style26"/>
        <w:keepNext w:val="0"/>
        <w:keepLines w:val="0"/>
        <w:widowControl w:val="0"/>
        <w:shd w:val="clear" w:color="auto" w:fill="auto"/>
        <w:tabs>
          <w:tab w:pos="664" w:val="left"/>
        </w:tabs>
        <w:bidi w:val="0"/>
        <w:spacing w:before="0" w:after="0" w:line="312" w:lineRule="exact"/>
        <w:ind w:left="0" w:right="0"/>
        <w:jc w:val="both"/>
      </w:pPr>
      <w:bookmarkStart w:id="238" w:name="bookmark238"/>
      <w:r>
        <w:rPr>
          <w:color w:val="000000"/>
          <w:spacing w:val="0"/>
          <w:w w:val="100"/>
          <w:position w:val="0"/>
          <w:sz w:val="18"/>
          <w:szCs w:val="18"/>
        </w:rPr>
        <w:t>2</w:t>
      </w:r>
      <w:bookmarkEnd w:id="238"/>
      <w:r>
        <w:rPr>
          <w:color w:val="000000"/>
          <w:spacing w:val="0"/>
          <w:w w:val="100"/>
          <w:position w:val="0"/>
        </w:rPr>
        <w:t>、</w:t>
        <w:tab/>
        <w:t>加强渠道开拓、生态合作渠道、产品化能力及整体解决方案交付能力是核心壁垒</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公司业务聚焦在为客户提供综合性产品服务包，其中信息化建设是核心。医疗信息化系统的定制化特性明显，对售后维 护服务的及时性要求高，因此医疗信息化行业具有一定的区域性特征，这也是众多区域性小企业存在的根基。在这种背 景下，具有丰富的全国性渠道的企业，将具备更广阔的业务辐射范围和更好的用户体验，因此具备更强劲的竞争力，这也 是公司努力的方向之一。此外，基于对不同层次客户的需求以及不同业务的理解，使用先进架构和技术将应用需求产品化的 能力是提高公司盈利能力和业务扩张能力的关键。公司将继续建立并全面维护供应商渠道管理，通过多种途径加快信息化渠 道建设，沉淀了一批有竞争力的合作厂商；同时加强竞标询价及策划管理，完成标前品牌方案和询价梳理，针对项目形成不 同的应对方案，逐步建立模型库。随着公司新一代产品、新技术的应用及管理的规范标准化，促使公司交付能力大幅提升， 而借助技术革新下结合客户定制化需求的深度经营，通过为客户带来更加精细化、个性化的服务，也有利于公司进一步巩固 合作，开拓渠道。</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公司也将加强资本运作能力及对外合作，整合利用行业资源，围绕大健康产业经济生态圈的打造丰富公司产品服务业态, 充分利用并购、联盟、战略合作、战略投资等方式，快速突破业务瓶颈，强化资源经营意识。结合资源经营、产品经营、流 量经营的要求，合理利用各种方式，向市场快速采购资源和能力。</w:t>
      </w:r>
    </w:p>
    <w:p>
      <w:pPr>
        <w:pStyle w:val="Style26"/>
        <w:keepNext w:val="0"/>
        <w:keepLines w:val="0"/>
        <w:widowControl w:val="0"/>
        <w:shd w:val="clear" w:color="auto" w:fill="auto"/>
        <w:tabs>
          <w:tab w:pos="664" w:val="left"/>
        </w:tabs>
        <w:bidi w:val="0"/>
        <w:spacing w:before="0" w:after="0" w:line="312" w:lineRule="exact"/>
        <w:ind w:left="0" w:right="0"/>
        <w:jc w:val="both"/>
      </w:pPr>
      <w:bookmarkStart w:id="239" w:name="bookmark239"/>
      <w:r>
        <w:rPr>
          <w:color w:val="000000"/>
          <w:spacing w:val="0"/>
          <w:w w:val="100"/>
          <w:position w:val="0"/>
          <w:sz w:val="18"/>
          <w:szCs w:val="18"/>
        </w:rPr>
        <w:t>3</w:t>
      </w:r>
      <w:bookmarkEnd w:id="239"/>
      <w:r>
        <w:rPr>
          <w:color w:val="000000"/>
          <w:spacing w:val="0"/>
          <w:w w:val="100"/>
          <w:position w:val="0"/>
        </w:rPr>
        <w:t>、</w:t>
        <w:tab/>
        <w:t>以城市级智慧医疗建设为突破点，深入各地智慧医院建设</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当前智慧医院有三种模式：一是基于单体医院的智慧医院；二是以智慧医院和医联体为基础的智慧医院集团；三是覆盖 一定区域的智慧医疗服务体系，目前正在打基础的阶段，是未来主要方向，目标是在整个医疗服务体系实现智慧化的覆盖。 城市级智慧医疗的建设进一步扩大升级，区域智慧医疗服务体系是智慧医疗领域未来建设重点模式。</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城市级智慧医疗建设是医疗机构信息化建设的延伸和扩展，基于区域数字城市建设的统一规划，从整个城市角度融入更 多的医疗、医保、医药等专业服务和实时监管能力。而要真正实现数据实时互联、业务全覆盖的城市级智慧医疗体系，在相 当程度上要取决于当地头部医院及医院集团的智慧医院建设水准和完成进度，上述智慧医院项目恰恰是公司聚焦的重点服务 对象。未来公司将充分利用自身在各地头部医院及医院集团的智慧医院建设成果，继续在城市级智慧医疗的建设方面不断探 索和创新，和相关部门积极深化基于各医疗机构核心业务的数据脱敏或授权情况下的各场景应用，发挥在城市基建数据和信 息的管道作用，相信很快在惠民、慧医、慧政等方面都有新的亮点呈现。</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城市级智慧医疗的建设重点是民生工程、业务协同、实时监管和服务模式创新。在服务模式创新方面，基于数据驱动的 健康城市是一种全新的生态圈。公司正积极跟踪国家一系列的政策和意见，将依托云架构和大数据等技术，将服务覆盖到就 医的院前中后、线下到线上，整合生态圈各参与方的禀赋、资源与能力，开展大数据挖掘和应用等服务，探索创新的建设和 运营模式，开展安全和开放的合作体系建设。</w:t>
      </w:r>
    </w:p>
    <w:p>
      <w:pPr>
        <w:pStyle w:val="Style26"/>
        <w:keepNext w:val="0"/>
        <w:keepLines w:val="0"/>
        <w:widowControl w:val="0"/>
        <w:shd w:val="clear" w:color="auto" w:fill="auto"/>
        <w:tabs>
          <w:tab w:pos="669" w:val="left"/>
        </w:tabs>
        <w:bidi w:val="0"/>
        <w:spacing w:before="0" w:after="0" w:line="312" w:lineRule="exact"/>
        <w:ind w:left="0" w:right="0"/>
        <w:jc w:val="both"/>
      </w:pPr>
      <w:bookmarkStart w:id="240" w:name="bookmark240"/>
      <w:r>
        <w:rPr>
          <w:color w:val="000000"/>
          <w:spacing w:val="0"/>
          <w:w w:val="100"/>
          <w:position w:val="0"/>
          <w:sz w:val="18"/>
          <w:szCs w:val="18"/>
        </w:rPr>
        <w:t>4</w:t>
      </w:r>
      <w:bookmarkEnd w:id="240"/>
      <w:r>
        <w:rPr>
          <w:color w:val="000000"/>
          <w:spacing w:val="0"/>
          <w:w w:val="100"/>
          <w:position w:val="0"/>
        </w:rPr>
        <w:t>、</w:t>
        <w:tab/>
        <w:t>加强客户经营体系建设</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一方面，医院信息化建设日新月异，信息化系统升级换代需求呈现出长期持续的特点；另一方面，公司的新产品和原有 产品的升级换代与原来的产品高度耦合，实施难度小。持续增长的老客户需求及相对较小的实施难度为公司在老客户的信息 化持续建设中提供了天然优势；同时，公司在发展过程中积累了数量众多且优质的大型“三甲”医院高端客户及专科医院客 户，在日常经营中公司与客户维持着紧密且良好的合作关系，为公司创造了业务的长期增长点。</w:t>
      </w:r>
    </w:p>
    <w:p>
      <w:pPr>
        <w:pStyle w:val="Style26"/>
        <w:keepNext w:val="0"/>
        <w:keepLines w:val="0"/>
        <w:widowControl w:val="0"/>
        <w:shd w:val="clear" w:color="auto" w:fill="auto"/>
        <w:bidi w:val="0"/>
        <w:spacing w:before="0" w:after="300" w:line="312" w:lineRule="exact"/>
        <w:ind w:left="0" w:right="0"/>
        <w:jc w:val="both"/>
      </w:pPr>
      <w:r>
        <w:rPr>
          <w:color w:val="000000"/>
          <w:spacing w:val="0"/>
          <w:w w:val="100"/>
          <w:position w:val="0"/>
        </w:rPr>
        <w:t xml:space="preserve">医院信息化需求旺盛、需求多样且临时变动大等特点，导致医院信息系统在性能、逻辑及功能上存在缺陷，医院现有信 </w:t>
      </w:r>
      <w:r>
        <w:rPr>
          <w:color w:val="000000"/>
          <w:spacing w:val="0"/>
          <w:w w:val="100"/>
          <w:position w:val="0"/>
        </w:rPr>
        <w:t>息化系统得不到及时有效的升级与完善。智慧医院的建设，不能仅仅依靠于所采购的信息化、智能化产品，更需要及时、贴 身、持续的优质服务。公司依托运维服务纽带，通过一体化管家式服务、长期驻场的技术服务团队等措施，与类似华中科技 大学同济医学院附属同济医院等形成了长期稳固的合作关系，积累了良好的口碑。未来，公司将进一步探索新的服务方式， 创新经营模式，重视客户需求，加强与客户合作，进行积极的新功能和新服务推介，提供包括咨询和规划、设计和优化、集 成和建设、数据整合应用、运维和保障、升级和迭代等在内的项目全生命周期的服务，实现客户价值与公司价值的共同最大 化。</w:t>
      </w:r>
    </w:p>
    <w:p>
      <w:pPr>
        <w:pStyle w:val="Style26"/>
        <w:keepNext w:val="0"/>
        <w:keepLines w:val="0"/>
        <w:widowControl w:val="0"/>
        <w:shd w:val="clear" w:color="auto" w:fill="auto"/>
        <w:bidi w:val="0"/>
        <w:spacing w:before="0" w:after="0" w:line="312" w:lineRule="exact"/>
        <w:ind w:left="0" w:right="0" w:firstLine="480"/>
        <w:jc w:val="both"/>
      </w:pPr>
      <w:bookmarkStart w:id="241" w:name="bookmark241"/>
      <w:r>
        <w:rPr>
          <w:color w:val="000000"/>
          <w:spacing w:val="0"/>
          <w:w w:val="100"/>
          <w:position w:val="0"/>
        </w:rPr>
        <w:t>（</w:t>
      </w:r>
      <w:bookmarkEnd w:id="241"/>
      <w:r>
        <w:rPr>
          <w:color w:val="000000"/>
          <w:spacing w:val="0"/>
          <w:w w:val="100"/>
          <w:position w:val="0"/>
        </w:rPr>
        <w:t>二）未来发展规划</w:t>
      </w:r>
    </w:p>
    <w:p>
      <w:pPr>
        <w:pStyle w:val="Style26"/>
        <w:keepNext w:val="0"/>
        <w:keepLines w:val="0"/>
        <w:widowControl w:val="0"/>
        <w:shd w:val="clear" w:color="auto" w:fill="auto"/>
        <w:tabs>
          <w:tab w:pos="676" w:val="left"/>
        </w:tabs>
        <w:bidi w:val="0"/>
        <w:spacing w:before="0" w:after="0" w:line="312" w:lineRule="exact"/>
        <w:ind w:left="0" w:right="0" w:firstLine="360"/>
        <w:jc w:val="both"/>
      </w:pPr>
      <w:bookmarkStart w:id="242" w:name="bookmark242"/>
      <w:r>
        <w:rPr>
          <w:color w:val="000000"/>
          <w:spacing w:val="0"/>
          <w:w w:val="100"/>
          <w:position w:val="0"/>
          <w:sz w:val="18"/>
          <w:szCs w:val="18"/>
        </w:rPr>
        <w:t>1</w:t>
      </w:r>
      <w:bookmarkEnd w:id="242"/>
      <w:r>
        <w:rPr>
          <w:color w:val="000000"/>
          <w:spacing w:val="0"/>
          <w:w w:val="100"/>
          <w:position w:val="0"/>
        </w:rPr>
        <w:t>、</w:t>
        <w:tab/>
        <w:t>业务探索拓展计划</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公司将加强营销网络建设和营销投入，在各地庞大的新建医院目标市场中，为新建医院提供包括从顶层设计出发，以医 院数据的采集、融合、管理、应用的角度为客户提供智慧医院建设总体规划并细化到逐年分步建设计划，达成医院数据管理 一元化、一致性、实时管理、有效应用的目标，实现客户从</w:t>
      </w:r>
      <w:r>
        <w:rPr>
          <w:color w:val="000000"/>
          <w:spacing w:val="0"/>
          <w:w w:val="100"/>
          <w:position w:val="0"/>
          <w:sz w:val="18"/>
          <w:szCs w:val="18"/>
        </w:rPr>
        <w:t>IT</w:t>
      </w:r>
      <w:r>
        <w:rPr>
          <w:color w:val="000000"/>
          <w:spacing w:val="0"/>
          <w:w w:val="100"/>
          <w:position w:val="0"/>
        </w:rPr>
        <w:t>建设到</w:t>
      </w:r>
      <w:r>
        <w:rPr>
          <w:color w:val="000000"/>
          <w:spacing w:val="0"/>
          <w:w w:val="100"/>
          <w:position w:val="0"/>
          <w:sz w:val="18"/>
          <w:szCs w:val="18"/>
        </w:rPr>
        <w:t>DT</w:t>
      </w:r>
      <w:r>
        <w:rPr>
          <w:color w:val="000000"/>
          <w:spacing w:val="0"/>
          <w:w w:val="100"/>
          <w:position w:val="0"/>
        </w:rPr>
        <w:t>应用的提升。同时针对新建医院或院区提供总包式系 统性建设，提供软硬件一体化配置、整体系统集成调试、系统维保在内的医疗信息系统整体交付服务及系统性解决方案。</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聚焦公司具有一定市场先发优势的区域，对仍在服务的老客户，公司将深挖客户经营，以临床为核心、业务流程优化为 目标，依托自身多年积累的高水平医疗信息化建设经验，持续帮助医院提升临床信息化应用水平，协助客户通过互联互通标 准化成熟度测评、电子病历系统应用水平分级评价、医院智慧管理分级评估等行业评级，进而通过已建项目系统功能优化、 性能优化、边界内新增功能需求研发、版本升级管理等后续运维及合作运营方式，提供增值服务，深度经营客户，不断获得 持续性订单。在此业务模式下，随公司服务项目基数增加，相应增值服务收入也会随之增加，进而形成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项目建设+运营服务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的正向循环和持续经营效应；同时，公司还争取在当地头部医院打造智慧医院建设标杆项目的示范效应基础上，有效扩大重 点区域的客户拓展渗透率。</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针对目前国内医院信息化建设存在的问题和痛点，公司也将结合自身特点和积累，在</w:t>
      </w:r>
      <w:r>
        <w:rPr>
          <w:color w:val="000000"/>
          <w:spacing w:val="0"/>
          <w:w w:val="100"/>
          <w:position w:val="0"/>
          <w:sz w:val="18"/>
          <w:szCs w:val="18"/>
        </w:rPr>
        <w:t>2020</w:t>
      </w:r>
      <w:r>
        <w:rPr>
          <w:color w:val="000000"/>
          <w:spacing w:val="0"/>
          <w:w w:val="100"/>
          <w:position w:val="0"/>
        </w:rPr>
        <w:t>年完成定增募投的基础上，继 续推进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基于物联网及大数据技术的智慧医院一体化建设模式匚该模式强调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一体化投资建设+服务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，主要针对医院面临的 建设成本高、资金短缺、碎片化建设、建设周期长等一系列痛点，改变医院根据有限的预算通过自行购买软件的组合应用的 方式，医院由购买信息系统转变为购买服务，公司则提供长期持久服务，深度经营客户，一次投入分期收取服务费。上述模 式的推广落地，在为医院信息化整体建设提供最佳行业实践的同时，公司也可同步获得较好的价值回报与长期发展。</w:t>
      </w:r>
    </w:p>
    <w:p>
      <w:pPr>
        <w:pStyle w:val="Style26"/>
        <w:keepNext w:val="0"/>
        <w:keepLines w:val="0"/>
        <w:widowControl w:val="0"/>
        <w:shd w:val="clear" w:color="auto" w:fill="auto"/>
        <w:tabs>
          <w:tab w:pos="676" w:val="left"/>
        </w:tabs>
        <w:bidi w:val="0"/>
        <w:spacing w:before="0" w:after="0" w:line="312" w:lineRule="exact"/>
        <w:ind w:left="0" w:right="0" w:firstLine="360"/>
        <w:jc w:val="both"/>
      </w:pPr>
      <w:bookmarkStart w:id="243" w:name="bookmark243"/>
      <w:r>
        <w:rPr>
          <w:color w:val="000000"/>
          <w:spacing w:val="0"/>
          <w:w w:val="100"/>
          <w:position w:val="0"/>
          <w:sz w:val="18"/>
          <w:szCs w:val="18"/>
        </w:rPr>
        <w:t>2</w:t>
      </w:r>
      <w:bookmarkEnd w:id="243"/>
      <w:r>
        <w:rPr>
          <w:color w:val="000000"/>
          <w:spacing w:val="0"/>
          <w:w w:val="100"/>
          <w:position w:val="0"/>
        </w:rPr>
        <w:t>、</w:t>
        <w:tab/>
        <w:t>管理提升计划</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为适应业务规模扩张对提高公司管理水平的需求，公司计划重点在以下两个方面提升管理水平：</w:t>
      </w:r>
    </w:p>
    <w:p>
      <w:pPr>
        <w:pStyle w:val="Style26"/>
        <w:keepNext w:val="0"/>
        <w:keepLines w:val="0"/>
        <w:widowControl w:val="0"/>
        <w:shd w:val="clear" w:color="auto" w:fill="auto"/>
        <w:tabs>
          <w:tab w:pos="745" w:val="left"/>
        </w:tabs>
        <w:bidi w:val="0"/>
        <w:spacing w:before="0" w:after="0" w:line="312" w:lineRule="exact"/>
        <w:ind w:left="0" w:right="0" w:firstLine="360"/>
        <w:jc w:val="both"/>
      </w:pPr>
      <w:bookmarkStart w:id="244" w:name="bookmark244"/>
      <w:r>
        <w:rPr>
          <w:color w:val="000000"/>
          <w:spacing w:val="0"/>
          <w:w w:val="100"/>
          <w:position w:val="0"/>
          <w:sz w:val="18"/>
          <w:szCs w:val="18"/>
        </w:rPr>
        <w:t>（</w:t>
      </w:r>
      <w:bookmarkEnd w:id="244"/>
      <w:r>
        <w:rPr>
          <w:color w:val="000000"/>
          <w:spacing w:val="0"/>
          <w:w w:val="100"/>
          <w:position w:val="0"/>
          <w:sz w:val="18"/>
          <w:szCs w:val="18"/>
        </w:rPr>
        <w:t>1）</w:t>
        <w:tab/>
      </w:r>
      <w:r>
        <w:rPr>
          <w:color w:val="000000"/>
          <w:spacing w:val="0"/>
          <w:w w:val="100"/>
          <w:position w:val="0"/>
        </w:rPr>
        <w:t>持续建设提升公司项目管理及实施交付水平</w:t>
      </w:r>
    </w:p>
    <w:p>
      <w:pPr>
        <w:pStyle w:val="Style2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根据项目合理配置团队，做好任务的规划及分解，建立标准化的快速实施能力，项目实施过程中加强项目精细化管理及 全流程管理，实现对项目从进入、交付到退出各个流程的有效监督。特别是针对近年来公司主要客户集中于大型综合医院集 团这一特点，一方面基于公司自身产品技术迭代升级、效能提升的需要，在项目端突出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产品设计+项目交付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整体规划及部 署实施能力，另一方面则根据疫情及政策升级之后各级医院对新一代医疗信息化产品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平台化、一体化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的需求更加迫切，以 市场、客户为中心调整市场策略，形成并持续完善重点项目的管理机制优化迭代，持续跟进项目的重大变动及后续处置。同 时，持续加大产品的研发力度，做好产品升级的统筹规划，深化提高产品的设计，同时做好项目经营维护，保证项目快速回 款，促使实现二次营销。</w:t>
      </w:r>
    </w:p>
    <w:p>
      <w:pPr>
        <w:pStyle w:val="Style26"/>
        <w:keepNext w:val="0"/>
        <w:keepLines w:val="0"/>
        <w:widowControl w:val="0"/>
        <w:shd w:val="clear" w:color="auto" w:fill="auto"/>
        <w:tabs>
          <w:tab w:pos="745" w:val="left"/>
        </w:tabs>
        <w:bidi w:val="0"/>
        <w:spacing w:before="0" w:after="0" w:line="322" w:lineRule="exact"/>
        <w:ind w:left="0" w:right="0" w:firstLine="360"/>
        <w:jc w:val="both"/>
      </w:pPr>
      <w:bookmarkStart w:id="245" w:name="bookmark245"/>
      <w:r>
        <w:rPr>
          <w:color w:val="000000"/>
          <w:spacing w:val="0"/>
          <w:w w:val="100"/>
          <w:position w:val="0"/>
          <w:sz w:val="18"/>
          <w:szCs w:val="18"/>
        </w:rPr>
        <w:t>（</w:t>
      </w:r>
      <w:bookmarkEnd w:id="245"/>
      <w:r>
        <w:rPr>
          <w:color w:val="000000"/>
          <w:spacing w:val="0"/>
          <w:w w:val="100"/>
          <w:position w:val="0"/>
          <w:sz w:val="18"/>
          <w:szCs w:val="18"/>
        </w:rPr>
        <w:t>2）</w:t>
        <w:tab/>
      </w:r>
      <w:r>
        <w:rPr>
          <w:color w:val="000000"/>
          <w:spacing w:val="0"/>
          <w:w w:val="100"/>
          <w:position w:val="0"/>
        </w:rPr>
        <w:t>持续提升公司管理水平，建设完善、灵活的管理机制</w:t>
      </w:r>
    </w:p>
    <w:p>
      <w:pPr>
        <w:pStyle w:val="Style26"/>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以资本为纽带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的中心化配置机制。上市公司向资本运作平台、资源整合平台、技术研发平台、人才培养平台方面 发展，逐步建立起战略性业务储备、技术代次开发演进以及系统化人才梯队，构建公司发展资源配置中心，形成智慧医疗领 域的平台效应。</w:t>
      </w:r>
    </w:p>
    <w:p>
      <w:pPr>
        <w:pStyle w:val="Style26"/>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以人才为根本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的多中心化运行机制。充分发挥优秀人才的创造性和自主性，通过以项目或市场设立合资公司或子 公司的模式给予优秀人才相对独立的发展平台和内部创业的机会，优胜劣汰，通过上市公司回购等使优秀创业者收获合理回 报。</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以技术为支撑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的去中心化共享机制。在公司内部打破技术研发、落地、使用的边界，通过合理设计激励机制和技 </w:t>
      </w:r>
      <w:r>
        <w:rPr>
          <w:color w:val="000000"/>
          <w:spacing w:val="0"/>
          <w:w w:val="100"/>
          <w:position w:val="0"/>
        </w:rPr>
        <w:t>术实施机制，使先进技术平滑演进并能快速复制，在公司内部形成技术共享、数据共享、收益共享的良好环境和氛围。</w:t>
      </w:r>
    </w:p>
    <w:p>
      <w:pPr>
        <w:pStyle w:val="Style26"/>
        <w:keepNext w:val="0"/>
        <w:keepLines w:val="0"/>
        <w:widowControl w:val="0"/>
        <w:shd w:val="clear" w:color="auto" w:fill="auto"/>
        <w:bidi w:val="0"/>
        <w:spacing w:before="0" w:after="0" w:line="314" w:lineRule="exact"/>
        <w:ind w:left="0" w:right="0"/>
        <w:jc w:val="both"/>
      </w:pPr>
      <w:bookmarkStart w:id="246" w:name="bookmark246"/>
      <w:r>
        <w:rPr>
          <w:color w:val="000000"/>
          <w:spacing w:val="0"/>
          <w:w w:val="100"/>
          <w:position w:val="0"/>
          <w:sz w:val="18"/>
          <w:szCs w:val="18"/>
        </w:rPr>
        <w:t>3</w:t>
      </w:r>
      <w:bookmarkEnd w:id="246"/>
      <w:r>
        <w:rPr>
          <w:color w:val="000000"/>
          <w:spacing w:val="0"/>
          <w:w w:val="100"/>
          <w:position w:val="0"/>
        </w:rPr>
        <w:t>、人力资源发展计划</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对于人才的持续关注和投入是公司坚定不移的核心策略之一。为确保该策略有效实施,公司将在以下方面进行重点推进：</w:t>
      </w:r>
    </w:p>
    <w:p>
      <w:pPr>
        <w:pStyle w:val="Style26"/>
        <w:keepNext w:val="0"/>
        <w:keepLines w:val="0"/>
        <w:widowControl w:val="0"/>
        <w:shd w:val="clear" w:color="auto" w:fill="auto"/>
        <w:bidi w:val="0"/>
        <w:spacing w:before="0" w:after="0" w:line="322" w:lineRule="exact"/>
        <w:ind w:left="0" w:right="0"/>
        <w:jc w:val="both"/>
      </w:pPr>
      <w:r>
        <w:rPr>
          <w:color w:val="000000"/>
          <w:spacing w:val="0"/>
          <w:w w:val="100"/>
          <w:position w:val="0"/>
        </w:rPr>
        <w:t>立足公司战略和长期发展需求，进行人力资源有效规划，结合长短期公司经营目标，针对性开展各类人员选用育留动作 及人力资源配置优化。</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在吸引更多外部优秀人才加盟的同时，加强公司组织团队建设，优化人才结构，实施优胜劣汰，持续打造公司组织竞争 力；构建和优化人才培养体系，将职级和任职资格体系作为人才衡量和发展的通道，通过加大各类专项培训和定向培养力度， 使员工获得成长助力，进而不断提升效能并作用于经营。</w:t>
      </w:r>
    </w:p>
    <w:p>
      <w:pPr>
        <w:pStyle w:val="Style26"/>
        <w:keepNext w:val="0"/>
        <w:keepLines w:val="0"/>
        <w:widowControl w:val="0"/>
        <w:shd w:val="clear" w:color="auto" w:fill="auto"/>
        <w:bidi w:val="0"/>
        <w:spacing w:before="0" w:after="360" w:line="314" w:lineRule="exact"/>
        <w:ind w:left="0" w:right="0"/>
        <w:jc w:val="both"/>
      </w:pPr>
      <w:r>
        <w:rPr>
          <w:color w:val="000000"/>
          <w:spacing w:val="0"/>
          <w:w w:val="100"/>
          <w:position w:val="0"/>
        </w:rPr>
        <w:t>持续迭代和优化激励体系，通过不断优化与考核体系相配套的奖金体系等各类激励手段，力求通过长短期结合的高效的 激励体系进一步激发人才活力、凝聚核心团队，同时充分激发人才价值，体现激励约束对等，进行人才公司双向赋能，综合 提升企业能力，通过建立完整的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战略-绩效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闭环，促进公司战略目标的实现。</w:t>
      </w:r>
    </w:p>
    <w:p>
      <w:pPr>
        <w:pStyle w:val="Style26"/>
        <w:keepNext w:val="0"/>
        <w:keepLines w:val="0"/>
        <w:widowControl w:val="0"/>
        <w:shd w:val="clear" w:color="auto" w:fill="auto"/>
        <w:bidi w:val="0"/>
        <w:spacing w:before="0" w:after="0" w:line="314" w:lineRule="exact"/>
        <w:ind w:left="0" w:right="0"/>
        <w:jc w:val="both"/>
      </w:pPr>
      <w:bookmarkStart w:id="247" w:name="bookmark247"/>
      <w:r>
        <w:rPr>
          <w:color w:val="000000"/>
          <w:spacing w:val="0"/>
          <w:w w:val="100"/>
          <w:position w:val="0"/>
        </w:rPr>
        <w:t>（</w:t>
      </w:r>
      <w:bookmarkEnd w:id="247"/>
      <w:r>
        <w:rPr>
          <w:color w:val="000000"/>
          <w:spacing w:val="0"/>
          <w:w w:val="100"/>
          <w:position w:val="0"/>
        </w:rPr>
        <w:t>三）可能面对的风险</w:t>
      </w:r>
    </w:p>
    <w:p>
      <w:pPr>
        <w:pStyle w:val="Style26"/>
        <w:keepNext w:val="0"/>
        <w:keepLines w:val="0"/>
        <w:widowControl w:val="0"/>
        <w:shd w:val="clear" w:color="auto" w:fill="auto"/>
        <w:tabs>
          <w:tab w:pos="654" w:val="left"/>
        </w:tabs>
        <w:bidi w:val="0"/>
        <w:spacing w:before="0" w:after="0" w:line="314" w:lineRule="exact"/>
        <w:ind w:left="0" w:right="0"/>
        <w:jc w:val="both"/>
      </w:pPr>
      <w:bookmarkStart w:id="248" w:name="bookmark248"/>
      <w:r>
        <w:rPr>
          <w:color w:val="000000"/>
          <w:spacing w:val="0"/>
          <w:w w:val="100"/>
          <w:position w:val="0"/>
          <w:sz w:val="18"/>
          <w:szCs w:val="18"/>
        </w:rPr>
        <w:t>1</w:t>
      </w:r>
      <w:bookmarkEnd w:id="248"/>
      <w:r>
        <w:rPr>
          <w:color w:val="000000"/>
          <w:spacing w:val="0"/>
          <w:w w:val="100"/>
          <w:position w:val="0"/>
        </w:rPr>
        <w:t>、</w:t>
        <w:tab/>
        <w:t>大型系统解决方案实施风险</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公司定位于基于核心软件系统的数字化医院解决方案提供商。随着公司业务的不断发展，公司逐步形成了涵盖信息系统 蓝图规划、基础信息设施建设、个性化软件开发、软硬件系统集成在内的较为完备的数字化医院整体解决方案。然而，完备 的整体解决方案同时意味着更为复杂的系统架构、更多环节的流程优化、更大规模的信息交互、更长的实施周期以及更大的 项目实施不确定性。在相对较长的实施周期中，公司始终面临重大项目因规划设计缺陷、关键技术开发失败、客户需求变更 等原因而无法如期完成的风险。公司目前业务规模较小，如果某个或多个重大项目出现实施风险，将会对公司当期经营业绩 产生重大不利影响。公司将不断增强研发和技术优势，坚持以产品适应项目需求为导向的研究策略，提升应对项目实施风险 的灵活度。</w:t>
      </w:r>
    </w:p>
    <w:p>
      <w:pPr>
        <w:pStyle w:val="Style26"/>
        <w:keepNext w:val="0"/>
        <w:keepLines w:val="0"/>
        <w:widowControl w:val="0"/>
        <w:shd w:val="clear" w:color="auto" w:fill="auto"/>
        <w:tabs>
          <w:tab w:pos="664" w:val="left"/>
        </w:tabs>
        <w:bidi w:val="0"/>
        <w:spacing w:before="0" w:after="0" w:line="314" w:lineRule="exact"/>
        <w:ind w:left="0" w:right="0"/>
        <w:jc w:val="both"/>
      </w:pPr>
      <w:bookmarkStart w:id="249" w:name="bookmark249"/>
      <w:r>
        <w:rPr>
          <w:color w:val="000000"/>
          <w:spacing w:val="0"/>
          <w:w w:val="100"/>
          <w:position w:val="0"/>
          <w:sz w:val="18"/>
          <w:szCs w:val="18"/>
        </w:rPr>
        <w:t>2</w:t>
      </w:r>
      <w:bookmarkEnd w:id="249"/>
      <w:r>
        <w:rPr>
          <w:color w:val="000000"/>
          <w:spacing w:val="0"/>
          <w:w w:val="100"/>
          <w:position w:val="0"/>
        </w:rPr>
        <w:t>、</w:t>
        <w:tab/>
        <w:t>行业竞争加剧带来的风险</w:t>
      </w:r>
    </w:p>
    <w:p>
      <w:pPr>
        <w:pStyle w:val="Style26"/>
        <w:keepNext w:val="0"/>
        <w:keepLines w:val="0"/>
        <w:widowControl w:val="0"/>
        <w:shd w:val="clear" w:color="auto" w:fill="auto"/>
        <w:bidi w:val="0"/>
        <w:spacing w:before="0" w:after="0" w:line="331" w:lineRule="exact"/>
        <w:ind w:left="0" w:right="0"/>
        <w:jc w:val="both"/>
      </w:pPr>
      <w:r>
        <w:rPr>
          <w:color w:val="000000"/>
          <w:spacing w:val="0"/>
          <w:w w:val="100"/>
          <w:position w:val="0"/>
        </w:rPr>
        <w:t>医疗信息化行业处于快速发展阶段，国内外市场参与者不断增加，竞争也将越来越激烈，鉴于行业广阔的发展前景和国 内资本市场的进一步开放，缺乏竞争力和核心优势的企业将会被市场淘汰。如果公司不能紧跟行业发展方向，提高公司的竞 争力和核心优势，将无法适应激烈的行业竞争。应对措施：公司需采取更加积极的经营管理措施，加大研发投入，密切跟踪 行业发展趋势和前沿创新技术，并积极关注行业竞争所带来的整合机遇，从而维持并加强公司在用户数量、用户粘性及技术 方面的核心竞争优势，促进公司持续健康发展。</w:t>
      </w:r>
    </w:p>
    <w:p>
      <w:pPr>
        <w:pStyle w:val="Style26"/>
        <w:keepNext w:val="0"/>
        <w:keepLines w:val="0"/>
        <w:widowControl w:val="0"/>
        <w:shd w:val="clear" w:color="auto" w:fill="auto"/>
        <w:tabs>
          <w:tab w:pos="664" w:val="left"/>
        </w:tabs>
        <w:bidi w:val="0"/>
        <w:spacing w:before="0" w:after="0" w:line="331" w:lineRule="exact"/>
        <w:ind w:left="0" w:right="0"/>
        <w:jc w:val="both"/>
      </w:pPr>
      <w:bookmarkStart w:id="250" w:name="bookmark250"/>
      <w:r>
        <w:rPr>
          <w:color w:val="000000"/>
          <w:spacing w:val="0"/>
          <w:w w:val="100"/>
          <w:position w:val="0"/>
          <w:sz w:val="18"/>
          <w:szCs w:val="18"/>
        </w:rPr>
        <w:t>3</w:t>
      </w:r>
      <w:bookmarkEnd w:id="250"/>
      <w:r>
        <w:rPr>
          <w:color w:val="000000"/>
          <w:spacing w:val="0"/>
          <w:w w:val="100"/>
          <w:position w:val="0"/>
        </w:rPr>
        <w:t>、</w:t>
        <w:tab/>
        <w:t>业务内容不断丰富带来的管理控制与毛利率波动风险</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随着公司技术水平的不断提高，数字化医院整体解决方案趋于完善，公司业务结构逐步由以电子病历为代表的临床医疗 信息管理系统发展到包括临床医疗管理信息系统和数字化场景应用方案的整体解决方案。业务的内涵和外延均有大幅提升。 业务内容的不断丰富对公司管理控制提出了更高要求，特别是数字化医院整体解决方案业务需借助预算管理、成本管理、 现场管理、进度管理等多种控制手段，管理控制难度较高。而公司对于上述各项管理制度尚不完善，执行相对不足，临床医 疗管理信息系统业务又相对依赖于项目现场实施团队的自我管理，公司适合大型项目的系统管理控制规范、预算及成本管理 等仍在不断改进。如果无法在短期内建立起完善的项目管理控制制度，并有效执行，公司可能面临项目管理控制不力的风险， 导致项目执行出现困难，进而影响公司经营业绩。随着公司整体解决方案业务的不断增加，公司综合毛利率可能出现下降， 从而影响公司的盈利能力。公司将建立健全内部控制和运营体系，积极探寻适合公司发展模式的治理结构，采取更加灵活 地市场竞争策略，提高市场竞争力。</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随着公司技术水平的不断提高，数字化医院整体解决方案趋于完善，公司业务结构逐步由以电子病历为代表的临床医疗 信息管理系统发展到包括临床医疗管理信息系统和数字化场景应用方案的整体解决方案。业务的内涵和外延均有大幅提升。 业务内容的不断丰富对公司管理控制提出了更高要求，特别是数字化医院整体解决方案业务需借助预算管理、成本管理、现 场管理、进度管理等多种控制手段，管理控制难度较高。而公司对于上述各项管理制度有待于进一步完善，临床医疗管理信 息系统业务又相对依赖于项目现场实施团队的自我管理，公司适合大型项目的系统管理控制规范、预算及成本管理等仍在 </w:t>
      </w:r>
      <w:r>
        <w:rPr>
          <w:color w:val="000000"/>
          <w:spacing w:val="0"/>
          <w:w w:val="100"/>
          <w:position w:val="0"/>
        </w:rPr>
        <w:t>不断改进。如果无法在短期内建立起完善的项目管理控制制度，并有效执行，公司可能面临项目管理控制不力的风险，导致 项目执行出现困难，进而影响公司经营业绩。随着公司整体解决方案业务的不断增加，公司综合毛利率可能出现下降，从而 影响公司的盈利能力。公司将建立健全内部控制和运营体系，积极探寻适。合公司发展模式的治理结构，采取更加灵活地市 场竞争策略，提高市场竞争力。</w:t>
      </w:r>
    </w:p>
    <w:p>
      <w:pPr>
        <w:pStyle w:val="Style26"/>
        <w:keepNext w:val="0"/>
        <w:keepLines w:val="0"/>
        <w:widowControl w:val="0"/>
        <w:shd w:val="clear" w:color="auto" w:fill="auto"/>
        <w:tabs>
          <w:tab w:pos="669" w:val="left"/>
        </w:tabs>
        <w:bidi w:val="0"/>
        <w:spacing w:before="0" w:after="0" w:line="313" w:lineRule="exact"/>
        <w:ind w:left="0" w:right="0"/>
        <w:jc w:val="both"/>
      </w:pPr>
      <w:bookmarkStart w:id="251" w:name="bookmark251"/>
      <w:r>
        <w:rPr>
          <w:color w:val="000000"/>
          <w:spacing w:val="0"/>
          <w:w w:val="100"/>
          <w:position w:val="0"/>
          <w:sz w:val="18"/>
          <w:szCs w:val="18"/>
        </w:rPr>
        <w:t>4</w:t>
      </w:r>
      <w:bookmarkEnd w:id="251"/>
      <w:r>
        <w:rPr>
          <w:color w:val="000000"/>
          <w:spacing w:val="0"/>
          <w:w w:val="100"/>
          <w:position w:val="0"/>
        </w:rPr>
        <w:t>、</w:t>
        <w:tab/>
        <w:t>技术与人才流失风险</w:t>
      </w:r>
    </w:p>
    <w:p>
      <w:pPr>
        <w:pStyle w:val="Style26"/>
        <w:keepNext w:val="0"/>
        <w:keepLines w:val="0"/>
        <w:widowControl w:val="0"/>
        <w:shd w:val="clear" w:color="auto" w:fill="auto"/>
        <w:bidi w:val="0"/>
        <w:spacing w:before="0" w:after="0" w:line="312" w:lineRule="exact"/>
        <w:ind w:left="0" w:right="0"/>
        <w:jc w:val="left"/>
      </w:pPr>
      <w:r>
        <w:rPr>
          <w:color w:val="000000"/>
          <w:spacing w:val="0"/>
          <w:w w:val="100"/>
          <w:position w:val="0"/>
        </w:rPr>
        <w:t>软件行业为技术密集型产业，技术领先为核心竞争力之一，稳定、高素质的人才团队对公司的发展壮大至关重要。然而， 相对于有形的硬件，软件技术保密难度较大，同时，由于我国知识产权保护体系尚不完善，使得软件行业技术流失风险较大。 当前，软件行业因技术团队离职而造成的技术流失情况较多。如果公司未来不能在发展前景、薪酬、福利、工作环境等方面 持续提供具有竞争力的待遇并建立良好的激励机制，可能会造成骨干技术团队流失，不仅影响公司的后续技术开发能力，也 会造成公司核心技术泄露的风险，从而对公司的持续发展造成负面影响。公司将通过对核心团队人员的持续培训来提升现有 人员的管理水平，并且根据经营发展需要引进多方面人才。同时完善公司薪酬和考核激励体系，维持核心技术团队的稳定并 提升公司对优秀人才的吸引力。</w:t>
      </w:r>
    </w:p>
    <w:p>
      <w:pPr>
        <w:pStyle w:val="Style26"/>
        <w:keepNext w:val="0"/>
        <w:keepLines w:val="0"/>
        <w:widowControl w:val="0"/>
        <w:shd w:val="clear" w:color="auto" w:fill="auto"/>
        <w:tabs>
          <w:tab w:pos="669" w:val="left"/>
        </w:tabs>
        <w:bidi w:val="0"/>
        <w:spacing w:before="0" w:after="0" w:line="313" w:lineRule="exact"/>
        <w:ind w:left="0" w:right="0"/>
        <w:jc w:val="both"/>
      </w:pPr>
      <w:bookmarkStart w:id="252" w:name="bookmark252"/>
      <w:r>
        <w:rPr>
          <w:color w:val="000000"/>
          <w:spacing w:val="0"/>
          <w:w w:val="100"/>
          <w:position w:val="0"/>
          <w:sz w:val="18"/>
          <w:szCs w:val="18"/>
        </w:rPr>
        <w:t>5</w:t>
      </w:r>
      <w:bookmarkEnd w:id="252"/>
      <w:r>
        <w:rPr>
          <w:color w:val="000000"/>
          <w:spacing w:val="0"/>
          <w:w w:val="100"/>
          <w:position w:val="0"/>
        </w:rPr>
        <w:t>、</w:t>
        <w:tab/>
        <w:t>其他突发性风险</w:t>
      </w:r>
    </w:p>
    <w:p>
      <w:pPr>
        <w:pStyle w:val="Style26"/>
        <w:keepNext w:val="0"/>
        <w:keepLines w:val="0"/>
        <w:widowControl w:val="0"/>
        <w:shd w:val="clear" w:color="auto" w:fill="auto"/>
        <w:bidi w:val="0"/>
        <w:spacing w:before="0" w:after="680" w:line="313" w:lineRule="exact"/>
        <w:ind w:left="0" w:right="0" w:firstLine="0"/>
        <w:jc w:val="left"/>
      </w:pPr>
      <w:r>
        <w:rPr>
          <w:color w:val="000000"/>
          <w:spacing w:val="0"/>
          <w:w w:val="100"/>
          <w:position w:val="0"/>
        </w:rPr>
        <w:t>例如新冠肺炎疫情导致全国企业不同程度的延迟复工、应收账款增多等，对整个产业经济都有一定的影响。公司日常经营面 临流动性风险、国家政策变化、重大突发事件等多种宏观不可抗风险，公司作为智慧医疗领域的科技型企业，一方面提升项 目方案规划及风险规避预案的顶层设计，同时持续强化公司在项目快速交付、实施方面的专业能力；另一方面通过募集资金、 完善成本控制等方面举措提高公司的抗风险能力、财务安全水平及灵活性，为公司进一步发展提供资金保障，从而提升公司 竞争力及持续盈利能力。</w:t>
      </w:r>
    </w:p>
    <w:p>
      <w:pPr>
        <w:pStyle w:val="Style22"/>
        <w:keepNext/>
        <w:keepLines/>
        <w:widowControl w:val="0"/>
        <w:shd w:val="clear" w:color="auto" w:fill="auto"/>
        <w:bidi w:val="0"/>
        <w:spacing w:before="0" w:line="240" w:lineRule="auto"/>
        <w:ind w:left="0" w:right="0" w:firstLine="0"/>
        <w:jc w:val="left"/>
      </w:pPr>
      <w:bookmarkStart w:id="253" w:name="bookmark253"/>
      <w:bookmarkStart w:id="254" w:name="bookmark254"/>
      <w:bookmarkStart w:id="255" w:name="bookmark255"/>
      <w:r>
        <w:rPr>
          <w:color w:val="000000"/>
          <w:spacing w:val="0"/>
          <w:w w:val="100"/>
          <w:position w:val="0"/>
          <w:sz w:val="24"/>
          <w:szCs w:val="24"/>
        </w:rPr>
        <w:t>十、接待调研、沟通、采访等活动登记表</w:t>
      </w:r>
      <w:bookmarkEnd w:id="253"/>
      <w:bookmarkEnd w:id="254"/>
      <w:bookmarkEnd w:id="255"/>
    </w:p>
    <w:p>
      <w:pPr>
        <w:pStyle w:val="Style30"/>
        <w:keepNext/>
        <w:keepLines/>
        <w:widowControl w:val="0"/>
        <w:shd w:val="clear" w:color="auto" w:fill="auto"/>
        <w:bidi w:val="0"/>
        <w:spacing w:before="0" w:line="240" w:lineRule="auto"/>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、报告期内接待调研、沟通、采访等活动登记表</w:t>
      </w:r>
      <w:bookmarkEnd w:id="256"/>
      <w:bookmarkEnd w:id="257"/>
      <w:bookmarkEnd w:id="259"/>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1296"/>
        <w:gridCol w:w="1296"/>
        <w:gridCol w:w="1296"/>
        <w:gridCol w:w="1291"/>
        <w:gridCol w:w="181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个人投资者通 过网络远程方 式提问，公司主 要对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 业绩情况进行 解答。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日投资者关 系活动记录》</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个人投资者通 过网络远程方 式提问，公司对 投资者的提问 进行解答。投资 者主要提问公 司经营情况。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日投资者关 系活动记录》</w:t>
            </w:r>
          </w:p>
        </w:tc>
      </w:tr>
    </w:tbl>
    <w:p>
      <w:pPr>
        <w:pStyle w:val="Style13"/>
        <w:keepNext/>
        <w:keepLines/>
        <w:widowControl w:val="0"/>
        <w:shd w:val="clear" w:color="auto" w:fill="auto"/>
        <w:bidi w:val="0"/>
        <w:spacing w:before="0" w:after="520" w:line="240" w:lineRule="auto"/>
        <w:ind w:left="0" w:right="0" w:firstLine="0"/>
        <w:jc w:val="center"/>
      </w:pPr>
      <w:bookmarkStart w:id="260" w:name="bookmark260"/>
      <w:bookmarkStart w:id="261" w:name="bookmark261"/>
      <w:bookmarkStart w:id="262" w:name="bookmark262"/>
      <w:r>
        <w:rPr>
          <w:color w:val="000000"/>
          <w:spacing w:val="0"/>
          <w:w w:val="100"/>
          <w:position w:val="0"/>
        </w:rPr>
        <w:t>第五节重要事项</w:t>
      </w:r>
      <w:bookmarkEnd w:id="260"/>
      <w:bookmarkEnd w:id="261"/>
      <w:bookmarkEnd w:id="262"/>
    </w:p>
    <w:p>
      <w:pPr>
        <w:pStyle w:val="Style22"/>
        <w:keepNext/>
        <w:keepLines/>
        <w:widowControl w:val="0"/>
        <w:shd w:val="clear" w:color="auto" w:fill="auto"/>
        <w:bidi w:val="0"/>
        <w:spacing w:before="0" w:after="380" w:line="240" w:lineRule="auto"/>
        <w:ind w:left="0" w:right="0" w:firstLine="0"/>
        <w:jc w:val="left"/>
      </w:pPr>
      <w:bookmarkStart w:id="263" w:name="bookmark263"/>
      <w:bookmarkStart w:id="264" w:name="bookmark264"/>
      <w:bookmarkStart w:id="265" w:name="bookmark265"/>
      <w:bookmarkStart w:id="266" w:name="bookmark266"/>
      <w:bookmarkStart w:id="267" w:name="bookmark267"/>
      <w:r>
        <w:rPr>
          <w:color w:val="000000"/>
          <w:spacing w:val="0"/>
          <w:w w:val="100"/>
          <w:position w:val="0"/>
          <w:sz w:val="24"/>
          <w:szCs w:val="24"/>
        </w:rPr>
        <w:t>一</w:t>
      </w:r>
      <w:bookmarkEnd w:id="266"/>
      <w:r>
        <w:rPr>
          <w:color w:val="000000"/>
          <w:spacing w:val="0"/>
          <w:w w:val="100"/>
          <w:position w:val="0"/>
          <w:sz w:val="24"/>
          <w:szCs w:val="24"/>
        </w:rPr>
        <w:t>、公司普通股利润分配及资本公积金转增股本情况</w:t>
      </w:r>
      <w:bookmarkEnd w:id="264"/>
      <w:bookmarkEnd w:id="265"/>
      <w:bookmarkEnd w:id="267"/>
      <w:bookmarkEnd w:id="26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189,282,458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6,624,886.03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6,624,886.03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199,896,285.06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公司发展阶段不易区分但有重大资金支出安排的，进行利润分配时，现金分红在本次利润分配中所占比例最低应达到</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968"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经天健会计师事务所（特殊普通合伙）审计，公司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年度实现归属于母公司股东的净利润为</w:t>
            </w:r>
            <w:r>
              <w:rPr>
                <w:rFonts w:ascii="Times New Roman" w:eastAsia="Times New Roman" w:hAnsi="Times New Roman" w:cs="Times New Roman"/>
                <w:color w:val="000000"/>
                <w:spacing w:val="0"/>
                <w:w w:val="100"/>
                <w:position w:val="0"/>
                <w:sz w:val="18"/>
                <w:szCs w:val="18"/>
              </w:rPr>
              <w:t>43,142,792.75</w:t>
            </w:r>
            <w:r>
              <w:rPr>
                <w:color w:val="000000"/>
                <w:spacing w:val="0"/>
                <w:w w:val="100"/>
                <w:position w:val="0"/>
              </w:rPr>
              <w:t>元，根据 《公司章程》规定，按照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5,519,440.13</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日，公司累计未分配利润为</w:t>
            </w:r>
            <w:r>
              <w:rPr>
                <w:rFonts w:ascii="Times New Roman" w:eastAsia="Times New Roman" w:hAnsi="Times New Roman" w:cs="Times New Roman"/>
                <w:color w:val="000000"/>
                <w:spacing w:val="0"/>
                <w:w w:val="100"/>
                <w:position w:val="0"/>
                <w:sz w:val="18"/>
                <w:szCs w:val="18"/>
              </w:rPr>
              <w:t>199,896,285.06</w:t>
            </w:r>
            <w:r>
              <w:rPr>
                <w:color w:val="000000"/>
                <w:spacing w:val="0"/>
                <w:w w:val="100"/>
                <w:position w:val="0"/>
              </w:rPr>
              <w:t>元。公司本年度进行利润分配，以未来实施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年年度权益分配方案时 股权登记日享有利润分配、公积金转增股本权利的总股本为基数，向全体股东每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0.35</w:t>
            </w:r>
            <w:r>
              <w:rPr>
                <w:color w:val="000000"/>
                <w:spacing w:val="0"/>
                <w:w w:val="100"/>
                <w:position w:val="0"/>
              </w:rPr>
              <w:t>元（含税）、 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股、不送红股。若利润分配方案实施完毕前，公司股本发生变动，公司将维持每股分配比 例不变，相应调整分配总额。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2018</w:t>
      </w:r>
      <w:r>
        <w:rPr>
          <w:color w:val="000000"/>
          <w:spacing w:val="0"/>
          <w:w w:val="100"/>
          <w:position w:val="0"/>
        </w:rPr>
        <w:t>年利润分配方案：以实施</w:t>
      </w:r>
      <w:r>
        <w:rPr>
          <w:color w:val="000000"/>
          <w:spacing w:val="0"/>
          <w:w w:val="100"/>
          <w:position w:val="0"/>
          <w:sz w:val="18"/>
          <w:szCs w:val="18"/>
        </w:rPr>
        <w:t>2018</w:t>
      </w:r>
      <w:r>
        <w:rPr>
          <w:color w:val="000000"/>
          <w:spacing w:val="0"/>
          <w:w w:val="100"/>
          <w:position w:val="0"/>
        </w:rPr>
        <w:t>年年度权益分配方案时股权登记日享有利润分配、公积金转增股本权利的总股本为基数, 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0.75</w:t>
      </w:r>
      <w:r>
        <w:rPr>
          <w:color w:val="000000"/>
          <w:spacing w:val="0"/>
          <w:w w:val="100"/>
          <w:position w:val="0"/>
        </w:rPr>
        <w:t>元（含税）、以资本公积转增</w:t>
      </w:r>
      <w:r>
        <w:rPr>
          <w:color w:val="000000"/>
          <w:spacing w:val="0"/>
          <w:w w:val="100"/>
          <w:position w:val="0"/>
          <w:sz w:val="18"/>
          <w:szCs w:val="18"/>
        </w:rPr>
        <w:t>4</w:t>
      </w:r>
      <w:r>
        <w:rPr>
          <w:color w:val="000000"/>
          <w:spacing w:val="0"/>
          <w:w w:val="100"/>
          <w:position w:val="0"/>
        </w:rPr>
        <w:t>股、不送红股。若利润分配方案实施完毕前，公司股本 发生变化，将按照现金红利分配总额不变的原则进行调整。</w:t>
      </w:r>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sz w:val="18"/>
          <w:szCs w:val="18"/>
        </w:rPr>
        <w:t>2019</w:t>
      </w:r>
      <w:r>
        <w:rPr>
          <w:color w:val="000000"/>
          <w:spacing w:val="0"/>
          <w:w w:val="100"/>
          <w:position w:val="0"/>
        </w:rPr>
        <w:t>年利润分配方案：以实施</w:t>
      </w:r>
      <w:r>
        <w:rPr>
          <w:color w:val="000000"/>
          <w:spacing w:val="0"/>
          <w:w w:val="100"/>
          <w:position w:val="0"/>
          <w:sz w:val="18"/>
          <w:szCs w:val="18"/>
        </w:rPr>
        <w:t>2019</w:t>
      </w:r>
      <w:r>
        <w:rPr>
          <w:color w:val="000000"/>
          <w:spacing w:val="0"/>
          <w:w w:val="100"/>
          <w:position w:val="0"/>
        </w:rPr>
        <w:t>年年度权益分配方案时股权登记日享有利润分配、公积金转增股本权利的总股本为基数, 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0.55</w:t>
      </w:r>
      <w:r>
        <w:rPr>
          <w:color w:val="000000"/>
          <w:spacing w:val="0"/>
          <w:w w:val="100"/>
          <w:position w:val="0"/>
        </w:rPr>
        <w:t>元（含税）、以资本公积转增</w:t>
      </w:r>
      <w:r>
        <w:rPr>
          <w:color w:val="000000"/>
          <w:spacing w:val="0"/>
          <w:w w:val="100"/>
          <w:position w:val="0"/>
          <w:sz w:val="18"/>
          <w:szCs w:val="18"/>
        </w:rPr>
        <w:t>4</w:t>
      </w:r>
      <w:r>
        <w:rPr>
          <w:color w:val="000000"/>
          <w:spacing w:val="0"/>
          <w:w w:val="100"/>
          <w:position w:val="0"/>
        </w:rPr>
        <w:t>股、不送红股。若利润分配方案实施完毕前，公司股本 发生变化，公司将维持每股分配比例不变，相应调整分配总额。</w:t>
      </w:r>
      <w:r>
        <w:br w:type="page"/>
      </w:r>
    </w:p>
    <w:p>
      <w:pPr>
        <w:pStyle w:val="Style26"/>
        <w:keepNext w:val="0"/>
        <w:keepLines w:val="0"/>
        <w:widowControl w:val="0"/>
        <w:shd w:val="clear" w:color="auto" w:fill="auto"/>
        <w:bidi w:val="0"/>
        <w:spacing w:before="0" w:after="160" w:line="328" w:lineRule="exact"/>
        <w:ind w:left="0" w:right="0" w:firstLine="0"/>
        <w:jc w:val="left"/>
      </w:pPr>
      <w:r>
        <w:rPr>
          <w:color w:val="000000"/>
          <w:spacing w:val="0"/>
          <w:w w:val="100"/>
          <w:position w:val="0"/>
          <w:sz w:val="18"/>
          <w:szCs w:val="18"/>
        </w:rPr>
        <w:t>2020</w:t>
      </w:r>
      <w:r>
        <w:rPr>
          <w:color w:val="000000"/>
          <w:spacing w:val="0"/>
          <w:w w:val="100"/>
          <w:position w:val="0"/>
        </w:rPr>
        <w:t>年利润分配预案：以未来实施</w:t>
      </w:r>
      <w:r>
        <w:rPr>
          <w:color w:val="000000"/>
          <w:spacing w:val="0"/>
          <w:w w:val="100"/>
          <w:position w:val="0"/>
          <w:sz w:val="18"/>
          <w:szCs w:val="18"/>
        </w:rPr>
        <w:t>2020</w:t>
      </w:r>
      <w:r>
        <w:rPr>
          <w:color w:val="000000"/>
          <w:spacing w:val="0"/>
          <w:w w:val="100"/>
          <w:position w:val="0"/>
        </w:rPr>
        <w:t>年年度权益分配方案时股权登记日享有利润分配、公积金转增股本权利的总股本为 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0.35</w:t>
      </w:r>
      <w:r>
        <w:rPr>
          <w:color w:val="000000"/>
          <w:spacing w:val="0"/>
          <w:w w:val="100"/>
          <w:position w:val="0"/>
        </w:rPr>
        <w:t>元（含税）、以资本公积金每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w:t>
      </w:r>
      <w:r>
        <w:rPr>
          <w:color w:val="000000"/>
          <w:spacing w:val="0"/>
          <w:w w:val="100"/>
          <w:position w:val="0"/>
        </w:rPr>
        <w:t>股、不送红股。若利润分配方案实施完 毕前，公司股本发生变动，公司将维持每股分配比例不变，相应调整分配总额。上述利润分配预案尚待股东大会审议批准。 公司近三年（包括本报告期）普通股现金分红情况表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6,624,886.03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43,142,792.75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6,624,886.03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6,445,477.50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41,234,827.65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6,445,477.50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6,284,250.00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40,444,026.83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6,284,250.00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15.54%</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二</w:t>
      </w:r>
      <w:bookmarkEnd w:id="270"/>
      <w:r>
        <w:rPr>
          <w:color w:val="000000"/>
          <w:spacing w:val="0"/>
          <w:w w:val="100"/>
          <w:position w:val="0"/>
          <w:sz w:val="24"/>
          <w:szCs w:val="24"/>
        </w:rPr>
        <w:t>、承诺事项履行情况</w:t>
      </w:r>
      <w:bookmarkEnd w:id="268"/>
      <w:bookmarkEnd w:id="269"/>
      <w:bookmarkEnd w:id="271"/>
    </w:p>
    <w:p>
      <w:pPr>
        <w:pStyle w:val="Style30"/>
        <w:keepNext/>
        <w:keepLines/>
        <w:widowControl w:val="0"/>
        <w:shd w:val="clear" w:color="auto" w:fill="auto"/>
        <w:bidi w:val="0"/>
        <w:spacing w:before="0" w:line="322" w:lineRule="exact"/>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、公司实际控制人、股东、关联方、收购人以及公司等承诺相关方在报告期内履行完毕及截至报告期末 尚未履行完毕的承诺事项</w:t>
      </w:r>
      <w:bookmarkEnd w:id="272"/>
      <w:bookmarkEnd w:id="273"/>
      <w:bookmarkEnd w:id="275"/>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杭州磐鸿投 资管理合伙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杭州磐源 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杨一 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杨依敏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 香叶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 上市之日起 三十六个月 内，不转让或 者委托他人 管理其直接 或间接持有 的公司本次 发行前已发 行的股份，也 不由公司回 购其直接或 间接持有的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right"/>
        <w:tblLayout w:type="fixed"/>
      </w:tblPr>
      <w:tblGrid>
        <w:gridCol w:w="1128"/>
        <w:gridCol w:w="1128"/>
        <w:gridCol w:w="1123"/>
        <w:gridCol w:w="1128"/>
        <w:gridCol w:w="1123"/>
        <w:gridCol w:w="1099"/>
      </w:tblGrid>
      <w:tr>
        <w:trPr>
          <w:trHeight w:val="9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公司本次发 行前已发行 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北京盛景财 富投资管理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傅 烈勇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昆山雷 石雨花股权 投资合伙企 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青岛金石 灏汭投资有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 雷石瑞丰股 权投资合伙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自公司股票 上市之日起 十二个月内， 不转让或者 委托他人管 理本人直接 或间接持有 的公司本次 发行前已发 行的股份，也 不由公司回 购其间接持 有的公司本 次发行前已 发行的股份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81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曹健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冯忆文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傅烈勇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沈红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夏红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 一兵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张雪峰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章逸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孙霆；任 洪明；姚建民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在控股股东 增持股份措 施、公司回购 股份措施实 施后，仍出现 公司股票连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 低于公司最 近一期末每 股净资产的 情形，公司董 事、高级管理 人员应于出 现上述情形 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日内（如期间 存在</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个交 易日限制董 事、高级管理 人员买卖股 票，则董事、 高级管理人 员应于出现 上述情形之 日起</w:t>
            </w:r>
            <w:r>
              <w:rPr>
                <w:rFonts w:ascii="Times New Roman" w:eastAsia="Times New Roman" w:hAnsi="Times New Roman" w:cs="Times New Roman"/>
                <w:color w:val="000000"/>
                <w:spacing w:val="0"/>
                <w:w w:val="100"/>
                <w:position w:val="0"/>
                <w:sz w:val="18"/>
                <w:szCs w:val="18"/>
              </w:rPr>
              <w:t>20+N</w:t>
            </w: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ectPr>
          <w:footnotePr>
            <w:pos w:val="pageBottom"/>
            <w:numFmt w:val="decimal"/>
            <w:numRestart w:val="continuous"/>
          </w:footnotePr>
          <w:pgSz w:w="11900" w:h="16840"/>
          <w:pgMar w:top="1359" w:right="991" w:bottom="1431" w:left="1021" w:header="0" w:footer="3" w:gutter="0"/>
          <w:cols w:space="720"/>
          <w:noEndnote/>
          <w:rtlGutter w:val="0"/>
          <w:docGrid w:linePitch="360"/>
        </w:sectPr>
      </w:pPr>
    </w:p>
    <w:tbl>
      <w:tblPr>
        <w:tblOverlap w:val="never"/>
        <w:jc w:val="center"/>
        <w:tblLayout w:type="fixed"/>
      </w:tblPr>
      <w:tblGrid>
        <w:gridCol w:w="1128"/>
        <w:gridCol w:w="1128"/>
        <w:gridCol w:w="1123"/>
        <w:gridCol w:w="1128"/>
        <w:gridCol w:w="1123"/>
        <w:gridCol w:w="1114"/>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交易日内）， 向公司送达 增持通知书， 增持通知书 应包括增持 股份数量、增 持价格确定 方式、增持期 限、增持目标 及其他有关 增持的内容， 其累计增持 资金额不低 于其上一年 度自公司处 取得的税后 工资总额的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，但公司 股票收盘价 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 易日高于最 近一期经审 计的每股净 资产，则董 事、高级管理 人员可中止 实施增持计 划。公司股票 上市后每年 度，公司董 事、高级管理 人员因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触发 稳定股价义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而增持公 司股票的累 计投入金额 不超过其上 一年度自公 司处取得的 税后工资总 额的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。公 司董事、高级 管理人员因 其他原因自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28"/>
        <w:gridCol w:w="1128"/>
        <w:gridCol w:w="1123"/>
        <w:gridCol w:w="1128"/>
        <w:gridCol w:w="1123"/>
        <w:gridCol w:w="111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愿增持公司 股票的，不受 本条款限制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杭州磐鸿投 资管理合伙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杭州磐源 投资有限公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东磐源投资、 实际控制人 杨一兵及杨 波、公司股东 磐鸿投资、公 司董事及高 级管理人员 傅烈勇承诺， 其直接或间 接持有的公 司股票在锁 定期届满后 两年内减持 的，其减持价 格不低于本 次发行并上 市时公司股 票的发行价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（如发行人 发生分红、派 息、送股、资 本公积金转 增股本等除 权除息事项， 须按照有关 规定做复权 处理）；公司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内如公司股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 盘价均低于 发行价，或者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期末（如该日 不是交易日， 则该日后第 一个交易日） 收盘价低于 发行价，其直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履行中，截止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日，公司控 股股东磐源 投资在实施 减持计划时， 因计算错误 出现减持数 量超出了承 诺“股份锁定 期满后两年 内，每</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 月内转让的 股份将不超 过直接或间 接持有公司 股份总数的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”，超出数 量约为 </w:t>
            </w:r>
            <w:r>
              <w:rPr>
                <w:rFonts w:ascii="Times New Roman" w:eastAsia="Times New Roman" w:hAnsi="Times New Roman" w:cs="Times New Roman"/>
                <w:color w:val="000000"/>
                <w:spacing w:val="0"/>
                <w:w w:val="100"/>
                <w:position w:val="0"/>
                <w:sz w:val="18"/>
                <w:szCs w:val="18"/>
              </w:rPr>
              <w:t xml:space="preserve">35,160 </w:t>
            </w:r>
            <w:r>
              <w:rPr>
                <w:color w:val="000000"/>
                <w:spacing w:val="0"/>
                <w:w w:val="100"/>
                <w:position w:val="0"/>
              </w:rPr>
              <w:t>股。磐 源投资事后 积极进行了 整改，向广大 投资者表示 歉意。</w:t>
            </w:r>
          </w:p>
        </w:tc>
      </w:tr>
    </w:tbl>
    <w:p>
      <w:pPr>
        <w:spacing w:lineRule="exact" w:line="1"/>
        <w:rPr>
          <w:sz w:val="2"/>
          <w:szCs w:val="2"/>
        </w:rPr>
      </w:pPr>
      <w:r>
        <w:br w:type="page"/>
      </w:r>
    </w:p>
    <w:tbl>
      <w:tblPr>
        <w:tblOverlap w:val="never"/>
        <w:jc w:val="center"/>
        <w:tblLayout w:type="fixed"/>
      </w:tblPr>
      <w:tblGrid>
        <w:gridCol w:w="1128"/>
        <w:gridCol w:w="1128"/>
        <w:gridCol w:w="1123"/>
        <w:gridCol w:w="1128"/>
        <w:gridCol w:w="1123"/>
        <w:gridCol w:w="1114"/>
      </w:tblGrid>
      <w:tr>
        <w:trPr>
          <w:trHeight w:val="112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接或间接持 有的公司股 票的锁定期 限将自动延 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个月。承 诺股份锁定 期满后两年 内，其每</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个月内转让 的股份将不 超过其直接 或间接持有 公司股份总 数的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,并 将提前三个 交易日公告 减持计划，在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个月内完 成。减持价格 不低于发行 人首次公开 发行价格（如 因派发现金 红利、送股、 转增股本、增 发新股等原 因进行除权、 除息的，须按 照有关规定 做复权处 理）。减持股 份时将遵守 相关法律法 规及深圳证 券交易所规 则等要求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青岛金石灏 汭投资有限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武汉雷 石瑞丰股权 投资合伙企 业（有限合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承诺股份锁 定期满后两 年内，其减持 比例最高可 至其持有公 司股份总数 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，并 将提前三个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28"/>
        <w:gridCol w:w="1128"/>
        <w:gridCol w:w="1123"/>
        <w:gridCol w:w="1128"/>
        <w:gridCol w:w="1123"/>
        <w:gridCol w:w="1114"/>
      </w:tblGrid>
      <w:tr>
        <w:trPr>
          <w:trHeight w:val="722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交易日公告 减持计划，在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个月内完 成。减持价格 不低于发行 人最近一期 经审计后的 每股净资产</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（如因派发 现金红利、送 股、转增股 本、增发新股 等原因进行 除权、除息 的，须按照有 关规定做复 权处理）。减 持股份时将 遵守相关法 律法规及深 圳证券交易 所规则等要 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浙江和仁科 技股份有限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股份回购承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如公司控股 股东于触发 稳定股价义 务之日起</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个交易日内 未向公司送 达增持通知 书或未按披 露的增持计 划实施，公司 董事会应于 确认前述事 项之日起</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个交易日内 公告回购公 司股份的预 案，回购预案 包括但不限 于回购股份 数量、回购价 格区间、回购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28"/>
        <w:gridCol w:w="1128"/>
        <w:gridCol w:w="1123"/>
        <w:gridCol w:w="1128"/>
        <w:gridCol w:w="1123"/>
        <w:gridCol w:w="1114"/>
      </w:tblGrid>
      <w:tr>
        <w:trPr>
          <w:trHeight w:val="134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资金来源、回 购对公司股 价及公司经 营的影响等 内容。公司应 于触发回购 义务起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内以不少于 人民币</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万元的资金 回购公司股 份，但股票收 盘价连续</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个交易日高 于最近一期 经审计的每 股净资产，则 公司可中止 回购股份计 划。公司股票 上市后每</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个月内，公司 因''触发稳定 股价义务''而 回购公司股 票的累计投 入金额不超 过人民币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 用于回购股 份的资金从 回购当年起 分配给公司 控股股东的 分红款项中 扣除，直至收 回回购股份 的全部资金。 如控股股东 已履行增持 义务，则公司 不再实施回 购股份措施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浙江和仁科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（一）利润分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28"/>
        <w:gridCol w:w="1128"/>
        <w:gridCol w:w="1123"/>
        <w:gridCol w:w="1128"/>
        <w:gridCol w:w="1123"/>
        <w:gridCol w:w="1114"/>
      </w:tblGrid>
      <w:tr>
        <w:trPr>
          <w:trHeight w:val="1375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技股份有限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配政策的宗 旨和原则公 司实行连续、 稳定的利润 分配政策，公 司利润分配 应重视对投 资者的合理 投资回报并 兼顾公司的 可持续发展， 并坚持如下 原则：</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 法定顺序分 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、存在 未弥补亏损， 不得向股东 分配利润；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同股同权、同 股同利；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公司持有的 本公司股份 不得参与分 配利润；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优先采取现 金分红的利 润分配方式；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、充分听取 和考虑中小 股东的意见 和要求。（二） 利润分配政 策公司可以 采取现金、股 票或现金与 股票相结合 的方式分配 利润。利润分 配不得超过 累计可分配 利润的范围， 不得损害公 司持续经营 能力。公司可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28"/>
        <w:gridCol w:w="1128"/>
        <w:gridCol w:w="1123"/>
        <w:gridCol w:w="1128"/>
        <w:gridCol w:w="1123"/>
        <w:gridCol w:w="1114"/>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以进行中期 现金分红。公 司主要采取 现金分红的 股利分配政 策，即公司当 年度实现盈 利，在依法提 取法定公积 金、任意公积 金后进行现 金分红；若公 司营收增长 快速，并且董 事会认为公 司股票价格 与公司股本 规模不匹配 时，可以在满 足上述现金 股利分配之 余，提出并实 施股票股利 分配预案。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配的条件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现金分红的 比例：在满足 公司正常生 产经营的资 金需求情况 下，如公司外 部经营环境 和经营状况 未发生重大 不利变化，公 司每年以现 金形式分配 的利润应当 不少于当年 实现的可分 配利润的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、在满 足公司正常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28"/>
        <w:gridCol w:w="1128"/>
        <w:gridCol w:w="1123"/>
        <w:gridCol w:w="1128"/>
        <w:gridCol w:w="1123"/>
        <w:gridCol w:w="1114"/>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生产经营的 资金需求情 况下，公司实 施差异化现 金分红政策：</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）公司发 展阶段属成 熟期且无重 大资本支出 安排的，进行 利润分配时， 现金分红在 本次利润分 配中所占比 例最低应达 到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公司发展阶 段属成熟期 且有重大资 本支出安排 的，进行利润 分配时，现金 分红在本次 利润分配中 所占比例应 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）公司发 展阶段属成 长期且有重 大资本支出 安排的，进行 利润分配时， 现金分红在 本次利润分 配中所占比 例最低应达 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。公司 发展阶段不 易区分但有 重大资本支 出安排的，可 以按照前款 规定处理。股 东大会授权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28"/>
        <w:gridCol w:w="1128"/>
        <w:gridCol w:w="1123"/>
        <w:gridCol w:w="1128"/>
        <w:gridCol w:w="1123"/>
        <w:gridCol w:w="1114"/>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董事会每年 在综合考虑 公司所处行 业特点、发展 阶段、自身经 营模式、盈利 水平以及是 否有重大资 产支出安排 等因素，根据 上述原则提 出当年利润 分配方案。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杭州磐鸿投 资管理合伙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杭州磐源 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杨一 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、承诺方及 其控股、参股 企业不以任 何形式从事 或参与对公 司主营业务 构成或可能 构成直接或 间接竞争关 系的业务，即 不在任何时 间、任何地方 以任何方式</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（包括但不 限于投资、收 购、合营、联 营、承包、租 赁经营或其 他拥有股份、 权益方式）从 事对公司主 营业务构成 或可能构成 直接或间接 竞争关系的 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 诺方及其控 股、参股企业 知悉其拟开 展的某项业 务中存在对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28"/>
        <w:gridCol w:w="1128"/>
        <w:gridCol w:w="1123"/>
        <w:gridCol w:w="1128"/>
        <w:gridCol w:w="1123"/>
        <w:gridCol w:w="1114"/>
      </w:tblGrid>
      <w:tr>
        <w:trPr>
          <w:trHeight w:val="125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公司主营业 务构成或可 能构成直接 或间接竞争 的情形，承诺 方及其控股、 参股企业将 立即并毫无 保留的将该 项业务情况 书面通知公 司，同时尽力 促使公司对 该项业务拥 有优先权，除 非公司明确 表示放弃该 项业务；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如出现承诺 方及其控股、 参股企业从 事、参与或投 资与公司主 营业务构成 或可能构成 直接或间接 竞争关系的 业务或项目 的情形，公司 有权要求承 诺方及其控 股、参股企业 停止上述竞 争业务，或停 止投资相关 企业或项目， 并有权优先 收购相关业 务或项目资 产、投资权益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杭州磐源投 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公司股票发 行上市后三 年内出现公 司股票连续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28"/>
        <w:gridCol w:w="1128"/>
        <w:gridCol w:w="1123"/>
        <w:gridCol w:w="1128"/>
        <w:gridCol w:w="1123"/>
        <w:gridCol w:w="1114"/>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 的收盘价低 于最近一期 每股净资产 的情况，且满 足监管机构 对于回购、增 持公司股份 等行为的规 定，则触发公 司公司控股 股东履行稳 定公司股价 的义务（以下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触发稳 定股价义务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。于触发稳 定股价义务 之日起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交易日内，通 过增持公司 股份的方式 以稳定公司 股价，并向公 司送达增持 公司股票书 面通知，增持 通知书应包 括增持股份 数量、增持价 格、增持期 限、增持目标 及其他有关 增持的内容。 公司控股股 东应于触发 稳定股价义 务之日起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个 月内以不少 于人民币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万元资 金增持股份， 但股票收盘 价连续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28"/>
        <w:gridCol w:w="1128"/>
        <w:gridCol w:w="1123"/>
        <w:gridCol w:w="1128"/>
        <w:gridCol w:w="1123"/>
        <w:gridCol w:w="1114"/>
      </w:tblGrid>
      <w:tr>
        <w:trPr>
          <w:trHeight w:val="69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交易日高于 最近一期经 审计的每股 净资产，则控 股股东可中 止实施增持 计划。公司股 票上市后每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个月内，公 司控股股东 因''触发稳定 股价义务''而 增持公司股 票的累计投 入金额不超 过人民币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 控股股东因 其他原因自 愿增持公司 股票的，不受 本条款限制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上海量金资 产管理有限 公司、常州投 资集团有限 公司、核心资 本管理（杭 州）有限公 司、浙江省发 展资产经营 有限公司、传 化控股集团 有限公司、浙 江中大集团 投资有限公 司、李圣锦、 津联（天津） 资产管理有 限公司、解光 玖、杭州韶夏 瑟茎投资管 理合伙企业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非公开发行 的股份自本 次发行结束 之日起六个 月内不得转 让，可上市流 通时间为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日（如遇非 交易日则顺 延）。本次发 行结束后，在 上述股份限 售期内，因公 司送红股、转 增股本等原 因增加的股 份自股份登 记之日起锁 定，并与上述 股份同时解 锁。限售期结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28"/>
        <w:gridCol w:w="1128"/>
        <w:gridCol w:w="1123"/>
        <w:gridCol w:w="1128"/>
        <w:gridCol w:w="1123"/>
        <w:gridCol w:w="1114"/>
      </w:tblGrid>
      <w:tr>
        <w:trPr>
          <w:trHeight w:val="47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伙）、潘旭虹、 倪佳燕、大成 基金管理有 限公司、上汽 颀臻（上海） 资产管理有 限公司、刘会 召、中信证券 股份有限公 司、太平洋资 产管理有限 责任公司、中 国银河证券 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束后，发行对 象持有的本 次认购的股 份将按照中 国证监会和 深圳证券交 易所的有关 规定执行限 售要求。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蔡钰如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曹洁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陈军兵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戴泽 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傅烈勇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洪 伟荣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黄海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任 洪明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孙霆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陶 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夏红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杨波</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杨一兵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张雪 峰漳逸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为填补公司 本次发行可 能导致的投 资者即期回 报减少，保障 公司填补回 报措施能够 得到切实履 行，公司董 事、高级管理 人员承诺如 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 不无偿或以 不公平条件 向其他单位 或者个人输 送利益，也不 采用其他方 式损害公司 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 诺对董事和 高级管理人 员的职务消 费行为进行 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 诺不动用公 司资产从事 与其履行职 责无关的投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28"/>
        <w:gridCol w:w="1128"/>
        <w:gridCol w:w="1123"/>
        <w:gridCol w:w="1128"/>
        <w:gridCol w:w="1123"/>
        <w:gridCol w:w="1114"/>
      </w:tblGrid>
      <w:tr>
        <w:trPr>
          <w:trHeight w:val="115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资、消费活 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 由董事会或 薪酬委员会 制定的薪酬 制度与公司 填补回报措 施的执行情 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承诺拟公布 的公司股权 激励的行权 条件与公司 填补回报措 施的执行情 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本人承诺切 实履行公司 制定的有关 填补即期回 报措施以及 本人对此作 出的任何有 关填补即期 回报措施的 承诺，若本人 违反该等承 诺并给公司 或者投资者 造成损失的， 本人愿意依 法承担对公 司或者投资 者的补偿责 任及监管机 构的相应处 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杭州磐源投 资有限公司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杨一兵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为填补公司 本次发行可 能导致的投 资者即期回 报减少，保证 公司填补被 摊薄即期回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ectPr>
          <w:footnotePr>
            <w:pos w:val="pageBottom"/>
            <w:numFmt w:val="decimal"/>
            <w:numRestart w:val="continuous"/>
          </w:footnotePr>
          <w:pgSz w:w="11900" w:h="16840"/>
          <w:pgMar w:top="1441" w:right="1195" w:bottom="1518" w:left="3962" w:header="0" w:footer="3" w:gutter="0"/>
          <w:cols w:space="720"/>
          <w:noEndnote/>
          <w:rtlGutter w:val="0"/>
          <w:docGrid w:linePitch="360"/>
        </w:sectPr>
      </w:pPr>
    </w:p>
    <w:p>
      <w:pPr>
        <w:widowControl w:val="0"/>
        <w:spacing w:after="339" w:line="1" w:lineRule="exact"/>
      </w:pPr>
    </w:p>
    <w:tbl>
      <w:tblPr>
        <w:tblOverlap w:val="never"/>
        <w:jc w:val="center"/>
        <w:tblLayout w:type="fixed"/>
      </w:tblPr>
      <w:tblGrid>
        <w:gridCol w:w="2842"/>
        <w:gridCol w:w="1123"/>
        <w:gridCol w:w="1128"/>
        <w:gridCol w:w="1123"/>
        <w:gridCol w:w="1128"/>
        <w:gridCol w:w="1123"/>
        <w:gridCol w:w="1114"/>
      </w:tblGrid>
      <w:tr>
        <w:trPr>
          <w:trHeight w:val="1008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报措施能够 得到切实履 行，公司控股 股东、实际控 制人承诺如 下：针对本次 非公开发行 股票摊薄即 期回报的风 险，作为填补 回报措施相 关责任主体 之一，承诺不 越权干预公 司经营管理 活动，不侵占 公司利益。若 违反上述承 诺或拒不履 行上述承诺， 同意中国证 监会和深圳 证券交易所 等证券监管 机构按照其 制定或发布 的有关规定、 规则作出相 关处罚或采 取相关管理 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0"/>
        <w:keepNext/>
        <w:keepLines/>
        <w:widowControl w:val="0"/>
        <w:shd w:val="clear" w:color="auto" w:fill="auto"/>
        <w:bidi w:val="0"/>
        <w:spacing w:before="0" w:after="0" w:line="317" w:lineRule="exact"/>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2</w:t>
      </w:r>
      <w:bookmarkEnd w:id="278"/>
      <w:r>
        <w:rPr>
          <w:color w:val="000000"/>
          <w:spacing w:val="0"/>
          <w:w w:val="100"/>
          <w:position w:val="0"/>
        </w:rPr>
        <w:t>、公司资产或项目存在盈利预测，且报告期仍处在盈利预测期间，公司就资产或项目达到原盈利预测及 其原因做出说明</w:t>
      </w:r>
      <w:bookmarkEnd w:id="276"/>
      <w:bookmarkEnd w:id="277"/>
      <w:bookmarkEnd w:id="279"/>
    </w:p>
    <w:p>
      <w:pPr>
        <w:pStyle w:val="Style22"/>
        <w:keepNext/>
        <w:keepLines/>
        <w:widowControl w:val="0"/>
        <w:shd w:val="clear" w:color="auto" w:fill="auto"/>
        <w:tabs>
          <w:tab w:pos="517" w:val="left"/>
        </w:tabs>
        <w:bidi w:val="0"/>
        <w:spacing w:before="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三</w:t>
      </w:r>
      <w:bookmarkEnd w:id="282"/>
      <w:r>
        <w:rPr>
          <w:color w:val="000000"/>
          <w:spacing w:val="0"/>
          <w:w w:val="100"/>
          <w:position w:val="0"/>
          <w:sz w:val="24"/>
          <w:szCs w:val="24"/>
        </w:rPr>
        <w:t>、</w:t>
        <w:tab/>
        <w:t>控股股东及其关联方对上市公司的非经营性占用资金情况</w:t>
      </w:r>
      <w:bookmarkEnd w:id="280"/>
      <w:bookmarkEnd w:id="281"/>
      <w:bookmarkEnd w:id="283"/>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17" w:val="left"/>
        </w:tabs>
        <w:bidi w:val="0"/>
        <w:spacing w:before="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四</w:t>
      </w:r>
      <w:bookmarkEnd w:id="286"/>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84"/>
      <w:bookmarkEnd w:id="285"/>
      <w:bookmarkEnd w:id="287"/>
    </w:p>
    <w:p>
      <w:pPr>
        <w:pStyle w:val="Style26"/>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五</w:t>
      </w:r>
      <w:bookmarkEnd w:id="29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8"/>
      <w:bookmarkEnd w:id="289"/>
      <w:bookmarkEnd w:id="291"/>
    </w:p>
    <w:p>
      <w:pPr>
        <w:pStyle w:val="Style26"/>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六</w:t>
      </w:r>
      <w:bookmarkEnd w:id="294"/>
      <w:r>
        <w:rPr>
          <w:color w:val="000000"/>
          <w:spacing w:val="0"/>
          <w:w w:val="100"/>
          <w:position w:val="0"/>
          <w:sz w:val="24"/>
          <w:szCs w:val="24"/>
        </w:rPr>
        <w:t>、</w:t>
        <w:tab/>
        <w:t>董事会关于报告期会计政策、会计估计变更或重大会计差错更正的说明</w:t>
      </w:r>
      <w:bookmarkEnd w:id="292"/>
      <w:bookmarkEnd w:id="293"/>
      <w:bookmarkEnd w:id="295"/>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ind w:left="0" w:right="0" w:firstLine="0"/>
        <w:jc w:val="left"/>
        <w:rPr>
          <w:sz w:val="19"/>
          <w:szCs w:val="19"/>
        </w:rPr>
      </w:pPr>
      <w:r>
        <w:rPr>
          <w:color w:val="000000"/>
          <w:spacing w:val="0"/>
          <w:w w:val="100"/>
          <w:position w:val="0"/>
          <w:sz w:val="20"/>
          <w:szCs w:val="20"/>
        </w:rPr>
        <w:t>财政部于</w:t>
      </w:r>
      <w:r>
        <w:rPr>
          <w:rFonts w:ascii="Tahoma" w:eastAsia="Tahoma" w:hAnsi="Tahoma" w:cs="Tahoma"/>
          <w:color w:val="000000"/>
          <w:spacing w:val="0"/>
          <w:w w:val="100"/>
          <w:position w:val="0"/>
          <w:sz w:val="19"/>
          <w:szCs w:val="19"/>
        </w:rPr>
        <w:t>2017</w:t>
      </w:r>
      <w:r>
        <w:rPr>
          <w:color w:val="000000"/>
          <w:spacing w:val="0"/>
          <w:w w:val="100"/>
          <w:position w:val="0"/>
          <w:sz w:val="20"/>
          <w:szCs w:val="20"/>
        </w:rPr>
        <w:t>年颁布了修订后的《企业会计准则第</w:t>
      </w:r>
      <w:r>
        <w:rPr>
          <w:rFonts w:ascii="Tahoma" w:eastAsia="Tahoma" w:hAnsi="Tahoma" w:cs="Tahoma"/>
          <w:color w:val="000000"/>
          <w:spacing w:val="0"/>
          <w:w w:val="100"/>
          <w:position w:val="0"/>
          <w:sz w:val="19"/>
          <w:szCs w:val="19"/>
        </w:rPr>
        <w:t>14</w:t>
      </w:r>
      <w:r>
        <w:rPr>
          <w:color w:val="000000"/>
          <w:spacing w:val="0"/>
          <w:w w:val="100"/>
          <w:position w:val="0"/>
          <w:sz w:val="20"/>
          <w:szCs w:val="20"/>
        </w:rPr>
        <w:t>号——收入》（财会</w:t>
      </w:r>
      <w:r>
        <w:rPr>
          <w:rFonts w:ascii="Tahoma" w:eastAsia="Tahoma" w:hAnsi="Tahoma" w:cs="Tahoma"/>
          <w:color w:val="000000"/>
          <w:spacing w:val="0"/>
          <w:w w:val="100"/>
          <w:position w:val="0"/>
          <w:sz w:val="19"/>
          <w:szCs w:val="19"/>
        </w:rPr>
        <w:t>[2017]22</w:t>
      </w:r>
      <w:r>
        <w:rPr>
          <w:color w:val="000000"/>
          <w:spacing w:val="0"/>
          <w:w w:val="100"/>
          <w:position w:val="0"/>
          <w:sz w:val="20"/>
          <w:szCs w:val="20"/>
        </w:rPr>
        <w:t>号，以下简称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新收入 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，要求境内上市公司</w:t>
      </w:r>
      <w:r>
        <w:rPr>
          <w:rFonts w:ascii="Tahoma" w:eastAsia="Tahoma" w:hAnsi="Tahoma" w:cs="Tahoma"/>
          <w:color w:val="000000"/>
          <w:spacing w:val="0"/>
          <w:w w:val="100"/>
          <w:position w:val="0"/>
          <w:sz w:val="19"/>
          <w:szCs w:val="19"/>
        </w:rPr>
        <w:t>202</w:t>
      </w:r>
      <w:r>
        <w:rPr>
          <w:color w:val="000000"/>
          <w:spacing w:val="0"/>
          <w:w w:val="100"/>
          <w:position w:val="0"/>
          <w:sz w:val="20"/>
          <w:szCs w:val="20"/>
        </w:rPr>
        <w:t>。年</w:t>
      </w:r>
      <w:r>
        <w:rPr>
          <w:rFonts w:ascii="Tahoma" w:eastAsia="Tahoma" w:hAnsi="Tahoma" w:cs="Tahoma"/>
          <w:color w:val="000000"/>
          <w:spacing w:val="0"/>
          <w:w w:val="100"/>
          <w:position w:val="0"/>
          <w:sz w:val="19"/>
          <w:szCs w:val="19"/>
        </w:rPr>
        <w:t>1</w:t>
      </w:r>
      <w:r>
        <w:rPr>
          <w:color w:val="000000"/>
          <w:spacing w:val="0"/>
          <w:w w:val="100"/>
          <w:position w:val="0"/>
          <w:sz w:val="20"/>
          <w:szCs w:val="20"/>
        </w:rPr>
        <w:t>月</w:t>
      </w:r>
      <w:r>
        <w:rPr>
          <w:rFonts w:ascii="Tahoma" w:eastAsia="Tahoma" w:hAnsi="Tahoma" w:cs="Tahoma"/>
          <w:color w:val="000000"/>
          <w:spacing w:val="0"/>
          <w:w w:val="100"/>
          <w:position w:val="0"/>
          <w:sz w:val="19"/>
          <w:szCs w:val="19"/>
        </w:rPr>
        <w:t>1</w:t>
      </w:r>
      <w:r>
        <w:rPr>
          <w:color w:val="000000"/>
          <w:spacing w:val="0"/>
          <w:w w:val="100"/>
          <w:position w:val="0"/>
          <w:sz w:val="20"/>
          <w:szCs w:val="20"/>
        </w:rPr>
        <w:t>日起执行。根据新收入准则的相关规定，本公司对于首次执行该 准则的累积影响数调整</w:t>
      </w:r>
      <w:r>
        <w:rPr>
          <w:rFonts w:ascii="Tahoma" w:eastAsia="Tahoma" w:hAnsi="Tahoma" w:cs="Tahoma"/>
          <w:color w:val="000000"/>
          <w:spacing w:val="0"/>
          <w:w w:val="100"/>
          <w:position w:val="0"/>
          <w:sz w:val="19"/>
          <w:szCs w:val="19"/>
        </w:rPr>
        <w:t>2020</w:t>
      </w:r>
      <w:r>
        <w:rPr>
          <w:color w:val="000000"/>
          <w:spacing w:val="0"/>
          <w:w w:val="100"/>
          <w:position w:val="0"/>
          <w:sz w:val="20"/>
          <w:szCs w:val="20"/>
        </w:rPr>
        <w:t>年年初财务报表相关项目金额，具体详见第十二节、财务报告、五、</w:t>
      </w:r>
      <w:r>
        <w:rPr>
          <w:rFonts w:ascii="Tahoma" w:eastAsia="Tahoma" w:hAnsi="Tahoma" w:cs="Tahoma"/>
          <w:color w:val="000000"/>
          <w:spacing w:val="0"/>
          <w:w w:val="100"/>
          <w:position w:val="0"/>
          <w:sz w:val="19"/>
          <w:szCs w:val="19"/>
        </w:rPr>
        <w:t>30</w:t>
      </w:r>
    </w:p>
    <w:p>
      <w:pPr>
        <w:pStyle w:val="Style22"/>
        <w:keepNext/>
        <w:keepLines/>
        <w:widowControl w:val="0"/>
        <w:shd w:val="clear" w:color="auto" w:fill="auto"/>
        <w:tabs>
          <w:tab w:pos="522" w:val="left"/>
        </w:tabs>
        <w:bidi w:val="0"/>
        <w:spacing w:before="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七</w:t>
      </w:r>
      <w:bookmarkEnd w:id="298"/>
      <w:r>
        <w:rPr>
          <w:color w:val="000000"/>
          <w:spacing w:val="0"/>
          <w:w w:val="100"/>
          <w:position w:val="0"/>
          <w:sz w:val="24"/>
          <w:szCs w:val="24"/>
        </w:rPr>
        <w:t>、</w:t>
        <w:tab/>
        <w:t>与上年度财务报告相比，合并报表范围发生变化的情况说明</w:t>
      </w:r>
      <w:bookmarkEnd w:id="296"/>
      <w:bookmarkEnd w:id="297"/>
      <w:bookmarkEnd w:id="299"/>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报告期内，公司纳入合并范围子公司发生变动，增加中锦保理子公司，减少广西和仁子公司、北京和仁子公司、重庆和仁子 公司。合并范围变更主体的具体信息详见本报告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keepLines/>
        <w:widowControl w:val="0"/>
        <w:shd w:val="clear" w:color="auto" w:fill="auto"/>
        <w:tabs>
          <w:tab w:pos="522" w:val="left"/>
        </w:tabs>
        <w:bidi w:val="0"/>
        <w:spacing w:before="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八</w:t>
      </w:r>
      <w:bookmarkEnd w:id="302"/>
      <w:r>
        <w:rPr>
          <w:color w:val="000000"/>
          <w:spacing w:val="0"/>
          <w:w w:val="100"/>
          <w:position w:val="0"/>
          <w:sz w:val="24"/>
          <w:szCs w:val="24"/>
        </w:rPr>
        <w:t>、</w:t>
        <w:tab/>
        <w:t>聘任、解聘会计师事务所情况</w:t>
      </w:r>
      <w:bookmarkEnd w:id="300"/>
      <w:bookmarkEnd w:id="301"/>
      <w:bookmarkEnd w:id="303"/>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郑俭、吴传淼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九</w:t>
      </w:r>
      <w:bookmarkEnd w:id="306"/>
      <w:r>
        <w:rPr>
          <w:color w:val="000000"/>
          <w:spacing w:val="0"/>
          <w:w w:val="100"/>
          <w:position w:val="0"/>
          <w:sz w:val="24"/>
          <w:szCs w:val="24"/>
        </w:rPr>
        <w:t>、年度报告披露后面临退市情况</w:t>
      </w:r>
      <w:bookmarkEnd w:id="304"/>
      <w:bookmarkEnd w:id="305"/>
      <w:bookmarkEnd w:id="307"/>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2"/>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r>
        <w:rPr>
          <w:color w:val="000000"/>
          <w:spacing w:val="0"/>
          <w:w w:val="100"/>
          <w:position w:val="0"/>
          <w:sz w:val="24"/>
          <w:szCs w:val="24"/>
        </w:rPr>
        <w:t>十、破产重整相关事项</w:t>
      </w:r>
      <w:bookmarkEnd w:id="308"/>
      <w:bookmarkEnd w:id="309"/>
      <w:bookmarkEnd w:id="310"/>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line="240" w:lineRule="auto"/>
        <w:ind w:left="0" w:right="0" w:firstLine="0"/>
        <w:jc w:val="left"/>
      </w:pPr>
      <w:bookmarkStart w:id="311" w:name="bookmark311"/>
      <w:bookmarkStart w:id="312" w:name="bookmark312"/>
      <w:bookmarkStart w:id="313" w:name="bookmark313"/>
      <w:r>
        <w:rPr>
          <w:color w:val="000000"/>
          <w:spacing w:val="0"/>
          <w:w w:val="100"/>
          <w:position w:val="0"/>
          <w:sz w:val="24"/>
          <w:szCs w:val="24"/>
        </w:rPr>
        <w:t>十一、重大诉讼、仲裁事项</w:t>
      </w:r>
      <w:bookmarkEnd w:id="311"/>
      <w:bookmarkEnd w:id="312"/>
      <w:bookmarkEnd w:id="313"/>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54"/>
        <w:gridCol w:w="1090"/>
        <w:gridCol w:w="1262"/>
        <w:gridCol w:w="955"/>
        <w:gridCol w:w="1392"/>
        <w:gridCol w:w="1262"/>
        <w:gridCol w:w="1080"/>
        <w:gridCol w:w="10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60" w:right="0" w:hanging="260"/>
              <w:jc w:val="both"/>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和仁科技诉江苏 晓山信息产业股 份有限公司、锡山 区重点工程办公 室等建设工程合 同纠纷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苏</w:t>
            </w:r>
            <w:r>
              <w:rPr>
                <w:rFonts w:ascii="Times New Roman" w:eastAsia="Times New Roman" w:hAnsi="Times New Roman" w:cs="Times New Roman"/>
                <w:color w:val="000000"/>
                <w:spacing w:val="0"/>
                <w:w w:val="100"/>
                <w:position w:val="0"/>
                <w:sz w:val="18"/>
                <w:szCs w:val="18"/>
              </w:rPr>
              <w:t>0205</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 xml:space="preserve">5266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工程造价 鉴定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和仁科技预计可 收回应收工程款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详见披露于 巨潮资讯网 的</w:t>
            </w:r>
          </w:p>
          <w:p>
            <w:pPr>
              <w:pStyle w:val="Style2"/>
              <w:keepNext w:val="0"/>
              <w:keepLines w:val="0"/>
              <w:widowControl w:val="0"/>
              <w:shd w:val="clear" w:color="auto" w:fill="auto"/>
              <w:bidi w:val="0"/>
              <w:spacing w:before="0" w:after="100" w:line="319"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.cninfo.com.c</w:t>
            </w:r>
          </w:p>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年度报告》</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 年度报告》</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杭州意照建筑劳 务有限公司诉和 仁科技建设工程 分包合同纠纷</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）鄂 </w:t>
            </w:r>
            <w:r>
              <w:rPr>
                <w:rFonts w:ascii="Times New Roman" w:eastAsia="Times New Roman" w:hAnsi="Times New Roman" w:cs="Times New Roman"/>
                <w:color w:val="000000"/>
                <w:spacing w:val="0"/>
                <w:w w:val="100"/>
                <w:position w:val="0"/>
                <w:sz w:val="18"/>
                <w:szCs w:val="18"/>
              </w:rPr>
              <w:t xml:space="preserve">0114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2127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案外和解，原告 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案外和解，原告 撤诉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杭州意照建筑劳 务有限公司诉和 仁科技建设工程 分包合同纠纷</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）鄂 </w:t>
            </w:r>
            <w:r>
              <w:rPr>
                <w:rFonts w:ascii="Times New Roman" w:eastAsia="Times New Roman" w:hAnsi="Times New Roman" w:cs="Times New Roman"/>
                <w:color w:val="000000"/>
                <w:spacing w:val="0"/>
                <w:w w:val="100"/>
                <w:position w:val="0"/>
                <w:sz w:val="18"/>
                <w:szCs w:val="18"/>
              </w:rPr>
              <w:t xml:space="preserve">0114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2128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案外和解，原告 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案外和解，原告 撤诉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杭州意照建筑劳 务有限公司诉和 仁科技建设工程 分包合同纠纷</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）鄂 </w:t>
            </w:r>
            <w:r>
              <w:rPr>
                <w:rFonts w:ascii="Times New Roman" w:eastAsia="Times New Roman" w:hAnsi="Times New Roman" w:cs="Times New Roman"/>
                <w:color w:val="000000"/>
                <w:spacing w:val="0"/>
                <w:w w:val="100"/>
                <w:position w:val="0"/>
                <w:sz w:val="18"/>
                <w:szCs w:val="18"/>
              </w:rPr>
              <w:t xml:space="preserve">0114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5734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支持部分诉讼请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根据生效判决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及合同约定支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付欠款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和仁科技诉杭州 意照建筑劳务有 限公司追偿权纠</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）浙 </w:t>
            </w:r>
            <w:r>
              <w:rPr>
                <w:rFonts w:ascii="Times New Roman" w:eastAsia="Times New Roman" w:hAnsi="Times New Roman" w:cs="Times New Roman"/>
                <w:color w:val="000000"/>
                <w:spacing w:val="0"/>
                <w:w w:val="100"/>
                <w:position w:val="0"/>
                <w:sz w:val="18"/>
                <w:szCs w:val="18"/>
              </w:rPr>
              <w:t xml:space="preserve">0108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4455</w:t>
            </w:r>
            <w:r>
              <w:rPr>
                <w:color w:val="000000"/>
                <w:spacing w:val="0"/>
                <w:w w:val="100"/>
                <w:position w:val="0"/>
              </w:rPr>
              <w:t>号之一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案外和解，原告 撤诉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和仁收回垫付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部分医疗费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keepLines/>
        <w:widowControl w:val="0"/>
        <w:shd w:val="clear" w:color="auto" w:fill="auto"/>
        <w:bidi w:val="0"/>
        <w:spacing w:before="0" w:after="380" w:line="240" w:lineRule="auto"/>
        <w:ind w:left="0" w:right="0" w:firstLine="0"/>
        <w:jc w:val="both"/>
      </w:pPr>
      <w:bookmarkStart w:id="314" w:name="bookmark314"/>
      <w:bookmarkStart w:id="315" w:name="bookmark315"/>
      <w:bookmarkStart w:id="316" w:name="bookmark316"/>
      <w:r>
        <w:rPr>
          <w:color w:val="000000"/>
          <w:spacing w:val="0"/>
          <w:w w:val="100"/>
          <w:position w:val="0"/>
          <w:sz w:val="24"/>
          <w:szCs w:val="24"/>
        </w:rPr>
        <w:t>十二、处罚及整改情况</w:t>
      </w:r>
      <w:bookmarkEnd w:id="314"/>
      <w:bookmarkEnd w:id="315"/>
      <w:bookmarkEnd w:id="316"/>
    </w:p>
    <w:p>
      <w:pPr>
        <w:pStyle w:val="Style26"/>
        <w:keepNext w:val="0"/>
        <w:keepLines w:val="0"/>
        <w:widowControl w:val="0"/>
        <w:shd w:val="clear" w:color="auto" w:fill="auto"/>
        <w:bidi w:val="0"/>
        <w:spacing w:before="0" w:after="0" w:line="37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20" w:lineRule="exact"/>
        <w:ind w:left="0" w:right="0" w:firstLine="0"/>
        <w:jc w:val="both"/>
      </w:pPr>
      <w:r>
        <w:rPr>
          <w:color w:val="000000"/>
          <w:spacing w:val="0"/>
          <w:w w:val="100"/>
          <w:position w:val="0"/>
        </w:rPr>
        <w:t>公司报告期不存在处罚及整改情况。</w:t>
      </w:r>
    </w:p>
    <w:p>
      <w:pPr>
        <w:pStyle w:val="Style22"/>
        <w:keepNext/>
        <w:keepLines/>
        <w:widowControl w:val="0"/>
        <w:shd w:val="clear" w:color="auto" w:fill="auto"/>
        <w:bidi w:val="0"/>
        <w:spacing w:before="0" w:after="380" w:line="240" w:lineRule="auto"/>
        <w:ind w:left="0" w:right="0" w:firstLine="0"/>
        <w:jc w:val="both"/>
      </w:pPr>
      <w:bookmarkStart w:id="317" w:name="bookmark317"/>
      <w:bookmarkStart w:id="318" w:name="bookmark318"/>
      <w:bookmarkStart w:id="319" w:name="bookmark319"/>
      <w:r>
        <w:rPr>
          <w:color w:val="000000"/>
          <w:spacing w:val="0"/>
          <w:w w:val="100"/>
          <w:position w:val="0"/>
          <w:sz w:val="24"/>
          <w:szCs w:val="24"/>
        </w:rPr>
        <w:t>十三、公司及其控股股东、实际控制人的诚信状况</w:t>
      </w:r>
      <w:bookmarkEnd w:id="317"/>
      <w:bookmarkEnd w:id="318"/>
      <w:bookmarkEnd w:id="319"/>
    </w:p>
    <w:p>
      <w:pPr>
        <w:pStyle w:val="Style26"/>
        <w:keepNext w:val="0"/>
        <w:keepLines w:val="0"/>
        <w:widowControl w:val="0"/>
        <w:shd w:val="clear" w:color="auto" w:fill="auto"/>
        <w:bidi w:val="0"/>
        <w:spacing w:before="0" w:after="220" w:line="37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320" w:name="bookmark320"/>
      <w:bookmarkStart w:id="321" w:name="bookmark321"/>
      <w:bookmarkStart w:id="322" w:name="bookmark322"/>
      <w:r>
        <w:rPr>
          <w:color w:val="000000"/>
          <w:spacing w:val="0"/>
          <w:w w:val="100"/>
          <w:position w:val="0"/>
          <w:sz w:val="24"/>
          <w:szCs w:val="24"/>
        </w:rPr>
        <w:t>十四、公司股权激励计划、员工持股计划或其他员工激励措施的实施情况</w:t>
      </w:r>
      <w:bookmarkEnd w:id="320"/>
      <w:bookmarkEnd w:id="321"/>
      <w:bookmarkEnd w:id="322"/>
    </w:p>
    <w:p>
      <w:pPr>
        <w:pStyle w:val="Style26"/>
        <w:keepNext w:val="0"/>
        <w:keepLines w:val="0"/>
        <w:widowControl w:val="0"/>
        <w:shd w:val="clear" w:color="auto" w:fill="auto"/>
        <w:bidi w:val="0"/>
        <w:spacing w:before="0" w:after="0" w:line="37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20" w:lineRule="exact"/>
        <w:ind w:left="0" w:right="0" w:firstLine="0"/>
        <w:jc w:val="both"/>
      </w:pPr>
      <w:bookmarkStart w:id="323" w:name="bookmark323"/>
      <w:r>
        <w:rPr>
          <w:rFonts w:ascii="Times New Roman" w:eastAsia="Times New Roman" w:hAnsi="Times New Roman" w:cs="Times New Roman"/>
          <w:color w:val="000000"/>
          <w:spacing w:val="0"/>
          <w:w w:val="100"/>
          <w:position w:val="0"/>
          <w:sz w:val="18"/>
          <w:szCs w:val="18"/>
        </w:rPr>
        <w:t>1</w:t>
      </w:r>
      <w:bookmarkEnd w:id="32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日，公司召开第二届董事会第五次会议，审议通过了《关于公司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年限制性股票激励计划（草案）及其 摘要的议案》、《关于公司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年限制性股票激励计划实施考核管理办法的议案》、《关于提请股东大会授权董事会办理股 权激励相关事宜的议案》，公司独立董事对本次激励计划及其他相关议案发表了独立意见。</w:t>
      </w:r>
    </w:p>
    <w:p>
      <w:pPr>
        <w:pStyle w:val="Style26"/>
        <w:keepNext w:val="0"/>
        <w:keepLines w:val="0"/>
        <w:widowControl w:val="0"/>
        <w:shd w:val="clear" w:color="auto" w:fill="auto"/>
        <w:bidi w:val="0"/>
        <w:spacing w:before="0" w:after="0" w:line="320" w:lineRule="exact"/>
        <w:ind w:left="0" w:right="0" w:firstLine="0"/>
        <w:jc w:val="both"/>
      </w:pPr>
      <w:bookmarkStart w:id="324" w:name="bookmark324"/>
      <w:r>
        <w:rPr>
          <w:rFonts w:ascii="Times New Roman" w:eastAsia="Times New Roman" w:hAnsi="Times New Roman" w:cs="Times New Roman"/>
          <w:color w:val="000000"/>
          <w:spacing w:val="0"/>
          <w:w w:val="100"/>
          <w:position w:val="0"/>
          <w:sz w:val="18"/>
          <w:szCs w:val="18"/>
        </w:rPr>
        <w:t>2</w:t>
      </w:r>
      <w:bookmarkEnd w:id="32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日，公司召开第二届监事会第五次会议，审议通过了《关于公司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年限制性股票激励计划（草案）及其 摘要的议案》、《关于公司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年限制性股票激励计划实施考核管理办法的议案》、《关于核实公司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 计划激励对象名单的议案》。</w:t>
      </w:r>
    </w:p>
    <w:p>
      <w:pPr>
        <w:pStyle w:val="Style26"/>
        <w:keepNext w:val="0"/>
        <w:keepLines w:val="0"/>
        <w:widowControl w:val="0"/>
        <w:shd w:val="clear" w:color="auto" w:fill="auto"/>
        <w:tabs>
          <w:tab w:pos="311" w:val="left"/>
        </w:tabs>
        <w:bidi w:val="0"/>
        <w:spacing w:before="0" w:after="0" w:line="320" w:lineRule="exact"/>
        <w:ind w:left="0" w:right="0" w:firstLine="0"/>
        <w:jc w:val="both"/>
      </w:pPr>
      <w:bookmarkStart w:id="325" w:name="bookmark325"/>
      <w:r>
        <w:rPr>
          <w:rFonts w:ascii="Times New Roman" w:eastAsia="Times New Roman" w:hAnsi="Times New Roman" w:cs="Times New Roman"/>
          <w:color w:val="000000"/>
          <w:spacing w:val="0"/>
          <w:w w:val="100"/>
          <w:position w:val="0"/>
          <w:sz w:val="18"/>
          <w:szCs w:val="18"/>
        </w:rPr>
        <w:t>3</w:t>
      </w:r>
      <w:bookmarkEnd w:id="32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日，公司对授予的激励对象名单的姓名和职务在公司内部网站上进行了公示，在公示期 内，公司监事会未接到与激励计划拟激励对象有关的任何异议。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日，公司监事会发表了《监事会关于公司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年限制性股票激励计划激励对象名单的审核意见及公示情况说明》。</w:t>
      </w:r>
    </w:p>
    <w:p>
      <w:pPr>
        <w:pStyle w:val="Style26"/>
        <w:keepNext w:val="0"/>
        <w:keepLines w:val="0"/>
        <w:widowControl w:val="0"/>
        <w:shd w:val="clear" w:color="auto" w:fill="auto"/>
        <w:bidi w:val="0"/>
        <w:spacing w:before="0" w:after="0" w:line="320" w:lineRule="exact"/>
        <w:ind w:left="0" w:right="0" w:firstLine="0"/>
        <w:jc w:val="both"/>
      </w:pPr>
      <w:bookmarkStart w:id="326" w:name="bookmark326"/>
      <w:r>
        <w:rPr>
          <w:rFonts w:ascii="Times New Roman" w:eastAsia="Times New Roman" w:hAnsi="Times New Roman" w:cs="Times New Roman"/>
          <w:color w:val="000000"/>
          <w:spacing w:val="0"/>
          <w:w w:val="100"/>
          <w:position w:val="0"/>
          <w:sz w:val="18"/>
          <w:szCs w:val="18"/>
        </w:rPr>
        <w:t>4</w:t>
      </w:r>
      <w:bookmarkEnd w:id="32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年第二次临时股东大会，审议通过了《关于公司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年限制性股票激励计划（草案）及其 摘要的议案》、《关于公司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年限制性股票激励计划实施考核管理办法的议案》及《关于提请股东大会授权董事会办理公 司股权激励相关事宜的议案》，并披露了《关于公司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年限制性股票激励计划内幕信息知情人及激励对象买卖公司股票情 况的自查报告》。</w:t>
      </w:r>
    </w:p>
    <w:p>
      <w:pPr>
        <w:pStyle w:val="Style26"/>
        <w:keepNext w:val="0"/>
        <w:keepLines w:val="0"/>
        <w:widowControl w:val="0"/>
        <w:shd w:val="clear" w:color="auto" w:fill="auto"/>
        <w:tabs>
          <w:tab w:pos="315" w:val="left"/>
        </w:tabs>
        <w:bidi w:val="0"/>
        <w:spacing w:before="0" w:after="0" w:line="319" w:lineRule="exact"/>
        <w:ind w:left="0" w:right="0" w:firstLine="0"/>
        <w:jc w:val="both"/>
      </w:pPr>
      <w:bookmarkStart w:id="327" w:name="bookmark327"/>
      <w:r>
        <w:rPr>
          <w:rFonts w:ascii="Times New Roman" w:eastAsia="Times New Roman" w:hAnsi="Times New Roman" w:cs="Times New Roman"/>
          <w:color w:val="000000"/>
          <w:spacing w:val="0"/>
          <w:w w:val="100"/>
          <w:position w:val="0"/>
          <w:sz w:val="18"/>
          <w:szCs w:val="18"/>
        </w:rPr>
        <w:t>5</w:t>
      </w:r>
      <w:bookmarkEnd w:id="32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日，公司召开了第二届董事会第六次会议和第二届监事会第六次会议，审议通过《关于向首次授予的激励对 象授予限制性股票的议案》，确定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日为首次授予的授予日。公司独立董事对相关事项发表了独立意见，监事会 对本次授予限制性股票的激励对象名单进行了核实。</w:t>
      </w:r>
    </w:p>
    <w:p>
      <w:pPr>
        <w:pStyle w:val="Style26"/>
        <w:keepNext w:val="0"/>
        <w:keepLines w:val="0"/>
        <w:widowControl w:val="0"/>
        <w:shd w:val="clear" w:color="auto" w:fill="auto"/>
        <w:bidi w:val="0"/>
        <w:spacing w:before="0" w:after="0" w:line="319" w:lineRule="exact"/>
        <w:ind w:left="0" w:right="0" w:firstLine="0"/>
        <w:jc w:val="both"/>
      </w:pPr>
      <w:bookmarkStart w:id="328" w:name="bookmark328"/>
      <w:r>
        <w:rPr>
          <w:rFonts w:ascii="Times New Roman" w:eastAsia="Times New Roman" w:hAnsi="Times New Roman" w:cs="Times New Roman"/>
          <w:color w:val="000000"/>
          <w:spacing w:val="0"/>
          <w:w w:val="100"/>
          <w:position w:val="0"/>
          <w:sz w:val="18"/>
          <w:szCs w:val="18"/>
        </w:rPr>
        <w:t>6</w:t>
      </w:r>
      <w:bookmarkEnd w:id="32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日，公司召开了第二届董事会第七次会议和第二届监事会第七次会议，审议通过《关于调整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 票激励计划授予名单和数量的议案》，公司独立董事对股权激励调整事项发表了同意的独立意见，公司监事会对调整后的限 制性股票授予名单进行了核实。</w:t>
      </w:r>
    </w:p>
    <w:p>
      <w:pPr>
        <w:pStyle w:val="Style26"/>
        <w:keepNext w:val="0"/>
        <w:keepLines w:val="0"/>
        <w:widowControl w:val="0"/>
        <w:shd w:val="clear" w:color="auto" w:fill="auto"/>
        <w:bidi w:val="0"/>
        <w:spacing w:before="0" w:after="0" w:line="319" w:lineRule="exact"/>
        <w:ind w:left="0" w:right="0" w:firstLine="0"/>
        <w:jc w:val="both"/>
      </w:pPr>
      <w:bookmarkStart w:id="329" w:name="bookmark329"/>
      <w:r>
        <w:rPr>
          <w:rFonts w:ascii="Times New Roman" w:eastAsia="Times New Roman" w:hAnsi="Times New Roman" w:cs="Times New Roman"/>
          <w:color w:val="000000"/>
          <w:spacing w:val="0"/>
          <w:w w:val="100"/>
          <w:position w:val="0"/>
          <w:sz w:val="18"/>
          <w:szCs w:val="18"/>
        </w:rPr>
        <w:t>7</w:t>
      </w:r>
      <w:bookmarkEnd w:id="329"/>
      <w:r>
        <w:rPr>
          <w:color w:val="000000"/>
          <w:spacing w:val="0"/>
          <w:w w:val="100"/>
          <w:position w:val="0"/>
        </w:rPr>
        <w:t>、 根据股东大会的授权，公司办理了限制性股票的首次授予登记工作，限制性股票授予日为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日，授予股份的上 市日期为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26"/>
        <w:keepNext w:val="0"/>
        <w:keepLines w:val="0"/>
        <w:widowControl w:val="0"/>
        <w:shd w:val="clear" w:color="auto" w:fill="auto"/>
        <w:tabs>
          <w:tab w:pos="311" w:val="left"/>
        </w:tabs>
        <w:bidi w:val="0"/>
        <w:spacing w:before="0" w:after="0" w:line="317" w:lineRule="exact"/>
        <w:ind w:left="0" w:right="0" w:firstLine="0"/>
        <w:jc w:val="both"/>
      </w:pPr>
      <w:bookmarkStart w:id="330" w:name="bookmark330"/>
      <w:r>
        <w:rPr>
          <w:rFonts w:ascii="Times New Roman" w:eastAsia="Times New Roman" w:hAnsi="Times New Roman" w:cs="Times New Roman"/>
          <w:color w:val="000000"/>
          <w:spacing w:val="0"/>
          <w:w w:val="100"/>
          <w:position w:val="0"/>
          <w:sz w:val="18"/>
          <w:szCs w:val="18"/>
        </w:rPr>
        <w:t>8</w:t>
      </w:r>
      <w:bookmarkEnd w:id="330"/>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年年度股东大会审议通过，公司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年度的权益分派方案为：以公司现有总股本</w:t>
      </w:r>
      <w:r>
        <w:rPr>
          <w:rFonts w:ascii="Times New Roman" w:eastAsia="Times New Roman" w:hAnsi="Times New Roman" w:cs="Times New Roman"/>
          <w:color w:val="000000"/>
          <w:spacing w:val="0"/>
          <w:w w:val="100"/>
          <w:position w:val="0"/>
          <w:sz w:val="18"/>
          <w:szCs w:val="18"/>
        </w:rPr>
        <w:t>83,220,000</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.600000 </w:t>
      </w:r>
      <w:r>
        <w:rPr>
          <w:color w:val="000000"/>
          <w:spacing w:val="0"/>
          <w:w w:val="100"/>
          <w:position w:val="0"/>
        </w:rPr>
        <w:t>（含税）元人民币现金。本次权益分派已经于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日办理完毕。</w:t>
      </w:r>
    </w:p>
    <w:p>
      <w:pPr>
        <w:pStyle w:val="Style26"/>
        <w:keepNext w:val="0"/>
        <w:keepLines w:val="0"/>
        <w:widowControl w:val="0"/>
        <w:shd w:val="clear" w:color="auto" w:fill="auto"/>
        <w:tabs>
          <w:tab w:pos="311" w:val="left"/>
        </w:tabs>
        <w:bidi w:val="0"/>
        <w:spacing w:before="0" w:after="0" w:line="315" w:lineRule="exact"/>
        <w:ind w:left="0" w:right="0" w:firstLine="0"/>
        <w:jc w:val="both"/>
      </w:pPr>
      <w:bookmarkStart w:id="331" w:name="bookmark331"/>
      <w:r>
        <w:rPr>
          <w:rFonts w:ascii="Times New Roman" w:eastAsia="Times New Roman" w:hAnsi="Times New Roman" w:cs="Times New Roman"/>
          <w:color w:val="000000"/>
          <w:spacing w:val="0"/>
          <w:w w:val="100"/>
          <w:position w:val="0"/>
          <w:sz w:val="18"/>
          <w:szCs w:val="18"/>
        </w:rPr>
        <w:t>9</w:t>
      </w:r>
      <w:bookmarkEnd w:id="331"/>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日召开第二届董事会第十次会议，审议通过《关于回购注销部分激励对象已获授但尚未解锁的限制性 股票的议案》</w:t>
      </w:r>
      <w:r>
        <w:rPr>
          <w:color w:val="000000"/>
          <w:spacing w:val="0"/>
          <w:w w:val="100"/>
          <w:position w:val="0"/>
          <w:sz w:val="18"/>
          <w:szCs w:val="18"/>
        </w:rPr>
        <w:t>，</w:t>
      </w:r>
      <w:r>
        <w:rPr>
          <w:color w:val="000000"/>
          <w:spacing w:val="0"/>
          <w:w w:val="100"/>
          <w:position w:val="0"/>
        </w:rPr>
        <w:t>公司监事会于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日召开第二届监事会第九次会议审议通过《关于回购注销部分激励对象已获授但尚 未解锁的限制性股票的议案》，因激励对象胡连升、邵培申</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Peishen Shao</w:t>
      </w:r>
      <w:r>
        <w:rPr>
          <w:color w:val="000000"/>
          <w:spacing w:val="0"/>
          <w:w w:val="100"/>
          <w:position w:val="0"/>
        </w:rPr>
        <w:t>）</w:t>
      </w:r>
      <w:r>
        <w:rPr>
          <w:color w:val="000000"/>
          <w:spacing w:val="0"/>
          <w:w w:val="100"/>
          <w:position w:val="0"/>
        </w:rPr>
        <w:t>离职，同意公司对胡连升、邵培申</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Peishen Shao</w:t>
      </w:r>
      <w:r>
        <w:rPr>
          <w:color w:val="000000"/>
          <w:spacing w:val="0"/>
          <w:w w:val="100"/>
          <w:position w:val="0"/>
        </w:rPr>
        <w:t xml:space="preserve">） </w:t>
      </w:r>
      <w:r>
        <w:rPr>
          <w:color w:val="000000"/>
          <w:spacing w:val="0"/>
          <w:w w:val="100"/>
          <w:position w:val="0"/>
        </w:rPr>
        <w:t>已获授但尚未解锁的</w:t>
      </w:r>
      <w:r>
        <w:rPr>
          <w:rFonts w:ascii="Times New Roman" w:eastAsia="Times New Roman" w:hAnsi="Times New Roman" w:cs="Times New Roman"/>
          <w:color w:val="000000"/>
          <w:spacing w:val="0"/>
          <w:w w:val="100"/>
          <w:position w:val="0"/>
          <w:sz w:val="18"/>
          <w:szCs w:val="18"/>
        </w:rPr>
        <w:t>130,000</w:t>
      </w:r>
      <w:r>
        <w:rPr>
          <w:color w:val="000000"/>
          <w:spacing w:val="0"/>
          <w:w w:val="100"/>
          <w:position w:val="0"/>
        </w:rPr>
        <w:t>股限制性股票进行回购注销。</w:t>
      </w:r>
    </w:p>
    <w:p>
      <w:pPr>
        <w:pStyle w:val="Style26"/>
        <w:keepNext w:val="0"/>
        <w:keepLines w:val="0"/>
        <w:widowControl w:val="0"/>
        <w:shd w:val="clear" w:color="auto" w:fill="auto"/>
        <w:tabs>
          <w:tab w:pos="387" w:val="left"/>
        </w:tabs>
        <w:bidi w:val="0"/>
        <w:spacing w:before="0" w:after="0" w:line="320" w:lineRule="exact"/>
        <w:ind w:left="0" w:right="0" w:firstLine="0"/>
        <w:jc w:val="both"/>
      </w:pPr>
      <w:bookmarkStart w:id="332" w:name="bookmark332"/>
      <w:r>
        <w:rPr>
          <w:rFonts w:ascii="Times New Roman" w:eastAsia="Times New Roman" w:hAnsi="Times New Roman" w:cs="Times New Roman"/>
          <w:color w:val="000000"/>
          <w:spacing w:val="0"/>
          <w:w w:val="100"/>
          <w:position w:val="0"/>
          <w:sz w:val="18"/>
          <w:szCs w:val="18"/>
        </w:rPr>
        <w:t>1</w:t>
      </w:r>
      <w:bookmarkEnd w:id="332"/>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日召开第二届董事会第十四次会议，审议通过《关于向激励对象授予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年预留限制性股票的议案》， 公司监事会于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日审议通过《关于向激励对象授予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年预留限制性股票的议案》，确定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年预 留限制性股票的授予日。公司独立董事对相关事项发表了独立意见，监事会对本次授予限制性股票的激励对象名单进行了核 实。</w:t>
      </w:r>
    </w:p>
    <w:p>
      <w:pPr>
        <w:pStyle w:val="Style26"/>
        <w:keepNext w:val="0"/>
        <w:keepLines w:val="0"/>
        <w:widowControl w:val="0"/>
        <w:shd w:val="clear" w:color="auto" w:fill="auto"/>
        <w:tabs>
          <w:tab w:pos="389" w:val="left"/>
        </w:tabs>
        <w:bidi w:val="0"/>
        <w:spacing w:before="0" w:after="0" w:line="318" w:lineRule="exact"/>
        <w:ind w:left="0" w:right="0" w:firstLine="0"/>
        <w:jc w:val="both"/>
      </w:pPr>
      <w:bookmarkStart w:id="333" w:name="bookmark333"/>
      <w:r>
        <w:rPr>
          <w:rFonts w:ascii="Times New Roman" w:eastAsia="Times New Roman" w:hAnsi="Times New Roman" w:cs="Times New Roman"/>
          <w:color w:val="000000"/>
          <w:spacing w:val="0"/>
          <w:w w:val="100"/>
          <w:position w:val="0"/>
          <w:sz w:val="18"/>
          <w:szCs w:val="18"/>
        </w:rPr>
        <w:t>1</w:t>
      </w:r>
      <w:bookmarkEnd w:id="3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日召开第二届董事会第十五次会议，审议通过《关于回购注销部分激励对象已获授但尚未解锁的限 制性股票的议案》，公司监事会于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日审议通过《关于回购注销部分激励对象已获授但尚未解锁的限制性股票的 议案》，因原激励对象王进亮、曾川离职，公司回购注销其已获授但尚未解锁的</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股限制性股票。该议案提交公司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年第一次临时股东大会审议通过。</w:t>
      </w:r>
    </w:p>
    <w:p>
      <w:pPr>
        <w:pStyle w:val="Style26"/>
        <w:keepNext w:val="0"/>
        <w:keepLines w:val="0"/>
        <w:widowControl w:val="0"/>
        <w:shd w:val="clear" w:color="auto" w:fill="auto"/>
        <w:bidi w:val="0"/>
        <w:spacing w:before="0" w:after="0" w:line="318" w:lineRule="exact"/>
        <w:ind w:left="0" w:right="0" w:firstLine="0"/>
        <w:jc w:val="both"/>
      </w:pPr>
      <w:bookmarkStart w:id="334" w:name="bookmark334"/>
      <w:r>
        <w:rPr>
          <w:rFonts w:ascii="Times New Roman" w:eastAsia="Times New Roman" w:hAnsi="Times New Roman" w:cs="Times New Roman"/>
          <w:color w:val="000000"/>
          <w:spacing w:val="0"/>
          <w:w w:val="100"/>
          <w:position w:val="0"/>
          <w:sz w:val="18"/>
          <w:szCs w:val="18"/>
        </w:rPr>
        <w:t>1</w:t>
      </w:r>
      <w:bookmarkEnd w:id="3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日召开第二届董事会第十九次会议，审议通过《《关于公司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年限制性股票激励计划首次授予 部分的第一个解锁期解锁条件成就可解锁的议案》，公司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年限制性股票激励计划首次授予的限制性股票第一个解锁期 解锁条件已经满足，根据《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）的相关规定，公司将按照规定办理首次 授予部分的第一个解锁期所涉及限制性股票总额的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的解锁相关事宜。解锁事项已经于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日办理完毕。</w:t>
      </w:r>
    </w:p>
    <w:p>
      <w:pPr>
        <w:pStyle w:val="Style26"/>
        <w:keepNext w:val="0"/>
        <w:keepLines w:val="0"/>
        <w:widowControl w:val="0"/>
        <w:shd w:val="clear" w:color="auto" w:fill="auto"/>
        <w:tabs>
          <w:tab w:pos="394" w:val="left"/>
        </w:tabs>
        <w:bidi w:val="0"/>
        <w:spacing w:before="0" w:after="0" w:line="314" w:lineRule="exact"/>
        <w:ind w:left="0" w:right="0" w:firstLine="0"/>
        <w:jc w:val="both"/>
      </w:pPr>
      <w:bookmarkStart w:id="335" w:name="bookmark335"/>
      <w:r>
        <w:rPr>
          <w:rFonts w:ascii="Times New Roman" w:eastAsia="Times New Roman" w:hAnsi="Times New Roman" w:cs="Times New Roman"/>
          <w:color w:val="000000"/>
          <w:spacing w:val="0"/>
          <w:w w:val="100"/>
          <w:position w:val="0"/>
          <w:sz w:val="18"/>
          <w:szCs w:val="18"/>
        </w:rPr>
        <w:t>1</w:t>
      </w:r>
      <w:bookmarkEnd w:id="3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年年度股东大会同意，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年的利润分配方案为以实施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年年度权益分配方案时股权登记日享有利润分 配、公积金转增股本权利的总股本为基数，向全体股东每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0.75</w:t>
      </w:r>
      <w:r>
        <w:rPr>
          <w:color w:val="000000"/>
          <w:spacing w:val="0"/>
          <w:w w:val="100"/>
          <w:position w:val="0"/>
        </w:rPr>
        <w:t>元（含税）、以资本公积金每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股、不送红股。权益分派方案已经于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日实施完毕，公司总股本增加至</w:t>
      </w:r>
      <w:r>
        <w:rPr>
          <w:rFonts w:ascii="Times New Roman" w:eastAsia="Times New Roman" w:hAnsi="Times New Roman" w:cs="Times New Roman"/>
          <w:color w:val="000000"/>
          <w:spacing w:val="0"/>
          <w:w w:val="100"/>
          <w:position w:val="0"/>
          <w:sz w:val="18"/>
          <w:szCs w:val="18"/>
        </w:rPr>
        <w:t>117,306,000</w:t>
      </w:r>
      <w:r>
        <w:rPr>
          <w:color w:val="000000"/>
          <w:spacing w:val="0"/>
          <w:w w:val="100"/>
          <w:position w:val="0"/>
        </w:rPr>
        <w:t>股。</w:t>
      </w:r>
    </w:p>
    <w:p>
      <w:pPr>
        <w:pStyle w:val="Style26"/>
        <w:keepNext w:val="0"/>
        <w:keepLines w:val="0"/>
        <w:widowControl w:val="0"/>
        <w:shd w:val="clear" w:color="auto" w:fill="auto"/>
        <w:tabs>
          <w:tab w:pos="394" w:val="left"/>
        </w:tabs>
        <w:bidi w:val="0"/>
        <w:spacing w:before="0" w:after="0" w:line="314" w:lineRule="exact"/>
        <w:ind w:left="0" w:right="0" w:firstLine="0"/>
        <w:jc w:val="both"/>
      </w:pPr>
      <w:bookmarkStart w:id="336" w:name="bookmark336"/>
      <w:r>
        <w:rPr>
          <w:rFonts w:ascii="Times New Roman" w:eastAsia="Times New Roman" w:hAnsi="Times New Roman" w:cs="Times New Roman"/>
          <w:color w:val="000000"/>
          <w:spacing w:val="0"/>
          <w:w w:val="100"/>
          <w:position w:val="0"/>
          <w:sz w:val="18"/>
          <w:szCs w:val="18"/>
        </w:rPr>
        <w:t>1</w:t>
      </w:r>
      <w:bookmarkEnd w:id="33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日召开第二届董事会第二十三次会议，审议通过《关于调整限制性股票回购注销价格及回购注销数 量的议案》、《关于回购注销部分限制性股票的议案》。因公司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年年度权益分派、资本公积转增股本方案于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日实施完毕，根据公司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年限制性股票激励计划相关规定，应对限制性股票回购价格及回购注销数量进行相应的调整， 同时对部分限制性股票进行回购注销。上述两项事项经公司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年第五次临时股东大会审议通过后生效。</w:t>
      </w:r>
    </w:p>
    <w:p>
      <w:pPr>
        <w:pStyle w:val="Style26"/>
        <w:keepNext w:val="0"/>
        <w:keepLines w:val="0"/>
        <w:widowControl w:val="0"/>
        <w:shd w:val="clear" w:color="auto" w:fill="auto"/>
        <w:tabs>
          <w:tab w:pos="394" w:val="left"/>
        </w:tabs>
        <w:bidi w:val="0"/>
        <w:spacing w:before="0" w:after="0" w:line="314" w:lineRule="exact"/>
        <w:ind w:left="0" w:right="0" w:firstLine="0"/>
        <w:jc w:val="both"/>
      </w:pPr>
      <w:bookmarkStart w:id="337" w:name="bookmark337"/>
      <w:r>
        <w:rPr>
          <w:rFonts w:ascii="Times New Roman" w:eastAsia="Times New Roman" w:hAnsi="Times New Roman" w:cs="Times New Roman"/>
          <w:color w:val="000000"/>
          <w:spacing w:val="0"/>
          <w:w w:val="100"/>
          <w:position w:val="0"/>
          <w:sz w:val="18"/>
          <w:szCs w:val="18"/>
        </w:rPr>
        <w:t>1</w:t>
      </w:r>
      <w:bookmarkEnd w:id="33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年年度股东大会同意，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年的利润分配方案为以实施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年年度权益分配方案时股权登记日享有利润分 配、公积金转增股本权利的总股本为基数，向全体股东每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0.55</w:t>
      </w:r>
      <w:r>
        <w:rPr>
          <w:color w:val="000000"/>
          <w:spacing w:val="0"/>
          <w:w w:val="100"/>
          <w:position w:val="0"/>
        </w:rPr>
        <w:t>元（含税）、以资本公积金每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股、不送红股。权益分派方案已经于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日实施完毕，公司总股本增加至</w:t>
      </w:r>
      <w:r>
        <w:rPr>
          <w:rFonts w:ascii="Times New Roman" w:eastAsia="Times New Roman" w:hAnsi="Times New Roman" w:cs="Times New Roman"/>
          <w:color w:val="000000"/>
          <w:spacing w:val="0"/>
          <w:w w:val="100"/>
          <w:position w:val="0"/>
          <w:sz w:val="18"/>
          <w:szCs w:val="18"/>
        </w:rPr>
        <w:t>164,066,700</w:t>
      </w:r>
      <w:r>
        <w:rPr>
          <w:color w:val="000000"/>
          <w:spacing w:val="0"/>
          <w:w w:val="100"/>
          <w:position w:val="0"/>
        </w:rPr>
        <w:t>股。</w:t>
      </w:r>
    </w:p>
    <w:p>
      <w:pPr>
        <w:pStyle w:val="Style26"/>
        <w:keepNext w:val="0"/>
        <w:keepLines w:val="0"/>
        <w:widowControl w:val="0"/>
        <w:shd w:val="clear" w:color="auto" w:fill="auto"/>
        <w:bidi w:val="0"/>
        <w:spacing w:before="0" w:after="0" w:line="320" w:lineRule="exact"/>
        <w:ind w:left="0" w:right="0" w:firstLine="0"/>
        <w:jc w:val="both"/>
      </w:pPr>
      <w:bookmarkStart w:id="338" w:name="bookmark338"/>
      <w:r>
        <w:rPr>
          <w:rFonts w:ascii="Times New Roman" w:eastAsia="Times New Roman" w:hAnsi="Times New Roman" w:cs="Times New Roman"/>
          <w:color w:val="000000"/>
          <w:spacing w:val="0"/>
          <w:w w:val="100"/>
          <w:position w:val="0"/>
          <w:sz w:val="18"/>
          <w:szCs w:val="18"/>
        </w:rPr>
        <w:t>1</w:t>
      </w:r>
      <w:bookmarkEnd w:id="338"/>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日召开第三届董事会第七次会议，审议通过《关于调整限制性股票回购价格的议案》。因公司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年年度权益分派、资本公积转增股本方案于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日实施完毕，根据公司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年限制性股票激励计划相关规定，对限 制性股票回购价格进行相应的调整。</w:t>
      </w:r>
    </w:p>
    <w:p>
      <w:pPr>
        <w:pStyle w:val="Style26"/>
        <w:keepNext w:val="0"/>
        <w:keepLines w:val="0"/>
        <w:widowControl w:val="0"/>
        <w:shd w:val="clear" w:color="auto" w:fill="auto"/>
        <w:bidi w:val="0"/>
        <w:spacing w:before="0" w:after="0" w:line="320" w:lineRule="exact"/>
        <w:ind w:left="0" w:right="0" w:firstLine="0"/>
        <w:jc w:val="both"/>
      </w:pPr>
      <w:bookmarkStart w:id="339" w:name="bookmark339"/>
      <w:r>
        <w:rPr>
          <w:rFonts w:ascii="Times New Roman" w:eastAsia="Times New Roman" w:hAnsi="Times New Roman" w:cs="Times New Roman"/>
          <w:color w:val="000000"/>
          <w:spacing w:val="0"/>
          <w:w w:val="100"/>
          <w:position w:val="0"/>
          <w:sz w:val="18"/>
          <w:szCs w:val="18"/>
        </w:rPr>
        <w:t>1</w:t>
      </w:r>
      <w:bookmarkEnd w:id="339"/>
      <w:r>
        <w:rPr>
          <w:rFonts w:ascii="Times New Roman" w:eastAsia="Times New Roman" w:hAnsi="Times New Roman" w:cs="Times New Roman"/>
          <w:color w:val="000000"/>
          <w:spacing w:val="0"/>
          <w:w w:val="100"/>
          <w:position w:val="0"/>
          <w:sz w:val="18"/>
          <w:szCs w:val="18"/>
        </w:rPr>
        <w:t>7</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日召开第三届董事会第十一次会议，审议通过《关于回购注销部分限制性股票的议案》。因原激励 对象李峰离职，公司回购注销其已获授但尚未解锁的</w:t>
      </w:r>
      <w:r>
        <w:rPr>
          <w:rFonts w:ascii="Times New Roman" w:eastAsia="Times New Roman" w:hAnsi="Times New Roman" w:cs="Times New Roman"/>
          <w:color w:val="000000"/>
          <w:spacing w:val="0"/>
          <w:w w:val="100"/>
          <w:position w:val="0"/>
          <w:sz w:val="18"/>
          <w:szCs w:val="18"/>
        </w:rPr>
        <w:t>29,400</w:t>
      </w:r>
      <w:r>
        <w:rPr>
          <w:color w:val="000000"/>
          <w:spacing w:val="0"/>
          <w:w w:val="100"/>
          <w:position w:val="0"/>
        </w:rPr>
        <w:t>股限制性股票。该议案提交公司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年第四次临时股东大会审议 通过。</w:t>
      </w:r>
    </w:p>
    <w:p>
      <w:pPr>
        <w:pStyle w:val="Style26"/>
        <w:keepNext w:val="0"/>
        <w:keepLines w:val="0"/>
        <w:widowControl w:val="0"/>
        <w:shd w:val="clear" w:color="auto" w:fill="auto"/>
        <w:tabs>
          <w:tab w:pos="398" w:val="left"/>
        </w:tabs>
        <w:bidi w:val="0"/>
        <w:spacing w:before="0" w:after="0" w:line="320" w:lineRule="exact"/>
        <w:ind w:left="0" w:right="0" w:firstLine="0"/>
        <w:jc w:val="both"/>
      </w:pPr>
      <w:bookmarkStart w:id="340" w:name="bookmark340"/>
      <w:r>
        <w:rPr>
          <w:color w:val="000000"/>
          <w:spacing w:val="0"/>
          <w:w w:val="100"/>
          <w:position w:val="0"/>
          <w:sz w:val="18"/>
          <w:szCs w:val="18"/>
        </w:rPr>
        <w:t>1</w:t>
      </w:r>
      <w:bookmarkEnd w:id="340"/>
      <w:r>
        <w:rPr>
          <w:color w:val="000000"/>
          <w:spacing w:val="0"/>
          <w:w w:val="100"/>
          <w:position w:val="0"/>
          <w:sz w:val="18"/>
          <w:szCs w:val="18"/>
        </w:rPr>
        <w:t>8</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日召开第三届董事会第十一次会议，审议通过《关于回购注销部分限制性股票的议案》。因原激励 对象马雄伟、徐江民离职，公司回购注销其已获授但尚未解锁的</w:t>
      </w:r>
      <w:r>
        <w:rPr>
          <w:rFonts w:ascii="Times New Roman" w:eastAsia="Times New Roman" w:hAnsi="Times New Roman" w:cs="Times New Roman"/>
          <w:color w:val="000000"/>
          <w:spacing w:val="0"/>
          <w:w w:val="100"/>
          <w:position w:val="0"/>
          <w:sz w:val="18"/>
          <w:szCs w:val="18"/>
        </w:rPr>
        <w:t>617,400</w:t>
      </w:r>
      <w:r>
        <w:rPr>
          <w:color w:val="000000"/>
          <w:spacing w:val="0"/>
          <w:w w:val="100"/>
          <w:position w:val="0"/>
        </w:rPr>
        <w:t>股限制性股票。该议案提交公司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股东大会审议通过。</w:t>
      </w:r>
    </w:p>
    <w:p>
      <w:pPr>
        <w:pStyle w:val="Style26"/>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本报告期计提股权激励费用</w:t>
      </w:r>
      <w:r>
        <w:rPr>
          <w:color w:val="000000"/>
          <w:spacing w:val="0"/>
          <w:w w:val="100"/>
          <w:position w:val="0"/>
          <w:sz w:val="18"/>
          <w:szCs w:val="18"/>
        </w:rPr>
        <w:t>582.5</w:t>
      </w:r>
      <w:r>
        <w:rPr>
          <w:color w:val="000000"/>
          <w:spacing w:val="0"/>
          <w:w w:val="100"/>
          <w:position w:val="0"/>
          <w:sz w:val="18"/>
          <w:szCs w:val="18"/>
        </w:rPr>
        <w:t>1</w:t>
      </w:r>
      <w:r>
        <w:rPr>
          <w:color w:val="000000"/>
          <w:spacing w:val="0"/>
          <w:w w:val="100"/>
          <w:position w:val="0"/>
        </w:rPr>
        <w:t>万元，对净利润的影响为</w:t>
      </w:r>
      <w:r>
        <w:rPr>
          <w:color w:val="000000"/>
          <w:spacing w:val="0"/>
          <w:w w:val="100"/>
          <w:position w:val="0"/>
          <w:sz w:val="18"/>
          <w:szCs w:val="18"/>
        </w:rPr>
        <w:t>-524.26</w:t>
      </w:r>
      <w:r>
        <w:rPr>
          <w:color w:val="000000"/>
          <w:spacing w:val="0"/>
          <w:w w:val="100"/>
          <w:position w:val="0"/>
        </w:rPr>
        <w:t>万元。其中核心技术人员的股权激励费用为</w:t>
      </w:r>
      <w:r>
        <w:rPr>
          <w:color w:val="000000"/>
          <w:spacing w:val="0"/>
          <w:w w:val="100"/>
          <w:position w:val="0"/>
          <w:sz w:val="18"/>
          <w:szCs w:val="18"/>
        </w:rPr>
        <w:t>65.4</w:t>
      </w:r>
      <w:r>
        <w:rPr>
          <w:color w:val="000000"/>
          <w:spacing w:val="0"/>
          <w:w w:val="100"/>
          <w:position w:val="0"/>
          <w:sz w:val="18"/>
          <w:szCs w:val="18"/>
        </w:rPr>
        <w:t>7</w:t>
      </w:r>
      <w:r>
        <w:rPr>
          <w:color w:val="000000"/>
          <w:spacing w:val="0"/>
          <w:w w:val="100"/>
          <w:position w:val="0"/>
        </w:rPr>
        <w:t>万元， 占公司当期股权激励费用的</w:t>
      </w:r>
      <w:r>
        <w:rPr>
          <w:color w:val="000000"/>
          <w:spacing w:val="0"/>
          <w:w w:val="100"/>
          <w:position w:val="0"/>
          <w:sz w:val="18"/>
          <w:szCs w:val="18"/>
        </w:rPr>
        <w:t>11.24%</w:t>
      </w:r>
      <w:r>
        <w:rPr>
          <w:color w:val="000000"/>
          <w:spacing w:val="0"/>
          <w:w w:val="100"/>
          <w:position w:val="0"/>
        </w:rPr>
        <w:t>。</w:t>
      </w:r>
    </w:p>
    <w:p>
      <w:pPr>
        <w:pStyle w:val="Style22"/>
        <w:keepNext/>
        <w:keepLines/>
        <w:widowControl w:val="0"/>
        <w:shd w:val="clear" w:color="auto" w:fill="auto"/>
        <w:bidi w:val="0"/>
        <w:spacing w:before="0" w:line="240" w:lineRule="auto"/>
        <w:ind w:left="0" w:right="0" w:firstLine="0"/>
        <w:jc w:val="both"/>
      </w:pPr>
      <w:bookmarkStart w:id="341" w:name="bookmark341"/>
      <w:bookmarkStart w:id="342" w:name="bookmark342"/>
      <w:bookmarkStart w:id="343" w:name="bookmark343"/>
      <w:r>
        <w:rPr>
          <w:color w:val="000000"/>
          <w:spacing w:val="0"/>
          <w:w w:val="100"/>
          <w:position w:val="0"/>
          <w:sz w:val="24"/>
          <w:szCs w:val="24"/>
        </w:rPr>
        <w:t>十五、重大关联交易</w:t>
      </w:r>
      <w:bookmarkEnd w:id="341"/>
      <w:bookmarkEnd w:id="342"/>
      <w:bookmarkEnd w:id="343"/>
    </w:p>
    <w:p>
      <w:pPr>
        <w:pStyle w:val="Style30"/>
        <w:keepNext/>
        <w:keepLines/>
        <w:widowControl w:val="0"/>
        <w:shd w:val="clear" w:color="auto" w:fill="auto"/>
        <w:tabs>
          <w:tab w:pos="334" w:val="left"/>
        </w:tabs>
        <w:bidi w:val="0"/>
        <w:spacing w:before="0" w:after="280" w:line="240" w:lineRule="auto"/>
        <w:ind w:left="0" w:right="0" w:firstLine="0"/>
        <w:jc w:val="both"/>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w:t>
        <w:tab/>
        <w:t>与日常经营相关的关联交易</w:t>
      </w:r>
      <w:bookmarkEnd w:id="344"/>
      <w:bookmarkEnd w:id="345"/>
      <w:bookmarkEnd w:id="347"/>
    </w:p>
    <w:p>
      <w:pPr>
        <w:pStyle w:val="Style26"/>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360" w:line="318" w:lineRule="exact"/>
        <w:ind w:left="0" w:right="0" w:firstLine="0"/>
        <w:jc w:val="both"/>
      </w:pPr>
      <w:r>
        <w:rPr>
          <w:color w:val="000000"/>
          <w:spacing w:val="0"/>
          <w:w w:val="100"/>
          <w:position w:val="0"/>
        </w:rPr>
        <w:t>公司报告期未发生与日常经营相关的关联交易。</w:t>
      </w:r>
    </w:p>
    <w:p>
      <w:pPr>
        <w:pStyle w:val="Style30"/>
        <w:keepNext/>
        <w:keepLines/>
        <w:widowControl w:val="0"/>
        <w:shd w:val="clear" w:color="auto" w:fill="auto"/>
        <w:tabs>
          <w:tab w:pos="336" w:val="left"/>
        </w:tabs>
        <w:bidi w:val="0"/>
        <w:spacing w:before="0" w:after="280" w:line="240" w:lineRule="auto"/>
        <w:ind w:left="0" w:right="0" w:firstLine="0"/>
        <w:jc w:val="both"/>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2</w:t>
      </w:r>
      <w:bookmarkEnd w:id="350"/>
      <w:r>
        <w:rPr>
          <w:color w:val="000000"/>
          <w:spacing w:val="0"/>
          <w:w w:val="100"/>
          <w:position w:val="0"/>
        </w:rPr>
        <w:t>、</w:t>
        <w:tab/>
        <w:t>资产或股权收购、出售发生的关联交易</w:t>
      </w:r>
      <w:bookmarkEnd w:id="348"/>
      <w:bookmarkEnd w:id="349"/>
      <w:bookmarkEnd w:id="351"/>
    </w:p>
    <w:p>
      <w:pPr>
        <w:pStyle w:val="Style26"/>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公司报告期未发生资产或股权收购、出售的关联交易。</w:t>
      </w:r>
    </w:p>
    <w:p>
      <w:pPr>
        <w:pStyle w:val="Style30"/>
        <w:keepNext/>
        <w:keepLines/>
        <w:widowControl w:val="0"/>
        <w:shd w:val="clear" w:color="auto" w:fill="auto"/>
        <w:bidi w:val="0"/>
        <w:spacing w:before="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3</w:t>
      </w:r>
      <w:bookmarkEnd w:id="354"/>
      <w:r>
        <w:rPr>
          <w:color w:val="000000"/>
          <w:spacing w:val="0"/>
          <w:w w:val="100"/>
          <w:position w:val="0"/>
        </w:rPr>
        <w:t>、共同对外投资的关联交易</w:t>
      </w:r>
      <w:bookmarkEnd w:id="352"/>
      <w:bookmarkEnd w:id="353"/>
      <w:bookmarkEnd w:id="355"/>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80"/>
        <w:gridCol w:w="1075"/>
        <w:gridCol w:w="1075"/>
        <w:gridCol w:w="1224"/>
        <w:gridCol w:w="1080"/>
        <w:gridCol w:w="1349"/>
        <w:gridCol w:w="1349"/>
        <w:gridCol w:w="134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 主营业务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被投资企业 的注册资本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被投资企业的总 资产（万元）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被投资企业的净 利润（万元）</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杭州磐源投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和仁智慧健 康科技有限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健康咨询服 务、大数据服 务、企业管理 咨询、技术服 务、技术开发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r>
      <w:tr>
        <w:trPr>
          <w:trHeight w:val="72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被投资企业的重大在建项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4</w:t>
      </w:r>
      <w:bookmarkEnd w:id="358"/>
      <w:r>
        <w:rPr>
          <w:color w:val="000000"/>
          <w:spacing w:val="0"/>
          <w:w w:val="100"/>
          <w:position w:val="0"/>
        </w:rPr>
        <w:t>、关联债权债务往来</w:t>
      </w:r>
      <w:bookmarkEnd w:id="356"/>
      <w:bookmarkEnd w:id="357"/>
      <w:bookmarkEnd w:id="35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公司报告期不存在非经营性关联债权债务往来。</w:t>
      </w:r>
    </w:p>
    <w:p>
      <w:pPr>
        <w:pStyle w:val="Style30"/>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5</w:t>
      </w:r>
      <w:bookmarkEnd w:id="362"/>
      <w:r>
        <w:rPr>
          <w:color w:val="000000"/>
          <w:spacing w:val="0"/>
          <w:w w:val="100"/>
          <w:position w:val="0"/>
        </w:rPr>
        <w:t>、其他重大关联交易</w:t>
      </w:r>
      <w:bookmarkEnd w:id="360"/>
      <w:bookmarkEnd w:id="361"/>
      <w:bookmarkEnd w:id="363"/>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22"/>
        <w:keepNext/>
        <w:keepLines/>
        <w:widowControl w:val="0"/>
        <w:shd w:val="clear" w:color="auto" w:fill="auto"/>
        <w:bidi w:val="0"/>
        <w:spacing w:before="0" w:line="240" w:lineRule="auto"/>
        <w:ind w:left="0" w:right="0" w:firstLine="0"/>
        <w:jc w:val="both"/>
      </w:pPr>
      <w:bookmarkStart w:id="364" w:name="bookmark364"/>
      <w:bookmarkStart w:id="365" w:name="bookmark365"/>
      <w:bookmarkStart w:id="366" w:name="bookmark366"/>
      <w:r>
        <w:rPr>
          <w:color w:val="000000"/>
          <w:spacing w:val="0"/>
          <w:w w:val="100"/>
          <w:position w:val="0"/>
          <w:sz w:val="24"/>
          <w:szCs w:val="24"/>
        </w:rPr>
        <w:t>十六、重大合同及其履行情况</w:t>
      </w:r>
      <w:bookmarkEnd w:id="364"/>
      <w:bookmarkEnd w:id="365"/>
      <w:bookmarkEnd w:id="366"/>
    </w:p>
    <w:p>
      <w:pPr>
        <w:pStyle w:val="Style30"/>
        <w:keepNext/>
        <w:keepLines/>
        <w:widowControl w:val="0"/>
        <w:shd w:val="clear" w:color="auto" w:fill="auto"/>
        <w:bidi w:val="0"/>
        <w:spacing w:before="0" w:line="240" w:lineRule="auto"/>
        <w:ind w:left="0" w:right="0" w:firstLine="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、托管、承包、租赁事项情况</w:t>
      </w:r>
      <w:bookmarkEnd w:id="367"/>
      <w:bookmarkEnd w:id="368"/>
      <w:bookmarkEnd w:id="370"/>
    </w:p>
    <w:p>
      <w:pPr>
        <w:pStyle w:val="Style37"/>
        <w:keepNext/>
        <w:keepLines/>
        <w:widowControl w:val="0"/>
        <w:shd w:val="clear" w:color="auto" w:fill="auto"/>
        <w:tabs>
          <w:tab w:pos="493" w:val="left"/>
        </w:tabs>
        <w:bidi w:val="0"/>
        <w:spacing w:before="0" w:after="360" w:line="240" w:lineRule="auto"/>
        <w:ind w:left="0" w:right="0" w:firstLine="0"/>
        <w:jc w:val="both"/>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1"/>
      <w:bookmarkEnd w:id="372"/>
      <w:bookmarkEnd w:id="374"/>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after="360" w:line="240" w:lineRule="auto"/>
        <w:ind w:left="0" w:right="0" w:firstLine="0"/>
        <w:jc w:val="both"/>
      </w:pPr>
      <w:bookmarkStart w:id="375" w:name="bookmark375"/>
      <w:bookmarkStart w:id="376" w:name="bookmark376"/>
      <w:bookmarkStart w:id="377" w:name="bookmark377"/>
      <w:bookmarkStart w:id="378" w:name="bookmark378"/>
      <w:r>
        <w:rPr>
          <w:color w:val="000000"/>
          <w:spacing w:val="0"/>
          <w:w w:val="100"/>
          <w:position w:val="0"/>
        </w:rPr>
        <w:t>（</w:t>
      </w:r>
      <w:bookmarkEnd w:id="37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5"/>
      <w:bookmarkEnd w:id="376"/>
      <w:bookmarkEnd w:id="378"/>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after="360" w:line="240" w:lineRule="auto"/>
        <w:ind w:left="0" w:right="0" w:firstLine="0"/>
        <w:jc w:val="both"/>
      </w:pPr>
      <w:bookmarkStart w:id="379" w:name="bookmark379"/>
      <w:bookmarkStart w:id="380" w:name="bookmark380"/>
      <w:bookmarkStart w:id="381" w:name="bookmark381"/>
      <w:bookmarkStart w:id="382" w:name="bookmark382"/>
      <w:r>
        <w:rPr>
          <w:color w:val="000000"/>
          <w:spacing w:val="0"/>
          <w:w w:val="100"/>
          <w:position w:val="0"/>
        </w:rPr>
        <w:t>（</w:t>
      </w:r>
      <w:bookmarkEnd w:id="38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9"/>
      <w:bookmarkEnd w:id="380"/>
      <w:bookmarkEnd w:id="382"/>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租赁情况说明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本报告期，公司将位于杭州市滨江区新联路</w:t>
      </w: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号的部分房产用于出租。</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0"/>
        <w:keepNext/>
        <w:keepLines/>
        <w:widowControl w:val="0"/>
        <w:shd w:val="clear" w:color="auto" w:fill="auto"/>
        <w:tabs>
          <w:tab w:pos="378" w:val="left"/>
        </w:tabs>
        <w:bidi w:val="0"/>
        <w:spacing w:before="0" w:after="38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w:t>
        <w:tab/>
        <w:t>重大担保</w:t>
      </w:r>
      <w:bookmarkEnd w:id="383"/>
      <w:bookmarkEnd w:id="384"/>
      <w:bookmarkEnd w:id="386"/>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0"/>
        <w:keepNext/>
        <w:keepLines/>
        <w:widowControl w:val="0"/>
        <w:shd w:val="clear" w:color="auto" w:fill="auto"/>
        <w:tabs>
          <w:tab w:pos="378" w:val="left"/>
        </w:tabs>
        <w:bidi w:val="0"/>
        <w:spacing w:before="0" w:after="38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3</w:t>
      </w:r>
      <w:bookmarkEnd w:id="389"/>
      <w:r>
        <w:rPr>
          <w:color w:val="000000"/>
          <w:spacing w:val="0"/>
          <w:w w:val="100"/>
          <w:position w:val="0"/>
        </w:rPr>
        <w:t>、</w:t>
        <w:tab/>
        <w:t>日常经营重大合同</w:t>
      </w:r>
      <w:bookmarkEnd w:id="387"/>
      <w:bookmarkEnd w:id="388"/>
      <w:bookmarkEnd w:id="39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1"/>
        <w:gridCol w:w="1066"/>
        <w:gridCol w:w="1061"/>
        <w:gridCol w:w="1066"/>
        <w:gridCol w:w="1061"/>
        <w:gridCol w:w="1075"/>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 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合同履行的 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本期确认的 销售收入金</w:t>
            </w:r>
          </w:p>
          <w:p>
            <w:pPr>
              <w:pStyle w:val="Style2"/>
              <w:keepNext w:val="0"/>
              <w:keepLines w:val="0"/>
              <w:widowControl w:val="0"/>
              <w:shd w:val="clear" w:color="auto" w:fill="auto"/>
              <w:bidi w:val="0"/>
              <w:spacing w:before="0" w:after="0" w:line="307" w:lineRule="exact"/>
              <w:ind w:left="0" w:right="0" w:firstLine="4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累计确认的 销售收入金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 款情况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影响重大合 同履行的各 项条件是否 发生重大变</w:t>
            </w:r>
          </w:p>
          <w:p>
            <w:pPr>
              <w:pStyle w:val="Style2"/>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是否存在合 同无法履行 的重大风险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中国人民解 放军总医院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已验收未决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137,834,643.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127,262,600.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江西省妇幼 保健院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82,091,258.4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正常进行中， 总体进度</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26,250,876.8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59,281,242.2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44,916,895.3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江西省儿童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正常进行中， 总体进度</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31,423,397.1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36,415,853.0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58,749,692.9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渭南市老城 区改造开发 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86,983,897.0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尚未有进展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4</w:t>
      </w:r>
      <w:bookmarkEnd w:id="393"/>
      <w:r>
        <w:rPr>
          <w:color w:val="000000"/>
          <w:spacing w:val="0"/>
          <w:w w:val="100"/>
          <w:position w:val="0"/>
        </w:rPr>
        <w:t>、委托他人进行现金资产管理情况</w:t>
      </w:r>
      <w:bookmarkEnd w:id="391"/>
      <w:bookmarkEnd w:id="392"/>
      <w:bookmarkEnd w:id="394"/>
    </w:p>
    <w:p>
      <w:pPr>
        <w:pStyle w:val="Style37"/>
        <w:keepNext/>
        <w:keepLines/>
        <w:widowControl w:val="0"/>
        <w:shd w:val="clear" w:color="auto" w:fill="auto"/>
        <w:bidi w:val="0"/>
        <w:spacing w:before="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5"/>
      <w:bookmarkEnd w:id="396"/>
      <w:bookmarkEnd w:id="398"/>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单项金额重大或安全性较低、流动性较差、不保本的高风险委托理财具体情况</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委托理财出现预期无法收回本金或存在其他可能导致减值的情形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24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9"/>
      <w:bookmarkEnd w:id="400"/>
      <w:bookmarkEnd w:id="402"/>
    </w:p>
    <w:p>
      <w:pPr>
        <w:pStyle w:val="Style26"/>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公司报告期不存在委托贷款。</w:t>
      </w:r>
    </w:p>
    <w:p>
      <w:pPr>
        <w:pStyle w:val="Style30"/>
        <w:keepNext/>
        <w:keepLines/>
        <w:widowControl w:val="0"/>
        <w:shd w:val="clear" w:color="auto" w:fill="auto"/>
        <w:bidi w:val="0"/>
        <w:spacing w:before="0" w:after="24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5</w:t>
      </w:r>
      <w:bookmarkEnd w:id="405"/>
      <w:r>
        <w:rPr>
          <w:color w:val="000000"/>
          <w:spacing w:val="0"/>
          <w:w w:val="100"/>
          <w:position w:val="0"/>
        </w:rPr>
        <w:t>、其他重大合同</w:t>
      </w:r>
      <w:bookmarkEnd w:id="403"/>
      <w:bookmarkEnd w:id="404"/>
      <w:bookmarkEnd w:id="406"/>
    </w:p>
    <w:p>
      <w:pPr>
        <w:pStyle w:val="Style26"/>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公司报告期不存在其他重大合同。</w:t>
      </w:r>
    </w:p>
    <w:p>
      <w:pPr>
        <w:pStyle w:val="Style22"/>
        <w:keepNext/>
        <w:keepLines/>
        <w:widowControl w:val="0"/>
        <w:shd w:val="clear" w:color="auto" w:fill="auto"/>
        <w:bidi w:val="0"/>
        <w:spacing w:before="0" w:line="240" w:lineRule="auto"/>
        <w:ind w:left="0" w:right="0" w:firstLine="0"/>
        <w:jc w:val="left"/>
      </w:pPr>
      <w:bookmarkStart w:id="407" w:name="bookmark407"/>
      <w:bookmarkStart w:id="408" w:name="bookmark408"/>
      <w:bookmarkStart w:id="409" w:name="bookmark409"/>
      <w:r>
        <w:rPr>
          <w:color w:val="000000"/>
          <w:spacing w:val="0"/>
          <w:w w:val="100"/>
          <w:position w:val="0"/>
          <w:sz w:val="24"/>
          <w:szCs w:val="24"/>
        </w:rPr>
        <w:t>十七、社会责任情况</w:t>
      </w:r>
      <w:bookmarkEnd w:id="407"/>
      <w:bookmarkEnd w:id="408"/>
      <w:bookmarkEnd w:id="409"/>
    </w:p>
    <w:p>
      <w:pPr>
        <w:pStyle w:val="Style30"/>
        <w:keepNext/>
        <w:keepLines/>
        <w:widowControl w:val="0"/>
        <w:shd w:val="clear" w:color="auto" w:fill="auto"/>
        <w:tabs>
          <w:tab w:pos="371" w:val="left"/>
        </w:tabs>
        <w:bidi w:val="0"/>
        <w:spacing w:before="0" w:after="24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1</w:t>
      </w:r>
      <w:bookmarkEnd w:id="412"/>
      <w:r>
        <w:rPr>
          <w:color w:val="000000"/>
          <w:spacing w:val="0"/>
          <w:w w:val="100"/>
          <w:position w:val="0"/>
        </w:rPr>
        <w:t>、</w:t>
        <w:tab/>
        <w:t>履行社会责任情况</w:t>
      </w:r>
      <w:bookmarkEnd w:id="410"/>
      <w:bookmarkEnd w:id="411"/>
      <w:bookmarkEnd w:id="413"/>
    </w:p>
    <w:p>
      <w:pPr>
        <w:pStyle w:val="Style26"/>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报告期内公司多维度助力疫情防抗，扛起医疗信息化服务者责任。在杭州出现疫情后，公司参建的杭州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城市大脑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卫健 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发挥了积极作用，杭州市卫健委与公安系统通过城市大脑，快速对接建立了卫健警务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新型冠状病毒防控系统，为防控 工作提供更实时更精准的参考与指导。公司积极履行医疗信息化企业的社会责任，为疫区提供高效率的医疗系统支持与援助， 为奋战在一线的医护人员提供帮助。同时，浙江物资告急，和仁科技火速行动，首期向杭州红十字会捐款</w:t>
      </w:r>
      <w:r>
        <w:rPr>
          <w:color w:val="000000"/>
          <w:spacing w:val="0"/>
          <w:w w:val="100"/>
          <w:position w:val="0"/>
          <w:sz w:val="18"/>
          <w:szCs w:val="18"/>
        </w:rPr>
        <w:t>100</w:t>
      </w:r>
      <w:r>
        <w:rPr>
          <w:color w:val="000000"/>
          <w:spacing w:val="0"/>
          <w:w w:val="100"/>
          <w:position w:val="0"/>
        </w:rPr>
        <w:t>万元，定向用 于采购医用口罩、防护服等物资。</w:t>
      </w:r>
    </w:p>
    <w:p>
      <w:pPr>
        <w:pStyle w:val="Style26"/>
        <w:keepNext w:val="0"/>
        <w:keepLines w:val="0"/>
        <w:widowControl w:val="0"/>
        <w:shd w:val="clear" w:color="auto" w:fill="auto"/>
        <w:bidi w:val="0"/>
        <w:spacing w:before="0" w:after="0" w:line="322" w:lineRule="exact"/>
        <w:ind w:left="0" w:right="0"/>
        <w:jc w:val="left"/>
      </w:pPr>
      <w:r>
        <w:rPr>
          <w:color w:val="000000"/>
          <w:spacing w:val="0"/>
          <w:w w:val="100"/>
          <w:position w:val="0"/>
        </w:rPr>
        <w:t>公司积极履行企业应尽的义务，承担社会责任。公司作为杭州市大学生实习基地，积极为大学生创造良好的就业实习环 境，为大学生社会实践搭建了新的服务平台，并丰富了大学生实践的内容。</w:t>
      </w:r>
    </w:p>
    <w:p>
      <w:pPr>
        <w:pStyle w:val="Style26"/>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公司为注重职工权利的保护，秉承着以人为本的理念，始终坚持公司与员工的共同发展。将企业的发展成果惠及全体员工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为其缴纳各类社会保险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构建了和谐稳定的劳资关系。积极为员工创造提升自我能力和素质的机会</w:t>
      </w:r>
      <w:r>
        <w:rPr>
          <w:color w:val="000000"/>
          <w:spacing w:val="0"/>
          <w:w w:val="100"/>
          <w:position w:val="0"/>
          <w:sz w:val="18"/>
          <w:szCs w:val="18"/>
        </w:rPr>
        <w:t>，</w:t>
      </w:r>
      <w:r>
        <w:rPr>
          <w:color w:val="000000"/>
          <w:spacing w:val="0"/>
          <w:w w:val="100"/>
          <w:position w:val="0"/>
        </w:rPr>
        <w:t>通过内训、外训的方式</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提高其岗位胜任力和匹配度。</w:t>
      </w:r>
    </w:p>
    <w:p>
      <w:pPr>
        <w:pStyle w:val="Style30"/>
        <w:keepNext/>
        <w:keepLines/>
        <w:widowControl w:val="0"/>
        <w:shd w:val="clear" w:color="auto" w:fill="auto"/>
        <w:tabs>
          <w:tab w:pos="378" w:val="left"/>
        </w:tabs>
        <w:bidi w:val="0"/>
        <w:spacing w:before="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2</w:t>
      </w:r>
      <w:bookmarkEnd w:id="416"/>
      <w:r>
        <w:rPr>
          <w:color w:val="000000"/>
          <w:spacing w:val="0"/>
          <w:w w:val="100"/>
          <w:position w:val="0"/>
        </w:rPr>
        <w:t>、</w:t>
        <w:tab/>
        <w:t>履行精准扶贫社会责任情况</w:t>
      </w:r>
      <w:bookmarkEnd w:id="414"/>
      <w:bookmarkEnd w:id="415"/>
      <w:bookmarkEnd w:id="417"/>
    </w:p>
    <w:p>
      <w:pPr>
        <w:pStyle w:val="Style37"/>
        <w:keepNext/>
        <w:keepLines/>
        <w:widowControl w:val="0"/>
        <w:shd w:val="clear" w:color="auto" w:fill="auto"/>
        <w:tabs>
          <w:tab w:pos="493" w:val="left"/>
        </w:tabs>
        <w:bidi w:val="0"/>
        <w:spacing w:before="0" w:after="36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w:t>
      </w:r>
      <w:bookmarkEnd w:id="420"/>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18"/>
      <w:bookmarkEnd w:id="419"/>
      <w:bookmarkEnd w:id="421"/>
    </w:p>
    <w:p>
      <w:pPr>
        <w:pStyle w:val="Style37"/>
        <w:keepNext/>
        <w:keepLines/>
        <w:widowControl w:val="0"/>
        <w:shd w:val="clear" w:color="auto" w:fill="auto"/>
        <w:tabs>
          <w:tab w:pos="493" w:val="left"/>
        </w:tabs>
        <w:bidi w:val="0"/>
        <w:spacing w:before="0" w:after="36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w:t>
      </w:r>
      <w:bookmarkEnd w:id="424"/>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22"/>
      <w:bookmarkEnd w:id="423"/>
      <w:bookmarkEnd w:id="425"/>
    </w:p>
    <w:p>
      <w:pPr>
        <w:pStyle w:val="Style37"/>
        <w:keepNext/>
        <w:keepLines/>
        <w:widowControl w:val="0"/>
        <w:shd w:val="clear" w:color="auto" w:fill="auto"/>
        <w:tabs>
          <w:tab w:pos="493" w:val="left"/>
        </w:tabs>
        <w:bidi w:val="0"/>
        <w:spacing w:before="0" w:after="36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w:t>
      </w:r>
      <w:bookmarkEnd w:id="428"/>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26"/>
      <w:bookmarkEnd w:id="427"/>
      <w:bookmarkEnd w:id="429"/>
    </w:p>
    <w:tbl>
      <w:tblPr>
        <w:tblOverlap w:val="never"/>
        <w:jc w:val="center"/>
        <w:tblLayout w:type="fixed"/>
      </w:tblPr>
      <w:tblGrid>
        <w:gridCol w:w="3629"/>
        <w:gridCol w:w="1555"/>
        <w:gridCol w:w="43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bl>
    <w:p>
      <w:pPr>
        <w:spacing w:lineRule="exact" w:line="1"/>
        <w:rPr>
          <w:sz w:val="2"/>
          <w:szCs w:val="2"/>
        </w:rPr>
      </w:pPr>
      <w:r>
        <w:br w:type="page"/>
      </w:r>
    </w:p>
    <w:tbl>
      <w:tblPr>
        <w:tblOverlap w:val="never"/>
        <w:jc w:val="center"/>
        <w:tblLayout w:type="fixed"/>
      </w:tblPr>
      <w:tblGrid>
        <w:gridCol w:w="3629"/>
        <w:gridCol w:w="1555"/>
        <w:gridCol w:w="43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39" w:line="1" w:lineRule="exact"/>
      </w:pPr>
    </w:p>
    <w:p>
      <w:pPr>
        <w:pStyle w:val="Style37"/>
        <w:keepNext/>
        <w:keepLines/>
        <w:widowControl w:val="0"/>
        <w:numPr>
          <w:ilvl w:val="0"/>
          <w:numId w:val="5"/>
        </w:numPr>
        <w:shd w:val="clear" w:color="auto" w:fill="auto"/>
        <w:bidi w:val="0"/>
        <w:spacing w:before="0" w:after="340" w:line="240" w:lineRule="auto"/>
        <w:ind w:left="0" w:right="0" w:firstLine="0"/>
        <w:jc w:val="left"/>
      </w:pPr>
      <w:bookmarkStart w:id="430" w:name="bookmark430"/>
      <w:bookmarkStart w:id="431" w:name="bookmark431"/>
      <w:bookmarkStart w:id="432" w:name="bookmark432"/>
      <w:bookmarkStart w:id="433" w:name="bookmark433"/>
      <w:bookmarkEnd w:id="432"/>
      <w:r>
        <w:rPr>
          <w:color w:val="000000"/>
          <w:spacing w:val="0"/>
          <w:w w:val="100"/>
          <w:position w:val="0"/>
        </w:rPr>
        <w:t>后续精准扶贫计划</w:t>
      </w:r>
      <w:bookmarkEnd w:id="430"/>
      <w:bookmarkEnd w:id="431"/>
      <w:bookmarkEnd w:id="433"/>
    </w:p>
    <w:p>
      <w:pPr>
        <w:pStyle w:val="Style30"/>
        <w:keepNext/>
        <w:keepLines/>
        <w:widowControl w:val="0"/>
        <w:shd w:val="clear" w:color="auto" w:fill="auto"/>
        <w:bidi w:val="0"/>
        <w:spacing w:before="0" w:after="40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3</w:t>
      </w:r>
      <w:bookmarkEnd w:id="436"/>
      <w:r>
        <w:rPr>
          <w:color w:val="000000"/>
          <w:spacing w:val="0"/>
          <w:w w:val="100"/>
          <w:position w:val="0"/>
        </w:rPr>
        <w:t>、环境保护相关的情况</w:t>
      </w:r>
      <w:bookmarkEnd w:id="434"/>
      <w:bookmarkEnd w:id="435"/>
      <w:bookmarkEnd w:id="43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公司为医疗信息化行业公司，不属于环境保护部门公布的重点排污单位。</w:t>
      </w:r>
    </w:p>
    <w:p>
      <w:pPr>
        <w:pStyle w:val="Style22"/>
        <w:keepNext/>
        <w:keepLines/>
        <w:widowControl w:val="0"/>
        <w:shd w:val="clear" w:color="auto" w:fill="auto"/>
        <w:bidi w:val="0"/>
        <w:spacing w:before="0" w:after="340" w:line="240" w:lineRule="auto"/>
        <w:ind w:left="0" w:right="0" w:firstLine="0"/>
        <w:jc w:val="left"/>
      </w:pPr>
      <w:bookmarkStart w:id="438" w:name="bookmark438"/>
      <w:bookmarkStart w:id="439" w:name="bookmark439"/>
      <w:bookmarkStart w:id="440" w:name="bookmark440"/>
      <w:r>
        <w:rPr>
          <w:color w:val="000000"/>
          <w:spacing w:val="0"/>
          <w:w w:val="100"/>
          <w:position w:val="0"/>
          <w:sz w:val="24"/>
          <w:szCs w:val="24"/>
        </w:rPr>
        <w:t>十八、其他重大事项的说明</w:t>
      </w:r>
      <w:bookmarkEnd w:id="438"/>
      <w:bookmarkEnd w:id="439"/>
      <w:bookmarkEnd w:id="440"/>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97"/>
        <w:gridCol w:w="654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公告日期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标题</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和仁科技：中信证券股份有限公司关于公司</w:t>
            </w:r>
            <w:r>
              <w:rPr>
                <w:color w:val="000000"/>
                <w:spacing w:val="0"/>
                <w:w w:val="100"/>
                <w:position w:val="0"/>
                <w:sz w:val="20"/>
                <w:szCs w:val="20"/>
              </w:rPr>
              <w:t>2019</w:t>
            </w:r>
            <w:r>
              <w:rPr>
                <w:color w:val="000000"/>
                <w:spacing w:val="0"/>
                <w:w w:val="100"/>
                <w:position w:val="0"/>
                <w:sz w:val="20"/>
                <w:szCs w:val="20"/>
              </w:rPr>
              <w:t>年持续督导现场检查报告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和仁科技：中信证券股份有限公司关于公司</w:t>
            </w:r>
            <w:r>
              <w:rPr>
                <w:color w:val="000000"/>
                <w:spacing w:val="0"/>
                <w:w w:val="100"/>
                <w:position w:val="0"/>
                <w:sz w:val="20"/>
                <w:szCs w:val="20"/>
              </w:rPr>
              <w:t>2019</w:t>
            </w:r>
            <w:r>
              <w:rPr>
                <w:color w:val="000000"/>
                <w:spacing w:val="0"/>
                <w:w w:val="100"/>
                <w:position w:val="0"/>
                <w:sz w:val="20"/>
                <w:szCs w:val="20"/>
              </w:rPr>
              <w:t>年持续督导培训情况的报告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和仁科技:关于公司高级管理人员换届离任的公告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和仁科技:独立董事关于第三届董事会第一次会议相关事项的独立意见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和仁科技:第三届董事会第一次会议决议公告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和仁科技:第三届监事会第一次会议决议公告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和仁科技:控股股东部分股份解除质押的公告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年年度业绩预告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和仁科技:控股股东部分股份质押的公告</w:t>
            </w:r>
            <w:r>
              <w:rPr>
                <w:color w:val="000000"/>
                <w:spacing w:val="0"/>
                <w:w w:val="100"/>
                <w:position w:val="0"/>
                <w:sz w:val="20"/>
                <w:szCs w:val="20"/>
              </w:rPr>
              <w:t>(2020/02/11)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w:t>
            </w:r>
            <w:r>
              <w:rPr>
                <w:color w:val="000000"/>
                <w:spacing w:val="0"/>
                <w:w w:val="100"/>
                <w:position w:val="0"/>
                <w:sz w:val="20"/>
                <w:szCs w:val="20"/>
              </w:rPr>
              <w:t>控股股东部分股份解除质押的公告</w:t>
            </w:r>
            <w:r>
              <w:rPr>
                <w:color w:val="000000"/>
                <w:spacing w:val="0"/>
                <w:w w:val="100"/>
                <w:position w:val="0"/>
                <w:sz w:val="20"/>
                <w:szCs w:val="20"/>
              </w:rPr>
              <w:t>(2020/02/13)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w:t>
            </w:r>
            <w:r>
              <w:rPr>
                <w:color w:val="000000"/>
                <w:spacing w:val="0"/>
                <w:w w:val="100"/>
                <w:position w:val="0"/>
                <w:sz w:val="20"/>
                <w:szCs w:val="20"/>
              </w:rPr>
              <w:t>控股股东部分股份质押的公告</w:t>
            </w:r>
            <w:r>
              <w:rPr>
                <w:color w:val="000000"/>
                <w:spacing w:val="0"/>
                <w:w w:val="100"/>
                <w:position w:val="0"/>
                <w:sz w:val="20"/>
                <w:szCs w:val="20"/>
              </w:rPr>
              <w:t>(2020/02/17)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w:t>
            </w:r>
            <w:r>
              <w:rPr>
                <w:color w:val="000000"/>
                <w:spacing w:val="0"/>
                <w:w w:val="100"/>
                <w:position w:val="0"/>
                <w:sz w:val="20"/>
                <w:szCs w:val="20"/>
              </w:rPr>
              <w:t>控股股东部分股份解除质押的公告</w:t>
            </w:r>
            <w:r>
              <w:rPr>
                <w:color w:val="000000"/>
                <w:spacing w:val="0"/>
                <w:w w:val="100"/>
                <w:position w:val="0"/>
                <w:sz w:val="20"/>
                <w:szCs w:val="20"/>
              </w:rPr>
              <w:t>(2020/02/19)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和仁科技:控股股东部分股份质押的公告</w:t>
            </w:r>
            <w:r>
              <w:rPr>
                <w:color w:val="000000"/>
                <w:spacing w:val="0"/>
                <w:w w:val="100"/>
                <w:position w:val="0"/>
                <w:sz w:val="20"/>
                <w:szCs w:val="20"/>
              </w:rPr>
              <w:t>(2020/02/21)</w:t>
            </w:r>
          </w:p>
        </w:tc>
      </w:tr>
    </w:tbl>
    <w:p>
      <w:pPr>
        <w:spacing w:lineRule="exact" w:line="1"/>
        <w:rPr>
          <w:sz w:val="2"/>
          <w:szCs w:val="2"/>
        </w:rPr>
      </w:pPr>
      <w:r>
        <w:br w:type="page"/>
      </w:r>
    </w:p>
    <w:tbl>
      <w:tblPr>
        <w:tblOverlap w:val="never"/>
        <w:jc w:val="center"/>
        <w:tblLayout w:type="fixed"/>
      </w:tblPr>
      <w:tblGrid>
        <w:gridCol w:w="2597"/>
        <w:gridCol w:w="654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和仁科技:控股股东部分股份解除质押的公告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和仁科技:前次募集资金使用情况鉴证报告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和仁科技:独立董事关于第三届董事会第二次会议相关事项的事前认可意见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和仁科技:第三届董事会第二次会议决议公告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和仁科技:第三届监事会第二次会议决议公告</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和仁科技:创业板非公开发行摊薄即期回报、采取填补措施及相关主体承诺 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年创业板非公开发行</w:t>
            </w:r>
            <w:r>
              <w:rPr>
                <w:color w:val="000000"/>
                <w:spacing w:val="0"/>
                <w:w w:val="100"/>
                <w:position w:val="0"/>
                <w:sz w:val="20"/>
                <w:szCs w:val="20"/>
              </w:rPr>
              <w:t>A</w:t>
            </w:r>
            <w:r>
              <w:rPr>
                <w:color w:val="000000"/>
                <w:spacing w:val="0"/>
                <w:w w:val="100"/>
                <w:position w:val="0"/>
                <w:sz w:val="20"/>
                <w:szCs w:val="20"/>
              </w:rPr>
              <w:t>股股票方案论证分析报告</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年创业板非公开发行</w:t>
            </w:r>
            <w:r>
              <w:rPr>
                <w:color w:val="000000"/>
                <w:spacing w:val="0"/>
                <w:w w:val="100"/>
                <w:position w:val="0"/>
                <w:sz w:val="20"/>
                <w:szCs w:val="20"/>
              </w:rPr>
              <w:t>A</w:t>
            </w:r>
            <w:r>
              <w:rPr>
                <w:color w:val="000000"/>
                <w:spacing w:val="0"/>
                <w:w w:val="100"/>
                <w:position w:val="0"/>
                <w:sz w:val="20"/>
                <w:szCs w:val="20"/>
              </w:rPr>
              <w:t>股股票募集资金使用的可行性分析报 告</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和仁科技:关于最近五年被证券监管部门和交易所处罚或采取监管措施情况 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和仁科技:独立董事关于第三届董事会第二次会议审议相关事项的独立意见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年创业板非公开发行</w:t>
            </w:r>
            <w:r>
              <w:rPr>
                <w:color w:val="000000"/>
                <w:spacing w:val="0"/>
                <w:w w:val="100"/>
                <w:position w:val="0"/>
                <w:sz w:val="20"/>
                <w:szCs w:val="20"/>
              </w:rPr>
              <w:t>A</w:t>
            </w:r>
            <w:r>
              <w:rPr>
                <w:color w:val="000000"/>
                <w:spacing w:val="0"/>
                <w:w w:val="100"/>
                <w:position w:val="0"/>
                <w:sz w:val="20"/>
                <w:szCs w:val="20"/>
              </w:rPr>
              <w:t>股股票预案</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和仁科技:关于前次募集资金使用情况报告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和仁科技:关于修改经营范围并修改公司章程的公告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和仁科技:公司章程</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和仁科技:关于终止公司</w:t>
            </w:r>
            <w:r>
              <w:rPr>
                <w:color w:val="000000"/>
                <w:spacing w:val="0"/>
                <w:w w:val="100"/>
                <w:position w:val="0"/>
                <w:sz w:val="20"/>
                <w:szCs w:val="20"/>
              </w:rPr>
              <w:t>2019</w:t>
            </w:r>
            <w:r>
              <w:rPr>
                <w:color w:val="000000"/>
                <w:spacing w:val="0"/>
                <w:w w:val="100"/>
                <w:position w:val="0"/>
                <w:sz w:val="20"/>
                <w:szCs w:val="20"/>
              </w:rPr>
              <w:t>年创业板非公开发行</w:t>
            </w:r>
            <w:r>
              <w:rPr>
                <w:color w:val="000000"/>
                <w:spacing w:val="0"/>
                <w:w w:val="100"/>
                <w:position w:val="0"/>
                <w:sz w:val="20"/>
                <w:szCs w:val="20"/>
              </w:rPr>
              <w:t>A</w:t>
            </w:r>
            <w:r>
              <w:rPr>
                <w:color w:val="000000"/>
                <w:spacing w:val="0"/>
                <w:w w:val="100"/>
                <w:position w:val="0"/>
                <w:sz w:val="20"/>
                <w:szCs w:val="20"/>
              </w:rPr>
              <w:t>股股票事项的公告</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和仁科技:关于公司</w:t>
            </w:r>
            <w:r>
              <w:rPr>
                <w:color w:val="000000"/>
                <w:spacing w:val="0"/>
                <w:w w:val="100"/>
                <w:position w:val="0"/>
                <w:sz w:val="20"/>
                <w:szCs w:val="20"/>
              </w:rPr>
              <w:t>2020</w:t>
            </w:r>
            <w:r>
              <w:rPr>
                <w:color w:val="000000"/>
                <w:spacing w:val="0"/>
                <w:w w:val="100"/>
                <w:position w:val="0"/>
                <w:sz w:val="20"/>
                <w:szCs w:val="20"/>
              </w:rPr>
              <w:t>年创业板非公开发行股票不会直接或通过利益相关 方向参与认购的投资者提供财务资助或补偿的公告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和仁科技:关于召开</w:t>
            </w:r>
            <w:r>
              <w:rPr>
                <w:color w:val="000000"/>
                <w:spacing w:val="0"/>
                <w:w w:val="100"/>
                <w:position w:val="0"/>
                <w:sz w:val="20"/>
                <w:szCs w:val="20"/>
              </w:rPr>
              <w:t>2020</w:t>
            </w:r>
            <w:r>
              <w:rPr>
                <w:color w:val="000000"/>
                <w:spacing w:val="0"/>
                <w:w w:val="100"/>
                <w:position w:val="0"/>
                <w:sz w:val="20"/>
                <w:szCs w:val="20"/>
              </w:rPr>
              <w:t>年第一次临时股东大会的通知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和仁科技:未来三年</w:t>
            </w:r>
            <w:r>
              <w:rPr>
                <w:color w:val="000000"/>
                <w:spacing w:val="0"/>
                <w:w w:val="100"/>
                <w:position w:val="0"/>
                <w:sz w:val="20"/>
                <w:szCs w:val="20"/>
              </w:rPr>
              <w:t>（2020-2022</w:t>
            </w:r>
            <w:r>
              <w:rPr>
                <w:color w:val="000000"/>
                <w:spacing w:val="0"/>
                <w:w w:val="100"/>
                <w:position w:val="0"/>
                <w:sz w:val="20"/>
                <w:szCs w:val="20"/>
              </w:rPr>
              <w:t>年）股东回报规划</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w:t>
            </w:r>
            <w:r>
              <w:rPr>
                <w:color w:val="000000"/>
                <w:spacing w:val="0"/>
                <w:w w:val="100"/>
                <w:position w:val="0"/>
                <w:sz w:val="20"/>
                <w:szCs w:val="20"/>
              </w:rPr>
              <w:t>2020</w:t>
            </w:r>
            <w:r>
              <w:rPr>
                <w:color w:val="000000"/>
                <w:spacing w:val="0"/>
                <w:w w:val="100"/>
                <w:position w:val="0"/>
                <w:sz w:val="20"/>
                <w:szCs w:val="20"/>
              </w:rPr>
              <w:t>年创业板非公开发行</w:t>
            </w:r>
            <w:r>
              <w:rPr>
                <w:color w:val="000000"/>
                <w:spacing w:val="0"/>
                <w:w w:val="100"/>
                <w:position w:val="0"/>
                <w:sz w:val="20"/>
                <w:szCs w:val="20"/>
              </w:rPr>
              <w:t>A</w:t>
            </w:r>
            <w:r>
              <w:rPr>
                <w:color w:val="000000"/>
                <w:spacing w:val="0"/>
                <w:w w:val="100"/>
                <w:position w:val="0"/>
                <w:sz w:val="20"/>
                <w:szCs w:val="20"/>
              </w:rPr>
              <w:t>股股票预案的提示性公告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w:t>
            </w:r>
            <w:r>
              <w:rPr>
                <w:color w:val="000000"/>
                <w:spacing w:val="0"/>
                <w:w w:val="100"/>
                <w:position w:val="0"/>
                <w:sz w:val="20"/>
                <w:szCs w:val="20"/>
              </w:rPr>
              <w:t>控股股东部分股份质押的公告</w:t>
            </w:r>
            <w:r>
              <w:rPr>
                <w:color w:val="000000"/>
                <w:spacing w:val="0"/>
                <w:w w:val="100"/>
                <w:position w:val="0"/>
                <w:sz w:val="20"/>
                <w:szCs w:val="20"/>
              </w:rPr>
              <w:t>（2020/02/25）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年度业绩快报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和仁科技:关于股东减持计划届满的公告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年第一次临时股东大会决议公告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年第一次临时股东大会的法律意见书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和仁科技:关于日常经营重大合同预中标的提示性公告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和仁科技:关于部分限制性股票回购注销完成的公告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w:t>
            </w:r>
            <w:r>
              <w:rPr>
                <w:color w:val="000000"/>
                <w:spacing w:val="0"/>
                <w:w w:val="100"/>
                <w:position w:val="0"/>
                <w:sz w:val="20"/>
                <w:szCs w:val="20"/>
              </w:rPr>
              <w:t>2020</w:t>
            </w:r>
            <w:r>
              <w:rPr>
                <w:color w:val="000000"/>
                <w:spacing w:val="0"/>
                <w:w w:val="100"/>
                <w:position w:val="0"/>
                <w:sz w:val="20"/>
                <w:szCs w:val="20"/>
              </w:rPr>
              <w:t>年创业板非公开发行</w:t>
            </w:r>
            <w:r>
              <w:rPr>
                <w:color w:val="000000"/>
                <w:spacing w:val="0"/>
                <w:w w:val="100"/>
                <w:position w:val="0"/>
                <w:sz w:val="20"/>
                <w:szCs w:val="20"/>
              </w:rPr>
              <w:t>A</w:t>
            </w:r>
            <w:r>
              <w:rPr>
                <w:color w:val="000000"/>
                <w:spacing w:val="0"/>
                <w:w w:val="100"/>
                <w:position w:val="0"/>
                <w:sz w:val="20"/>
                <w:szCs w:val="20"/>
              </w:rPr>
              <w:t>股股票预案修订情况说明的公告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和仁科技:独立董事关于第三届董事会第三次会议审议相关事项的独立意见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年创业板非公开发行</w:t>
            </w:r>
            <w:r>
              <w:rPr>
                <w:color w:val="000000"/>
                <w:spacing w:val="0"/>
                <w:w w:val="100"/>
                <w:position w:val="0"/>
                <w:sz w:val="20"/>
                <w:szCs w:val="20"/>
              </w:rPr>
              <w:t>A</w:t>
            </w:r>
            <w:r>
              <w:rPr>
                <w:color w:val="000000"/>
                <w:spacing w:val="0"/>
                <w:w w:val="100"/>
                <w:position w:val="0"/>
                <w:sz w:val="20"/>
                <w:szCs w:val="20"/>
              </w:rPr>
              <w:t>股股票预案（修订稿）</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和仁科技:第三届董事会第三次会议决议公告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和仁科技:第三届监事会第三次会议决议公告</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和仁科技:创业板非公开发行摊薄即期回报、采取填补措施及相关主体承诺 的公告（修订稿）</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年创业板非公开发行</w:t>
            </w:r>
            <w:r>
              <w:rPr>
                <w:color w:val="000000"/>
                <w:spacing w:val="0"/>
                <w:w w:val="100"/>
                <w:position w:val="0"/>
                <w:sz w:val="20"/>
                <w:szCs w:val="20"/>
              </w:rPr>
              <w:t>A</w:t>
            </w:r>
            <w:r>
              <w:rPr>
                <w:color w:val="000000"/>
                <w:spacing w:val="0"/>
                <w:w w:val="100"/>
                <w:position w:val="0"/>
                <w:sz w:val="20"/>
                <w:szCs w:val="20"/>
              </w:rPr>
              <w:t>股股票募集资金使用的可行性分析报 告（修订稿）</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和仁科技:关于完成工商变更登记的公告</w:t>
            </w:r>
          </w:p>
        </w:tc>
      </w:tr>
    </w:tbl>
    <w:p>
      <w:pPr>
        <w:spacing w:lineRule="exact" w:line="1"/>
        <w:rPr>
          <w:sz w:val="2"/>
          <w:szCs w:val="2"/>
        </w:rPr>
      </w:pPr>
      <w:r>
        <w:br w:type="page"/>
      </w:r>
    </w:p>
    <w:tbl>
      <w:tblPr>
        <w:tblOverlap w:val="never"/>
        <w:jc w:val="center"/>
        <w:tblLayout w:type="fixed"/>
      </w:tblPr>
      <w:tblGrid>
        <w:gridCol w:w="2597"/>
        <w:gridCol w:w="654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和仁科技:关于非公开发行股票申请获得中国证监会受理的公告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年第一季度业绩预告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和仁科技:关于已披露日常经营合同收到中标通知书的进展公告</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和仁科技：中信证券股份有限公司关于公司首次公开发行并在创业板上市持 续督导保荐总结报告书</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和仁科技:关于收到《中国证监会行政许可项目审查一次反馈意见通知书》 的公告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和仁科技:关于计提资产减值准备以及核销资产的公告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和仁科技:关于举行</w:t>
            </w:r>
            <w:r>
              <w:rPr>
                <w:color w:val="000000"/>
                <w:spacing w:val="0"/>
                <w:w w:val="100"/>
                <w:position w:val="0"/>
                <w:sz w:val="20"/>
                <w:szCs w:val="20"/>
              </w:rPr>
              <w:t>2019</w:t>
            </w:r>
            <w:r>
              <w:rPr>
                <w:color w:val="000000"/>
                <w:spacing w:val="0"/>
                <w:w w:val="100"/>
                <w:position w:val="0"/>
                <w:sz w:val="20"/>
                <w:szCs w:val="20"/>
              </w:rPr>
              <w:t>年度网上业绩说明会的通知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和仁科技:关于会计政策变更的公告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年年度审计报告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和仁科技:关于募集资金年度存放与使用情况的专项报告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w:t>
            </w:r>
            <w:r>
              <w:rPr>
                <w:color w:val="000000"/>
                <w:spacing w:val="0"/>
                <w:w w:val="100"/>
                <w:position w:val="0"/>
                <w:sz w:val="20"/>
                <w:szCs w:val="20"/>
              </w:rPr>
              <w:t>关于召开</w:t>
            </w:r>
            <w:r>
              <w:rPr>
                <w:color w:val="000000"/>
                <w:spacing w:val="0"/>
                <w:w w:val="100"/>
                <w:position w:val="0"/>
                <w:sz w:val="20"/>
                <w:szCs w:val="20"/>
              </w:rPr>
              <w:t>2019</w:t>
            </w:r>
            <w:r>
              <w:rPr>
                <w:color w:val="000000"/>
                <w:spacing w:val="0"/>
                <w:w w:val="100"/>
                <w:position w:val="0"/>
                <w:sz w:val="20"/>
                <w:szCs w:val="20"/>
              </w:rPr>
              <w:t>年年度股东大会的通知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和仁科技:中信证券股份有限公司关于公司</w:t>
            </w:r>
            <w:r>
              <w:rPr>
                <w:color w:val="000000"/>
                <w:spacing w:val="0"/>
                <w:w w:val="100"/>
                <w:position w:val="0"/>
                <w:sz w:val="20"/>
                <w:szCs w:val="20"/>
              </w:rPr>
              <w:t>2019</w:t>
            </w:r>
            <w:r>
              <w:rPr>
                <w:color w:val="000000"/>
                <w:spacing w:val="0"/>
                <w:w w:val="100"/>
                <w:position w:val="0"/>
                <w:sz w:val="20"/>
                <w:szCs w:val="20"/>
              </w:rPr>
              <w:t>年度内部控制自我评价报告 的核查意见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和仁科技:关于续聘会计师事务所的公告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年度公司监事会工作报告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年度独立董事述职报告（冯忆文）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年度独立董事述职报告（曹健）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和仁科技：中信证券股份有限公司关于公司</w:t>
            </w:r>
            <w:r>
              <w:rPr>
                <w:color w:val="000000"/>
                <w:spacing w:val="0"/>
                <w:w w:val="100"/>
                <w:position w:val="0"/>
                <w:sz w:val="20"/>
                <w:szCs w:val="20"/>
              </w:rPr>
              <w:t>2019</w:t>
            </w:r>
            <w:r>
              <w:rPr>
                <w:color w:val="000000"/>
                <w:spacing w:val="0"/>
                <w:w w:val="100"/>
                <w:position w:val="0"/>
                <w:sz w:val="20"/>
                <w:szCs w:val="20"/>
              </w:rPr>
              <w:t>年度跟踪报告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年度董事会工作报告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和仁科技:非经营性资金占用及其他关联资金往来情况的专项审计说明</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年第一季度报告披露提示性公告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和仁科技:关于拟对外出租资产的公告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年度财务决算报告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和仁科技:募集资金年度存放与使用情况鉴证报告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和仁科技:独立董事关于第三届董事会第四会议相关事项的事前认可意见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年第一季度报告全文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和仁科技:第三届监事会第四次会议决议公告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w:t>
            </w:r>
            <w:r>
              <w:rPr>
                <w:color w:val="000000"/>
                <w:spacing w:val="0"/>
                <w:w w:val="100"/>
                <w:position w:val="0"/>
                <w:sz w:val="20"/>
                <w:szCs w:val="20"/>
              </w:rPr>
              <w:t>关于</w:t>
            </w:r>
            <w:r>
              <w:rPr>
                <w:color w:val="000000"/>
                <w:spacing w:val="0"/>
                <w:w w:val="100"/>
                <w:position w:val="0"/>
                <w:sz w:val="20"/>
                <w:szCs w:val="20"/>
              </w:rPr>
              <w:t>2020</w:t>
            </w:r>
            <w:r>
              <w:rPr>
                <w:color w:val="000000"/>
                <w:spacing w:val="0"/>
                <w:w w:val="100"/>
                <w:position w:val="0"/>
                <w:sz w:val="20"/>
                <w:szCs w:val="20"/>
              </w:rPr>
              <w:t>年日常关联交易预计的公告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和仁科技:关于使用闲置自有资金购买理财产品的公告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年度利润分配预案的公告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年度独立董事述职报告（沈红）</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年度内部控制评价报告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和仁科技:独立董事关于第三届董事会第四次会议相关事项的独立意见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和仁科技:监事会对公司内部控制评价报告的意见</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和仁科技:中信证券股份有限公司关于公司</w:t>
            </w:r>
            <w:r>
              <w:rPr>
                <w:color w:val="000000"/>
                <w:spacing w:val="0"/>
                <w:w w:val="100"/>
                <w:position w:val="0"/>
                <w:sz w:val="20"/>
                <w:szCs w:val="20"/>
              </w:rPr>
              <w:t>2019</w:t>
            </w:r>
            <w:r>
              <w:rPr>
                <w:color w:val="000000"/>
                <w:spacing w:val="0"/>
                <w:w w:val="100"/>
                <w:position w:val="0"/>
                <w:sz w:val="20"/>
                <w:szCs w:val="20"/>
              </w:rPr>
              <w:t>年度募集资金存放与使用情 况的专项核查报告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和仁科技:第三届董事会第四次会议决议公告</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年年度报告</w:t>
            </w:r>
          </w:p>
        </w:tc>
      </w:tr>
    </w:tbl>
    <w:p>
      <w:pPr>
        <w:spacing w:lineRule="exact" w:line="1"/>
        <w:rPr>
          <w:sz w:val="2"/>
          <w:szCs w:val="2"/>
        </w:rPr>
      </w:pPr>
      <w:r>
        <w:br w:type="page"/>
      </w:r>
    </w:p>
    <w:tbl>
      <w:tblPr>
        <w:tblOverlap w:val="never"/>
        <w:jc w:val="center"/>
        <w:tblLayout w:type="fixed"/>
      </w:tblPr>
      <w:tblGrid>
        <w:gridCol w:w="2597"/>
        <w:gridCol w:w="654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年年度报告摘要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年年度报告披露提示性公告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日投资者关系活动记录表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和仁科技:关于参加浙江辖区上市公司投资者网上集体接待日活动的公告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和仁科技:关于高级管理人员减持计划预披露的公告</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和仁科技:公司和海通证券股份有限公司关于《浙江和仁科技股份有限公司 非公开发行股票申请文件的反馈意见》的回复</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和仁科技:关于《中国证监会行政许可项目审查一次反馈意见通知书》之反 馈意见回复的提示性公告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日投资者关系活动记录表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年度股东大会决议公告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年年度股东大会的法律意见书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和仁科技:第三届监事会第五次会议决议公告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和仁科技:第三届董事会第五次会议决议公告</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和仁科技:关于公司</w:t>
            </w:r>
            <w:r>
              <w:rPr>
                <w:color w:val="000000"/>
                <w:spacing w:val="0"/>
                <w:w w:val="100"/>
                <w:position w:val="0"/>
                <w:sz w:val="20"/>
                <w:szCs w:val="20"/>
              </w:rPr>
              <w:t>2017</w:t>
            </w:r>
            <w:r>
              <w:rPr>
                <w:color w:val="000000"/>
                <w:spacing w:val="0"/>
                <w:w w:val="100"/>
                <w:position w:val="0"/>
                <w:sz w:val="20"/>
                <w:szCs w:val="20"/>
              </w:rPr>
              <w:t>年限制性股票激励计划首次授予的第二个解锁期及 预留授予的第一个解锁期解锁条件成就可解锁的公告</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:2017</w:t>
            </w:r>
            <w:r>
              <w:rPr>
                <w:color w:val="000000"/>
                <w:spacing w:val="0"/>
                <w:w w:val="100"/>
                <w:position w:val="0"/>
                <w:sz w:val="20"/>
                <w:szCs w:val="20"/>
              </w:rPr>
              <w:t>年限制性股票激励计划首次授予的第二个解锁期及预留授予 的第一个解锁期可解锁激励对象名单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和仁科技:独立董事关于第三届董事会第五次会议相关事项的独立意见</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和仁科技:浙江天册律师事务所关于公司</w:t>
            </w:r>
            <w:r>
              <w:rPr>
                <w:color w:val="000000"/>
                <w:spacing w:val="0"/>
                <w:w w:val="100"/>
                <w:position w:val="0"/>
                <w:sz w:val="20"/>
                <w:szCs w:val="20"/>
              </w:rPr>
              <w:t>2017</w:t>
            </w:r>
            <w:r>
              <w:rPr>
                <w:color w:val="000000"/>
                <w:spacing w:val="0"/>
                <w:w w:val="100"/>
                <w:position w:val="0"/>
                <w:sz w:val="20"/>
                <w:szCs w:val="20"/>
              </w:rPr>
              <w:t>年度限制性股票激励计划首次 授予的第二个解锁期及预留授予的第一个解锁期解锁事宜的法律意见书</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和仁科技:监事会关于限制性股票激励计划首次授予的第二个解锁期及预留 授予的第一个解锁期可解锁激励对象名单的核查意见</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和仁科技:关于</w:t>
            </w:r>
            <w:r>
              <w:rPr>
                <w:color w:val="000000"/>
                <w:spacing w:val="0"/>
                <w:w w:val="100"/>
                <w:position w:val="0"/>
                <w:sz w:val="20"/>
                <w:szCs w:val="20"/>
              </w:rPr>
              <w:t>2017</w:t>
            </w:r>
            <w:r>
              <w:rPr>
                <w:color w:val="000000"/>
                <w:spacing w:val="0"/>
                <w:w w:val="100"/>
                <w:position w:val="0"/>
                <w:sz w:val="20"/>
                <w:szCs w:val="20"/>
              </w:rPr>
              <w:t>年限制性股票激励计划首次授予的第二个解锁期及预留 授予的第一个解锁期解锁股份上市流通的提示性公告</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和仁科技:公司和海通证券股份有限公司关于《关于请做好和仁科技非公开 发行申请发审委会议准备工作的函》的回复</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和仁科技:关于《关于请做好和仁科技非公开发行申请发审委会议准备工作 的函》的回复公告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和仁科技:独立董事关于第三届董事会第六次会议相关事项的独立意见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和仁科技:关于收购控股子公司少数股东股权的公告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和仁科技:第三届监事会第六次会议决议公告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和仁科技:第三届董事会第六次会议决议公告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:2019</w:t>
            </w:r>
            <w:r>
              <w:rPr>
                <w:color w:val="000000"/>
                <w:spacing w:val="0"/>
                <w:w w:val="100"/>
                <w:position w:val="0"/>
                <w:sz w:val="20"/>
                <w:szCs w:val="20"/>
              </w:rPr>
              <w:t>年年度权益分派实施公告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和仁科技:关于获得政府补助的公告</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和仁科技:关于非公开发行股票申请获得中国证监会发行审核委员会审核通 过的公告</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w:t>
            </w:r>
            <w:r>
              <w:rPr>
                <w:color w:val="000000"/>
                <w:spacing w:val="0"/>
                <w:w w:val="100"/>
                <w:position w:val="0"/>
                <w:sz w:val="20"/>
                <w:szCs w:val="20"/>
              </w:rPr>
              <w:t>关于实施</w:t>
            </w:r>
            <w:r>
              <w:rPr>
                <w:color w:val="000000"/>
                <w:spacing w:val="0"/>
                <w:w w:val="100"/>
                <w:position w:val="0"/>
                <w:sz w:val="20"/>
                <w:szCs w:val="20"/>
              </w:rPr>
              <w:t>2019</w:t>
            </w:r>
            <w:r>
              <w:rPr>
                <w:color w:val="000000"/>
                <w:spacing w:val="0"/>
                <w:w w:val="100"/>
                <w:position w:val="0"/>
                <w:sz w:val="20"/>
                <w:szCs w:val="20"/>
              </w:rPr>
              <w:t>年年度权益分派后调整非公开发行股票发行数量上 限的公告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和仁科技:部分高级管理人员减持计划数量过半的进展公告</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和仁科技:关于非公开发行股票申请获得中国证监会核准批复的公告</w:t>
            </w:r>
          </w:p>
        </w:tc>
      </w:tr>
    </w:tbl>
    <w:p>
      <w:pPr>
        <w:spacing w:lineRule="exact" w:line="1"/>
        <w:rPr>
          <w:sz w:val="2"/>
          <w:szCs w:val="2"/>
        </w:rPr>
      </w:pPr>
      <w:r>
        <w:br w:type="page"/>
      </w:r>
    </w:p>
    <w:tbl>
      <w:tblPr>
        <w:tblOverlap w:val="never"/>
        <w:jc w:val="center"/>
        <w:tblLayout w:type="fixed"/>
      </w:tblPr>
      <w:tblGrid>
        <w:gridCol w:w="2597"/>
        <w:gridCol w:w="654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和仁科技:关于收购控股子公司少数股东股权完成工商变更的进展公告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和仁科技:公司章程</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和仁科技:浙江天册律师事务所关于公司调整限制性股票回购价格之法律意 见书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和仁科技:独立董事关于第三届董事会第七次会议相关事项的独立意见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和仁科技:关于召开</w:t>
            </w:r>
            <w:r>
              <w:rPr>
                <w:color w:val="000000"/>
                <w:spacing w:val="0"/>
                <w:w w:val="100"/>
                <w:position w:val="0"/>
                <w:sz w:val="20"/>
                <w:szCs w:val="20"/>
              </w:rPr>
              <w:t>2020</w:t>
            </w:r>
            <w:r>
              <w:rPr>
                <w:color w:val="000000"/>
                <w:spacing w:val="0"/>
                <w:w w:val="100"/>
                <w:position w:val="0"/>
                <w:sz w:val="20"/>
                <w:szCs w:val="20"/>
              </w:rPr>
              <w:t>年第二次临时股东大会的通知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和仁科技:关于注册资本增加、修改公司章程的公告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和仁科技:第三届监事会第七次会议决议公告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和仁科技:关于调整限制性股票回购价格的公告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和仁科技:第三届董事会第七次会议决议公告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年第二次临时股东大会的法律意见书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年第二次临时股东大会决议公告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和仁科技:关于签订战略合作框架协议的公告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和仁科技:关于已披露日常经营合同签订正式合同的进展公告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年半年度报告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年半年度报告摘要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年半年度报告披露提示性公告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和仁科技:独立董事关于第三届董事会第八次会议相关事项的独立意见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和仁科技:关于计提资产减值准备的公告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和仁科技:第三届监事会第八次会议决议公告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和仁科技:第三届董事会第八次会议决议公告</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和仁科技:关于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1-6</w:t>
            </w:r>
            <w:r>
              <w:rPr>
                <w:color w:val="000000"/>
                <w:spacing w:val="0"/>
                <w:w w:val="100"/>
                <w:position w:val="0"/>
                <w:sz w:val="20"/>
                <w:szCs w:val="20"/>
              </w:rPr>
              <w:t>月业绩下滑对公司非公开发行股票的影响的提示 性公告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1-6</w:t>
            </w:r>
            <w:r>
              <w:rPr>
                <w:color w:val="000000"/>
                <w:spacing w:val="0"/>
                <w:w w:val="100"/>
                <w:position w:val="0"/>
                <w:sz w:val="20"/>
                <w:szCs w:val="20"/>
              </w:rPr>
              <w:t>月业绩下滑对本次非公开发行股票影响的说明</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和仁科技:高级管理人员减持计划时间过半的进展公告</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和仁科技:海通证券股份有限公司关于公司</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1-6</w:t>
            </w:r>
            <w:r>
              <w:rPr>
                <w:color w:val="000000"/>
                <w:spacing w:val="0"/>
                <w:w w:val="100"/>
                <w:position w:val="0"/>
                <w:sz w:val="20"/>
                <w:szCs w:val="20"/>
              </w:rPr>
              <w:t>月业绩下滑对本次非 公开发行股票影响的核查意见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和仁科技:关于完成工商变更登记的公告</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和仁科技：国浩律师（长沙）事务所关于公司</w:t>
            </w:r>
            <w:r>
              <w:rPr>
                <w:color w:val="000000"/>
                <w:spacing w:val="0"/>
                <w:w w:val="100"/>
                <w:position w:val="0"/>
                <w:sz w:val="20"/>
                <w:szCs w:val="20"/>
              </w:rPr>
              <w:t>2020</w:t>
            </w:r>
            <w:r>
              <w:rPr>
                <w:color w:val="000000"/>
                <w:spacing w:val="0"/>
                <w:w w:val="100"/>
                <w:position w:val="0"/>
                <w:sz w:val="20"/>
                <w:szCs w:val="20"/>
              </w:rPr>
              <w:t>年创业板非公开发行股票发 行过程及认购对象合规性的法律意见书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和仁科技:创业板非公开发行股票发行情况报告书</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和仁科技:海通证券股份有限公司关于公司非公开发行股票发行过程和认购 对象合规性的报告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和仁科技:关于签署募集资金三方监管协议的公告</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和仁科技:海通证券股份有限公司关于公司创业板非公开发行股票上市保荐 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和仁科技:关于聘请保荐机构的公告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和仁科技:公司董事、监事和高级管理人员持股情况变动的报告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和仁科技:创业板非公开发行股票上市公告书</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年第三季度报告全文</w:t>
            </w:r>
          </w:p>
        </w:tc>
      </w:tr>
    </w:tbl>
    <w:p>
      <w:pPr>
        <w:spacing w:lineRule="exact" w:line="1"/>
        <w:rPr>
          <w:sz w:val="2"/>
          <w:szCs w:val="2"/>
        </w:rPr>
      </w:pPr>
      <w:r>
        <w:br w:type="page"/>
      </w:r>
    </w:p>
    <w:tbl>
      <w:tblPr>
        <w:tblOverlap w:val="never"/>
        <w:jc w:val="center"/>
        <w:tblLayout w:type="fixed"/>
      </w:tblPr>
      <w:tblGrid>
        <w:gridCol w:w="2597"/>
        <w:gridCol w:w="654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年三季度报告披露提示性公告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和仁科技:关于计提资产减值准备的公告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和仁科技:关于公司控股股东及持股</w:t>
            </w:r>
            <w:r>
              <w:rPr>
                <w:color w:val="000000"/>
                <w:spacing w:val="0"/>
                <w:w w:val="100"/>
                <w:position w:val="0"/>
                <w:sz w:val="20"/>
                <w:szCs w:val="20"/>
              </w:rPr>
              <w:t>5%</w:t>
            </w:r>
            <w:r>
              <w:rPr>
                <w:color w:val="000000"/>
                <w:spacing w:val="0"/>
                <w:w w:val="100"/>
                <w:position w:val="0"/>
                <w:sz w:val="20"/>
                <w:szCs w:val="20"/>
              </w:rPr>
              <w:t>以上股东权益变动的提示性公告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和仁科技:简式权益变动报告书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和仁科技:关于控股股东部分股份质押延期的公告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和仁科技:部分高级管理人员减持计划数量过半的进展公告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和仁科技:关于注册资本增加、修改公司章程的公告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和仁科技:独立董事关于第三届董事会第十次会议相关事项的独立意见</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和仁科技:海通证券股份有限公司关于公司使用闲置募集资金进行现金管理 的核查意见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w:t>
            </w:r>
            <w:r>
              <w:rPr>
                <w:color w:val="000000"/>
                <w:spacing w:val="0"/>
                <w:w w:val="100"/>
                <w:position w:val="0"/>
                <w:sz w:val="20"/>
                <w:szCs w:val="20"/>
              </w:rPr>
              <w:t>关于召开</w:t>
            </w:r>
            <w:r>
              <w:rPr>
                <w:color w:val="000000"/>
                <w:spacing w:val="0"/>
                <w:w w:val="100"/>
                <w:position w:val="0"/>
                <w:sz w:val="20"/>
                <w:szCs w:val="20"/>
              </w:rPr>
              <w:t>2020</w:t>
            </w:r>
            <w:r>
              <w:rPr>
                <w:color w:val="000000"/>
                <w:spacing w:val="0"/>
                <w:w w:val="100"/>
                <w:position w:val="0"/>
                <w:sz w:val="20"/>
                <w:szCs w:val="20"/>
              </w:rPr>
              <w:t>年第三次临时股东大会的通知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和仁科技:公司章程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和仁科技:关于使用闲置募集资金进行现金管理的公告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和仁科技:第三届监事会第十次会议决议公告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和仁科技:第三届董事会第十次会议决议公告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和仁科技:关于控股股东部分股份质押延期的公告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年第三次临时股东大会的法律意见书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年第三次临时股东大会决议公告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和仁科技:独立董事关于第三届董事会第十一次会议相关事项的独立意见</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和仁科技:浙江天册律师事务所关于公司回购注销部分股权激励计划限制性 股票之法律意见书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和仁科技:公司章程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和仁科技:关于减少注册资本、修改公司章程的公告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和仁科技:关于召开</w:t>
            </w:r>
            <w:r>
              <w:rPr>
                <w:color w:val="000000"/>
                <w:spacing w:val="0"/>
                <w:w w:val="100"/>
                <w:position w:val="0"/>
                <w:sz w:val="20"/>
                <w:szCs w:val="20"/>
              </w:rPr>
              <w:t>2020</w:t>
            </w:r>
            <w:r>
              <w:rPr>
                <w:color w:val="000000"/>
                <w:spacing w:val="0"/>
                <w:w w:val="100"/>
                <w:position w:val="0"/>
                <w:sz w:val="20"/>
                <w:szCs w:val="20"/>
              </w:rPr>
              <w:t>年第四次临时股东大会的通知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和仁科技:第三届监事会第十一次会议决议公告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和仁科技:关于回购注销部分限制性股票的公告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和仁科技:第三届董事会第十一次会议决议公告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和仁科技:高级管理人员减持计划届满的公告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和仁科技:关于完成工商变更登记的公告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和仁科技:控股股东及一致行动人减持计划预披露公告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年第四次临时股东大会决议公告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w:t>
            </w:r>
            <w:r>
              <w:rPr>
                <w:color w:val="000000"/>
                <w:spacing w:val="0"/>
                <w:w w:val="100"/>
                <w:position w:val="0"/>
                <w:sz w:val="20"/>
                <w:szCs w:val="20"/>
              </w:rPr>
              <w:t>：2020</w:t>
            </w:r>
            <w:r>
              <w:rPr>
                <w:color w:val="000000"/>
                <w:spacing w:val="0"/>
                <w:w w:val="100"/>
                <w:position w:val="0"/>
                <w:sz w:val="20"/>
                <w:szCs w:val="20"/>
              </w:rPr>
              <w:t>年第四次临时股东大会的法律意见书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和仁科技:关于回购注销部分限制性股票的减资公告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和仁科技:股东关于减持公司股份超过</w:t>
            </w:r>
            <w:r>
              <w:rPr>
                <w:color w:val="000000"/>
                <w:spacing w:val="0"/>
                <w:w w:val="100"/>
                <w:position w:val="0"/>
                <w:sz w:val="20"/>
                <w:szCs w:val="20"/>
              </w:rPr>
              <w:t>1%</w:t>
            </w:r>
            <w:r>
              <w:rPr>
                <w:color w:val="000000"/>
                <w:spacing w:val="0"/>
                <w:w w:val="100"/>
                <w:position w:val="0"/>
                <w:sz w:val="20"/>
                <w:szCs w:val="20"/>
              </w:rPr>
              <w:t>的公告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和仁科技:第三届董事会第十二次会议决议公告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和仁科技:第三届监事会第十二次会议决议公告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和仁科技:关于召开</w:t>
            </w:r>
            <w:r>
              <w:rPr>
                <w:color w:val="000000"/>
                <w:spacing w:val="0"/>
                <w:w w:val="100"/>
                <w:position w:val="0"/>
                <w:sz w:val="20"/>
                <w:szCs w:val="20"/>
              </w:rPr>
              <w:t>2021</w:t>
            </w:r>
            <w:r>
              <w:rPr>
                <w:color w:val="000000"/>
                <w:spacing w:val="0"/>
                <w:w w:val="100"/>
                <w:position w:val="0"/>
                <w:sz w:val="20"/>
                <w:szCs w:val="20"/>
              </w:rPr>
              <w:t>年第一次临时股东大会的通知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和仁科技:公司章程</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和仁科技:浙江天册律师事务所关于公司回购注销部分股权激励计划限制性 股票之法律意见书</w:t>
            </w:r>
          </w:p>
        </w:tc>
      </w:tr>
    </w:tbl>
    <w:tbl>
      <w:tblPr>
        <w:tblOverlap w:val="never"/>
        <w:jc w:val="center"/>
        <w:tblLayout w:type="fixed"/>
      </w:tblPr>
      <w:tblGrid>
        <w:gridCol w:w="2597"/>
        <w:gridCol w:w="654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和仁科技:关于减少注册资本、修改公司章程的公告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和仁科技:独立董事关于第三届董事会第十二次会议相关事项的独立意见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和仁科技:关于回购注销部分限制性股票的公告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和仁科技:关于获得政府补助的公告</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和仁科技:控股股东及一致行动人减持计划数量过半的进展公告</w:t>
            </w:r>
          </w:p>
        </w:tc>
      </w:tr>
    </w:tbl>
    <w:p>
      <w:pPr>
        <w:widowControl w:val="0"/>
        <w:spacing w:after="619" w:line="1" w:lineRule="exact"/>
      </w:pPr>
    </w:p>
    <w:p>
      <w:pPr>
        <w:pStyle w:val="Style22"/>
        <w:keepNext/>
        <w:keepLines/>
        <w:widowControl w:val="0"/>
        <w:shd w:val="clear" w:color="auto" w:fill="auto"/>
        <w:bidi w:val="0"/>
        <w:spacing w:before="0" w:line="240" w:lineRule="auto"/>
        <w:ind w:left="0" w:right="0" w:firstLine="0"/>
        <w:jc w:val="both"/>
      </w:pPr>
      <w:bookmarkStart w:id="441" w:name="bookmark441"/>
      <w:bookmarkStart w:id="442" w:name="bookmark442"/>
      <w:bookmarkStart w:id="443" w:name="bookmark443"/>
      <w:r>
        <w:rPr>
          <w:color w:val="000000"/>
          <w:spacing w:val="0"/>
          <w:w w:val="100"/>
          <w:position w:val="0"/>
          <w:sz w:val="24"/>
          <w:szCs w:val="24"/>
        </w:rPr>
        <w:t>十九、公司子公司重大事项</w:t>
      </w:r>
      <w:bookmarkEnd w:id="441"/>
      <w:bookmarkEnd w:id="442"/>
      <w:bookmarkEnd w:id="443"/>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tabs>
          <w:tab w:pos="305" w:val="left"/>
        </w:tabs>
        <w:bidi w:val="0"/>
        <w:spacing w:before="0" w:after="0" w:line="315" w:lineRule="exact"/>
        <w:ind w:left="0" w:right="0" w:firstLine="0"/>
        <w:jc w:val="both"/>
        <w:rPr>
          <w:sz w:val="18"/>
          <w:szCs w:val="18"/>
        </w:rPr>
      </w:pPr>
      <w:bookmarkStart w:id="444" w:name="bookmark444"/>
      <w:r>
        <w:rPr>
          <w:color w:val="000000"/>
          <w:spacing w:val="0"/>
          <w:w w:val="100"/>
          <w:position w:val="0"/>
          <w:sz w:val="18"/>
          <w:szCs w:val="18"/>
        </w:rPr>
        <w:t>1</w:t>
      </w:r>
      <w:bookmarkEnd w:id="444"/>
      <w:r>
        <w:rPr>
          <w:color w:val="000000"/>
          <w:spacing w:val="0"/>
          <w:w w:val="100"/>
          <w:position w:val="0"/>
          <w:sz w:val="17"/>
          <w:szCs w:val="17"/>
        </w:rPr>
        <w:t>、</w:t>
        <w:tab/>
        <w:t>公司以</w:t>
      </w:r>
      <w:r>
        <w:rPr>
          <w:color w:val="000000"/>
          <w:spacing w:val="0"/>
          <w:w w:val="100"/>
          <w:position w:val="0"/>
          <w:sz w:val="18"/>
          <w:szCs w:val="18"/>
        </w:rPr>
        <w:t>2,570,922</w:t>
      </w:r>
      <w:r>
        <w:rPr>
          <w:color w:val="000000"/>
          <w:spacing w:val="0"/>
          <w:w w:val="100"/>
          <w:position w:val="0"/>
          <w:sz w:val="17"/>
          <w:szCs w:val="17"/>
        </w:rPr>
        <w:t>元的价格收购刘长春所持有的和仁（天津）科技有限公司（以下简称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天津和仁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）20%</w:t>
      </w:r>
      <w:r>
        <w:rPr>
          <w:color w:val="000000"/>
          <w:spacing w:val="0"/>
          <w:w w:val="100"/>
          <w:position w:val="0"/>
          <w:sz w:val="17"/>
          <w:szCs w:val="17"/>
        </w:rPr>
        <w:t>的股权，收购 完成后，天津和仁仍为和仁科技的控股子公司。上述事项经过经公司</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6</w:t>
      </w:r>
      <w:r>
        <w:rPr>
          <w:color w:val="000000"/>
          <w:spacing w:val="0"/>
          <w:w w:val="100"/>
          <w:position w:val="0"/>
          <w:sz w:val="17"/>
          <w:szCs w:val="17"/>
        </w:rPr>
        <w:t>月</w:t>
      </w:r>
      <w:r>
        <w:rPr>
          <w:color w:val="000000"/>
          <w:spacing w:val="0"/>
          <w:w w:val="100"/>
          <w:position w:val="0"/>
          <w:sz w:val="18"/>
          <w:szCs w:val="18"/>
        </w:rPr>
        <w:t>9</w:t>
      </w:r>
      <w:r>
        <w:rPr>
          <w:color w:val="000000"/>
          <w:spacing w:val="0"/>
          <w:w w:val="100"/>
          <w:position w:val="0"/>
          <w:sz w:val="17"/>
          <w:szCs w:val="17"/>
        </w:rPr>
        <w:t>日召开的第三届董事会第六次会议以及 第三届监事会第六次会议审议通过。详见巨潮资讯网</w:t>
      </w:r>
      <w:r>
        <w:rPr>
          <w:color w:val="000000"/>
          <w:spacing w:val="0"/>
          <w:w w:val="100"/>
          <w:position w:val="0"/>
          <w:sz w:val="18"/>
          <w:szCs w:val="18"/>
        </w:rPr>
        <w:t>（</w:t>
      </w:r>
      <w:r>
        <w:rPr>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2020-069）</w:t>
      </w:r>
    </w:p>
    <w:p>
      <w:pPr>
        <w:pStyle w:val="Style26"/>
        <w:keepNext w:val="0"/>
        <w:keepLines w:val="0"/>
        <w:widowControl w:val="0"/>
        <w:shd w:val="clear" w:color="auto" w:fill="auto"/>
        <w:tabs>
          <w:tab w:pos="305" w:val="left"/>
        </w:tabs>
        <w:bidi w:val="0"/>
        <w:spacing w:before="0" w:after="0" w:line="315" w:lineRule="exact"/>
        <w:ind w:left="0" w:right="0" w:firstLine="0"/>
        <w:jc w:val="both"/>
      </w:pPr>
      <w:bookmarkStart w:id="445" w:name="bookmark445"/>
      <w:r>
        <w:rPr>
          <w:color w:val="000000"/>
          <w:spacing w:val="0"/>
          <w:w w:val="100"/>
          <w:position w:val="0"/>
          <w:sz w:val="18"/>
          <w:szCs w:val="18"/>
        </w:rPr>
        <w:t>2</w:t>
      </w:r>
      <w:bookmarkEnd w:id="445"/>
      <w:r>
        <w:rPr>
          <w:color w:val="000000"/>
          <w:spacing w:val="0"/>
          <w:w w:val="100"/>
          <w:position w:val="0"/>
        </w:rPr>
        <w:t>、</w:t>
        <w:tab/>
        <w:t>报告期内，公司因业务战略调整，清算广西和仁子公司、北京和仁子公司、重庆和仁子公司，对生产经营及业绩无实质 影响；</w:t>
      </w:r>
    </w:p>
    <w:p>
      <w:pPr>
        <w:pStyle w:val="Style26"/>
        <w:keepNext w:val="0"/>
        <w:keepLines w:val="0"/>
        <w:widowControl w:val="0"/>
        <w:shd w:val="clear" w:color="auto" w:fill="auto"/>
        <w:tabs>
          <w:tab w:pos="305" w:val="left"/>
        </w:tabs>
        <w:bidi w:val="0"/>
        <w:spacing w:before="0" w:after="200" w:line="317" w:lineRule="exact"/>
        <w:ind w:left="0" w:right="0" w:firstLine="0"/>
        <w:jc w:val="both"/>
      </w:pPr>
      <w:bookmarkStart w:id="446" w:name="bookmark446"/>
      <w:r>
        <w:rPr>
          <w:rFonts w:ascii="Times New Roman" w:eastAsia="Times New Roman" w:hAnsi="Times New Roman" w:cs="Times New Roman"/>
          <w:color w:val="000000"/>
          <w:spacing w:val="0"/>
          <w:w w:val="100"/>
          <w:position w:val="0"/>
          <w:sz w:val="18"/>
          <w:szCs w:val="18"/>
        </w:rPr>
        <w:t>3</w:t>
      </w:r>
      <w:bookmarkEnd w:id="446"/>
      <w:r>
        <w:rPr>
          <w:color w:val="000000"/>
          <w:spacing w:val="0"/>
          <w:w w:val="100"/>
          <w:position w:val="0"/>
        </w:rPr>
        <w:t>、</w:t>
        <w:tab/>
        <w:t>报告期内，公司以自有资金，通过杭州产权交易所招拍挂流程，以</w:t>
      </w:r>
      <w:r>
        <w:rPr>
          <w:rFonts w:ascii="Times New Roman" w:eastAsia="Times New Roman" w:hAnsi="Times New Roman" w:cs="Times New Roman"/>
          <w:color w:val="000000"/>
          <w:spacing w:val="0"/>
          <w:w w:val="100"/>
          <w:position w:val="0"/>
          <w:sz w:val="18"/>
          <w:szCs w:val="18"/>
        </w:rPr>
        <w:t>28,166,600.00</w:t>
      </w:r>
      <w:r>
        <w:rPr>
          <w:color w:val="000000"/>
          <w:spacing w:val="0"/>
          <w:w w:val="100"/>
          <w:position w:val="0"/>
        </w:rPr>
        <w:t>元受让杭州市居住区发展中心有限公司 持有的中锦保理公司</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月，本公司已支付全部股权转让款并完成股权交割手续，中锦保理公司已完成 工商变更登记。中锦保理公司主要经营业务为以受让应收账款的方式提供贸易融资；应收账款的收付结算、管理与催收；销 售分户（分类）账管理；客户资信调查与评估；相关咨询服务。</w:t>
      </w:r>
      <w:r>
        <w:br w:type="page"/>
      </w:r>
    </w:p>
    <w:p>
      <w:pPr>
        <w:pStyle w:val="Style13"/>
        <w:keepNext/>
        <w:keepLines/>
        <w:widowControl w:val="0"/>
        <w:shd w:val="clear" w:color="auto" w:fill="auto"/>
        <w:bidi w:val="0"/>
        <w:spacing w:before="0" w:after="520" w:line="240" w:lineRule="auto"/>
        <w:ind w:left="0" w:right="0" w:firstLine="0"/>
        <w:jc w:val="center"/>
      </w:pPr>
      <w:bookmarkStart w:id="447" w:name="bookmark447"/>
      <w:bookmarkStart w:id="448" w:name="bookmark448"/>
      <w:bookmarkStart w:id="449" w:name="bookmark449"/>
      <w:r>
        <w:rPr>
          <w:color w:val="000000"/>
          <w:spacing w:val="0"/>
          <w:w w:val="100"/>
          <w:position w:val="0"/>
        </w:rPr>
        <w:t>第六节股份变动及股东情况</w:t>
      </w:r>
      <w:bookmarkEnd w:id="447"/>
      <w:bookmarkEnd w:id="448"/>
      <w:bookmarkEnd w:id="449"/>
    </w:p>
    <w:p>
      <w:pPr>
        <w:pStyle w:val="Style22"/>
        <w:keepNext/>
        <w:keepLines/>
        <w:widowControl w:val="0"/>
        <w:shd w:val="clear" w:color="auto" w:fill="auto"/>
        <w:bidi w:val="0"/>
        <w:spacing w:before="0" w:line="240" w:lineRule="auto"/>
        <w:ind w:left="0" w:right="0" w:firstLine="0"/>
        <w:jc w:val="left"/>
      </w:pPr>
      <w:bookmarkStart w:id="450" w:name="bookmark450"/>
      <w:bookmarkStart w:id="451" w:name="bookmark451"/>
      <w:bookmarkStart w:id="452" w:name="bookmark452"/>
      <w:bookmarkStart w:id="453" w:name="bookmark453"/>
      <w:bookmarkStart w:id="454" w:name="bookmark454"/>
      <w:r>
        <w:rPr>
          <w:color w:val="000000"/>
          <w:spacing w:val="0"/>
          <w:w w:val="100"/>
          <w:position w:val="0"/>
          <w:sz w:val="24"/>
          <w:szCs w:val="24"/>
        </w:rPr>
        <w:t>一</w:t>
      </w:r>
      <w:bookmarkEnd w:id="453"/>
      <w:r>
        <w:rPr>
          <w:color w:val="000000"/>
          <w:spacing w:val="0"/>
          <w:w w:val="100"/>
          <w:position w:val="0"/>
          <w:sz w:val="24"/>
          <w:szCs w:val="24"/>
        </w:rPr>
        <w:t>、股份变动情况</w:t>
      </w:r>
      <w:bookmarkEnd w:id="451"/>
      <w:bookmarkEnd w:id="452"/>
      <w:bookmarkEnd w:id="454"/>
      <w:bookmarkEnd w:id="450"/>
    </w:p>
    <w:p>
      <w:pPr>
        <w:pStyle w:val="Style30"/>
        <w:keepNext/>
        <w:keepLines/>
        <w:widowControl w:val="0"/>
        <w:shd w:val="clear" w:color="auto" w:fill="auto"/>
        <w:bidi w:val="0"/>
        <w:spacing w:before="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、股份变动情况</w:t>
      </w:r>
      <w:bookmarkEnd w:id="455"/>
      <w:bookmarkEnd w:id="456"/>
      <w:bookmarkEnd w:id="45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8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25,862,55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30,339,58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9,391,378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9,391,378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16,471,18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16,702,70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20,948,20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10,198,87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14,675,90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113,060,5</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46,529,17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159,589,6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113,060,5</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46,529,17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159,589,6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117,306,0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25,862,55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46,876,20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72,623,25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189,929,2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tabs>
          <w:tab w:pos="334" w:val="left"/>
        </w:tabs>
        <w:bidi w:val="0"/>
        <w:spacing w:before="0" w:after="120" w:line="240" w:lineRule="auto"/>
        <w:ind w:left="0" w:right="0" w:firstLine="0"/>
        <w:jc w:val="left"/>
      </w:pPr>
      <w:bookmarkStart w:id="459" w:name="bookmark459"/>
      <w:r>
        <w:rPr>
          <w:rFonts w:ascii="Times New Roman" w:eastAsia="Times New Roman" w:hAnsi="Times New Roman" w:cs="Times New Roman"/>
          <w:color w:val="000000"/>
          <w:spacing w:val="0"/>
          <w:w w:val="100"/>
          <w:position w:val="0"/>
          <w:sz w:val="18"/>
          <w:szCs w:val="18"/>
        </w:rPr>
        <w:t>1</w:t>
      </w:r>
      <w:bookmarkEnd w:id="459"/>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日办理完成离职激励对象的回购注销工作，公司股份总数由</w:t>
      </w:r>
      <w:r>
        <w:rPr>
          <w:rFonts w:ascii="Times New Roman" w:eastAsia="Times New Roman" w:hAnsi="Times New Roman" w:cs="Times New Roman"/>
          <w:color w:val="000000"/>
          <w:spacing w:val="0"/>
          <w:w w:val="100"/>
          <w:position w:val="0"/>
          <w:sz w:val="18"/>
          <w:szCs w:val="18"/>
        </w:rPr>
        <w:t>117,306,000</w:t>
      </w:r>
      <w:r>
        <w:rPr>
          <w:color w:val="000000"/>
          <w:spacing w:val="0"/>
          <w:w w:val="100"/>
          <w:position w:val="0"/>
        </w:rPr>
        <w:t>股减少为</w:t>
      </w:r>
      <w:r>
        <w:rPr>
          <w:rFonts w:ascii="Times New Roman" w:eastAsia="Times New Roman" w:hAnsi="Times New Roman" w:cs="Times New Roman"/>
          <w:color w:val="000000"/>
          <w:spacing w:val="0"/>
          <w:w w:val="100"/>
          <w:position w:val="0"/>
          <w:sz w:val="18"/>
          <w:szCs w:val="18"/>
        </w:rPr>
        <w:t>117,190,500</w:t>
      </w:r>
      <w:r>
        <w:rPr>
          <w:color w:val="000000"/>
          <w:spacing w:val="0"/>
          <w:w w:val="100"/>
          <w:position w:val="0"/>
        </w:rPr>
        <w:t>股。</w:t>
      </w:r>
    </w:p>
    <w:p>
      <w:pPr>
        <w:pStyle w:val="Style26"/>
        <w:keepNext w:val="0"/>
        <w:keepLines w:val="0"/>
        <w:widowControl w:val="0"/>
        <w:shd w:val="clear" w:color="auto" w:fill="auto"/>
        <w:bidi w:val="0"/>
        <w:spacing w:before="0" w:after="120" w:line="240" w:lineRule="auto"/>
        <w:ind w:left="0" w:right="0" w:firstLine="0"/>
        <w:jc w:val="left"/>
      </w:pPr>
      <w:bookmarkStart w:id="460" w:name="bookmark460"/>
      <w:r>
        <w:rPr>
          <w:rFonts w:ascii="Times New Roman" w:eastAsia="Times New Roman" w:hAnsi="Times New Roman" w:cs="Times New Roman"/>
          <w:color w:val="000000"/>
          <w:spacing w:val="0"/>
          <w:w w:val="100"/>
          <w:position w:val="0"/>
          <w:sz w:val="18"/>
          <w:szCs w:val="18"/>
        </w:rPr>
        <w:t>2</w:t>
      </w:r>
      <w:bookmarkEnd w:id="460"/>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日实施完成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年度权益分派，转增股本方案，公司总股本由</w:t>
      </w:r>
      <w:r>
        <w:rPr>
          <w:rFonts w:ascii="Times New Roman" w:eastAsia="Times New Roman" w:hAnsi="Times New Roman" w:cs="Times New Roman"/>
          <w:color w:val="000000"/>
          <w:spacing w:val="0"/>
          <w:w w:val="100"/>
          <w:position w:val="0"/>
          <w:sz w:val="18"/>
          <w:szCs w:val="18"/>
        </w:rPr>
        <w:t>117,190,500</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164,066,700</w:t>
      </w:r>
      <w:r>
        <w:rPr>
          <w:color w:val="000000"/>
          <w:spacing w:val="0"/>
          <w:w w:val="100"/>
          <w:position w:val="0"/>
        </w:rPr>
        <w:t>股。</w:t>
      </w:r>
    </w:p>
    <w:p>
      <w:pPr>
        <w:pStyle w:val="Style26"/>
        <w:keepNext w:val="0"/>
        <w:keepLines w:val="0"/>
        <w:widowControl w:val="0"/>
        <w:shd w:val="clear" w:color="auto" w:fill="auto"/>
        <w:tabs>
          <w:tab w:pos="354" w:val="left"/>
        </w:tabs>
        <w:bidi w:val="0"/>
        <w:spacing w:before="0" w:after="120" w:line="240" w:lineRule="auto"/>
        <w:ind w:left="0" w:right="0" w:firstLine="0"/>
        <w:jc w:val="left"/>
      </w:pPr>
      <w:bookmarkStart w:id="461" w:name="bookmark461"/>
      <w:r>
        <w:rPr>
          <w:rFonts w:ascii="Times New Roman" w:eastAsia="Times New Roman" w:hAnsi="Times New Roman" w:cs="Times New Roman"/>
          <w:color w:val="000000"/>
          <w:spacing w:val="0"/>
          <w:w w:val="100"/>
          <w:position w:val="0"/>
          <w:sz w:val="18"/>
          <w:szCs w:val="18"/>
        </w:rPr>
        <w:t>3</w:t>
      </w:r>
      <w:bookmarkEnd w:id="461"/>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日办理完成</w:t>
      </w:r>
      <w:r>
        <w:rPr>
          <w:color w:val="000000"/>
          <w:spacing w:val="0"/>
          <w:w w:val="100"/>
          <w:position w:val="0"/>
          <w:sz w:val="18"/>
          <w:szCs w:val="18"/>
        </w:rPr>
        <w:t>2020</w:t>
      </w:r>
      <w:r>
        <w:rPr>
          <w:color w:val="000000"/>
          <w:spacing w:val="0"/>
          <w:w w:val="100"/>
          <w:position w:val="0"/>
        </w:rPr>
        <w:t>年非公开发行股票的登记上市工作，总股本增加至</w:t>
      </w:r>
      <w:r>
        <w:rPr>
          <w:color w:val="000000"/>
          <w:spacing w:val="0"/>
          <w:w w:val="100"/>
          <w:position w:val="0"/>
          <w:sz w:val="18"/>
          <w:szCs w:val="18"/>
        </w:rPr>
        <w:t>189,929,258</w:t>
      </w:r>
      <w:r>
        <w:rPr>
          <w:color w:val="000000"/>
          <w:spacing w:val="0"/>
          <w:w w:val="100"/>
          <w:position w:val="0"/>
        </w:rPr>
        <w:t>股。</w:t>
      </w:r>
    </w:p>
    <w:p>
      <w:pPr>
        <w:pStyle w:val="Style26"/>
        <w:keepNext w:val="0"/>
        <w:keepLines w:val="0"/>
        <w:widowControl w:val="0"/>
        <w:shd w:val="clear" w:color="auto" w:fill="auto"/>
        <w:bidi w:val="0"/>
        <w:spacing w:before="0" w:after="140" w:line="313" w:lineRule="exact"/>
        <w:ind w:left="0" w:right="0" w:firstLine="0"/>
        <w:jc w:val="both"/>
      </w:pPr>
      <w:r>
        <w:rPr>
          <w:color w:val="000000"/>
          <w:spacing w:val="0"/>
          <w:w w:val="100"/>
          <w:position w:val="0"/>
        </w:rPr>
        <w:t>股份变动的批准情况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2" w:lineRule="exact"/>
        <w:ind w:left="0" w:right="0" w:firstLine="0"/>
        <w:jc w:val="both"/>
      </w:pPr>
      <w:bookmarkStart w:id="462" w:name="bookmark462"/>
      <w:r>
        <w:rPr>
          <w:rFonts w:ascii="Times New Roman" w:eastAsia="Times New Roman" w:hAnsi="Times New Roman" w:cs="Times New Roman"/>
          <w:color w:val="000000"/>
          <w:spacing w:val="0"/>
          <w:w w:val="100"/>
          <w:position w:val="0"/>
          <w:sz w:val="18"/>
          <w:szCs w:val="18"/>
        </w:rPr>
        <w:t>1</w:t>
      </w:r>
      <w:bookmarkEnd w:id="462"/>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日召开第二届董事会第二十三次会议，审议通过《关于调整限制性股票回购价格及回购注销数量的 议案》、《关于回购注销部分限制性股票的议案》。因公司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年年度权益分派、资本公积转增股本方案于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实施完毕，根据公司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年限制性股票激励计划相关规定，应对限制性股票回购价格及回购注销数量进行相应的调整，同时 对部分限制性股票进行回购注销。上述两项事项提交公司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年第五次临时股东大会审议通过。经中国证券登记结算有限责 任公司深圳分公司审核确认，公司本次部分限制性股票回购注销事宜已于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日办理完成。回购完成后，公司股份 总数由</w:t>
      </w:r>
      <w:r>
        <w:rPr>
          <w:rFonts w:ascii="Times New Roman" w:eastAsia="Times New Roman" w:hAnsi="Times New Roman" w:cs="Times New Roman"/>
          <w:color w:val="000000"/>
          <w:spacing w:val="0"/>
          <w:w w:val="100"/>
          <w:position w:val="0"/>
          <w:sz w:val="18"/>
          <w:szCs w:val="18"/>
        </w:rPr>
        <w:t>117,306,000</w:t>
      </w:r>
      <w:r>
        <w:rPr>
          <w:color w:val="000000"/>
          <w:spacing w:val="0"/>
          <w:w w:val="100"/>
          <w:position w:val="0"/>
        </w:rPr>
        <w:t>股减少为</w:t>
      </w:r>
      <w:r>
        <w:rPr>
          <w:rFonts w:ascii="Times New Roman" w:eastAsia="Times New Roman" w:hAnsi="Times New Roman" w:cs="Times New Roman"/>
          <w:color w:val="000000"/>
          <w:spacing w:val="0"/>
          <w:w w:val="100"/>
          <w:position w:val="0"/>
          <w:sz w:val="18"/>
          <w:szCs w:val="18"/>
        </w:rPr>
        <w:t>117,190,500</w:t>
      </w:r>
      <w:r>
        <w:rPr>
          <w:color w:val="000000"/>
          <w:spacing w:val="0"/>
          <w:w w:val="100"/>
          <w:position w:val="0"/>
        </w:rPr>
        <w:t>股。</w:t>
      </w:r>
    </w:p>
    <w:p>
      <w:pPr>
        <w:pStyle w:val="Style26"/>
        <w:keepNext w:val="0"/>
        <w:keepLines w:val="0"/>
        <w:widowControl w:val="0"/>
        <w:shd w:val="clear" w:color="auto" w:fill="auto"/>
        <w:tabs>
          <w:tab w:pos="326" w:val="left"/>
        </w:tabs>
        <w:bidi w:val="0"/>
        <w:spacing w:before="0" w:after="0" w:line="314" w:lineRule="exact"/>
        <w:ind w:left="0" w:right="0" w:firstLine="0"/>
        <w:jc w:val="both"/>
      </w:pPr>
      <w:bookmarkStart w:id="463" w:name="bookmark463"/>
      <w:r>
        <w:rPr>
          <w:rFonts w:ascii="Times New Roman" w:eastAsia="Times New Roman" w:hAnsi="Times New Roman" w:cs="Times New Roman"/>
          <w:color w:val="000000"/>
          <w:spacing w:val="0"/>
          <w:w w:val="100"/>
          <w:position w:val="0"/>
          <w:sz w:val="18"/>
          <w:szCs w:val="18"/>
        </w:rPr>
        <w:t>2</w:t>
      </w:r>
      <w:bookmarkEnd w:id="463"/>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年年度股东大会同意，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年的利润分配方案为以实施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年年度权益分配方案时股权登记日享有利润分 配、公积金转增股本权利的总股本为基数，向全体股东每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0.55</w:t>
      </w:r>
      <w:r>
        <w:rPr>
          <w:color w:val="000000"/>
          <w:spacing w:val="0"/>
          <w:w w:val="100"/>
          <w:position w:val="0"/>
        </w:rPr>
        <w:t>元（含税）、以资本公积金每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股、不送红股。权益分派方案已经于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日实施完毕，公司总股本增加至</w:t>
      </w:r>
      <w:r>
        <w:rPr>
          <w:rFonts w:ascii="Times New Roman" w:eastAsia="Times New Roman" w:hAnsi="Times New Roman" w:cs="Times New Roman"/>
          <w:color w:val="000000"/>
          <w:spacing w:val="0"/>
          <w:w w:val="100"/>
          <w:position w:val="0"/>
          <w:sz w:val="18"/>
          <w:szCs w:val="18"/>
        </w:rPr>
        <w:t>164,066,700</w:t>
      </w:r>
      <w:r>
        <w:rPr>
          <w:color w:val="000000"/>
          <w:spacing w:val="0"/>
          <w:w w:val="100"/>
          <w:position w:val="0"/>
        </w:rPr>
        <w:t>股。</w:t>
      </w:r>
    </w:p>
    <w:p>
      <w:pPr>
        <w:pStyle w:val="Style26"/>
        <w:keepNext w:val="0"/>
        <w:keepLines w:val="0"/>
        <w:widowControl w:val="0"/>
        <w:shd w:val="clear" w:color="auto" w:fill="auto"/>
        <w:tabs>
          <w:tab w:pos="326" w:val="left"/>
        </w:tabs>
        <w:bidi w:val="0"/>
        <w:spacing w:before="0" w:after="0" w:line="313" w:lineRule="exact"/>
        <w:ind w:left="0" w:right="0" w:firstLine="0"/>
        <w:jc w:val="both"/>
      </w:pPr>
      <w:bookmarkStart w:id="464" w:name="bookmark464"/>
      <w:r>
        <w:rPr>
          <w:color w:val="000000"/>
          <w:spacing w:val="0"/>
          <w:w w:val="100"/>
          <w:position w:val="0"/>
          <w:sz w:val="18"/>
          <w:szCs w:val="18"/>
        </w:rPr>
        <w:t>3</w:t>
      </w:r>
      <w:bookmarkEnd w:id="464"/>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日，公司召开第三届董事会第二次会议审议通过了《关于公司符合创业板非公开发行</w:t>
      </w:r>
      <w:r>
        <w:rPr>
          <w:color w:val="000000"/>
          <w:spacing w:val="0"/>
          <w:w w:val="100"/>
          <w:position w:val="0"/>
          <w:sz w:val="18"/>
          <w:szCs w:val="18"/>
        </w:rPr>
        <w:t>A</w:t>
      </w:r>
      <w:r>
        <w:rPr>
          <w:color w:val="000000"/>
          <w:spacing w:val="0"/>
          <w:w w:val="100"/>
          <w:position w:val="0"/>
        </w:rPr>
        <w:t>股股票条件的议案》、 《关于〈公司</w:t>
      </w:r>
      <w:r>
        <w:rPr>
          <w:color w:val="000000"/>
          <w:spacing w:val="0"/>
          <w:w w:val="100"/>
          <w:position w:val="0"/>
          <w:sz w:val="18"/>
          <w:szCs w:val="18"/>
        </w:rPr>
        <w:t>2020</w:t>
      </w:r>
      <w:r>
        <w:rPr>
          <w:color w:val="000000"/>
          <w:spacing w:val="0"/>
          <w:w w:val="100"/>
          <w:position w:val="0"/>
        </w:rPr>
        <w:t>年创业板非公开发行</w:t>
      </w:r>
      <w:r>
        <w:rPr>
          <w:color w:val="000000"/>
          <w:spacing w:val="0"/>
          <w:w w:val="100"/>
          <w:position w:val="0"/>
          <w:sz w:val="18"/>
          <w:szCs w:val="18"/>
        </w:rPr>
        <w:t>A</w:t>
      </w:r>
      <w:r>
        <w:rPr>
          <w:color w:val="000000"/>
          <w:spacing w:val="0"/>
          <w:w w:val="100"/>
          <w:position w:val="0"/>
        </w:rPr>
        <w:t>股股票方案〉的议案》、《关于〈公司</w:t>
      </w:r>
      <w:r>
        <w:rPr>
          <w:color w:val="000000"/>
          <w:spacing w:val="0"/>
          <w:w w:val="100"/>
          <w:position w:val="0"/>
          <w:sz w:val="18"/>
          <w:szCs w:val="18"/>
        </w:rPr>
        <w:t>2020</w:t>
      </w:r>
      <w:r>
        <w:rPr>
          <w:color w:val="000000"/>
          <w:spacing w:val="0"/>
          <w:w w:val="100"/>
          <w:position w:val="0"/>
        </w:rPr>
        <w:t>年创业板非公开发行</w:t>
      </w:r>
      <w:r>
        <w:rPr>
          <w:color w:val="000000"/>
          <w:spacing w:val="0"/>
          <w:w w:val="100"/>
          <w:position w:val="0"/>
          <w:sz w:val="18"/>
          <w:szCs w:val="18"/>
        </w:rPr>
        <w:t>A</w:t>
      </w:r>
      <w:r>
        <w:rPr>
          <w:color w:val="000000"/>
          <w:spacing w:val="0"/>
          <w:w w:val="100"/>
          <w:position w:val="0"/>
        </w:rPr>
        <w:t>股股票预案〉的议案》、 《关于〈公司</w:t>
      </w:r>
      <w:r>
        <w:rPr>
          <w:color w:val="000000"/>
          <w:spacing w:val="0"/>
          <w:w w:val="100"/>
          <w:position w:val="0"/>
          <w:sz w:val="18"/>
          <w:szCs w:val="18"/>
        </w:rPr>
        <w:t>2020</w:t>
      </w:r>
      <w:r>
        <w:rPr>
          <w:color w:val="000000"/>
          <w:spacing w:val="0"/>
          <w:w w:val="100"/>
          <w:position w:val="0"/>
        </w:rPr>
        <w:t>年创业板非公开发行</w:t>
      </w:r>
      <w:r>
        <w:rPr>
          <w:color w:val="000000"/>
          <w:spacing w:val="0"/>
          <w:w w:val="100"/>
          <w:position w:val="0"/>
          <w:sz w:val="18"/>
          <w:szCs w:val="18"/>
        </w:rPr>
        <w:t>A</w:t>
      </w:r>
      <w:r>
        <w:rPr>
          <w:color w:val="000000"/>
          <w:spacing w:val="0"/>
          <w:w w:val="100"/>
          <w:position w:val="0"/>
        </w:rPr>
        <w:t>股股票方案论证分析报告〉的议案》、《关于〈公司</w:t>
      </w:r>
      <w:r>
        <w:rPr>
          <w:color w:val="000000"/>
          <w:spacing w:val="0"/>
          <w:w w:val="100"/>
          <w:position w:val="0"/>
          <w:sz w:val="18"/>
          <w:szCs w:val="18"/>
        </w:rPr>
        <w:t>2020</w:t>
      </w:r>
      <w:r>
        <w:rPr>
          <w:color w:val="000000"/>
          <w:spacing w:val="0"/>
          <w:w w:val="100"/>
          <w:position w:val="0"/>
        </w:rPr>
        <w:t>年创业板非公开发行</w:t>
      </w:r>
      <w:r>
        <w:rPr>
          <w:color w:val="000000"/>
          <w:spacing w:val="0"/>
          <w:w w:val="100"/>
          <w:position w:val="0"/>
          <w:sz w:val="18"/>
          <w:szCs w:val="18"/>
        </w:rPr>
        <w:t>A</w:t>
      </w:r>
      <w:r>
        <w:rPr>
          <w:color w:val="000000"/>
          <w:spacing w:val="0"/>
          <w:w w:val="100"/>
          <w:position w:val="0"/>
        </w:rPr>
        <w:t>股股票</w:t>
      </w:r>
    </w:p>
    <w:p>
      <w:pPr>
        <w:pStyle w:val="Style26"/>
        <w:keepNext w:val="0"/>
        <w:keepLines w:val="0"/>
        <w:widowControl w:val="0"/>
        <w:shd w:val="clear" w:color="auto" w:fill="auto"/>
        <w:bidi w:val="0"/>
        <w:spacing w:before="0" w:after="400" w:line="313" w:lineRule="exact"/>
        <w:ind w:left="0" w:right="0" w:firstLine="0"/>
        <w:jc w:val="both"/>
      </w:pPr>
      <w:r>
        <w:rPr>
          <w:color w:val="000000"/>
          <w:spacing w:val="0"/>
          <w:w w:val="100"/>
          <w:position w:val="0"/>
        </w:rPr>
        <w:t>募集资金使用可行性分析报告〉的议案》、《关于〈公司</w:t>
      </w:r>
      <w:r>
        <w:rPr>
          <w:color w:val="000000"/>
          <w:spacing w:val="0"/>
          <w:w w:val="100"/>
          <w:position w:val="0"/>
          <w:sz w:val="18"/>
          <w:szCs w:val="18"/>
        </w:rPr>
        <w:t>2020</w:t>
      </w:r>
      <w:r>
        <w:rPr>
          <w:color w:val="000000"/>
          <w:spacing w:val="0"/>
          <w:w w:val="100"/>
          <w:position w:val="0"/>
        </w:rPr>
        <w:t>年创业板非公开发行</w:t>
      </w:r>
      <w:r>
        <w:rPr>
          <w:color w:val="000000"/>
          <w:spacing w:val="0"/>
          <w:w w:val="100"/>
          <w:position w:val="0"/>
          <w:sz w:val="18"/>
          <w:szCs w:val="18"/>
        </w:rPr>
        <w:t>A</w:t>
      </w:r>
      <w:r>
        <w:rPr>
          <w:color w:val="000000"/>
          <w:spacing w:val="0"/>
          <w:w w:val="100"/>
          <w:position w:val="0"/>
        </w:rPr>
        <w:t>股股票摊薄即期回报、采取填补措施〉的议 案》、《关于〈公司未来三年</w:t>
      </w:r>
      <w:r>
        <w:rPr>
          <w:color w:val="000000"/>
          <w:spacing w:val="0"/>
          <w:w w:val="100"/>
          <w:position w:val="0"/>
          <w:sz w:val="18"/>
          <w:szCs w:val="18"/>
        </w:rPr>
        <w:t>（2020-2022</w:t>
      </w:r>
      <w:r>
        <w:rPr>
          <w:color w:val="000000"/>
          <w:spacing w:val="0"/>
          <w:w w:val="100"/>
          <w:position w:val="0"/>
        </w:rPr>
        <w:t>年）股东回报规划〉的议案》、《关于〈公司前次募集资金使用情况报告＞的议案》 等议案。其后，本次非公开发行事项的相关议案经</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10</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年第一次临时股东大会审议通过。本次非公开 发行股票所发行的股票已经于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日在深圳证券交易所上市。</w:t>
      </w:r>
    </w:p>
    <w:p>
      <w:pPr>
        <w:pStyle w:val="Style26"/>
        <w:keepNext w:val="0"/>
        <w:keepLines w:val="0"/>
        <w:widowControl w:val="0"/>
        <w:shd w:val="clear" w:color="auto" w:fill="auto"/>
        <w:bidi w:val="0"/>
        <w:spacing w:before="0" w:after="140" w:line="313" w:lineRule="exact"/>
        <w:ind w:left="0" w:right="0" w:firstLine="0"/>
        <w:jc w:val="both"/>
      </w:pPr>
      <w:r>
        <w:rPr>
          <w:color w:val="000000"/>
          <w:spacing w:val="0"/>
          <w:w w:val="100"/>
          <w:position w:val="0"/>
        </w:rPr>
        <w:t>股份变动的过户情况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tabs>
          <w:tab w:pos="316" w:val="left"/>
        </w:tabs>
        <w:bidi w:val="0"/>
        <w:spacing w:before="0" w:after="0" w:line="302" w:lineRule="exact"/>
        <w:ind w:left="0" w:right="0" w:firstLine="0"/>
        <w:jc w:val="both"/>
      </w:pPr>
      <w:bookmarkStart w:id="465" w:name="bookmark465"/>
      <w:r>
        <w:rPr>
          <w:color w:val="000000"/>
          <w:spacing w:val="0"/>
          <w:w w:val="100"/>
          <w:position w:val="0"/>
          <w:sz w:val="18"/>
          <w:szCs w:val="18"/>
        </w:rPr>
        <w:t>1</w:t>
      </w:r>
      <w:bookmarkEnd w:id="465"/>
      <w:r>
        <w:rPr>
          <w:color w:val="000000"/>
          <w:spacing w:val="0"/>
          <w:w w:val="100"/>
          <w:position w:val="0"/>
        </w:rPr>
        <w:t>、</w:t>
        <w:tab/>
        <w:t>根据股东大会的授权，公司及时在中国证券登记结算公司有限公司深圳分公司办理了限制性股票的回购注销工作。回购 完成后，公司股份总数由</w:t>
      </w:r>
      <w:r>
        <w:rPr>
          <w:color w:val="000000"/>
          <w:spacing w:val="0"/>
          <w:w w:val="100"/>
          <w:position w:val="0"/>
          <w:sz w:val="18"/>
          <w:szCs w:val="18"/>
        </w:rPr>
        <w:t>117,306,000</w:t>
      </w:r>
      <w:r>
        <w:rPr>
          <w:color w:val="000000"/>
          <w:spacing w:val="0"/>
          <w:w w:val="100"/>
          <w:position w:val="0"/>
        </w:rPr>
        <w:t>股减少为</w:t>
      </w:r>
      <w:r>
        <w:rPr>
          <w:color w:val="000000"/>
          <w:spacing w:val="0"/>
          <w:w w:val="100"/>
          <w:position w:val="0"/>
          <w:sz w:val="18"/>
          <w:szCs w:val="18"/>
        </w:rPr>
        <w:t>117,190,500</w:t>
      </w:r>
      <w:r>
        <w:rPr>
          <w:color w:val="000000"/>
          <w:spacing w:val="0"/>
          <w:w w:val="100"/>
          <w:position w:val="0"/>
        </w:rPr>
        <w:t>股。</w:t>
      </w:r>
    </w:p>
    <w:p>
      <w:pPr>
        <w:pStyle w:val="Style26"/>
        <w:keepNext w:val="0"/>
        <w:keepLines w:val="0"/>
        <w:widowControl w:val="0"/>
        <w:shd w:val="clear" w:color="auto" w:fill="auto"/>
        <w:tabs>
          <w:tab w:pos="316" w:val="left"/>
        </w:tabs>
        <w:bidi w:val="0"/>
        <w:spacing w:before="0" w:after="0" w:line="317" w:lineRule="exact"/>
        <w:ind w:left="0" w:right="0" w:firstLine="0"/>
        <w:jc w:val="both"/>
      </w:pPr>
      <w:bookmarkStart w:id="466" w:name="bookmark466"/>
      <w:r>
        <w:rPr>
          <w:color w:val="000000"/>
          <w:spacing w:val="0"/>
          <w:w w:val="100"/>
          <w:position w:val="0"/>
          <w:sz w:val="18"/>
          <w:szCs w:val="18"/>
        </w:rPr>
        <w:t>2</w:t>
      </w:r>
      <w:bookmarkEnd w:id="466"/>
      <w:r>
        <w:rPr>
          <w:color w:val="000000"/>
          <w:spacing w:val="0"/>
          <w:w w:val="100"/>
          <w:position w:val="0"/>
        </w:rPr>
        <w:t>、</w:t>
        <w:tab/>
        <w:t>经中国证券登记结算有限责任公司深圳分公司办理确认，公司</w:t>
      </w:r>
      <w:r>
        <w:rPr>
          <w:color w:val="000000"/>
          <w:spacing w:val="0"/>
          <w:w w:val="100"/>
          <w:position w:val="0"/>
          <w:sz w:val="18"/>
          <w:szCs w:val="18"/>
        </w:rPr>
        <w:t>2019</w:t>
      </w:r>
      <w:r>
        <w:rPr>
          <w:color w:val="000000"/>
          <w:spacing w:val="0"/>
          <w:w w:val="100"/>
          <w:position w:val="0"/>
        </w:rPr>
        <w:t>年权益分派方案已经于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日实施完毕，公司 总股本增加至</w:t>
      </w:r>
      <w:r>
        <w:rPr>
          <w:color w:val="000000"/>
          <w:spacing w:val="0"/>
          <w:w w:val="100"/>
          <w:position w:val="0"/>
          <w:sz w:val="18"/>
          <w:szCs w:val="18"/>
        </w:rPr>
        <w:t>164,066,700</w:t>
      </w:r>
      <w:r>
        <w:rPr>
          <w:color w:val="000000"/>
          <w:spacing w:val="0"/>
          <w:w w:val="100"/>
          <w:position w:val="0"/>
        </w:rPr>
        <w:t>股。</w:t>
      </w:r>
    </w:p>
    <w:p>
      <w:pPr>
        <w:pStyle w:val="Style26"/>
        <w:keepNext w:val="0"/>
        <w:keepLines w:val="0"/>
        <w:widowControl w:val="0"/>
        <w:shd w:val="clear" w:color="auto" w:fill="auto"/>
        <w:tabs>
          <w:tab w:pos="316" w:val="left"/>
        </w:tabs>
        <w:bidi w:val="0"/>
        <w:spacing w:before="0" w:after="860" w:line="322" w:lineRule="exact"/>
        <w:ind w:left="0" w:right="0" w:firstLine="0"/>
        <w:jc w:val="both"/>
      </w:pPr>
      <w:bookmarkStart w:id="467" w:name="bookmark467"/>
      <w:r>
        <w:rPr>
          <w:color w:val="000000"/>
          <w:spacing w:val="0"/>
          <w:w w:val="100"/>
          <w:position w:val="0"/>
          <w:sz w:val="18"/>
          <w:szCs w:val="18"/>
        </w:rPr>
        <w:t>3</w:t>
      </w:r>
      <w:bookmarkEnd w:id="467"/>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日在中国证券登记结算有限责任公司深圳分公司办理完成</w:t>
      </w:r>
      <w:r>
        <w:rPr>
          <w:color w:val="000000"/>
          <w:spacing w:val="0"/>
          <w:w w:val="100"/>
          <w:position w:val="0"/>
          <w:sz w:val="18"/>
          <w:szCs w:val="18"/>
        </w:rPr>
        <w:t>2020</w:t>
      </w:r>
      <w:r>
        <w:rPr>
          <w:color w:val="000000"/>
          <w:spacing w:val="0"/>
          <w:w w:val="100"/>
          <w:position w:val="0"/>
        </w:rPr>
        <w:t>年非公开发行</w:t>
      </w:r>
      <w:r>
        <w:rPr>
          <w:color w:val="000000"/>
          <w:spacing w:val="0"/>
          <w:w w:val="100"/>
          <w:position w:val="0"/>
          <w:sz w:val="18"/>
          <w:szCs w:val="18"/>
        </w:rPr>
        <w:t>A</w:t>
      </w:r>
      <w:r>
        <w:rPr>
          <w:color w:val="000000"/>
          <w:spacing w:val="0"/>
          <w:w w:val="100"/>
          <w:position w:val="0"/>
        </w:rPr>
        <w:t>股股票的股份登记工 作，总股本增加至</w:t>
      </w:r>
      <w:r>
        <w:rPr>
          <w:color w:val="000000"/>
          <w:spacing w:val="0"/>
          <w:w w:val="100"/>
          <w:position w:val="0"/>
          <w:sz w:val="18"/>
          <w:szCs w:val="18"/>
        </w:rPr>
        <w:t>189,929,258</w:t>
      </w:r>
      <w:r>
        <w:rPr>
          <w:color w:val="000000"/>
          <w:spacing w:val="0"/>
          <w:w w:val="100"/>
          <w:position w:val="0"/>
        </w:rPr>
        <w:t>股。</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left"/>
        <w:tblLayout w:type="fixed"/>
      </w:tblPr>
      <w:tblGrid>
        <w:gridCol w:w="1262"/>
        <w:gridCol w:w="1018"/>
        <w:gridCol w:w="1411"/>
        <w:gridCol w:w="1416"/>
        <w:gridCol w:w="343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稀释每股收益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归属于公司普通股股东的每股净资产</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9.34</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5.77</w:t>
            </w:r>
          </w:p>
        </w:tc>
      </w:tr>
      <w:tr>
        <w:trPr>
          <w:trHeight w:val="36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-31. </w:t>
            </w:r>
            <w:r>
              <w:rPr>
                <w:color w:val="000000"/>
                <w:spacing w:val="0"/>
                <w:w w:val="100"/>
                <w:position w:val="0"/>
                <w:sz w:val="20"/>
                <w:szCs w:val="2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-31. </w:t>
            </w:r>
            <w:r>
              <w:rPr>
                <w:color w:val="000000"/>
                <w:spacing w:val="0"/>
                <w:w w:val="100"/>
                <w:position w:val="0"/>
                <w:sz w:val="20"/>
                <w:szCs w:val="20"/>
              </w:rPr>
              <w:t>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-38.22%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公司认为必要或证券监管机构要求披露的其他内容</w:t>
      </w:r>
      <w:r>
        <w:br w:type="page"/>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2</w:t>
      </w:r>
      <w:bookmarkEnd w:id="470"/>
      <w:r>
        <w:rPr>
          <w:color w:val="000000"/>
          <w:spacing w:val="0"/>
          <w:w w:val="100"/>
          <w:position w:val="0"/>
        </w:rPr>
        <w:t>、限售股份变动情况</w:t>
      </w:r>
      <w:bookmarkEnd w:id="468"/>
      <w:bookmarkEnd w:id="469"/>
      <w:bookmarkEnd w:id="471"/>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解光玖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5,099,439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5,099,439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日限售期届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李圣锦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2,549,719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2,549,719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日限售期届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青岛城投金融 控股集团有限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2,549,719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2,549,719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日限售期届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津联（天津） 资产管理有限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2,549,719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2,549,719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日限售期届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满</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浙江省发展资 产经营有限公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1,529,831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1,529,831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日限售期届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常州投资集团</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1,529,831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1,529,831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日限售期届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太平洋资管一 招商银行一太 平洋卓越臻惠 一号产品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1,274,859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1,274,859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日限售期届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潘旭虹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1,019,887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1,019,887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日限售期届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满</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浙江中大集团 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1,019,887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1,019,887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日限售期届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传化控股集团</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1,019,887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1,019,887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日限售期届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满</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核心资本管理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5,719,780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10,196,805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首发后限售 股、股权激励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首发后限售股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w:t>
            </w:r>
          </w:p>
        </w:tc>
      </w:tr>
    </w:tbl>
    <w:p>
      <w:pPr>
        <w:spacing w:lineRule="exact" w:line="1"/>
        <w:rPr>
          <w:sz w:val="2"/>
          <w:szCs w:val="2"/>
        </w:rPr>
      </w:pPr>
      <w:r>
        <w:br w:type="page"/>
      </w:r>
    </w:p>
    <w:tbl>
      <w:tblPr>
        <w:tblOverlap w:val="never"/>
        <w:jc w:val="center"/>
        <w:tblLayout w:type="fixed"/>
      </w:tblPr>
      <w:tblGrid>
        <w:gridCol w:w="1210"/>
        <w:gridCol w:w="1488"/>
        <w:gridCol w:w="1488"/>
        <w:gridCol w:w="1488"/>
        <w:gridCol w:w="1488"/>
        <w:gridCol w:w="1205"/>
        <w:gridCol w:w="1214"/>
      </w:tblGrid>
      <w:tr>
        <w:trPr>
          <w:trHeight w:val="1375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公司一猎鹰一 号私募证券投 资基金、任洪 明、倪佳燕、 刘会召、上汽 颀臻（上海） 资产管理有限 公司一上汽投 资一颀瑞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号、 上海量金资产 管理有限公司 一量金优利 </w:t>
            </w:r>
            <w:r>
              <w:rPr>
                <w:rFonts w:ascii="Times New Roman" w:eastAsia="Times New Roman" w:hAnsi="Times New Roman" w:cs="Times New Roman"/>
                <w:color w:val="000000"/>
                <w:spacing w:val="0"/>
                <w:w w:val="100"/>
                <w:position w:val="0"/>
                <w:sz w:val="18"/>
                <w:szCs w:val="18"/>
              </w:rPr>
              <w:t>CTA</w:t>
            </w:r>
            <w:r>
              <w:rPr>
                <w:color w:val="000000"/>
                <w:spacing w:val="0"/>
                <w:w w:val="100"/>
                <w:position w:val="0"/>
              </w:rPr>
              <w:t xml:space="preserve">二号证券 投资基金、杭 州韶夏瑟茗投 资管理合伙企 业（有限合 伙）、姚建民、 徐江民、大成 基金一中国银 河证券股份有 限公司一大成 基金银河证券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号单一资产 管理计划、张 雪峰、章逸、 全国社保基金 一一三组合、 朱辉、中国银 河证券股份有 限公司、孙霆、 赵晨晖、陶朦 朦、胡斌、袁 杰、柯金伟、 王大和、王媛 媛、郑晓光、 潘钦员、李伟、 梁富宏、刘双 双、何必航、 杨明坤、黄国 庆、宋杰、陆 晓斌、马雄伟、 卢敏坚、刘剑、 李武、李敏、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限售股、高管 锁定股</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开发行的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 股票）于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日限 售期届满；股 权激励限售股 自授予日起满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 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个月激励对 象应在可解锁 日内按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的解锁比 例根据公司经 审计业绩情况 和个人绩效考 核情况分期解 锁，详见公司 披露于巨潮资 讯网的《</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年限制性股票 激励计划》。</w:t>
            </w:r>
          </w:p>
        </w:tc>
      </w:tr>
    </w:tbl>
    <w:tbl>
      <w:tblPr>
        <w:tblOverlap w:val="never"/>
        <w:jc w:val="center"/>
        <w:tblLayout w:type="fixed"/>
      </w:tblPr>
      <w:tblGrid>
        <w:gridCol w:w="1210"/>
        <w:gridCol w:w="1488"/>
        <w:gridCol w:w="1488"/>
        <w:gridCol w:w="1488"/>
        <w:gridCol w:w="1488"/>
        <w:gridCol w:w="1205"/>
        <w:gridCol w:w="1214"/>
      </w:tblGrid>
      <w:tr>
        <w:trPr>
          <w:trHeight w:val="19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陈涛、陈刚、 伍小阶、范成 林、唐杰、柴 永吉、周合军、 楼荣华、刁丁、 李峰、王瑛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25,862,558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30,339,583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二</w:t>
      </w:r>
      <w:bookmarkEnd w:id="474"/>
      <w:r>
        <w:rPr>
          <w:color w:val="000000"/>
          <w:spacing w:val="0"/>
          <w:w w:val="100"/>
          <w:position w:val="0"/>
          <w:sz w:val="24"/>
          <w:szCs w:val="24"/>
        </w:rPr>
        <w:t>、证券发行与上市情况</w:t>
      </w:r>
      <w:bookmarkEnd w:id="472"/>
      <w:bookmarkEnd w:id="473"/>
      <w:bookmarkEnd w:id="475"/>
    </w:p>
    <w:p>
      <w:pPr>
        <w:pStyle w:val="Style30"/>
        <w:keepNext/>
        <w:keepLines/>
        <w:widowControl w:val="0"/>
        <w:shd w:val="clear" w:color="auto" w:fill="auto"/>
        <w:bidi w:val="0"/>
        <w:spacing w:before="0" w:after="38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1</w:t>
      </w:r>
      <w:bookmarkEnd w:id="478"/>
      <w:r>
        <w:rPr>
          <w:color w:val="000000"/>
          <w:spacing w:val="0"/>
          <w:w w:val="100"/>
          <w:position w:val="0"/>
        </w:rPr>
        <w:t>、报告期内证券发行（不含优先股）情况</w:t>
      </w:r>
      <w:bookmarkEnd w:id="476"/>
      <w:bookmarkEnd w:id="477"/>
      <w:bookmarkEnd w:id="47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066"/>
        <w:gridCol w:w="1061"/>
        <w:gridCol w:w="1061"/>
        <w:gridCol w:w="1066"/>
        <w:gridCol w:w="1066"/>
        <w:gridCol w:w="1061"/>
        <w:gridCol w:w="1066"/>
        <w:gridCol w:w="10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首发后限售 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非公开发行 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25,862,558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25,862,558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详见巨潮资 讯网《创业板 非公开发行 股票上市公 告书》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bl>
    <w:p>
      <w:pPr>
        <w:pStyle w:val="Style24"/>
        <w:keepNext w:val="0"/>
        <w:keepLines w:val="0"/>
        <w:widowControl w:val="0"/>
        <w:pBdr>
          <w:top w:val="single" w:sz="0" w:space="0" w:color="D3D3D3"/>
          <w:left w:val="single" w:sz="0" w:space="0" w:color="D3D3D3"/>
          <w:bottom w:val="single" w:sz="0" w:space="6" w:color="D3D3D3"/>
          <w:right w:val="single" w:sz="0" w:space="0" w:color="D3D3D3"/>
        </w:pBdr>
        <w:shd w:val="clear" w:color="auto" w:fill="D3D3D3"/>
        <w:bidi w:val="0"/>
        <w:spacing w:before="0" w:after="0" w:line="240" w:lineRule="auto"/>
        <w:ind w:left="14" w:right="0" w:firstLine="0"/>
        <w:jc w:val="left"/>
      </w:pPr>
      <w:r>
        <w:rPr>
          <w:color w:val="000000"/>
          <w:spacing w:val="0"/>
          <w:w w:val="100"/>
          <w:position w:val="0"/>
        </w:rPr>
        <w:t>可转换公司债券、分离交易的可转换公司债券、公司债类</w:t>
      </w:r>
    </w:p>
    <w:p>
      <w:pPr>
        <w:widowControl w:val="0"/>
        <w:spacing w:after="79" w:line="1" w:lineRule="exact"/>
      </w:pPr>
    </w:p>
    <w:p>
      <w:pPr>
        <w:pStyle w:val="Style26"/>
        <w:keepNext w:val="0"/>
        <w:keepLines w:val="0"/>
        <w:widowControl w:val="0"/>
        <w:pBdr>
          <w:top w:val="single" w:sz="4" w:space="0" w:color="D3D3D3"/>
          <w:left w:val="single" w:sz="4" w:space="0" w:color="D3D3D3"/>
          <w:bottom w:val="single" w:sz="4" w:space="6" w:color="D3D3D3"/>
          <w:right w:val="single" w:sz="4" w:space="0" w:color="D3D3D3"/>
        </w:pBdr>
        <w:shd w:val="clear" w:color="auto" w:fill="D3D3D3"/>
        <w:bidi w:val="0"/>
        <w:spacing w:before="0" w:after="0" w:line="302" w:lineRule="exact"/>
        <w:ind w:left="0" w:right="0" w:firstLine="0"/>
        <w:jc w:val="left"/>
      </w:pPr>
      <w:r>
        <w:rPr>
          <w:color w:val="000000"/>
          <w:spacing w:val="0"/>
          <w:w w:val="100"/>
          <w:position w:val="0"/>
        </w:rPr>
        <w:t>其他衍生证券类</w:t>
      </w:r>
    </w:p>
    <w:p>
      <w:pPr>
        <w:pStyle w:val="Style26"/>
        <w:keepNext w:val="0"/>
        <w:keepLines w:val="0"/>
        <w:widowControl w:val="0"/>
        <w:shd w:val="clear" w:color="auto" w:fill="auto"/>
        <w:bidi w:val="0"/>
        <w:spacing w:before="0" w:after="40" w:line="302" w:lineRule="exact"/>
        <w:ind w:left="0" w:right="0" w:firstLine="0"/>
        <w:jc w:val="left"/>
      </w:pPr>
      <w:r>
        <w:rPr>
          <w:color w:val="000000"/>
          <w:spacing w:val="0"/>
          <w:w w:val="100"/>
          <w:position w:val="0"/>
        </w:rPr>
        <w:t>报告期内证券发行（不含优先股）情况的说明</w:t>
      </w:r>
    </w:p>
    <w:p>
      <w:pPr>
        <w:pStyle w:val="Style26"/>
        <w:keepNext w:val="0"/>
        <w:keepLines w:val="0"/>
        <w:widowControl w:val="0"/>
        <w:shd w:val="clear" w:color="auto" w:fill="auto"/>
        <w:bidi w:val="0"/>
        <w:spacing w:before="0" w:after="420" w:line="302" w:lineRule="exact"/>
        <w:ind w:left="0" w:right="0" w:firstLine="0"/>
        <w:jc w:val="left"/>
      </w:pPr>
      <w:r>
        <w:rPr>
          <w:color w:val="000000"/>
          <w:spacing w:val="0"/>
          <w:w w:val="100"/>
          <w:position w:val="0"/>
        </w:rPr>
        <w:t xml:space="preserve">报告期内，根据中国证券监督管理委员会《关于核准浙江和仁科技股份有限公司非公开发行股票的批复》（证监许可可 </w:t>
      </w:r>
      <w:r>
        <w:rPr>
          <w:color w:val="000000"/>
          <w:spacing w:val="0"/>
          <w:w w:val="100"/>
          <w:position w:val="0"/>
          <w:sz w:val="18"/>
          <w:szCs w:val="18"/>
        </w:rPr>
        <w:t>[2020]1243</w:t>
      </w:r>
      <w:r>
        <w:rPr>
          <w:color w:val="000000"/>
          <w:spacing w:val="0"/>
          <w:w w:val="100"/>
          <w:position w:val="0"/>
        </w:rPr>
        <w:t>号）</w:t>
      </w:r>
      <w:r>
        <w:rPr>
          <w:color w:val="000000"/>
          <w:spacing w:val="0"/>
          <w:w w:val="100"/>
          <w:position w:val="0"/>
          <w:sz w:val="18"/>
          <w:szCs w:val="18"/>
        </w:rPr>
        <w:t>，</w:t>
      </w:r>
      <w:r>
        <w:rPr>
          <w:color w:val="000000"/>
          <w:spacing w:val="0"/>
          <w:w w:val="100"/>
          <w:position w:val="0"/>
        </w:rPr>
        <w:t>公司获准非公开发行人民币普通股</w:t>
      </w:r>
      <w:r>
        <w:rPr>
          <w:color w:val="000000"/>
          <w:spacing w:val="0"/>
          <w:w w:val="100"/>
          <w:position w:val="0"/>
          <w:sz w:val="18"/>
          <w:szCs w:val="18"/>
        </w:rPr>
        <w:t>25862558</w:t>
      </w:r>
      <w:r>
        <w:rPr>
          <w:color w:val="000000"/>
          <w:spacing w:val="0"/>
          <w:w w:val="100"/>
          <w:position w:val="0"/>
        </w:rPr>
        <w:t>股，发行价格为</w:t>
      </w:r>
      <w:r>
        <w:rPr>
          <w:color w:val="000000"/>
          <w:spacing w:val="0"/>
          <w:w w:val="100"/>
          <w:position w:val="0"/>
          <w:sz w:val="18"/>
          <w:szCs w:val="18"/>
        </w:rPr>
        <w:t>19.61</w:t>
      </w:r>
      <w:r>
        <w:rPr>
          <w:color w:val="000000"/>
          <w:spacing w:val="0"/>
          <w:w w:val="100"/>
          <w:position w:val="0"/>
        </w:rPr>
        <w:t>元</w:t>
      </w:r>
      <w:r>
        <w:rPr>
          <w:color w:val="000000"/>
          <w:spacing w:val="0"/>
          <w:w w:val="100"/>
          <w:position w:val="0"/>
          <w:sz w:val="18"/>
          <w:szCs w:val="18"/>
        </w:rPr>
        <w:t>/</w:t>
      </w:r>
      <w:r>
        <w:rPr>
          <w:color w:val="000000"/>
          <w:spacing w:val="0"/>
          <w:w w:val="100"/>
          <w:position w:val="0"/>
        </w:rPr>
        <w:t>股。本次非公开发行新增股份的上市 时间为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p>
      <w:pPr>
        <w:pStyle w:val="Style30"/>
        <w:keepNext/>
        <w:keepLines/>
        <w:widowControl w:val="0"/>
        <w:shd w:val="clear" w:color="auto" w:fill="auto"/>
        <w:bidi w:val="0"/>
        <w:spacing w:before="0" w:after="38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2</w:t>
      </w:r>
      <w:bookmarkEnd w:id="482"/>
      <w:r>
        <w:rPr>
          <w:color w:val="000000"/>
          <w:spacing w:val="0"/>
          <w:w w:val="100"/>
          <w:position w:val="0"/>
        </w:rPr>
        <w:t>、公司股份总数及股东结构的变动、公司资产和负债结构的变动情况说明</w:t>
      </w:r>
      <w:bookmarkEnd w:id="480"/>
      <w:bookmarkEnd w:id="481"/>
      <w:bookmarkEnd w:id="483"/>
    </w:p>
    <w:p>
      <w:pPr>
        <w:pStyle w:val="Style26"/>
        <w:keepNext w:val="0"/>
        <w:keepLines w:val="0"/>
        <w:widowControl w:val="0"/>
        <w:shd w:val="clear" w:color="auto" w:fill="auto"/>
        <w:bidi w:val="0"/>
        <w:spacing w:before="0" w:after="40" w:line="35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tabs>
          <w:tab w:pos="334" w:val="left"/>
        </w:tabs>
        <w:bidi w:val="0"/>
        <w:spacing w:before="0" w:after="40" w:line="350" w:lineRule="auto"/>
        <w:ind w:left="0" w:right="0" w:firstLine="0"/>
        <w:jc w:val="both"/>
      </w:pPr>
      <w:bookmarkStart w:id="484" w:name="bookmark484"/>
      <w:r>
        <w:rPr>
          <w:rFonts w:ascii="Times New Roman" w:eastAsia="Times New Roman" w:hAnsi="Times New Roman" w:cs="Times New Roman"/>
          <w:color w:val="000000"/>
          <w:spacing w:val="0"/>
          <w:w w:val="100"/>
          <w:position w:val="0"/>
          <w:sz w:val="18"/>
          <w:szCs w:val="18"/>
        </w:rPr>
        <w:t>1</w:t>
      </w:r>
      <w:bookmarkEnd w:id="484"/>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日办理完成离职激励对象的回购注销工作，公司股份总数由</w:t>
      </w:r>
      <w:r>
        <w:rPr>
          <w:rFonts w:ascii="Times New Roman" w:eastAsia="Times New Roman" w:hAnsi="Times New Roman" w:cs="Times New Roman"/>
          <w:color w:val="000000"/>
          <w:spacing w:val="0"/>
          <w:w w:val="100"/>
          <w:position w:val="0"/>
          <w:sz w:val="18"/>
          <w:szCs w:val="18"/>
        </w:rPr>
        <w:t>117,306,000</w:t>
      </w:r>
      <w:r>
        <w:rPr>
          <w:color w:val="000000"/>
          <w:spacing w:val="0"/>
          <w:w w:val="100"/>
          <w:position w:val="0"/>
        </w:rPr>
        <w:t>股减少为</w:t>
      </w:r>
      <w:r>
        <w:rPr>
          <w:rFonts w:ascii="Times New Roman" w:eastAsia="Times New Roman" w:hAnsi="Times New Roman" w:cs="Times New Roman"/>
          <w:color w:val="000000"/>
          <w:spacing w:val="0"/>
          <w:w w:val="100"/>
          <w:position w:val="0"/>
          <w:sz w:val="18"/>
          <w:szCs w:val="18"/>
        </w:rPr>
        <w:t>117,190,500</w:t>
      </w:r>
      <w:r>
        <w:rPr>
          <w:color w:val="000000"/>
          <w:spacing w:val="0"/>
          <w:w w:val="100"/>
          <w:position w:val="0"/>
        </w:rPr>
        <w:t>股。</w:t>
      </w:r>
    </w:p>
    <w:p>
      <w:pPr>
        <w:pStyle w:val="Style26"/>
        <w:keepNext w:val="0"/>
        <w:keepLines w:val="0"/>
        <w:widowControl w:val="0"/>
        <w:shd w:val="clear" w:color="auto" w:fill="auto"/>
        <w:tabs>
          <w:tab w:pos="354" w:val="left"/>
        </w:tabs>
        <w:bidi w:val="0"/>
        <w:spacing w:before="0" w:after="40" w:line="350" w:lineRule="auto"/>
        <w:ind w:left="0" w:right="0" w:firstLine="0"/>
        <w:jc w:val="both"/>
      </w:pPr>
      <w:bookmarkStart w:id="485" w:name="bookmark485"/>
      <w:r>
        <w:rPr>
          <w:rFonts w:ascii="Times New Roman" w:eastAsia="Times New Roman" w:hAnsi="Times New Roman" w:cs="Times New Roman"/>
          <w:color w:val="000000"/>
          <w:spacing w:val="0"/>
          <w:w w:val="100"/>
          <w:position w:val="0"/>
          <w:sz w:val="18"/>
          <w:szCs w:val="18"/>
        </w:rPr>
        <w:t>2</w:t>
      </w:r>
      <w:bookmarkEnd w:id="48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日实施完成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年度权益分派，转增股本方案，公司总股本由</w:t>
      </w:r>
      <w:r>
        <w:rPr>
          <w:rFonts w:ascii="Times New Roman" w:eastAsia="Times New Roman" w:hAnsi="Times New Roman" w:cs="Times New Roman"/>
          <w:color w:val="000000"/>
          <w:spacing w:val="0"/>
          <w:w w:val="100"/>
          <w:position w:val="0"/>
          <w:sz w:val="18"/>
          <w:szCs w:val="18"/>
        </w:rPr>
        <w:t>117,190,500</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164,066,700</w:t>
      </w:r>
      <w:r>
        <w:rPr>
          <w:color w:val="000000"/>
          <w:spacing w:val="0"/>
          <w:w w:val="100"/>
          <w:position w:val="0"/>
        </w:rPr>
        <w:t>股。</w:t>
      </w:r>
    </w:p>
    <w:p>
      <w:pPr>
        <w:pStyle w:val="Style26"/>
        <w:keepNext w:val="0"/>
        <w:keepLines w:val="0"/>
        <w:widowControl w:val="0"/>
        <w:shd w:val="clear" w:color="auto" w:fill="auto"/>
        <w:tabs>
          <w:tab w:pos="354" w:val="left"/>
        </w:tabs>
        <w:bidi w:val="0"/>
        <w:spacing w:before="0" w:after="0" w:line="350" w:lineRule="auto"/>
        <w:ind w:left="0" w:right="0" w:firstLine="0"/>
        <w:jc w:val="both"/>
      </w:pPr>
      <w:bookmarkStart w:id="486" w:name="bookmark486"/>
      <w:r>
        <w:rPr>
          <w:rFonts w:ascii="Times New Roman" w:eastAsia="Times New Roman" w:hAnsi="Times New Roman" w:cs="Times New Roman"/>
          <w:color w:val="000000"/>
          <w:spacing w:val="0"/>
          <w:w w:val="100"/>
          <w:position w:val="0"/>
          <w:sz w:val="18"/>
          <w:szCs w:val="18"/>
        </w:rPr>
        <w:t>3</w:t>
      </w:r>
      <w:bookmarkEnd w:id="486"/>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日办理完成</w:t>
      </w:r>
      <w:r>
        <w:rPr>
          <w:color w:val="000000"/>
          <w:spacing w:val="0"/>
          <w:w w:val="100"/>
          <w:position w:val="0"/>
          <w:sz w:val="18"/>
          <w:szCs w:val="18"/>
        </w:rPr>
        <w:t>2020</w:t>
      </w:r>
      <w:r>
        <w:rPr>
          <w:color w:val="000000"/>
          <w:spacing w:val="0"/>
          <w:w w:val="100"/>
          <w:position w:val="0"/>
        </w:rPr>
        <w:t>年非公开发行股票的上市工作，总股本增加至</w:t>
      </w:r>
      <w:r>
        <w:rPr>
          <w:color w:val="000000"/>
          <w:spacing w:val="0"/>
          <w:w w:val="100"/>
          <w:position w:val="0"/>
          <w:sz w:val="18"/>
          <w:szCs w:val="18"/>
        </w:rPr>
        <w:t>189,929,258</w:t>
      </w:r>
      <w:r>
        <w:rPr>
          <w:color w:val="000000"/>
          <w:spacing w:val="0"/>
          <w:w w:val="100"/>
          <w:position w:val="0"/>
        </w:rPr>
        <w:t>股。</w:t>
      </w:r>
    </w:p>
    <w:p>
      <w:pPr>
        <w:pStyle w:val="Style26"/>
        <w:keepNext w:val="0"/>
        <w:keepLines w:val="0"/>
        <w:widowControl w:val="0"/>
        <w:shd w:val="clear" w:color="auto" w:fill="auto"/>
        <w:bidi w:val="0"/>
        <w:spacing w:before="0" w:after="380" w:line="302" w:lineRule="exact"/>
        <w:ind w:left="0" w:right="0" w:firstLine="440"/>
        <w:jc w:val="both"/>
      </w:pPr>
      <w:r>
        <w:rPr>
          <w:color w:val="000000"/>
          <w:spacing w:val="0"/>
          <w:w w:val="100"/>
          <w:position w:val="0"/>
        </w:rPr>
        <w:t>上述变动增加了公司净资产。</w:t>
      </w:r>
    </w:p>
    <w:p>
      <w:pPr>
        <w:pStyle w:val="Style30"/>
        <w:keepNext/>
        <w:keepLines/>
        <w:widowControl w:val="0"/>
        <w:shd w:val="clear" w:color="auto" w:fill="auto"/>
        <w:bidi w:val="0"/>
        <w:spacing w:before="0" w:after="380" w:line="240" w:lineRule="auto"/>
        <w:ind w:left="0" w:right="0" w:firstLine="0"/>
        <w:jc w:val="both"/>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3</w:t>
      </w:r>
      <w:bookmarkEnd w:id="489"/>
      <w:r>
        <w:rPr>
          <w:color w:val="000000"/>
          <w:spacing w:val="0"/>
          <w:w w:val="100"/>
          <w:position w:val="0"/>
        </w:rPr>
        <w:t>、现存的内部职工股情况</w:t>
      </w:r>
      <w:bookmarkEnd w:id="487"/>
      <w:bookmarkEnd w:id="488"/>
      <w:bookmarkEnd w:id="490"/>
    </w:p>
    <w:p>
      <w:pPr>
        <w:pStyle w:val="Style26"/>
        <w:keepNext w:val="0"/>
        <w:keepLines w:val="0"/>
        <w:widowControl w:val="0"/>
        <w:shd w:val="clear" w:color="auto" w:fill="auto"/>
        <w:bidi w:val="0"/>
        <w:spacing w:before="0" w:after="340" w:line="35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keepLines/>
        <w:widowControl w:val="0"/>
        <w:shd w:val="clear" w:color="auto" w:fill="auto"/>
        <w:bidi w:val="0"/>
        <w:spacing w:before="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sz w:val="24"/>
          <w:szCs w:val="24"/>
        </w:rPr>
        <w:t>三</w:t>
      </w:r>
      <w:bookmarkEnd w:id="493"/>
      <w:r>
        <w:rPr>
          <w:color w:val="000000"/>
          <w:spacing w:val="0"/>
          <w:w w:val="100"/>
          <w:position w:val="0"/>
          <w:sz w:val="24"/>
          <w:szCs w:val="24"/>
        </w:rPr>
        <w:t>、股东和实际控制人情况</w:t>
      </w:r>
      <w:bookmarkEnd w:id="491"/>
      <w:bookmarkEnd w:id="492"/>
      <w:bookmarkEnd w:id="494"/>
    </w:p>
    <w:p>
      <w:pPr>
        <w:pStyle w:val="Style30"/>
        <w:keepNext/>
        <w:keepLines/>
        <w:widowControl w:val="0"/>
        <w:shd w:val="clear" w:color="auto" w:fill="auto"/>
        <w:bidi w:val="0"/>
        <w:spacing w:before="0" w:after="40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1</w:t>
      </w:r>
      <w:bookmarkEnd w:id="497"/>
      <w:r>
        <w:rPr>
          <w:color w:val="000000"/>
          <w:spacing w:val="0"/>
          <w:w w:val="100"/>
          <w:position w:val="0"/>
        </w:rPr>
        <w:t>、公司股东数量及持股情况</w:t>
      </w:r>
      <w:bookmarkEnd w:id="495"/>
      <w:bookmarkEnd w:id="496"/>
      <w:bookmarkEnd w:id="49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931"/>
        <w:gridCol w:w="1066"/>
        <w:gridCol w:w="1061"/>
        <w:gridCol w:w="1066"/>
        <w:gridCol w:w="922"/>
        <w:gridCol w:w="1070"/>
        <w:gridCol w:w="10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7,419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杭州磐源投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85,698,800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55,958,000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杭州磐鸿投资 管理合伙企业</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武汉雷石瑞丰 股权投资合伙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解光玖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5,099,439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5,099,439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尤飞煌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4,722,605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李圣锦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2,549,719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2,549,719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津联（天津） 资产管理有限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2,549,719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2,549,719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青岛城投金融 控股集团有限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2,549,719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2,549,719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王秀梅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北京盛景财富 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74"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、杭州磐源投资有限公司为实际控制人杨一兵、杨波控制的企业；杭州磐鸿投资管理合伙</w:t>
            </w:r>
          </w:p>
        </w:tc>
      </w:tr>
    </w:tbl>
    <w:p>
      <w:pPr>
        <w:spacing w:lineRule="exact" w:line="1"/>
        <w:rPr>
          <w:sz w:val="2"/>
          <w:szCs w:val="2"/>
        </w:rPr>
      </w:pPr>
      <w:r>
        <w:br w:type="page"/>
      </w:r>
    </w:p>
    <w:tbl>
      <w:tblPr>
        <w:tblOverlap w:val="never"/>
        <w:jc w:val="center"/>
        <w:tblLayout w:type="fixed"/>
      </w:tblPr>
      <w:tblGrid>
        <w:gridCol w:w="2400"/>
        <w:gridCol w:w="5045"/>
        <w:gridCol w:w="1070"/>
        <w:gridCol w:w="1070"/>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企业（有限合伙）为实际控制人杨一兵控制的企业。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、杨一兵、杨波已签署《一致行动人 协议》，为一致行动人。除此之外，公司未知其余前十名股东之间是否有关联关系或者一致 行动关系。</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杭州磐源投资有限公司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85,698,800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杭州磐鸿投资管理合伙企业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武汉雷石瑞丰股权投资合伙企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尤飞煌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4,722,605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4,722,605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王秀梅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2,286,052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2,286,052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北京盛景财富投资管理有限公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2,233,000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吴陈子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1,208,819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1,208,819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747,984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浙江海源添富资产管理有限公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、杭州磐源投资有限公司为实际控制人杨一兵、杨波控制的企业；杭州磐鸿投资管理合伙 企业（有限合伙）为实际控制人杨一兵控制的企业。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、杨一兵、杨波已签署《一致行动人 协议》，为一致行动人。除此之外，公司未知其余前十名股东之间是否有关联关系或者一致 行动关系。</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日，根据中国登记结算公司深圳分公司下发的股东名册，股东杭州磐 源投资除通过普通证券账户持有</w:t>
            </w:r>
            <w:r>
              <w:rPr>
                <w:rFonts w:ascii="Times New Roman" w:eastAsia="Times New Roman" w:hAnsi="Times New Roman" w:cs="Times New Roman"/>
                <w:color w:val="000000"/>
                <w:spacing w:val="0"/>
                <w:w w:val="100"/>
                <w:position w:val="0"/>
                <w:sz w:val="18"/>
                <w:szCs w:val="18"/>
              </w:rPr>
              <w:t>82798800</w:t>
            </w:r>
            <w:r>
              <w:rPr>
                <w:color w:val="000000"/>
                <w:spacing w:val="0"/>
                <w:w w:val="100"/>
                <w:position w:val="0"/>
              </w:rPr>
              <w:t>股外，还通过财通证券股份有限公司客户信用交 易担保证券账户持有</w:t>
            </w:r>
            <w:r>
              <w:rPr>
                <w:rFonts w:ascii="Times New Roman" w:eastAsia="Times New Roman" w:hAnsi="Times New Roman" w:cs="Times New Roman"/>
                <w:color w:val="000000"/>
                <w:spacing w:val="0"/>
                <w:w w:val="100"/>
                <w:position w:val="0"/>
                <w:sz w:val="18"/>
                <w:szCs w:val="18"/>
              </w:rPr>
              <w:t>2900000</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85698800</w:t>
            </w:r>
            <w:r>
              <w:rPr>
                <w:color w:val="000000"/>
                <w:spacing w:val="0"/>
                <w:w w:val="100"/>
                <w:position w:val="0"/>
              </w:rPr>
              <w:t>股。股东蔡杰通过客户信用交易担保 证券账户持有</w:t>
            </w:r>
            <w:r>
              <w:rPr>
                <w:rFonts w:ascii="Times New Roman" w:eastAsia="Times New Roman" w:hAnsi="Times New Roman" w:cs="Times New Roman"/>
                <w:color w:val="000000"/>
                <w:spacing w:val="0"/>
                <w:w w:val="100"/>
                <w:position w:val="0"/>
                <w:sz w:val="18"/>
                <w:szCs w:val="18"/>
              </w:rPr>
              <w:t>1500000</w:t>
            </w:r>
            <w:r>
              <w:rPr>
                <w:color w:val="000000"/>
                <w:spacing w:val="0"/>
                <w:w w:val="100"/>
                <w:position w:val="0"/>
              </w:rPr>
              <w:t>股。</w:t>
            </w:r>
          </w:p>
        </w:tc>
      </w:tr>
    </w:tbl>
    <w:p>
      <w:pPr>
        <w:pStyle w:val="Style26"/>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0"/>
        <w:keepNext/>
        <w:keepLines/>
        <w:widowControl w:val="0"/>
        <w:shd w:val="clear" w:color="auto" w:fill="auto"/>
        <w:bidi w:val="0"/>
        <w:spacing w:before="0" w:after="38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2</w:t>
      </w:r>
      <w:bookmarkEnd w:id="501"/>
      <w:r>
        <w:rPr>
          <w:color w:val="000000"/>
          <w:spacing w:val="0"/>
          <w:w w:val="100"/>
          <w:position w:val="0"/>
        </w:rPr>
        <w:t>、公司控股股东情况</w:t>
      </w:r>
      <w:bookmarkEnd w:id="499"/>
      <w:bookmarkEnd w:id="500"/>
      <w:bookmarkEnd w:id="50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7"/>
        <w:gridCol w:w="223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杭州磐源投资有限公司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91330108056735639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实业投资、投资管理、投 资咨询（除证券、期货）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 经金融等监管部门批准， 不得从事向公众融资存 款、融资担保、代客理财 等金融服务）、企业管理 咨询、财务咨询、经济信 息咨询；货物或技术进出 口（国家禁止或涉及行政 审批的货物和技术进出口 除外）。（依法须经批准 的项目，经相关部门批准 后方可开展经营活动）</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38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3</w:t>
      </w:r>
      <w:bookmarkEnd w:id="505"/>
      <w:r>
        <w:rPr>
          <w:color w:val="000000"/>
          <w:spacing w:val="0"/>
          <w:w w:val="100"/>
          <w:position w:val="0"/>
        </w:rPr>
        <w:t>、公司实际控制人及其一致行动人</w:t>
      </w:r>
      <w:bookmarkEnd w:id="503"/>
      <w:bookmarkEnd w:id="504"/>
      <w:bookmarkEnd w:id="50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1622"/>
        <w:gridCol w:w="316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杨一兵，男，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年出生，中国国籍，无境外永久居留权，工业自动化专业博士学历。</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年，担任浙江大学教师；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年，历任浙江浙大中控信息技术 有限公司副总经理、总工程师、副总裁；</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年，担任北京和仁中控数字医疗 技术有限公司董事、总经理；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月，担任公司董事长、总经理；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 至今担任公司董事长。</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杨波，男，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年出生，中国国籍，希腊共和国永久居留权，工业设计专业本科学历。</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年，担任浙江易商软件有限公司网站设计工程师；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年，历 任浙江浙大中控信息技术有限公司智能建筑事业部商务总监、智能建筑事业部副总经理、</w:t>
            </w:r>
          </w:p>
        </w:tc>
      </w:tr>
    </w:tbl>
    <w:p>
      <w:pPr>
        <w:spacing w:lineRule="exact" w:line="1"/>
        <w:rPr>
          <w:sz w:val="2"/>
          <w:szCs w:val="2"/>
        </w:rPr>
      </w:pPr>
      <w:r>
        <w:br w:type="page"/>
      </w:r>
    </w:p>
    <w:tbl>
      <w:tblPr>
        <w:tblOverlap w:val="never"/>
        <w:jc w:val="center"/>
        <w:tblLayout w:type="fixed"/>
      </w:tblPr>
      <w:tblGrid>
        <w:gridCol w:w="2395"/>
        <w:gridCol w:w="71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智能建筑事业部商务中心总监；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年至今，担任公司董事、副总经理。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 上市公司情况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75526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4596130" cy="2755265"/>
                    </a:xfrm>
                    <a:prstGeom prst="rect"/>
                  </pic:spPr>
                </pic:pic>
              </a:graphicData>
            </a:graphic>
          </wp:inline>
        </w:drawing>
      </w:r>
    </w:p>
    <w:p>
      <w:pPr>
        <w:widowControl w:val="0"/>
        <w:spacing w:after="25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4</w:t>
      </w:r>
      <w:bookmarkEnd w:id="50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7"/>
      <w:bookmarkEnd w:id="508"/>
      <w:bookmarkEnd w:id="51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5</w:t>
      </w:r>
      <w:bookmarkEnd w:id="513"/>
      <w:r>
        <w:rPr>
          <w:color w:val="000000"/>
          <w:spacing w:val="0"/>
          <w:w w:val="100"/>
          <w:position w:val="0"/>
        </w:rPr>
        <w:t>、</w:t>
        <w:tab/>
        <w:t>控股股东、实际控制人、重组方及其他承诺主体股份限制减持情况</w:t>
      </w:r>
      <w:bookmarkEnd w:id="511"/>
      <w:bookmarkEnd w:id="512"/>
      <w:bookmarkEnd w:id="514"/>
    </w:p>
    <w:p>
      <w:pPr>
        <w:pStyle w:val="Style26"/>
        <w:keepNext w:val="0"/>
        <w:keepLines w:val="0"/>
        <w:widowControl w:val="0"/>
        <w:shd w:val="clear" w:color="auto" w:fill="auto"/>
        <w:bidi w:val="0"/>
        <w:spacing w:before="0" w:after="260" w:line="240" w:lineRule="auto"/>
        <w:ind w:left="0" w:right="0" w:firstLine="0"/>
        <w:jc w:val="left"/>
        <w:sectPr>
          <w:headerReference w:type="default" r:id="rId9"/>
          <w:footerReference w:type="default" r:id="rId10"/>
          <w:headerReference w:type="first" r:id="rId11"/>
          <w:footerReference w:type="first" r:id="rId12"/>
          <w:footnotePr>
            <w:pos w:val="pageBottom"/>
            <w:numFmt w:val="decimal"/>
            <w:numRestart w:val="continuous"/>
          </w:footnotePr>
          <w:pgSz w:w="11900" w:h="16840"/>
          <w:pgMar w:top="1371" w:right="1108" w:bottom="1506" w:left="1004"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19" name="Shape 19"/>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515" w:name="bookmark515"/>
                            <w:bookmarkStart w:id="516" w:name="bookmark516"/>
                            <w:bookmarkStart w:id="517" w:name="bookmark517"/>
                            <w:r>
                              <w:rPr>
                                <w:color w:val="000000"/>
                                <w:spacing w:val="0"/>
                                <w:w w:val="100"/>
                                <w:position w:val="0"/>
                              </w:rPr>
                              <w:t>第七节优先股相关情况</w:t>
                            </w:r>
                            <w:bookmarkEnd w:id="515"/>
                            <w:bookmarkEnd w:id="516"/>
                            <w:bookmarkEnd w:id="517"/>
                          </w:p>
                        </w:txbxContent>
                      </wps:txbx>
                      <wps:bodyPr wrap="none" lIns="0" tIns="0" rIns="0" bIns="0">
                        <a:noAutoFit/>
                      </wps:bodyPr>
                    </wps:wsp>
                  </a:graphicData>
                </a:graphic>
              </wp:anchor>
            </w:drawing>
          </mc:Choice>
          <mc:Fallback>
            <w:pict>
              <v:shape id="_x0000_s1045" type="#_x0000_t202" style="position:absolute;margin-left:212.05000000000001pt;margin-top:0;width:170.90000000000001pt;height:19.44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515" w:name="bookmark515"/>
                      <w:bookmarkStart w:id="516" w:name="bookmark516"/>
                      <w:bookmarkStart w:id="517" w:name="bookmark517"/>
                      <w:r>
                        <w:rPr>
                          <w:color w:val="000000"/>
                          <w:spacing w:val="0"/>
                          <w:w w:val="100"/>
                          <w:position w:val="0"/>
                        </w:rPr>
                        <w:t>第七节优先股相关情况</w:t>
                      </w:r>
                      <w:bookmarkEnd w:id="515"/>
                      <w:bookmarkEnd w:id="516"/>
                      <w:bookmarkEnd w:id="517"/>
                    </w:p>
                  </w:txbxContent>
                </v:textbox>
                <w10:wrap type="topAndBottom" anchorx="page"/>
              </v:shape>
            </w:pict>
          </mc:Fallback>
        </mc:AlternateContent>
      </w:r>
    </w:p>
    <w:p>
      <w:pPr>
        <w:pStyle w:val="Style26"/>
        <w:keepNext w:val="0"/>
        <w:keepLines w:val="0"/>
        <w:widowControl w:val="0"/>
        <w:shd w:val="clear" w:color="auto" w:fill="auto"/>
        <w:bidi w:val="0"/>
        <w:spacing w:before="0" w:after="140" w:line="240" w:lineRule="auto"/>
        <w:ind w:left="0" w:right="0" w:firstLine="0"/>
        <w:jc w:val="left"/>
      </w:pPr>
      <w:bookmarkStart w:id="518" w:name="bookmark51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8"/>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580" w:after="560" w:line="240" w:lineRule="auto"/>
        <w:ind w:left="0" w:right="0" w:firstLine="0"/>
        <w:jc w:val="center"/>
      </w:pPr>
      <w:bookmarkStart w:id="519" w:name="bookmark519"/>
      <w:bookmarkStart w:id="520" w:name="bookmark520"/>
      <w:bookmarkStart w:id="521" w:name="bookmark521"/>
      <w:r>
        <w:rPr>
          <w:color w:val="000000"/>
          <w:spacing w:val="0"/>
          <w:w w:val="100"/>
          <w:position w:val="0"/>
        </w:rPr>
        <w:t>第八节可转换公司债券相关情况</w:t>
      </w:r>
      <w:bookmarkEnd w:id="519"/>
      <w:bookmarkEnd w:id="520"/>
      <w:bookmarkEnd w:id="521"/>
    </w:p>
    <w:p>
      <w:pPr>
        <w:pStyle w:val="Style26"/>
        <w:keepNext w:val="0"/>
        <w:keepLines w:val="0"/>
        <w:widowControl w:val="0"/>
        <w:shd w:val="clear" w:color="auto" w:fill="auto"/>
        <w:bidi w:val="0"/>
        <w:spacing w:before="0" w:after="120" w:line="240" w:lineRule="auto"/>
        <w:ind w:left="0" w:right="0" w:firstLine="0"/>
        <w:jc w:val="left"/>
      </w:pPr>
      <w:bookmarkStart w:id="522" w:name="bookmark52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22"/>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3"/>
        <w:keepNext/>
        <w:keepLines/>
        <w:widowControl w:val="0"/>
        <w:shd w:val="clear" w:color="auto" w:fill="auto"/>
        <w:bidi w:val="0"/>
        <w:spacing w:before="0" w:after="500" w:line="240" w:lineRule="auto"/>
        <w:ind w:left="0" w:right="0" w:firstLine="0"/>
        <w:jc w:val="center"/>
      </w:pPr>
      <w:bookmarkStart w:id="523" w:name="bookmark523"/>
      <w:bookmarkStart w:id="524" w:name="bookmark524"/>
      <w:bookmarkStart w:id="525" w:name="bookmark525"/>
      <w:r>
        <w:rPr>
          <w:color w:val="000000"/>
          <w:spacing w:val="0"/>
          <w:w w:val="100"/>
          <w:position w:val="0"/>
        </w:rPr>
        <w:t>第九节 董事、监事、高级管理人员和员工情况</w:t>
      </w:r>
      <w:bookmarkEnd w:id="523"/>
      <w:bookmarkEnd w:id="524"/>
      <w:bookmarkEnd w:id="525"/>
    </w:p>
    <w:p>
      <w:pPr>
        <w:pStyle w:val="Style22"/>
        <w:keepNext/>
        <w:keepLines/>
        <w:widowControl w:val="0"/>
        <w:shd w:val="clear" w:color="auto" w:fill="auto"/>
        <w:bidi w:val="0"/>
        <w:spacing w:before="0" w:after="320" w:line="240" w:lineRule="auto"/>
        <w:ind w:left="0" w:right="0" w:firstLine="240"/>
        <w:jc w:val="left"/>
      </w:pPr>
      <w:bookmarkStart w:id="526" w:name="bookmark526"/>
      <w:bookmarkStart w:id="527" w:name="bookmark527"/>
      <w:bookmarkStart w:id="528" w:name="bookmark528"/>
      <w:bookmarkStart w:id="529" w:name="bookmark529"/>
      <w:r>
        <w:rPr>
          <w:color w:val="000000"/>
          <w:spacing w:val="0"/>
          <w:w w:val="100"/>
          <w:position w:val="0"/>
          <w:sz w:val="24"/>
          <w:szCs w:val="24"/>
        </w:rPr>
        <w:t>、董事、监事和高级管理人员持股变动</w:t>
      </w:r>
      <w:bookmarkEnd w:id="527"/>
      <w:bookmarkEnd w:id="528"/>
      <w:bookmarkEnd w:id="529"/>
      <w:bookmarkEnd w:id="526"/>
    </w:p>
    <w:tbl>
      <w:tblPr>
        <w:tblOverlap w:val="never"/>
        <w:jc w:val="center"/>
        <w:tblLayout w:type="fixed"/>
      </w:tblPr>
      <w:tblGrid>
        <w:gridCol w:w="802"/>
        <w:gridCol w:w="797"/>
        <w:gridCol w:w="797"/>
        <w:gridCol w:w="797"/>
        <w:gridCol w:w="802"/>
        <w:gridCol w:w="797"/>
        <w:gridCol w:w="797"/>
        <w:gridCol w:w="797"/>
        <w:gridCol w:w="797"/>
        <w:gridCol w:w="802"/>
        <w:gridCol w:w="797"/>
        <w:gridCol w:w="81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hanging="200"/>
              <w:jc w:val="both"/>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1,935,360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19,383,10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65,905,49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戴泽宇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8,069,376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3,227,750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10,969,44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傅烈勇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2,872,800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洪伟荣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蔡钰如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职工代表 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11"/>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 书、副总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196,000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财务负责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31,544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360,456</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姚建民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336,000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1,176,000</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336,000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1,155,940</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41,160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116,260</w:t>
            </w:r>
          </w:p>
        </w:tc>
      </w:tr>
      <w:tr>
        <w:trPr>
          <w:trHeight w:val="105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66,059,62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2,448,044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26,504,81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both"/>
      </w:pPr>
      <w:bookmarkStart w:id="530" w:name="bookmark530"/>
      <w:bookmarkStart w:id="531" w:name="bookmark531"/>
      <w:bookmarkStart w:id="532" w:name="bookmark532"/>
      <w:bookmarkStart w:id="533" w:name="bookmark533"/>
      <w:r>
        <w:rPr>
          <w:color w:val="000000"/>
          <w:spacing w:val="0"/>
          <w:w w:val="100"/>
          <w:position w:val="0"/>
          <w:sz w:val="24"/>
          <w:szCs w:val="24"/>
        </w:rPr>
        <w:t>二</w:t>
      </w:r>
      <w:bookmarkEnd w:id="532"/>
      <w:r>
        <w:rPr>
          <w:color w:val="000000"/>
          <w:spacing w:val="0"/>
          <w:w w:val="100"/>
          <w:position w:val="0"/>
          <w:sz w:val="24"/>
          <w:szCs w:val="24"/>
        </w:rPr>
        <w:t>、公司董事、监事、高级管理人员变动情况</w:t>
      </w:r>
      <w:bookmarkEnd w:id="530"/>
      <w:bookmarkEnd w:id="531"/>
      <w:bookmarkEnd w:id="533"/>
    </w:p>
    <w:p>
      <w:pPr>
        <w:pStyle w:val="Style2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姚建民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both"/>
      </w:pPr>
      <w:bookmarkStart w:id="534" w:name="bookmark534"/>
      <w:bookmarkStart w:id="535" w:name="bookmark535"/>
      <w:bookmarkStart w:id="536" w:name="bookmark536"/>
      <w:bookmarkStart w:id="537" w:name="bookmark537"/>
      <w:r>
        <w:rPr>
          <w:color w:val="000000"/>
          <w:spacing w:val="0"/>
          <w:w w:val="100"/>
          <w:position w:val="0"/>
          <w:sz w:val="24"/>
          <w:szCs w:val="24"/>
        </w:rPr>
        <w:t>三</w:t>
      </w:r>
      <w:bookmarkEnd w:id="536"/>
      <w:r>
        <w:rPr>
          <w:color w:val="000000"/>
          <w:spacing w:val="0"/>
          <w:w w:val="100"/>
          <w:position w:val="0"/>
          <w:sz w:val="24"/>
          <w:szCs w:val="24"/>
        </w:rPr>
        <w:t>、任职情况</w:t>
      </w:r>
      <w:bookmarkEnd w:id="534"/>
      <w:bookmarkEnd w:id="535"/>
      <w:bookmarkEnd w:id="537"/>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6"/>
        <w:keepNext w:val="0"/>
        <w:keepLines w:val="0"/>
        <w:widowControl w:val="0"/>
        <w:shd w:val="clear" w:color="auto" w:fill="auto"/>
        <w:bidi w:val="0"/>
        <w:spacing w:before="0" w:after="0" w:line="314" w:lineRule="exact"/>
        <w:ind w:left="0" w:right="0" w:firstLine="0"/>
        <w:jc w:val="both"/>
      </w:pPr>
      <w:bookmarkStart w:id="538" w:name="bookmark538"/>
      <w:r>
        <w:rPr>
          <w:color w:val="000000"/>
          <w:spacing w:val="0"/>
          <w:w w:val="100"/>
          <w:position w:val="0"/>
        </w:rPr>
        <w:t>一</w:t>
      </w:r>
      <w:bookmarkEnd w:id="538"/>
      <w:r>
        <w:rPr>
          <w:color w:val="000000"/>
          <w:spacing w:val="0"/>
          <w:w w:val="100"/>
          <w:position w:val="0"/>
        </w:rPr>
        <w:t>、董事简历情况</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杨一兵，男，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年出生，中国国籍，无境外永久居留权，工业自动化专业，工学博士。</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年，担任浙江大学教 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年，历任浙江浙大中控信息技术有限公司副总经理、总工程师、副总裁；</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年，担任北京和仁 中控数字医疗技术有限公司董事、总经理；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月至今，任杭州复贞投资管理有限公司执行董事；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年担任 公司总经理；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年至今，担任公司董事长。</w:t>
      </w:r>
    </w:p>
    <w:p>
      <w:pPr>
        <w:pStyle w:val="Style26"/>
        <w:keepNext w:val="0"/>
        <w:keepLines w:val="0"/>
        <w:widowControl w:val="0"/>
        <w:shd w:val="clear" w:color="auto" w:fill="auto"/>
        <w:bidi w:val="0"/>
        <w:spacing w:before="0" w:after="180" w:line="319" w:lineRule="exact"/>
        <w:ind w:left="0" w:right="0" w:firstLine="0"/>
        <w:jc w:val="both"/>
      </w:pPr>
      <w:r>
        <w:rPr>
          <w:color w:val="000000"/>
          <w:spacing w:val="0"/>
          <w:w w:val="100"/>
          <w:position w:val="0"/>
        </w:rPr>
        <w:t>戴泽宇，男，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2003-2008</w:t>
      </w:r>
      <w:r>
        <w:rPr>
          <w:color w:val="000000"/>
          <w:spacing w:val="0"/>
          <w:w w:val="100"/>
          <w:position w:val="0"/>
        </w:rPr>
        <w:t>年任西南合成制药股份有限公司董事长兼总经理；</w:t>
      </w:r>
      <w:r>
        <w:rPr>
          <w:rFonts w:ascii="Times New Roman" w:eastAsia="Times New Roman" w:hAnsi="Times New Roman" w:cs="Times New Roman"/>
          <w:color w:val="000000"/>
          <w:spacing w:val="0"/>
          <w:w w:val="100"/>
          <w:position w:val="0"/>
          <w:sz w:val="18"/>
          <w:szCs w:val="18"/>
        </w:rPr>
        <w:t>2006-2015</w:t>
      </w:r>
      <w:r>
        <w:rPr>
          <w:color w:val="000000"/>
          <w:spacing w:val="0"/>
          <w:w w:val="100"/>
          <w:position w:val="0"/>
        </w:rPr>
        <w:t>年任北 大方正集团有限公司助理总裁、副总裁；</w:t>
      </w:r>
      <w:r>
        <w:rPr>
          <w:rFonts w:ascii="Times New Roman" w:eastAsia="Times New Roman" w:hAnsi="Times New Roman" w:cs="Times New Roman"/>
          <w:color w:val="000000"/>
          <w:spacing w:val="0"/>
          <w:w w:val="100"/>
          <w:position w:val="0"/>
          <w:sz w:val="18"/>
          <w:szCs w:val="18"/>
        </w:rPr>
        <w:t>2006-2016</w:t>
      </w:r>
      <w:r>
        <w:rPr>
          <w:color w:val="000000"/>
          <w:spacing w:val="0"/>
          <w:w w:val="100"/>
          <w:position w:val="0"/>
        </w:rPr>
        <w:t>年任北大医疗产业集团有限公司副总裁、</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2009-2016</w:t>
      </w:r>
      <w:r>
        <w:rPr>
          <w:color w:val="000000"/>
          <w:spacing w:val="0"/>
          <w:w w:val="100"/>
          <w:position w:val="0"/>
        </w:rPr>
        <w:t>年任北京大学 国际医院行政院长等。目前担任公司董事、总经理职务。</w:t>
      </w:r>
    </w:p>
    <w:p>
      <w:pPr>
        <w:pStyle w:val="Style26"/>
        <w:keepNext w:val="0"/>
        <w:keepLines w:val="0"/>
        <w:widowControl w:val="0"/>
        <w:shd w:val="clear" w:color="auto" w:fill="auto"/>
        <w:bidi w:val="0"/>
        <w:spacing w:before="0" w:after="0" w:line="318" w:lineRule="exact"/>
        <w:ind w:left="0" w:right="0" w:firstLine="0"/>
        <w:jc w:val="both"/>
      </w:pPr>
      <w:r>
        <w:rPr>
          <w:color w:val="000000"/>
          <w:spacing w:val="0"/>
          <w:w w:val="100"/>
          <w:position w:val="0"/>
        </w:rPr>
        <w:t>杨波，男，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年出生，中国国籍，希腊共和国永久居留权，工业设计专业本科学历。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年，担任浙江易商软件 有限公司网站设计工程师；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年，历任浙江浙大中控信息技术有限公司智能建筑事业部商务总监、智能建筑事业 部副总经理、智能建筑事业部商务中心总监；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月至今，任杭州云骥投资管理有限公司执行董事；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年至今，担任 公司董事、副总经理。</w:t>
      </w:r>
    </w:p>
    <w:p>
      <w:pPr>
        <w:pStyle w:val="Style26"/>
        <w:keepNext w:val="0"/>
        <w:keepLines w:val="0"/>
        <w:widowControl w:val="0"/>
        <w:shd w:val="clear" w:color="auto" w:fill="auto"/>
        <w:bidi w:val="0"/>
        <w:spacing w:before="0" w:after="0" w:line="318" w:lineRule="exact"/>
        <w:ind w:left="0" w:right="0" w:firstLine="0"/>
        <w:jc w:val="both"/>
      </w:pPr>
      <w:r>
        <w:rPr>
          <w:color w:val="000000"/>
          <w:spacing w:val="0"/>
          <w:w w:val="100"/>
          <w:position w:val="0"/>
        </w:rPr>
        <w:t>傅烈勇，男，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年出生，中国国籍，无境外永久居留权，工业自动化专业，工学博士。</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年，担任浙江大学教 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年，担任中恒世纪科技实业有限公司研发总监、总工程师；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年，担任北京和仁中控数字医疗 技术有限公司副总经理、董事；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年至今，担任公司董事。</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夏红，女，</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年出生，中国国籍，无境外永久居留权，工业自动化专业硕士学历。</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年，担任浙江省石油化工 自动化技术开发公司技术员；</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年，在浙江大学学习；</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年至今，担任浙江科技学院教师。现任公司董事。</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蔡钰如，女，</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年出生，中国国籍，无境外永久居留权，大学本科学历，注册会计师。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年担任毕马威华振会 计师事务所审计专员职务；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年担任安永华明会计师事务所审计经理职务；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月至今担任果麦文化传媒股 份有限公司</w:t>
      </w:r>
      <w:r>
        <w:rPr>
          <w:rFonts w:ascii="Times New Roman" w:eastAsia="Times New Roman" w:hAnsi="Times New Roman" w:cs="Times New Roman"/>
          <w:color w:val="000000"/>
          <w:spacing w:val="0"/>
          <w:w w:val="100"/>
          <w:position w:val="0"/>
          <w:sz w:val="18"/>
          <w:szCs w:val="18"/>
        </w:rPr>
        <w:t>CFO</w:t>
      </w:r>
      <w:r>
        <w:rPr>
          <w:color w:val="000000"/>
          <w:spacing w:val="0"/>
          <w:w w:val="100"/>
          <w:position w:val="0"/>
        </w:rPr>
        <w:t>及董事会秘书职务；目前为浙江和仁科技股份有限公司第三届董事会独立董事。</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洪伟荣，男，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年出生，中国国籍，无境外永久居留权，博士研究生学历，教授。</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年担任浙江大学化工机械 研究所教师职务；</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年担任浙江大学化工机械研究所支部书记职务；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年担任浙江车头制药股份有限 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年至今担任浙江大学化工机械研究所所长职务；目前为浙江和仁科技股份有限公司第三届董事会独立董 事。</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黄海，男，</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年出生，中国国籍，无境外永久居留权，工学博士，教授。</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年担任浙江大学科仪系助教、讲师 职务；</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年在浙江大学科仪系(光科系)任教，任检测技术与仪器研究所副所长职务；</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年至今在浙江大学生 物医学工程与仪器科学学院仪器系任教，任博士生导师职务，曾任学院副院长(兼系主任)；</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月为丹 麦技术大学声学系</w:t>
      </w:r>
      <w:r>
        <w:rPr>
          <w:rFonts w:ascii="Times New Roman" w:eastAsia="Times New Roman" w:hAnsi="Times New Roman" w:cs="Times New Roman"/>
          <w:color w:val="000000"/>
          <w:spacing w:val="0"/>
          <w:w w:val="100"/>
          <w:position w:val="0"/>
          <w:sz w:val="18"/>
          <w:szCs w:val="18"/>
        </w:rPr>
        <w:t>(Acoustic Technology</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Technical University of Denmark)</w:t>
      </w:r>
      <w:r>
        <w:rPr>
          <w:color w:val="000000"/>
          <w:spacing w:val="0"/>
          <w:w w:val="100"/>
          <w:position w:val="0"/>
        </w:rPr>
        <w:t>访问教授；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月为澳大利亚西 澳大学工程、计算机与数学学院</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Engineering, Computing and Mathematics, The University of Western Australia)</w:t>
      </w:r>
      <w:r>
        <w:rPr>
          <w:color w:val="000000"/>
          <w:spacing w:val="0"/>
          <w:w w:val="100"/>
          <w:position w:val="0"/>
        </w:rPr>
        <w:t xml:space="preserve">的访问教授；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月至今担任浙江铭众生物医用材料与器械研究院副院长、院长职务；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月担任浙江铭众医疗器 械有限公司法定代表人、董事长职务；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月至今担任浙江铭众科技有限公司总经理职务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月至今担任浙江铭众 健康科技有限公司董事长，目前为浙江和仁科技股份有限公司第三届董事会独立董事。</w:t>
      </w:r>
    </w:p>
    <w:p>
      <w:pPr>
        <w:pStyle w:val="Style26"/>
        <w:keepNext w:val="0"/>
        <w:keepLines w:val="0"/>
        <w:widowControl w:val="0"/>
        <w:shd w:val="clear" w:color="auto" w:fill="auto"/>
        <w:tabs>
          <w:tab w:pos="375" w:val="left"/>
        </w:tabs>
        <w:bidi w:val="0"/>
        <w:spacing w:before="0" w:after="0" w:line="319" w:lineRule="exact"/>
        <w:ind w:left="0" w:right="0" w:firstLine="0"/>
        <w:jc w:val="both"/>
      </w:pPr>
      <w:bookmarkStart w:id="539" w:name="bookmark539"/>
      <w:r>
        <w:rPr>
          <w:color w:val="000000"/>
          <w:spacing w:val="0"/>
          <w:w w:val="100"/>
          <w:position w:val="0"/>
        </w:rPr>
        <w:t>二</w:t>
      </w:r>
      <w:bookmarkEnd w:id="539"/>
      <w:r>
        <w:rPr>
          <w:color w:val="000000"/>
          <w:spacing w:val="0"/>
          <w:w w:val="100"/>
          <w:position w:val="0"/>
        </w:rPr>
        <w:t>、</w:t>
        <w:tab/>
        <w:t>监事人员简历情况</w:t>
      </w:r>
    </w:p>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陈军兵，男，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年出生，中国国籍，无境外永久居留权，工业设计专业本科学历。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年，担任浙江大学方圆科 技产业有限公司开发工程师；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年，担任浙江浙大中控信息技术有限公司商务主管；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年至今历任公司商务及 投资发展部商务主管、商务中心经理，现任公司采购部经理、监事会主席。</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曹洁，女，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年出生，中国国籍，无境外永久居留权，电子商务专业大专学历。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年，担任新太科技股份有限 公司总经理助理；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年，担任杭州正方软件股份有限公司办公室主任；</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年，担任浙江大华技术股份 有限公司资质管理专员；</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年至今历任公司技术管理工程师、总经理助理，现任公司副总经理助理、监事。</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陶蓉，女，</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年出生，护理学专业本科学历，中国国籍，希腊共和国永久居留权。</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年，浙江省台州市立医院 护理部护师。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年，担任北京和仁中控数字医疗技术有限公司市场部职员；</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年至今历任公司技术中心、商务 及投资发展部职员，现任公司董事会办公室主任、职工代表监事。</w:t>
      </w:r>
    </w:p>
    <w:p>
      <w:pPr>
        <w:pStyle w:val="Style26"/>
        <w:keepNext w:val="0"/>
        <w:keepLines w:val="0"/>
        <w:widowControl w:val="0"/>
        <w:shd w:val="clear" w:color="auto" w:fill="auto"/>
        <w:tabs>
          <w:tab w:pos="375" w:val="left"/>
        </w:tabs>
        <w:bidi w:val="0"/>
        <w:spacing w:before="0" w:after="0" w:line="317" w:lineRule="exact"/>
        <w:ind w:left="0" w:right="0" w:firstLine="0"/>
        <w:jc w:val="both"/>
      </w:pPr>
      <w:bookmarkStart w:id="540" w:name="bookmark540"/>
      <w:r>
        <w:rPr>
          <w:color w:val="000000"/>
          <w:spacing w:val="0"/>
          <w:w w:val="100"/>
          <w:position w:val="0"/>
        </w:rPr>
        <w:t>三</w:t>
      </w:r>
      <w:bookmarkEnd w:id="540"/>
      <w:r>
        <w:rPr>
          <w:color w:val="000000"/>
          <w:spacing w:val="0"/>
          <w:w w:val="100"/>
          <w:position w:val="0"/>
        </w:rPr>
        <w:t>、</w:t>
        <w:tab/>
        <w:t>高级管理人员简历情况</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杨波，详见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董事简历情况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戴泽宇，详见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董事简历情况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章逸，女，</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年出生，中国国籍，无境外永久居留权，国际经济与贸易专业本科学历。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年，担任北京现代乐 手广告有限公司策划事业部总监；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年，担任北京蔼迪垦文化发展有限公司高级项目经理；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年，担 任北京七海达之国际广告有限公司客户总监；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年,担任西藏珠峰冰川水资源开发有限公司品牌管理中心负责人；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年至今历任公司商务及投资发展部副经理、公司副总经理、董事会秘书。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月取得深圳证券交易所颁发的《董事 会秘书资格证书》。</w:t>
      </w:r>
    </w:p>
    <w:p>
      <w:pPr>
        <w:pStyle w:val="Style26"/>
        <w:keepNext w:val="0"/>
        <w:keepLines w:val="0"/>
        <w:widowControl w:val="0"/>
        <w:shd w:val="clear" w:color="auto" w:fill="auto"/>
        <w:bidi w:val="0"/>
        <w:spacing w:before="0" w:after="40" w:line="317" w:lineRule="exact"/>
        <w:ind w:left="0" w:right="0" w:firstLine="0"/>
        <w:jc w:val="both"/>
      </w:pPr>
      <w:r>
        <w:rPr>
          <w:color w:val="000000"/>
          <w:spacing w:val="0"/>
          <w:w w:val="100"/>
          <w:position w:val="0"/>
        </w:rPr>
        <w:t>张雪峰，女，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年出生，中国国籍，无境外永久居留权，会计学专业本科学历，中国注册会计师，</w:t>
      </w:r>
      <w:r>
        <w:rPr>
          <w:rFonts w:ascii="Times New Roman" w:eastAsia="Times New Roman" w:hAnsi="Times New Roman" w:cs="Times New Roman"/>
          <w:color w:val="000000"/>
          <w:spacing w:val="0"/>
          <w:w w:val="100"/>
          <w:position w:val="0"/>
          <w:sz w:val="18"/>
          <w:szCs w:val="18"/>
        </w:rPr>
        <w:t>ACCA</w:t>
      </w:r>
      <w:r>
        <w:rPr>
          <w:color w:val="000000"/>
          <w:spacing w:val="0"/>
          <w:w w:val="100"/>
          <w:position w:val="0"/>
        </w:rPr>
        <w:t>注册会员。</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年，担任中国银行股份有限公司镇江分行计划财务部产品及资金经理；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年，担任立信会计师事务所（特 殊普通合伙）浙江分所审计经理；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年至今担任公司财务负责人。</w:t>
      </w:r>
    </w:p>
    <w:p>
      <w:pPr>
        <w:pStyle w:val="Style26"/>
        <w:keepNext w:val="0"/>
        <w:keepLines w:val="0"/>
        <w:widowControl w:val="0"/>
        <w:shd w:val="clear" w:color="auto" w:fill="auto"/>
        <w:bidi w:val="0"/>
        <w:spacing w:before="0" w:after="40" w:line="314" w:lineRule="exact"/>
        <w:ind w:left="0" w:right="0" w:firstLine="0"/>
        <w:jc w:val="left"/>
      </w:pPr>
      <w:r>
        <w:rPr>
          <w:color w:val="000000"/>
          <w:spacing w:val="0"/>
          <w:w w:val="100"/>
          <w:position w:val="0"/>
        </w:rPr>
        <w:t>任洪明，男，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年出生，中国国籍，大学本科学历，高级工程师，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年任浙江浙大中控信息技术有限公司建 筑事业部工程师，技术部经理，事业部副总经理。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日在杭州点触科技有限公司工 作，</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年至今在浙江和仁科技股份有限公司任营销中心总经理。现任浙江和仁科技股份有限公司副总经理。</w:t>
      </w:r>
    </w:p>
    <w:p>
      <w:pPr>
        <w:pStyle w:val="Style26"/>
        <w:keepNext w:val="0"/>
        <w:keepLines w:val="0"/>
        <w:widowControl w:val="0"/>
        <w:shd w:val="clear" w:color="auto" w:fill="auto"/>
        <w:bidi w:val="0"/>
        <w:spacing w:before="0" w:after="500" w:line="317" w:lineRule="exact"/>
        <w:ind w:left="0" w:right="0" w:firstLine="0"/>
        <w:jc w:val="left"/>
      </w:pPr>
      <w:r>
        <w:rPr>
          <w:color w:val="000000"/>
          <w:spacing w:val="0"/>
          <w:w w:val="100"/>
          <w:position w:val="0"/>
        </w:rPr>
        <w:t>孙霆，男，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年出生，中国国籍，无境外永久居留权，外贸经济专业专科学历。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年在浙江浙大网新科技公司 担任销售职务；</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年在上海中电电子系统工程公司担任销售职务；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年在浙江泰源科技有限公司任销 售部总经理；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年至今在浙江和仁科技股份有限公司任职，目前为公司副总经理。</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34"/>
        <w:gridCol w:w="1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杭州磐鸿投资管理合伙企业（有限合伙）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杭州磐源投资管理有限公司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蔡钰如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果麦文化传媒股份有限公司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CFO</w:t>
            </w:r>
            <w:r>
              <w:rPr>
                <w:color w:val="000000"/>
                <w:spacing w:val="0"/>
                <w:w w:val="100"/>
                <w:position w:val="0"/>
              </w:rPr>
              <w:t>及董事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洪伟荣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浙江大学化工机械研究所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浙江铭众生物医用材料与器械研究院院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浙江铭众医疗器械有限公司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浙江铭众科技有限公司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浙江铭众健康科技有限公司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教授，退休返 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杭州云骥投资管理有限公司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杭州复贞投资管理有限公司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浙江科技学院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1996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340" w:line="346"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both"/>
      </w:pPr>
      <w:bookmarkStart w:id="541" w:name="bookmark541"/>
      <w:bookmarkStart w:id="542" w:name="bookmark542"/>
      <w:bookmarkStart w:id="543" w:name="bookmark543"/>
      <w:bookmarkStart w:id="544" w:name="bookmark544"/>
      <w:r>
        <w:rPr>
          <w:color w:val="000000"/>
          <w:spacing w:val="0"/>
          <w:w w:val="100"/>
          <w:position w:val="0"/>
          <w:sz w:val="24"/>
          <w:szCs w:val="24"/>
        </w:rPr>
        <w:t>四</w:t>
      </w:r>
      <w:bookmarkEnd w:id="543"/>
      <w:r>
        <w:rPr>
          <w:color w:val="000000"/>
          <w:spacing w:val="0"/>
          <w:w w:val="100"/>
          <w:position w:val="0"/>
          <w:sz w:val="24"/>
          <w:szCs w:val="24"/>
        </w:rPr>
        <w:t>、董事、监事、高级管理人员报酬情况</w:t>
      </w:r>
      <w:bookmarkEnd w:id="541"/>
      <w:bookmarkEnd w:id="542"/>
      <w:bookmarkEnd w:id="544"/>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董事、监事、高级管理人员报酬的决策程序、确定依据、实际支付情况</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决策程序：公司董事、监事、高级管理人员根据公司薪酬制度，依据经营业绩和个人绩效考核结果确定薪酬。公司严格按照 董事、监事、高级管理人员薪酬的决策程序与确定依据支付薪酬。公司董事、监事报酬由股东大会决定，高级管理人员报酬 由董事会决定。</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确定依据：公司董事、监事和高级管理人员的报酬按照公司董事会《薪酬与考核委员会工作细则》的规定，结合其绩效考核、 工作职级等确定并发放。</w:t>
      </w:r>
    </w:p>
    <w:p>
      <w:pPr>
        <w:pStyle w:val="Style2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实际支付情况</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年度，董事、监事和高级高管理人员税前报酬总额为</w:t>
      </w:r>
      <w:r>
        <w:rPr>
          <w:color w:val="000000"/>
          <w:spacing w:val="0"/>
          <w:w w:val="100"/>
          <w:position w:val="0"/>
          <w:sz w:val="18"/>
          <w:szCs w:val="18"/>
        </w:rPr>
        <w:t>687.4</w:t>
      </w:r>
      <w:r>
        <w:rPr>
          <w:color w:val="000000"/>
          <w:spacing w:val="0"/>
          <w:w w:val="100"/>
          <w:position w:val="0"/>
        </w:rPr>
        <w:t>万元。</w:t>
      </w:r>
    </w:p>
    <w:p>
      <w:pPr>
        <w:pStyle w:val="Style26"/>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戴泽宇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傅烈勇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洪伟荣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蔡钰如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董事会秘书、副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姚建民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可行权股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 已行权股</w:t>
            </w:r>
          </w:p>
          <w:p>
            <w:pPr>
              <w:pStyle w:val="Style2"/>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本期已解</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锁股份数</w:t>
            </w:r>
          </w:p>
          <w:p>
            <w:pPr>
              <w:pStyle w:val="Style2"/>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12" w:lineRule="exact"/>
              <w:ind w:left="0" w:right="32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7" w:lineRule="exact"/>
              <w:ind w:left="0" w:right="0" w:firstLine="24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 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196,000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财务负责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196,000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姚建民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姚建民已经于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日届满离任。不在公司继续担任副总经理职务，继续在公司担任其他职务。</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五</w:t>
      </w:r>
      <w:bookmarkEnd w:id="547"/>
      <w:r>
        <w:rPr>
          <w:color w:val="000000"/>
          <w:spacing w:val="0"/>
          <w:w w:val="100"/>
          <w:position w:val="0"/>
          <w:sz w:val="24"/>
          <w:szCs w:val="24"/>
        </w:rPr>
        <w:t>、公司员工情况</w:t>
      </w:r>
      <w:bookmarkEnd w:id="545"/>
      <w:bookmarkEnd w:id="546"/>
      <w:bookmarkEnd w:id="548"/>
    </w:p>
    <w:p>
      <w:pPr>
        <w:pStyle w:val="Style30"/>
        <w:keepNext/>
        <w:keepLines/>
        <w:widowControl w:val="0"/>
        <w:shd w:val="clear" w:color="auto" w:fill="auto"/>
        <w:bidi w:val="0"/>
        <w:spacing w:before="0" w:after="30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color w:val="000000"/>
          <w:spacing w:val="0"/>
          <w:w w:val="100"/>
          <w:position w:val="0"/>
        </w:rPr>
        <w:t>、员工数量、专业构成及教育程度</w:t>
      </w:r>
      <w:bookmarkEnd w:id="549"/>
      <w:bookmarkEnd w:id="550"/>
      <w:bookmarkEnd w:id="55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720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720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720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2</w:t>
      </w:r>
      <w:bookmarkEnd w:id="555"/>
      <w:r>
        <w:rPr>
          <w:color w:val="000000"/>
          <w:spacing w:val="0"/>
          <w:w w:val="100"/>
          <w:position w:val="0"/>
        </w:rPr>
        <w:t>、薪酬政策</w:t>
      </w:r>
      <w:bookmarkEnd w:id="553"/>
      <w:bookmarkEnd w:id="554"/>
      <w:bookmarkEnd w:id="556"/>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公司薪酬政策主要遵循以下两点：</w:t>
      </w:r>
    </w:p>
    <w:p>
      <w:pPr>
        <w:pStyle w:val="Style26"/>
        <w:keepNext w:val="0"/>
        <w:keepLines w:val="0"/>
        <w:widowControl w:val="0"/>
        <w:shd w:val="clear" w:color="auto" w:fill="auto"/>
        <w:tabs>
          <w:tab w:pos="334" w:val="left"/>
        </w:tabs>
        <w:bidi w:val="0"/>
        <w:spacing w:before="0" w:after="100" w:line="240" w:lineRule="auto"/>
        <w:ind w:left="0" w:right="0" w:firstLine="0"/>
        <w:jc w:val="left"/>
      </w:pPr>
      <w:bookmarkStart w:id="557" w:name="bookmark557"/>
      <w:r>
        <w:rPr>
          <w:color w:val="000000"/>
          <w:spacing w:val="0"/>
          <w:w w:val="100"/>
          <w:position w:val="0"/>
          <w:sz w:val="18"/>
          <w:szCs w:val="18"/>
        </w:rPr>
        <w:t>1</w:t>
      </w:r>
      <w:bookmarkEnd w:id="557"/>
      <w:r>
        <w:rPr>
          <w:color w:val="000000"/>
          <w:spacing w:val="0"/>
          <w:w w:val="100"/>
          <w:position w:val="0"/>
        </w:rPr>
        <w:t>、</w:t>
        <w:tab/>
        <w:t>竞争力与公平性相结合。</w:t>
      </w:r>
    </w:p>
    <w:p>
      <w:pPr>
        <w:pStyle w:val="Style26"/>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公司薪酬水平保持适当的市场竞争力，并通过薪酬管理保持薪酬状况的对外、对内、对个人公平。</w:t>
      </w:r>
    </w:p>
    <w:p>
      <w:pPr>
        <w:pStyle w:val="Style26"/>
        <w:keepNext w:val="0"/>
        <w:keepLines w:val="0"/>
        <w:widowControl w:val="0"/>
        <w:shd w:val="clear" w:color="auto" w:fill="auto"/>
        <w:tabs>
          <w:tab w:pos="354" w:val="left"/>
        </w:tabs>
        <w:bidi w:val="0"/>
        <w:spacing w:before="0" w:after="140" w:line="240" w:lineRule="auto"/>
        <w:ind w:left="0" w:right="0" w:firstLine="0"/>
        <w:jc w:val="left"/>
      </w:pPr>
      <w:bookmarkStart w:id="558" w:name="bookmark558"/>
      <w:r>
        <w:rPr>
          <w:rFonts w:ascii="Times New Roman" w:eastAsia="Times New Roman" w:hAnsi="Times New Roman" w:cs="Times New Roman"/>
          <w:color w:val="000000"/>
          <w:spacing w:val="0"/>
          <w:w w:val="100"/>
          <w:position w:val="0"/>
          <w:sz w:val="18"/>
          <w:szCs w:val="18"/>
        </w:rPr>
        <w:t>2</w:t>
      </w:r>
      <w:bookmarkEnd w:id="558"/>
      <w:r>
        <w:rPr>
          <w:color w:val="000000"/>
          <w:spacing w:val="0"/>
          <w:w w:val="100"/>
          <w:position w:val="0"/>
        </w:rPr>
        <w:t>、</w:t>
        <w:tab/>
        <w:t>职位、能力与业绩导向。</w:t>
      </w:r>
    </w:p>
    <w:p>
      <w:pPr>
        <w:pStyle w:val="Style26"/>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确定员工薪酬的主要依据是员工职位的价值、个人能力与业绩三大因素。同时参考不同区域当地的社会薪酬水平和标准。</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tbl>
      <w:tblPr>
        <w:tblOverlap w:val="never"/>
        <w:jc w:val="center"/>
        <w:tblLayout w:type="fixed"/>
      </w:tblPr>
      <w:tblGrid>
        <w:gridCol w:w="3672"/>
        <w:gridCol w:w="2918"/>
        <w:gridCol w:w="264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2019 </w:t>
            </w:r>
            <w:r>
              <w:rPr>
                <w:color w:val="000000"/>
                <w:spacing w:val="0"/>
                <w:w w:val="100"/>
                <w:position w:val="0"/>
                <w:sz w:val="20"/>
                <w:szCs w:val="20"/>
              </w:rPr>
              <w:t>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核心技术人员数量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职工人数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核心技术人员职工薪酬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38,610,510.56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32, </w:t>
            </w:r>
            <w:r>
              <w:rPr>
                <w:color w:val="000000"/>
                <w:spacing w:val="0"/>
                <w:w w:val="100"/>
                <w:position w:val="0"/>
                <w:sz w:val="20"/>
                <w:szCs w:val="20"/>
              </w:rPr>
              <w:t>327,529.63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158,217, </w:t>
            </w:r>
            <w:r>
              <w:rPr>
                <w:color w:val="000000"/>
                <w:spacing w:val="0"/>
                <w:w w:val="100"/>
                <w:position w:val="0"/>
                <w:sz w:val="20"/>
                <w:szCs w:val="20"/>
              </w:rPr>
              <w:t>036.39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132,926,973.07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薪酬占比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24.32%</w:t>
            </w: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3</w:t>
      </w:r>
      <w:bookmarkEnd w:id="561"/>
      <w:r>
        <w:rPr>
          <w:color w:val="000000"/>
          <w:spacing w:val="0"/>
          <w:w w:val="100"/>
          <w:position w:val="0"/>
        </w:rPr>
        <w:t>、培训计划</w:t>
      </w:r>
      <w:bookmarkEnd w:id="559"/>
      <w:bookmarkEnd w:id="560"/>
      <w:bookmarkEnd w:id="562"/>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公司根据员工需求以及公司发展需要，制订年度培训计划及贯彻执行。</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公司在现有的培训体系基础上不断完善新人培训、职业培训和管理培训：在新人培训方面，持续优化培训课程及培训形式， 以及设置导师，促进新人快速融入团队；在职业培训方面，持续拓展与公司经营相关的专题培训与前沿讲座，深化与国内外 专家的合作，同时建立起一支由核心骨干组成的内部讲师队伍，通过专项培训将萃取的丰富知识经验传授给更多员工，帮助 快速成长；在管理培训方面，通过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青训项目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等系列培训着力提升现有管理人员的管理与领导力水平，不断提升管理者的综 合素质。</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同时公司大力推进在线学习和分享平台</w:t>
      </w:r>
      <w:r>
        <w:rPr>
          <w:color w:val="000000"/>
          <w:spacing w:val="0"/>
          <w:w w:val="100"/>
          <w:position w:val="0"/>
          <w:sz w:val="18"/>
          <w:szCs w:val="18"/>
        </w:rPr>
        <w:t>一</w:t>
      </w:r>
      <w:r>
        <w:rPr>
          <w:color w:val="000000"/>
          <w:spacing w:val="0"/>
          <w:w w:val="100"/>
          <w:position w:val="0"/>
        </w:rPr>
        <w:t>和仁云学堂的建设，支持员工通过在线学习和分享的方式，更加高效便捷的完成自 身知识提升和沉淀。</w:t>
      </w:r>
    </w:p>
    <w:p>
      <w:pPr>
        <w:pStyle w:val="Style26"/>
        <w:keepNext w:val="0"/>
        <w:keepLines w:val="0"/>
        <w:widowControl w:val="0"/>
        <w:shd w:val="clear" w:color="auto" w:fill="auto"/>
        <w:bidi w:val="0"/>
        <w:spacing w:before="0" w:after="720" w:line="313" w:lineRule="exact"/>
        <w:ind w:left="0" w:right="0" w:firstLine="0"/>
        <w:jc w:val="both"/>
      </w:pPr>
      <w:r>
        <w:rPr>
          <w:color w:val="000000"/>
          <w:spacing w:val="0"/>
          <w:w w:val="100"/>
          <w:position w:val="0"/>
        </w:rPr>
        <w:t>系统的培训机制切实促进了员工的专业水平和综合能力提升，为公司可持续发展提供了强有力的组织保障与人才支持。</w:t>
      </w:r>
    </w:p>
    <w:p>
      <w:pPr>
        <w:pStyle w:val="Style30"/>
        <w:keepNext/>
        <w:keepLines/>
        <w:widowControl w:val="0"/>
        <w:shd w:val="clear" w:color="auto" w:fill="auto"/>
        <w:bidi w:val="0"/>
        <w:spacing w:before="0" w:after="380" w:line="240" w:lineRule="auto"/>
        <w:ind w:left="0" w:right="0" w:firstLine="0"/>
        <w:jc w:val="both"/>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4</w:t>
      </w:r>
      <w:bookmarkEnd w:id="565"/>
      <w:r>
        <w:rPr>
          <w:color w:val="000000"/>
          <w:spacing w:val="0"/>
          <w:w w:val="100"/>
          <w:position w:val="0"/>
        </w:rPr>
        <w:t>、劳务外包情况</w:t>
      </w:r>
      <w:bookmarkEnd w:id="563"/>
      <w:bookmarkEnd w:id="564"/>
      <w:bookmarkEnd w:id="566"/>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567" w:name="bookmark567"/>
      <w:bookmarkStart w:id="568" w:name="bookmark568"/>
      <w:bookmarkStart w:id="569" w:name="bookmark569"/>
      <w:r>
        <w:rPr>
          <w:color w:val="000000"/>
          <w:spacing w:val="0"/>
          <w:w w:val="100"/>
          <w:position w:val="0"/>
        </w:rPr>
        <w:t>第十节公司治理</w:t>
      </w:r>
      <w:bookmarkEnd w:id="567"/>
      <w:bookmarkEnd w:id="568"/>
      <w:bookmarkEnd w:id="569"/>
    </w:p>
    <w:p>
      <w:pPr>
        <w:pStyle w:val="Style22"/>
        <w:keepNext/>
        <w:keepLines/>
        <w:widowControl w:val="0"/>
        <w:shd w:val="clear" w:color="auto" w:fill="auto"/>
        <w:bidi w:val="0"/>
        <w:spacing w:before="0" w:after="260" w:line="240" w:lineRule="auto"/>
        <w:ind w:left="0" w:right="0" w:firstLine="0"/>
        <w:jc w:val="left"/>
      </w:pPr>
      <w:bookmarkStart w:id="570" w:name="bookmark570"/>
      <w:bookmarkStart w:id="571" w:name="bookmark571"/>
      <w:bookmarkStart w:id="572" w:name="bookmark572"/>
      <w:bookmarkStart w:id="573" w:name="bookmark573"/>
      <w:bookmarkStart w:id="574" w:name="bookmark574"/>
      <w:r>
        <w:rPr>
          <w:color w:val="000000"/>
          <w:spacing w:val="0"/>
          <w:w w:val="100"/>
          <w:position w:val="0"/>
          <w:sz w:val="24"/>
          <w:szCs w:val="24"/>
        </w:rPr>
        <w:t>一</w:t>
      </w:r>
      <w:bookmarkEnd w:id="573"/>
      <w:r>
        <w:rPr>
          <w:color w:val="000000"/>
          <w:spacing w:val="0"/>
          <w:w w:val="100"/>
          <w:position w:val="0"/>
          <w:sz w:val="24"/>
          <w:szCs w:val="24"/>
        </w:rPr>
        <w:t>、公司治理的基本状况</w:t>
      </w:r>
      <w:bookmarkEnd w:id="571"/>
      <w:bookmarkEnd w:id="572"/>
      <w:bookmarkEnd w:id="574"/>
      <w:bookmarkEnd w:id="570"/>
    </w:p>
    <w:p>
      <w:pPr>
        <w:pStyle w:val="Style26"/>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报告期内，公司严格按照《公司法》、《证券法》、《上市公司治理准则》、《深圳证券交易所创业板股票上市规则》 等法律、法规和中国证监会有关法律法规等的要求，不断完善公司的法人治理结构，建立健全公司内部管理和控制制度，持 续深入开展公司治理专项活动，促进了公司规范运作，提高了公司治理水平。报告期内，公司整体运作规范，独立董事、董 事会各专门委员会各司其职，不断加强公司管理，控制防范风险，规范公司运作，提高运作效率。</w:t>
      </w:r>
    </w:p>
    <w:p>
      <w:pPr>
        <w:pStyle w:val="Style26"/>
        <w:keepNext w:val="0"/>
        <w:keepLines w:val="0"/>
        <w:widowControl w:val="0"/>
        <w:numPr>
          <w:ilvl w:val="0"/>
          <w:numId w:val="7"/>
        </w:numPr>
        <w:shd w:val="clear" w:color="auto" w:fill="auto"/>
        <w:bidi w:val="0"/>
        <w:spacing w:before="0" w:after="0" w:line="324" w:lineRule="exact"/>
        <w:ind w:left="0" w:right="0"/>
        <w:jc w:val="both"/>
      </w:pPr>
      <w:bookmarkStart w:id="575" w:name="bookmark575"/>
      <w:bookmarkEnd w:id="575"/>
      <w:r>
        <w:rPr>
          <w:color w:val="000000"/>
          <w:spacing w:val="0"/>
          <w:w w:val="100"/>
          <w:position w:val="0"/>
        </w:rPr>
        <w:t xml:space="preserve"> 关于股东与股东大会：公司严格按照《公司法》、《上市公司股东大会规则》和公司《章程》、《股东大会议事规 则》的规定和要求，规范股东大会的召集、召开、表决程序，股东大会均为股东提供了网络投票方式，并聘请律师出席见证。</w:t>
      </w:r>
    </w:p>
    <w:p>
      <w:pPr>
        <w:pStyle w:val="Style26"/>
        <w:keepNext w:val="0"/>
        <w:keepLines w:val="0"/>
        <w:widowControl w:val="0"/>
        <w:numPr>
          <w:ilvl w:val="0"/>
          <w:numId w:val="7"/>
        </w:numPr>
        <w:shd w:val="clear" w:color="auto" w:fill="auto"/>
        <w:tabs>
          <w:tab w:pos="639" w:val="left"/>
        </w:tabs>
        <w:bidi w:val="0"/>
        <w:spacing w:before="0" w:after="0" w:line="324" w:lineRule="exact"/>
        <w:ind w:left="0" w:right="0"/>
        <w:jc w:val="both"/>
      </w:pPr>
      <w:bookmarkStart w:id="576" w:name="bookmark576"/>
      <w:bookmarkEnd w:id="576"/>
      <w:r>
        <w:rPr>
          <w:color w:val="000000"/>
          <w:spacing w:val="0"/>
          <w:w w:val="100"/>
          <w:position w:val="0"/>
        </w:rPr>
        <w:t>关于控股股东与上市公司：公司控股股东能严格规范自己的行为，没有超越公司股东大会，直接或间接干预公司的 决策和经营活动的行为。</w:t>
      </w:r>
    </w:p>
    <w:p>
      <w:pPr>
        <w:pStyle w:val="Style26"/>
        <w:keepNext w:val="0"/>
        <w:keepLines w:val="0"/>
        <w:widowControl w:val="0"/>
        <w:numPr>
          <w:ilvl w:val="0"/>
          <w:numId w:val="7"/>
        </w:numPr>
        <w:shd w:val="clear" w:color="auto" w:fill="auto"/>
        <w:bidi w:val="0"/>
        <w:spacing w:before="0" w:after="0" w:line="324" w:lineRule="exact"/>
        <w:ind w:left="0" w:right="0"/>
        <w:jc w:val="both"/>
      </w:pPr>
      <w:bookmarkStart w:id="577" w:name="bookmark577"/>
      <w:bookmarkEnd w:id="577"/>
      <w:r>
        <w:rPr>
          <w:color w:val="000000"/>
          <w:spacing w:val="0"/>
          <w:w w:val="100"/>
          <w:position w:val="0"/>
        </w:rPr>
        <w:t xml:space="preserve"> </w:t>
      </w:r>
      <w:r>
        <w:rPr>
          <w:color w:val="000000"/>
          <w:spacing w:val="0"/>
          <w:w w:val="100"/>
          <w:position w:val="0"/>
        </w:rPr>
        <w:t>关于董事和董事会：公司董事会由</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人，占董事总数</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以上，公司全体董事能够依据《董 事会议事规则》、《创业板上市公司规范运作指引》等制度开展工作，认真出席董事会和股东大会，诚实守信地履行职责。</w:t>
      </w:r>
    </w:p>
    <w:p>
      <w:pPr>
        <w:pStyle w:val="Style26"/>
        <w:keepNext w:val="0"/>
        <w:keepLines w:val="0"/>
        <w:widowControl w:val="0"/>
        <w:numPr>
          <w:ilvl w:val="0"/>
          <w:numId w:val="7"/>
        </w:numPr>
        <w:shd w:val="clear" w:color="auto" w:fill="auto"/>
        <w:bidi w:val="0"/>
        <w:spacing w:before="0" w:after="0" w:line="324" w:lineRule="exact"/>
        <w:ind w:left="0" w:right="0"/>
        <w:jc w:val="both"/>
      </w:pPr>
      <w:bookmarkStart w:id="578" w:name="bookmark578"/>
      <w:bookmarkEnd w:id="578"/>
      <w:r>
        <w:rPr>
          <w:color w:val="000000"/>
          <w:spacing w:val="0"/>
          <w:w w:val="100"/>
          <w:position w:val="0"/>
        </w:rPr>
        <w:t xml:space="preserve"> </w:t>
      </w:r>
      <w:r>
        <w:rPr>
          <w:color w:val="000000"/>
          <w:spacing w:val="0"/>
          <w:w w:val="100"/>
          <w:position w:val="0"/>
        </w:rPr>
        <w:t>关于监事和监事会：公司监事会由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名监事组成，其人数和人员构成均符合相关法律法规的要求。公司监事能够按照 《监事会议事规则》等的要求，认真履行自己的职责，对公司重大事项、关联交易、财务状况、董事和经理的履职情况等进</w:t>
      </w:r>
    </w:p>
    <w:p>
      <w:pPr>
        <w:pStyle w:val="Style26"/>
        <w:keepNext w:val="0"/>
        <w:keepLines w:val="0"/>
        <w:widowControl w:val="0"/>
        <w:shd w:val="clear" w:color="auto" w:fill="auto"/>
        <w:bidi w:val="0"/>
        <w:spacing w:before="0" w:after="0" w:line="324" w:lineRule="exact"/>
        <w:ind w:left="0" w:right="0" w:firstLine="0"/>
        <w:jc w:val="both"/>
      </w:pPr>
      <w:r>
        <w:rPr>
          <w:color w:val="000000"/>
          <w:spacing w:val="0"/>
          <w:w w:val="100"/>
          <w:position w:val="0"/>
        </w:rPr>
        <w:t>行有效监督并发表独立意见。</w:t>
      </w:r>
    </w:p>
    <w:p>
      <w:pPr>
        <w:pStyle w:val="Style26"/>
        <w:keepNext w:val="0"/>
        <w:keepLines w:val="0"/>
        <w:widowControl w:val="0"/>
        <w:numPr>
          <w:ilvl w:val="0"/>
          <w:numId w:val="7"/>
        </w:numPr>
        <w:shd w:val="clear" w:color="auto" w:fill="auto"/>
        <w:tabs>
          <w:tab w:pos="658" w:val="left"/>
        </w:tabs>
        <w:bidi w:val="0"/>
        <w:spacing w:before="0" w:after="0" w:line="318" w:lineRule="exact"/>
        <w:ind w:left="0" w:right="0"/>
        <w:jc w:val="both"/>
      </w:pPr>
      <w:bookmarkStart w:id="579" w:name="bookmark579"/>
      <w:bookmarkEnd w:id="579"/>
      <w:r>
        <w:rPr>
          <w:color w:val="000000"/>
          <w:spacing w:val="0"/>
          <w:w w:val="100"/>
          <w:position w:val="0"/>
        </w:rPr>
        <w:t>关于绩效评价与激励约束机制：为进一步完善董事、监事与高级管理人员的薪酬管理，建立科学有效的激励与约束 机制，公司建立了完善的高级管理人员绩效考评体系和薪酬制度。高级管理人员的聘任公开、透明，符合法律、法规的规定。 公司董事会下设的提名、薪酬和考核委员会负责对公司董事及高级管理人员进行提名和绩效考核。公司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年实施开展了限 制性股票激励计划，进一步建设公司的员工激励体系。</w:t>
      </w:r>
    </w:p>
    <w:p>
      <w:pPr>
        <w:pStyle w:val="Style26"/>
        <w:keepNext w:val="0"/>
        <w:keepLines w:val="0"/>
        <w:widowControl w:val="0"/>
        <w:numPr>
          <w:ilvl w:val="0"/>
          <w:numId w:val="7"/>
        </w:numPr>
        <w:shd w:val="clear" w:color="auto" w:fill="auto"/>
        <w:tabs>
          <w:tab w:pos="644" w:val="left"/>
        </w:tabs>
        <w:bidi w:val="0"/>
        <w:spacing w:before="0" w:after="0" w:line="318" w:lineRule="exact"/>
        <w:ind w:left="0" w:right="0"/>
        <w:jc w:val="both"/>
      </w:pPr>
      <w:bookmarkStart w:id="580" w:name="bookmark580"/>
      <w:bookmarkEnd w:id="580"/>
      <w:r>
        <w:rPr>
          <w:color w:val="000000"/>
          <w:spacing w:val="0"/>
          <w:w w:val="100"/>
          <w:position w:val="0"/>
        </w:rPr>
        <w:t>关于利益相关者：公司尊重利益相关者的合法权益，重视利益相关者的相互作用与影响，保持与利益相关者的顺畅 沟通，努力实现股东、客户、员工及社会等多方利益的均衡，建立健康友好、互利互信和合作多赢的关系，共同促进公司持 续稳定发展。</w:t>
      </w:r>
    </w:p>
    <w:p>
      <w:pPr>
        <w:pStyle w:val="Style26"/>
        <w:keepNext w:val="0"/>
        <w:keepLines w:val="0"/>
        <w:widowControl w:val="0"/>
        <w:numPr>
          <w:ilvl w:val="0"/>
          <w:numId w:val="7"/>
        </w:numPr>
        <w:shd w:val="clear" w:color="auto" w:fill="auto"/>
        <w:bidi w:val="0"/>
        <w:spacing w:before="0" w:after="0" w:line="318" w:lineRule="exact"/>
        <w:ind w:left="0" w:right="0"/>
        <w:jc w:val="both"/>
      </w:pPr>
      <w:bookmarkStart w:id="581" w:name="bookmark581"/>
      <w:bookmarkEnd w:id="581"/>
      <w:r>
        <w:rPr>
          <w:color w:val="000000"/>
          <w:spacing w:val="0"/>
          <w:w w:val="100"/>
          <w:position w:val="0"/>
        </w:rPr>
        <w:t xml:space="preserve"> 关于信息披露与透明度：公司严格按照《深圳证券交易所创业板股票上市规则》、《深圳证券交易所创业板上市公 司规范运作指引》等法律法规的规定，制定了《信息披露管理制度》、《重大信息内部报告制度》、《对外信息报送和使用 管理制度》、《内幕信息知情人登记管理制度》等制度，完善公司信息披露与投资者关系管理的制度建设，并在工作中认真 严格执行。</w:t>
      </w:r>
    </w:p>
    <w:p>
      <w:pPr>
        <w:pStyle w:val="Style26"/>
        <w:keepNext w:val="0"/>
        <w:keepLines w:val="0"/>
        <w:widowControl w:val="0"/>
        <w:numPr>
          <w:ilvl w:val="0"/>
          <w:numId w:val="7"/>
        </w:numPr>
        <w:shd w:val="clear" w:color="auto" w:fill="auto"/>
        <w:tabs>
          <w:tab w:pos="649" w:val="left"/>
        </w:tabs>
        <w:bidi w:val="0"/>
        <w:spacing w:before="0" w:after="0" w:line="313" w:lineRule="exact"/>
        <w:ind w:left="0" w:right="0"/>
        <w:jc w:val="both"/>
      </w:pPr>
      <w:bookmarkStart w:id="582" w:name="bookmark582"/>
      <w:bookmarkEnd w:id="582"/>
      <w:r>
        <w:rPr>
          <w:color w:val="000000"/>
          <w:spacing w:val="0"/>
          <w:w w:val="100"/>
          <w:position w:val="0"/>
        </w:rPr>
        <w:t>关于内部审计：为加强内部控制活动的监督和评价，有效控制风险，保证公司资产的安全与完整，由半数以上独立 董事组成的审计委员会，负责全面审查和监督公司的财务报告、内部审计方案及内部控制的有效性，审阅和审查财务、经营、 合规、风险管理情况。公司已经设置内部审计部门，建立了内部审计制度，审计部负责人由董事会聘任，公司内部审计部配 备专职审计人员，对审计委员会负责，向审计委员会报告工作。内部审计部对公司财务信息及内部控制制度的建立和实施等 进行检查和监督，对公司对外担保、关联交易等行为进行重点审计，及时向审计委员会提交工作计划并汇报审计工作报告， 就审计过程中发现的问题进行督促整改。</w:t>
      </w:r>
    </w:p>
    <w:p>
      <w:pPr>
        <w:pStyle w:val="Style26"/>
        <w:keepNext w:val="0"/>
        <w:keepLines w:val="0"/>
        <w:widowControl w:val="0"/>
        <w:shd w:val="clear" w:color="auto" w:fill="auto"/>
        <w:bidi w:val="0"/>
        <w:spacing w:before="0" w:after="360" w:line="322" w:lineRule="exact"/>
        <w:ind w:left="0" w:right="0"/>
        <w:jc w:val="both"/>
      </w:pPr>
      <w:r>
        <w:rPr>
          <w:color w:val="000000"/>
          <w:spacing w:val="0"/>
          <w:w w:val="100"/>
          <w:position w:val="0"/>
        </w:rPr>
        <w:t>截至报告期末，公司严格按照国家法律法规、《深圳证券交易所创业板股票上市规则》和《创业板上市公司规范运作指 引》等规定，诚实守信，规范运作，认真及时履行信息披露义务。未收到被监管部门采取行政监管措施的有关文件。</w:t>
      </w:r>
    </w:p>
    <w:p>
      <w:pPr>
        <w:pStyle w:val="Style26"/>
        <w:keepNext w:val="0"/>
        <w:keepLines w:val="0"/>
        <w:widowControl w:val="0"/>
        <w:shd w:val="clear" w:color="auto" w:fill="auto"/>
        <w:bidi w:val="0"/>
        <w:spacing w:before="0" w:after="140" w:line="318"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bidi w:val="0"/>
        <w:spacing w:before="0" w:after="26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sz w:val="24"/>
          <w:szCs w:val="24"/>
        </w:rPr>
        <w:t>二</w:t>
      </w:r>
      <w:bookmarkEnd w:id="585"/>
      <w:r>
        <w:rPr>
          <w:color w:val="000000"/>
          <w:spacing w:val="0"/>
          <w:w w:val="100"/>
          <w:position w:val="0"/>
          <w:sz w:val="24"/>
          <w:szCs w:val="24"/>
        </w:rPr>
        <w:t>、公司相对于控股股东在业务、人员、资产、机构、财务等方面的独立情况</w:t>
      </w:r>
      <w:bookmarkEnd w:id="583"/>
      <w:bookmarkEnd w:id="584"/>
      <w:bookmarkEnd w:id="586"/>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自设立以来，公司严格按照《公司法》、《证券法》等有关法律、法规和《公司章程》的要求规范运作，建立健全了法 人治理结构，在资产、人员、财务、机构、业务等方面均独立于控股股东、实际控制人及其控制的其他企业，公司具有独立、 完整的资产、业务体系及面向市场独立经营的能力。</w:t>
      </w:r>
    </w:p>
    <w:p>
      <w:pPr>
        <w:pStyle w:val="Style26"/>
        <w:keepNext w:val="0"/>
        <w:keepLines w:val="0"/>
        <w:widowControl w:val="0"/>
        <w:shd w:val="clear" w:color="auto" w:fill="auto"/>
        <w:tabs>
          <w:tab w:pos="865" w:val="left"/>
        </w:tabs>
        <w:bidi w:val="0"/>
        <w:spacing w:before="0" w:after="0" w:line="314" w:lineRule="exact"/>
        <w:ind w:left="0" w:right="0" w:firstLine="360"/>
        <w:jc w:val="both"/>
      </w:pPr>
      <w:bookmarkStart w:id="587" w:name="bookmark587"/>
      <w:r>
        <w:rPr>
          <w:color w:val="000000"/>
          <w:spacing w:val="0"/>
          <w:w w:val="100"/>
          <w:position w:val="0"/>
        </w:rPr>
        <w:t>（</w:t>
      </w:r>
      <w:bookmarkEnd w:id="587"/>
      <w:r>
        <w:rPr>
          <w:color w:val="000000"/>
          <w:spacing w:val="0"/>
          <w:w w:val="100"/>
          <w:position w:val="0"/>
        </w:rPr>
        <w:t>一）</w:t>
        <w:tab/>
        <w:t>资产完整情况</w:t>
      </w:r>
    </w:p>
    <w:p>
      <w:pPr>
        <w:pStyle w:val="Style2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公司拥有独立于控股股东的生产经营场所，拥有独立完整的研发、采购、生产、销售及配套服务设施和资产，拥有相关 资产的合法所有权或使用权，不存在以公司资产、权益或信誉为股东提供违规担保的情况，不存在资产、资金被控股股东、 实际控制人占用而损害公司利益的情况。</w:t>
      </w:r>
    </w:p>
    <w:p>
      <w:pPr>
        <w:pStyle w:val="Style26"/>
        <w:keepNext w:val="0"/>
        <w:keepLines w:val="0"/>
        <w:widowControl w:val="0"/>
        <w:shd w:val="clear" w:color="auto" w:fill="auto"/>
        <w:tabs>
          <w:tab w:pos="865" w:val="left"/>
        </w:tabs>
        <w:bidi w:val="0"/>
        <w:spacing w:before="0" w:after="0" w:line="314" w:lineRule="exact"/>
        <w:ind w:left="0" w:right="0" w:firstLine="360"/>
        <w:jc w:val="both"/>
      </w:pPr>
      <w:bookmarkStart w:id="588" w:name="bookmark588"/>
      <w:r>
        <w:rPr>
          <w:color w:val="000000"/>
          <w:spacing w:val="0"/>
          <w:w w:val="100"/>
          <w:position w:val="0"/>
        </w:rPr>
        <w:t>（</w:t>
      </w:r>
      <w:bookmarkEnd w:id="588"/>
      <w:r>
        <w:rPr>
          <w:color w:val="000000"/>
          <w:spacing w:val="0"/>
          <w:w w:val="100"/>
          <w:position w:val="0"/>
        </w:rPr>
        <w:t>二）</w:t>
        <w:tab/>
        <w:t>人员独立情况</w:t>
      </w:r>
    </w:p>
    <w:p>
      <w:pPr>
        <w:pStyle w:val="Style2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公司董事、监事、高级管理人员均严格按照《公司法》、《公司章程》等规定的程序选举或聘任产生。截至本报告签署 日，公司高级管理人员不存在在控股股东、实际控制人及其控制的其他企业中担任除董事以外的其他职务，或在控股股东、 实际控制人及其控制的其他企业领薪的情形；公司财务人员不存在在控股股东、实际控制人及其控制的其他企业中兼职的情 形。公司拥有独立、完整的人事管理体系，制定了独立的劳动人事管理制度，由公司独立与员工签订劳动合同，独立为员工 发放工资，不存在由其关联方代为发放工资的情形。</w:t>
      </w:r>
    </w:p>
    <w:p>
      <w:pPr>
        <w:pStyle w:val="Style26"/>
        <w:keepNext w:val="0"/>
        <w:keepLines w:val="0"/>
        <w:widowControl w:val="0"/>
        <w:shd w:val="clear" w:color="auto" w:fill="auto"/>
        <w:tabs>
          <w:tab w:pos="865" w:val="left"/>
        </w:tabs>
        <w:bidi w:val="0"/>
        <w:spacing w:before="0" w:after="0" w:line="314" w:lineRule="exact"/>
        <w:ind w:left="0" w:right="0" w:firstLine="360"/>
        <w:jc w:val="both"/>
      </w:pPr>
      <w:bookmarkStart w:id="589" w:name="bookmark589"/>
      <w:r>
        <w:rPr>
          <w:color w:val="000000"/>
          <w:spacing w:val="0"/>
          <w:w w:val="100"/>
          <w:position w:val="0"/>
        </w:rPr>
        <w:t>（</w:t>
      </w:r>
      <w:bookmarkEnd w:id="589"/>
      <w:r>
        <w:rPr>
          <w:color w:val="000000"/>
          <w:spacing w:val="0"/>
          <w:w w:val="100"/>
          <w:position w:val="0"/>
        </w:rPr>
        <w:t>三）</w:t>
        <w:tab/>
        <w:t>财务独立情况</w:t>
      </w:r>
    </w:p>
    <w:p>
      <w:pPr>
        <w:pStyle w:val="Style26"/>
        <w:keepNext w:val="0"/>
        <w:keepLines w:val="0"/>
        <w:widowControl w:val="0"/>
        <w:shd w:val="clear" w:color="auto" w:fill="auto"/>
        <w:bidi w:val="0"/>
        <w:spacing w:before="0" w:after="0" w:line="318" w:lineRule="exact"/>
        <w:ind w:left="0" w:right="0" w:firstLine="360"/>
        <w:jc w:val="both"/>
      </w:pPr>
      <w:r>
        <w:rPr>
          <w:color w:val="000000"/>
          <w:spacing w:val="0"/>
          <w:w w:val="100"/>
          <w:position w:val="0"/>
        </w:rPr>
        <w:t>公司设立了独立的财务部门，配备专职财务管理人员，建立了独立、完整的财务核算体系。公司严格执行《企业会计准 则》，建立了规范的财务规章制度，能够独立做出财务决策，不受控股股东、实际控制人干预。公司独立开设银行账户，独 立纳税，不存在与控股股东、实际控制人及其控制的其他企业共用银行账户的情形。公司不存在资金被控股股东、实际控制 人及其控制的其他企业以借款、代偿债务、代垫款项或者其他方式占用的情形。</w:t>
      </w:r>
    </w:p>
    <w:p>
      <w:pPr>
        <w:pStyle w:val="Style26"/>
        <w:keepNext w:val="0"/>
        <w:keepLines w:val="0"/>
        <w:widowControl w:val="0"/>
        <w:shd w:val="clear" w:color="auto" w:fill="auto"/>
        <w:tabs>
          <w:tab w:pos="865" w:val="left"/>
        </w:tabs>
        <w:bidi w:val="0"/>
        <w:spacing w:before="0" w:after="0" w:line="314" w:lineRule="exact"/>
        <w:ind w:left="0" w:right="0" w:firstLine="360"/>
        <w:jc w:val="both"/>
      </w:pPr>
      <w:bookmarkStart w:id="590" w:name="bookmark590"/>
      <w:r>
        <w:rPr>
          <w:color w:val="000000"/>
          <w:spacing w:val="0"/>
          <w:w w:val="100"/>
          <w:position w:val="0"/>
        </w:rPr>
        <w:t>（</w:t>
      </w:r>
      <w:bookmarkEnd w:id="590"/>
      <w:r>
        <w:rPr>
          <w:color w:val="000000"/>
          <w:spacing w:val="0"/>
          <w:w w:val="100"/>
          <w:position w:val="0"/>
        </w:rPr>
        <w:t>四）</w:t>
        <w:tab/>
        <w:t>机构独立情况</w:t>
      </w:r>
    </w:p>
    <w:p>
      <w:pPr>
        <w:pStyle w:val="Style2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公司根据《公司法》和《公司章程》的要求，设置股东大会作为最高权力机构、设置董事会为决策机构、设置监事会为 监督机构，并设有相应的办公机构和经营部门，各职能部门分工协作，形成有机的独立运营主体，不受控股股东、实际控制 人的干预，公司与控股股东、实际控制人及其控制的其他企业在机构设置、人员及办公场所等方面完全分开，不存在混合经 营、合署办公的情形。</w:t>
      </w:r>
    </w:p>
    <w:p>
      <w:pPr>
        <w:pStyle w:val="Style26"/>
        <w:keepNext w:val="0"/>
        <w:keepLines w:val="0"/>
        <w:widowControl w:val="0"/>
        <w:shd w:val="clear" w:color="auto" w:fill="auto"/>
        <w:tabs>
          <w:tab w:pos="865" w:val="left"/>
        </w:tabs>
        <w:bidi w:val="0"/>
        <w:spacing w:before="0" w:after="0" w:line="314" w:lineRule="exact"/>
        <w:ind w:left="0" w:right="0" w:firstLine="360"/>
        <w:jc w:val="both"/>
      </w:pPr>
      <w:bookmarkStart w:id="591" w:name="bookmark591"/>
      <w:r>
        <w:rPr>
          <w:color w:val="000000"/>
          <w:spacing w:val="0"/>
          <w:w w:val="100"/>
          <w:position w:val="0"/>
        </w:rPr>
        <w:t>（</w:t>
      </w:r>
      <w:bookmarkEnd w:id="591"/>
      <w:r>
        <w:rPr>
          <w:color w:val="000000"/>
          <w:spacing w:val="0"/>
          <w:w w:val="100"/>
          <w:position w:val="0"/>
        </w:rPr>
        <w:t>五）</w:t>
        <w:tab/>
        <w:t>业务独立情况</w:t>
      </w:r>
    </w:p>
    <w:p>
      <w:pPr>
        <w:pStyle w:val="Style26"/>
        <w:keepNext w:val="0"/>
        <w:keepLines w:val="0"/>
        <w:widowControl w:val="0"/>
        <w:shd w:val="clear" w:color="auto" w:fill="auto"/>
        <w:bidi w:val="0"/>
        <w:spacing w:before="0" w:after="700" w:line="312" w:lineRule="exact"/>
        <w:ind w:left="0" w:right="0" w:firstLine="360"/>
        <w:jc w:val="both"/>
      </w:pPr>
      <w:r>
        <w:rPr>
          <w:color w:val="000000"/>
          <w:spacing w:val="0"/>
          <w:w w:val="100"/>
          <w:position w:val="0"/>
        </w:rPr>
        <w:t>公司拥有从事相关业务所需的独立的生产经营场所和经营性资产，拥有自主知识产权，各职能部门分别负责研发、采购、 生产、销售及配套服务等业务环节；公司已建立了完整的业务流程，具有直接面向市场独立经营的能力，不存在需要依赖控 股股东、实际控制人及其控制的企业进行经营的情况。公司与控股股东、实际控制人及其控制的其他企业间不存在同业竞争 或者显失公平的关联交易。</w:t>
      </w:r>
    </w:p>
    <w:p>
      <w:pPr>
        <w:pStyle w:val="Style22"/>
        <w:keepNext/>
        <w:keepLines/>
        <w:widowControl w:val="0"/>
        <w:shd w:val="clear" w:color="auto" w:fill="auto"/>
        <w:tabs>
          <w:tab w:pos="490" w:val="left"/>
        </w:tabs>
        <w:bidi w:val="0"/>
        <w:spacing w:before="0" w:after="38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三</w:t>
      </w:r>
      <w:bookmarkEnd w:id="594"/>
      <w:r>
        <w:rPr>
          <w:color w:val="000000"/>
          <w:spacing w:val="0"/>
          <w:w w:val="100"/>
          <w:position w:val="0"/>
          <w:sz w:val="24"/>
          <w:szCs w:val="24"/>
        </w:rPr>
        <w:t>、</w:t>
        <w:tab/>
        <w:t>同业竞争情况</w:t>
      </w:r>
      <w:bookmarkEnd w:id="592"/>
      <w:bookmarkEnd w:id="593"/>
      <w:bookmarkEnd w:id="595"/>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tabs>
          <w:tab w:pos="490" w:val="left"/>
        </w:tabs>
        <w:bidi w:val="0"/>
        <w:spacing w:before="0" w:after="38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四</w:t>
      </w:r>
      <w:bookmarkEnd w:id="598"/>
      <w:r>
        <w:rPr>
          <w:color w:val="000000"/>
          <w:spacing w:val="0"/>
          <w:w w:val="100"/>
          <w:position w:val="0"/>
          <w:sz w:val="24"/>
          <w:szCs w:val="24"/>
        </w:rPr>
        <w:t>、</w:t>
        <w:tab/>
        <w:t>报告期内召开的年度股东大会和临时股东大会的有关情况</w:t>
      </w:r>
      <w:bookmarkEnd w:id="596"/>
      <w:bookmarkEnd w:id="597"/>
      <w:bookmarkEnd w:id="599"/>
    </w:p>
    <w:p>
      <w:pPr>
        <w:pStyle w:val="Style30"/>
        <w:keepNext/>
        <w:keepLines/>
        <w:widowControl w:val="0"/>
        <w:shd w:val="clear" w:color="auto" w:fill="auto"/>
        <w:bidi w:val="0"/>
        <w:spacing w:before="0" w:after="34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、本报告期股东大会情况</w:t>
      </w:r>
      <w:bookmarkEnd w:id="600"/>
      <w:bookmarkEnd w:id="601"/>
      <w:bookmarkEnd w:id="603"/>
    </w:p>
    <w:tbl>
      <w:tblPr>
        <w:tblOverlap w:val="never"/>
        <w:jc w:val="center"/>
        <w:tblLayout w:type="fixed"/>
      </w:tblPr>
      <w:tblGrid>
        <w:gridCol w:w="1603"/>
        <w:gridCol w:w="1594"/>
        <w:gridCol w:w="1584"/>
        <w:gridCol w:w="1603"/>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）的公告</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年第一次临 时股东大会决议公 告》（公告编号： </w:t>
            </w:r>
            <w:r>
              <w:rPr>
                <w:rFonts w:ascii="Times New Roman" w:eastAsia="Times New Roman" w:hAnsi="Times New Roman" w:cs="Times New Roman"/>
                <w:color w:val="000000"/>
                <w:spacing w:val="0"/>
                <w:w w:val="100"/>
                <w:position w:val="0"/>
                <w:sz w:val="18"/>
                <w:szCs w:val="18"/>
              </w:rPr>
              <w:t>2020-028</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）的公告</w:t>
            </w:r>
          </w:p>
          <w:p>
            <w:pPr>
              <w:pStyle w:val="Style2"/>
              <w:keepNext w:val="0"/>
              <w:keepLines w:val="0"/>
              <w:widowControl w:val="0"/>
              <w:shd w:val="clear" w:color="auto" w:fill="auto"/>
              <w:bidi w:val="0"/>
              <w:spacing w:before="0" w:after="0" w:line="314"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 大会决议公告》（公 告编号：</w:t>
            </w:r>
            <w:r>
              <w:rPr>
                <w:rFonts w:ascii="Times New Roman" w:eastAsia="Times New Roman" w:hAnsi="Times New Roman" w:cs="Times New Roman"/>
                <w:color w:val="000000"/>
                <w:spacing w:val="0"/>
                <w:w w:val="100"/>
                <w:position w:val="0"/>
                <w:sz w:val="18"/>
                <w:szCs w:val="18"/>
              </w:rPr>
              <w:t>2020-061</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）的公告</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年第二次临 时股东大会决议公 告》（公告编号： </w:t>
            </w:r>
            <w:r>
              <w:rPr>
                <w:rFonts w:ascii="Times New Roman" w:eastAsia="Times New Roman" w:hAnsi="Times New Roman" w:cs="Times New Roman"/>
                <w:color w:val="000000"/>
                <w:spacing w:val="0"/>
                <w:w w:val="100"/>
                <w:position w:val="0"/>
                <w:sz w:val="18"/>
                <w:szCs w:val="18"/>
              </w:rPr>
              <w:t>2020-082</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）的公告</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年第三次临 时股东大会决议公 告》（公告编号： </w:t>
            </w:r>
            <w:r>
              <w:rPr>
                <w:rFonts w:ascii="Times New Roman" w:eastAsia="Times New Roman" w:hAnsi="Times New Roman" w:cs="Times New Roman"/>
                <w:color w:val="000000"/>
                <w:spacing w:val="0"/>
                <w:w w:val="100"/>
                <w:position w:val="0"/>
                <w:sz w:val="18"/>
                <w:szCs w:val="18"/>
              </w:rPr>
              <w:t>2020-108</w:t>
            </w:r>
            <w:r>
              <w:rPr>
                <w:color w:val="000000"/>
                <w:spacing w:val="0"/>
                <w:w w:val="100"/>
                <w:position w:val="0"/>
              </w:rPr>
              <w:t>）</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）的公告</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年第四次临 时股东大会决议公 告》（公告编号： </w:t>
            </w:r>
            <w:r>
              <w:rPr>
                <w:rFonts w:ascii="Times New Roman" w:eastAsia="Times New Roman" w:hAnsi="Times New Roman" w:cs="Times New Roman"/>
                <w:color w:val="000000"/>
                <w:spacing w:val="0"/>
                <w:w w:val="100"/>
                <w:position w:val="0"/>
                <w:sz w:val="18"/>
                <w:szCs w:val="18"/>
              </w:rPr>
              <w:t>2020-117</w:t>
            </w:r>
            <w:r>
              <w:rPr>
                <w:color w:val="000000"/>
                <w:spacing w:val="0"/>
                <w:w w:val="100"/>
                <w:position w:val="0"/>
              </w:rPr>
              <w:t>）</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、表决权恢复的优先股股东请求召开临时股东大会</w:t>
      </w:r>
      <w:bookmarkEnd w:id="604"/>
      <w:bookmarkEnd w:id="605"/>
      <w:bookmarkEnd w:id="607"/>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五</w:t>
      </w:r>
      <w:bookmarkEnd w:id="610"/>
      <w:r>
        <w:rPr>
          <w:color w:val="000000"/>
          <w:spacing w:val="0"/>
          <w:w w:val="100"/>
          <w:position w:val="0"/>
          <w:sz w:val="24"/>
          <w:szCs w:val="24"/>
        </w:rPr>
        <w:t>、报告期内独立董事履行职责的情况</w:t>
      </w:r>
      <w:bookmarkEnd w:id="608"/>
      <w:bookmarkEnd w:id="609"/>
      <w:bookmarkEnd w:id="611"/>
    </w:p>
    <w:p>
      <w:pPr>
        <w:pStyle w:val="Style30"/>
        <w:keepNext/>
        <w:keepLines/>
        <w:widowControl w:val="0"/>
        <w:shd w:val="clear" w:color="auto" w:fill="auto"/>
        <w:bidi w:val="0"/>
        <w:spacing w:before="0" w:after="32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1</w:t>
      </w:r>
      <w:bookmarkEnd w:id="614"/>
      <w:r>
        <w:rPr>
          <w:color w:val="000000"/>
          <w:spacing w:val="0"/>
          <w:w w:val="100"/>
          <w:position w:val="0"/>
        </w:rPr>
        <w:t>、独立董事出席董事会及股东大会的情况</w:t>
      </w:r>
      <w:bookmarkEnd w:id="612"/>
      <w:bookmarkEnd w:id="613"/>
      <w:bookmarkEnd w:id="615"/>
    </w:p>
    <w:p>
      <w:pPr>
        <w:pStyle w:val="Style26"/>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318" w:line="240" w:lineRule="auto"/>
        <w:ind w:left="0" w:right="0" w:firstLine="0"/>
        <w:jc w:val="center"/>
      </w:pPr>
      <w:r>
        <w:rPr>
          <w:color w:val="000000"/>
          <w:spacing w:val="0"/>
          <w:w w:val="100"/>
          <w:position w:val="0"/>
        </w:rPr>
        <w:t>独立董事出席董事会及股东大会的情况</w:t>
      </w:r>
    </w:p>
    <w:tbl>
      <w:tblPr>
        <w:tblOverlap w:val="never"/>
        <w:jc w:val="center"/>
        <w:tblLayout w:type="fixed"/>
      </w:tblPr>
      <w:tblGrid>
        <w:gridCol w:w="1430"/>
        <w:gridCol w:w="1166"/>
        <w:gridCol w:w="1162"/>
        <w:gridCol w:w="1166"/>
        <w:gridCol w:w="1162"/>
        <w:gridCol w:w="1162"/>
        <w:gridCol w:w="1162"/>
        <w:gridCol w:w="117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洪伟荣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蔡钰茹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连续两次未亲自出席董事会的说明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0"/>
        <w:keepNext/>
        <w:keepLines/>
        <w:widowControl w:val="0"/>
        <w:shd w:val="clear" w:color="auto" w:fill="auto"/>
        <w:tabs>
          <w:tab w:pos="378" w:val="left"/>
        </w:tabs>
        <w:bidi w:val="0"/>
        <w:spacing w:before="0" w:after="26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2</w:t>
      </w:r>
      <w:bookmarkEnd w:id="618"/>
      <w:r>
        <w:rPr>
          <w:color w:val="000000"/>
          <w:spacing w:val="0"/>
          <w:w w:val="100"/>
          <w:position w:val="0"/>
        </w:rPr>
        <w:t>、</w:t>
        <w:tab/>
        <w:t>独立董事对公司有关事项提出异议的情况</w:t>
      </w:r>
      <w:bookmarkEnd w:id="616"/>
      <w:bookmarkEnd w:id="617"/>
      <w:bookmarkEnd w:id="619"/>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378" w:val="left"/>
        </w:tabs>
        <w:bidi w:val="0"/>
        <w:spacing w:before="0" w:after="26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3</w:t>
      </w:r>
      <w:bookmarkEnd w:id="622"/>
      <w:r>
        <w:rPr>
          <w:color w:val="000000"/>
          <w:spacing w:val="0"/>
          <w:w w:val="100"/>
          <w:position w:val="0"/>
        </w:rPr>
        <w:t>、</w:t>
        <w:tab/>
        <w:t>独立董事履行职责的其他说明</w:t>
      </w:r>
      <w:bookmarkEnd w:id="620"/>
      <w:bookmarkEnd w:id="621"/>
      <w:bookmarkEnd w:id="623"/>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6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六</w:t>
      </w:r>
      <w:bookmarkEnd w:id="626"/>
      <w:r>
        <w:rPr>
          <w:color w:val="000000"/>
          <w:spacing w:val="0"/>
          <w:w w:val="100"/>
          <w:position w:val="0"/>
          <w:sz w:val="24"/>
          <w:szCs w:val="24"/>
        </w:rPr>
        <w:t>、董事会下设专门委员会在报告期内履行职责情况</w:t>
      </w:r>
      <w:bookmarkEnd w:id="624"/>
      <w:bookmarkEnd w:id="625"/>
      <w:bookmarkEnd w:id="627"/>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公司董事会下设审计委员会、战略委员会、提名委员会及薪酬与考核委员会四个专门委员会。履职情况如下：</w:t>
      </w:r>
    </w:p>
    <w:p>
      <w:pPr>
        <w:pStyle w:val="Style26"/>
        <w:keepNext w:val="0"/>
        <w:keepLines w:val="0"/>
        <w:widowControl w:val="0"/>
        <w:shd w:val="clear" w:color="auto" w:fill="auto"/>
        <w:tabs>
          <w:tab w:pos="774" w:val="left"/>
        </w:tabs>
        <w:bidi w:val="0"/>
        <w:spacing w:before="0" w:after="0" w:line="314" w:lineRule="exact"/>
        <w:ind w:left="0" w:right="0" w:firstLine="440"/>
        <w:jc w:val="both"/>
      </w:pPr>
      <w:bookmarkStart w:id="628" w:name="bookmark628"/>
      <w:r>
        <w:rPr>
          <w:rFonts w:ascii="Times New Roman" w:eastAsia="Times New Roman" w:hAnsi="Times New Roman" w:cs="Times New Roman"/>
          <w:color w:val="000000"/>
          <w:spacing w:val="0"/>
          <w:w w:val="100"/>
          <w:position w:val="0"/>
          <w:sz w:val="18"/>
          <w:szCs w:val="18"/>
        </w:rPr>
        <w:t>1</w:t>
      </w:r>
      <w:bookmarkEnd w:id="628"/>
      <w:r>
        <w:rPr>
          <w:color w:val="000000"/>
          <w:spacing w:val="0"/>
          <w:w w:val="100"/>
          <w:position w:val="0"/>
        </w:rPr>
        <w:t>、</w:t>
        <w:tab/>
        <w:t>审计委员会的履职情况</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报告期内，根据公司《审计委员会工作细则》，审计委员会充分发挥了其在公司经营发展中的审核与监督作用，主要 负责监督公司内部控制实施情况、内部审计制度及其实施情况、以及外部审计机构的沟通协调工作。报告期内，审计委员会 对内部审计工作、年度审计工作计划、内部控制、季报、中报和年度报告等定期财务报告事项进行了审阅和核查。</w:t>
      </w:r>
    </w:p>
    <w:p>
      <w:pPr>
        <w:pStyle w:val="Style26"/>
        <w:keepNext w:val="0"/>
        <w:keepLines w:val="0"/>
        <w:widowControl w:val="0"/>
        <w:shd w:val="clear" w:color="auto" w:fill="auto"/>
        <w:tabs>
          <w:tab w:pos="794" w:val="left"/>
        </w:tabs>
        <w:bidi w:val="0"/>
        <w:spacing w:before="0" w:after="0" w:line="314" w:lineRule="exact"/>
        <w:ind w:left="0" w:right="0" w:firstLine="440"/>
        <w:jc w:val="both"/>
      </w:pPr>
      <w:bookmarkStart w:id="629" w:name="bookmark629"/>
      <w:r>
        <w:rPr>
          <w:rFonts w:ascii="Times New Roman" w:eastAsia="Times New Roman" w:hAnsi="Times New Roman" w:cs="Times New Roman"/>
          <w:color w:val="000000"/>
          <w:spacing w:val="0"/>
          <w:w w:val="100"/>
          <w:position w:val="0"/>
          <w:sz w:val="18"/>
          <w:szCs w:val="18"/>
        </w:rPr>
        <w:t>2</w:t>
      </w:r>
      <w:bookmarkEnd w:id="629"/>
      <w:r>
        <w:rPr>
          <w:color w:val="000000"/>
          <w:spacing w:val="0"/>
          <w:w w:val="100"/>
          <w:position w:val="0"/>
        </w:rPr>
        <w:t>、</w:t>
        <w:tab/>
        <w:t>战略决策委员会的履职情况</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报告期内，公司战略决策委员会根据公司《战略委员会工作细则》的规定，结合当前经济形势和公司发展情况，对公 司的再融资方案进行了审核，在公司的战略制定及长期经营发展中发挥重要作用。</w:t>
      </w:r>
    </w:p>
    <w:p>
      <w:pPr>
        <w:pStyle w:val="Style26"/>
        <w:keepNext w:val="0"/>
        <w:keepLines w:val="0"/>
        <w:widowControl w:val="0"/>
        <w:shd w:val="clear" w:color="auto" w:fill="auto"/>
        <w:tabs>
          <w:tab w:pos="794" w:val="left"/>
        </w:tabs>
        <w:bidi w:val="0"/>
        <w:spacing w:before="0" w:after="0" w:line="314" w:lineRule="exact"/>
        <w:ind w:left="0" w:right="0" w:firstLine="440"/>
        <w:jc w:val="both"/>
      </w:pPr>
      <w:bookmarkStart w:id="630" w:name="bookmark630"/>
      <w:r>
        <w:rPr>
          <w:rFonts w:ascii="Times New Roman" w:eastAsia="Times New Roman" w:hAnsi="Times New Roman" w:cs="Times New Roman"/>
          <w:color w:val="000000"/>
          <w:spacing w:val="0"/>
          <w:w w:val="100"/>
          <w:position w:val="0"/>
          <w:sz w:val="18"/>
          <w:szCs w:val="18"/>
        </w:rPr>
        <w:t>3</w:t>
      </w:r>
      <w:bookmarkEnd w:id="630"/>
      <w:r>
        <w:rPr>
          <w:color w:val="000000"/>
          <w:spacing w:val="0"/>
          <w:w w:val="100"/>
          <w:position w:val="0"/>
        </w:rPr>
        <w:t>、</w:t>
        <w:tab/>
        <w:t>提名委员会的履职情况</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报告期内，公司提名委员会依照《提名委员会工作细则》的要求，对公司聘任高级管理人员履行了审查职责，并对相 关候选人的聘任提出了宝贵意见。</w:t>
      </w:r>
    </w:p>
    <w:p>
      <w:pPr>
        <w:pStyle w:val="Style26"/>
        <w:keepNext w:val="0"/>
        <w:keepLines w:val="0"/>
        <w:widowControl w:val="0"/>
        <w:shd w:val="clear" w:color="auto" w:fill="auto"/>
        <w:bidi w:val="0"/>
        <w:spacing w:before="0" w:after="0" w:line="314" w:lineRule="exact"/>
        <w:ind w:left="0" w:right="0" w:firstLine="820"/>
        <w:jc w:val="both"/>
      </w:pPr>
      <w:bookmarkStart w:id="631" w:name="bookmark631"/>
      <w:r>
        <w:rPr>
          <w:rFonts w:ascii="Times New Roman" w:eastAsia="Times New Roman" w:hAnsi="Times New Roman" w:cs="Times New Roman"/>
          <w:color w:val="000000"/>
          <w:spacing w:val="0"/>
          <w:w w:val="100"/>
          <w:position w:val="0"/>
          <w:sz w:val="18"/>
          <w:szCs w:val="18"/>
        </w:rPr>
        <w:t>4</w:t>
      </w:r>
      <w:bookmarkEnd w:id="631"/>
      <w:r>
        <w:rPr>
          <w:color w:val="000000"/>
          <w:spacing w:val="0"/>
          <w:w w:val="100"/>
          <w:position w:val="0"/>
        </w:rPr>
        <w:t>、薪酬与考核委员会的履职情况</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报告期内，公司薪酬与考核委员会依照公司《薪酬与考核委员会工作细则》的要求，重点对公司董事及高级管理人员 的薪酬政策及执行情况进行审查，同时对公司的股权激励计划预留股份授予事项和解锁事项进行了审查，积极履行了薪酬与 考核委员会的相应职责。</w:t>
      </w:r>
    </w:p>
    <w:p>
      <w:pPr>
        <w:pStyle w:val="Style22"/>
        <w:keepNext/>
        <w:keepLines/>
        <w:widowControl w:val="0"/>
        <w:shd w:val="clear" w:color="auto" w:fill="auto"/>
        <w:tabs>
          <w:tab w:pos="522" w:val="left"/>
        </w:tabs>
        <w:bidi w:val="0"/>
        <w:spacing w:before="0" w:after="26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七</w:t>
      </w:r>
      <w:bookmarkEnd w:id="634"/>
      <w:r>
        <w:rPr>
          <w:color w:val="000000"/>
          <w:spacing w:val="0"/>
          <w:w w:val="100"/>
          <w:position w:val="0"/>
          <w:sz w:val="24"/>
          <w:szCs w:val="24"/>
        </w:rPr>
        <w:t>、</w:t>
        <w:tab/>
        <w:t>监事会工作情况</w:t>
      </w:r>
      <w:bookmarkEnd w:id="632"/>
      <w:bookmarkEnd w:id="633"/>
      <w:bookmarkEnd w:id="635"/>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公司监事会对报告期内的监督事项无异议。</w:t>
      </w:r>
    </w:p>
    <w:p>
      <w:pPr>
        <w:pStyle w:val="Style22"/>
        <w:keepNext/>
        <w:keepLines/>
        <w:widowControl w:val="0"/>
        <w:shd w:val="clear" w:color="auto" w:fill="auto"/>
        <w:tabs>
          <w:tab w:pos="522" w:val="left"/>
        </w:tabs>
        <w:bidi w:val="0"/>
        <w:spacing w:before="0" w:after="26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sz w:val="24"/>
          <w:szCs w:val="24"/>
        </w:rPr>
        <w:t>八</w:t>
      </w:r>
      <w:bookmarkEnd w:id="638"/>
      <w:r>
        <w:rPr>
          <w:color w:val="000000"/>
          <w:spacing w:val="0"/>
          <w:w w:val="100"/>
          <w:position w:val="0"/>
          <w:sz w:val="24"/>
          <w:szCs w:val="24"/>
        </w:rPr>
        <w:t>、</w:t>
        <w:tab/>
        <w:t>高级管理人员的考评及激励情况</w:t>
      </w:r>
      <w:bookmarkEnd w:id="636"/>
      <w:bookmarkEnd w:id="637"/>
      <w:bookmarkEnd w:id="639"/>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公司已建立了完善的高级管理人员绩效考核与激励约束机制；公司董事会及下设的提名、薪酬和考核委员会每年以公司经济 效益及工作目标为出发点，对高级管理人员进行考核和激励；高级管理人员的聘任公开、透明，符合法律、法规的规定。</w:t>
      </w:r>
    </w:p>
    <w:p>
      <w:pPr>
        <w:pStyle w:val="Style22"/>
        <w:keepNext/>
        <w:keepLines/>
        <w:widowControl w:val="0"/>
        <w:shd w:val="clear" w:color="auto" w:fill="auto"/>
        <w:tabs>
          <w:tab w:pos="522" w:val="left"/>
        </w:tabs>
        <w:bidi w:val="0"/>
        <w:spacing w:before="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sz w:val="24"/>
          <w:szCs w:val="24"/>
        </w:rPr>
        <w:t>九</w:t>
      </w:r>
      <w:bookmarkEnd w:id="642"/>
      <w:r>
        <w:rPr>
          <w:color w:val="000000"/>
          <w:spacing w:val="0"/>
          <w:w w:val="100"/>
          <w:position w:val="0"/>
          <w:sz w:val="24"/>
          <w:szCs w:val="24"/>
        </w:rPr>
        <w:t>、</w:t>
        <w:tab/>
        <w:t>内部控制评价报告</w:t>
      </w:r>
      <w:bookmarkEnd w:id="640"/>
      <w:bookmarkEnd w:id="641"/>
      <w:bookmarkEnd w:id="643"/>
    </w:p>
    <w:p>
      <w:pPr>
        <w:pStyle w:val="Style30"/>
        <w:keepNext/>
        <w:keepLines/>
        <w:widowControl w:val="0"/>
        <w:shd w:val="clear" w:color="auto" w:fill="auto"/>
        <w:bidi w:val="0"/>
        <w:spacing w:before="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1</w:t>
      </w:r>
      <w:bookmarkEnd w:id="646"/>
      <w:r>
        <w:rPr>
          <w:color w:val="000000"/>
          <w:spacing w:val="0"/>
          <w:w w:val="100"/>
          <w:position w:val="0"/>
        </w:rPr>
        <w:t>、报告期内发现的内部控制重大缺陷的具体情况</w:t>
      </w:r>
      <w:bookmarkEnd w:id="644"/>
      <w:bookmarkEnd w:id="645"/>
      <w:bookmarkEnd w:id="647"/>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2</w:t>
      </w:r>
      <w:bookmarkEnd w:id="650"/>
      <w:r>
        <w:rPr>
          <w:color w:val="000000"/>
          <w:spacing w:val="0"/>
          <w:w w:val="100"/>
          <w:position w:val="0"/>
        </w:rPr>
        <w:t>、内控自我评价报告</w:t>
      </w:r>
      <w:bookmarkEnd w:id="648"/>
      <w:bookmarkEnd w:id="649"/>
      <w:bookmarkEnd w:id="651"/>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8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财务报告重大缺陷的迹象包括：①董事、 监事和高级管理人员舞弊行为；②外部审 计发现当期财务报告存在重大错报，公司 在运行过程中未能发现该错报；③公司更 正已公布的财务报告；④公司审计委员会 和内部审计机构对内部控制的监督无效。 一项内部控制缺陷单独或连同其它缺陷， 其严重程度和经济后果低于重大缺陷，但 仍应引起董事会和管理层重视的错报，应 将该缺陷认定为重要缺陷。一般缺陷是指 除上述重大缺陷、重要缺陷之外的其他控 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财务报告重大缺陷的迹象包括：①违犯 国家法律、法规较严重；②重要业务 缺乏制度控制或制度系统性失效;③内 部控制评价的结果特别是重大或重要 缺陷未得到及时整改；④信息披露内 部控制失效，导致公司被监管部门公开 谴责；⑤其他对公司影响重大的情形。 除重大缺陷认定的标准以外的其他情 形，按影响程度分别确定为重要缺陷或 一般缺陷。</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定量标准以利润总额、资产总额作为衡量 指标。内部控制缺陷可能导致或导致的损 失与利润表相关的，以利润总额指标衡量。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非财务报告内部控制缺陷评价的定量 标准参照财务报告内部控制缺陷评价 的定量标准执行。</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如果该缺陷单独或连同其他缺陷可能导致 的财务报告错报金额小于利润总额的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则认定为一般缺陷；如果超过利润总额的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，则为重要缺陷；如果超 过利润总额的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，则认定为重大缺陷。 内部控制缺陷可能导致或导致的损失与资 产管理相关的，以资产总额指标衡量。如 果该缺陷单独或连同其他缺陷可能导致的 财务报告错报金额小于资产总额的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则认定为一般缺陷；如果超过资产总额的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认定为重要缺陷；如果超 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2"/>
        <w:keepNext/>
        <w:keepLines/>
        <w:widowControl w:val="0"/>
        <w:shd w:val="clear" w:color="auto" w:fill="auto"/>
        <w:bidi w:val="0"/>
        <w:spacing w:before="0" w:after="400" w:line="240" w:lineRule="auto"/>
        <w:ind w:left="0" w:right="0" w:firstLine="0"/>
        <w:jc w:val="left"/>
      </w:pPr>
      <w:bookmarkStart w:id="652" w:name="bookmark652"/>
      <w:bookmarkStart w:id="653" w:name="bookmark653"/>
      <w:bookmarkStart w:id="654" w:name="bookmark654"/>
      <w:r>
        <w:rPr>
          <w:color w:val="000000"/>
          <w:spacing w:val="0"/>
          <w:w w:val="100"/>
          <w:position w:val="0"/>
          <w:sz w:val="24"/>
          <w:szCs w:val="24"/>
        </w:rPr>
        <w:t>十、内部控制审计报告或鉴证报告</w:t>
      </w:r>
      <w:bookmarkEnd w:id="652"/>
      <w:bookmarkEnd w:id="653"/>
      <w:bookmarkEnd w:id="654"/>
    </w:p>
    <w:p>
      <w:pPr>
        <w:pStyle w:val="Style26"/>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54" w:right="1017" w:bottom="1455" w:left="1019" w:header="0" w:footer="3" w:gutter="0"/>
          <w:cols w:space="720"/>
          <w:noEndnote/>
          <w:rtlGutter w:val="0"/>
          <w:docGrid w:linePitch="360"/>
        </w:sectPr>
      </w:pPr>
      <w:r>
        <w:rPr>
          <w:color w:val="000000"/>
          <w:spacing w:val="0"/>
          <w:w w:val="100"/>
          <w:position w:val="0"/>
        </w:rPr>
        <w:t>不适用</w:t>
      </w:r>
    </w:p>
    <w:p>
      <w:pPr>
        <w:pStyle w:val="Style13"/>
        <w:keepNext/>
        <w:keepLines/>
        <w:widowControl w:val="0"/>
        <w:shd w:val="clear" w:color="auto" w:fill="auto"/>
        <w:bidi w:val="0"/>
        <w:spacing w:before="0" w:after="440" w:line="240" w:lineRule="auto"/>
        <w:ind w:left="0" w:right="0" w:firstLine="0"/>
        <w:jc w:val="center"/>
      </w:pPr>
      <w:bookmarkStart w:id="655" w:name="bookmark655"/>
      <w:bookmarkStart w:id="656" w:name="bookmark656"/>
      <w:bookmarkStart w:id="657" w:name="bookmark657"/>
      <w:r>
        <w:rPr>
          <w:color w:val="000000"/>
          <w:spacing w:val="0"/>
          <w:w w:val="100"/>
          <w:position w:val="0"/>
        </w:rPr>
        <w:t>第十一节公司债券相关情况</w:t>
      </w:r>
      <w:bookmarkEnd w:id="655"/>
      <w:bookmarkEnd w:id="656"/>
      <w:bookmarkEnd w:id="657"/>
    </w:p>
    <w:p>
      <w:pPr>
        <w:pStyle w:val="Style26"/>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194" w:bottom="1926" w:left="1112" w:header="0" w:footer="3" w:gutter="0"/>
          <w:cols w:space="720"/>
          <w:noEndnote/>
          <w:rtlGutter w:val="0"/>
          <w:docGrid w:linePitch="360"/>
        </w:sectPr>
      </w:pPr>
      <w:bookmarkStart w:id="658" w:name="bookmark658"/>
      <w:r>
        <w:rPr>
          <w:color w:val="000000"/>
          <w:spacing w:val="0"/>
          <w:w w:val="100"/>
          <w:position w:val="0"/>
        </w:rPr>
        <w:t>公司是否存在公开发行并在证券交易所上市，且在年度报告批准报出日未到期或到期未能全额兑付的公司债券 否</w:t>
      </w:r>
      <w:bookmarkEnd w:id="658"/>
    </w:p>
    <w:p>
      <w:pPr>
        <w:pStyle w:val="Style13"/>
        <w:keepNext/>
        <w:keepLines/>
        <w:widowControl w:val="0"/>
        <w:shd w:val="clear" w:color="auto" w:fill="auto"/>
        <w:bidi w:val="0"/>
        <w:spacing w:before="740" w:after="500" w:line="240" w:lineRule="auto"/>
        <w:ind w:left="0" w:right="0" w:firstLine="0"/>
        <w:jc w:val="center"/>
      </w:pPr>
      <w:bookmarkStart w:id="659" w:name="bookmark659"/>
      <w:bookmarkStart w:id="660" w:name="bookmark660"/>
      <w:bookmarkStart w:id="661" w:name="bookmark661"/>
      <w:r>
        <w:rPr>
          <w:color w:val="000000"/>
          <w:spacing w:val="0"/>
          <w:w w:val="100"/>
          <w:position w:val="0"/>
        </w:rPr>
        <w:t>第十二节财务报告</w:t>
      </w:r>
      <w:bookmarkEnd w:id="659"/>
      <w:bookmarkEnd w:id="660"/>
      <w:bookmarkEnd w:id="661"/>
    </w:p>
    <w:p>
      <w:pPr>
        <w:pStyle w:val="Style24"/>
        <w:keepNext w:val="0"/>
        <w:keepLines w:val="0"/>
        <w:widowControl w:val="0"/>
        <w:shd w:val="clear" w:color="auto" w:fill="auto"/>
        <w:bidi w:val="0"/>
        <w:spacing w:before="0" w:after="0" w:line="240" w:lineRule="auto"/>
        <w:ind w:left="0" w:right="0" w:firstLine="0"/>
        <w:jc w:val="left"/>
        <w:rPr>
          <w:sz w:val="24"/>
          <w:szCs w:val="24"/>
        </w:rPr>
      </w:pPr>
      <w:bookmarkStart w:id="662" w:name="bookmark662"/>
      <w:bookmarkStart w:id="663" w:name="bookmark663"/>
      <w:r>
        <w:rPr>
          <w:b/>
          <w:bCs/>
          <w:color w:val="000000"/>
          <w:spacing w:val="0"/>
          <w:w w:val="100"/>
          <w:position w:val="0"/>
          <w:sz w:val="24"/>
          <w:szCs w:val="24"/>
        </w:rPr>
        <w:t>一、审计报告</w:t>
      </w:r>
      <w:bookmarkEnd w:id="663"/>
      <w:bookmarkEnd w:id="662"/>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3828</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郑俭、吴传淼</w:t>
            </w:r>
          </w:p>
        </w:tc>
      </w:tr>
    </w:tbl>
    <w:p>
      <w:pPr>
        <w:pStyle w:val="Style24"/>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39" w:line="1" w:lineRule="exact"/>
      </w:pPr>
    </w:p>
    <w:p>
      <w:pPr>
        <w:pStyle w:val="Style61"/>
        <w:keepNext w:val="0"/>
        <w:keepLines w:val="0"/>
        <w:widowControl w:val="0"/>
        <w:shd w:val="clear" w:color="auto" w:fill="auto"/>
        <w:tabs>
          <w:tab w:pos="987" w:val="left"/>
        </w:tabs>
        <w:bidi w:val="0"/>
        <w:spacing w:before="0" w:after="0" w:line="314" w:lineRule="exact"/>
        <w:ind w:left="0" w:right="0"/>
        <w:jc w:val="both"/>
        <w:rPr>
          <w:sz w:val="24"/>
          <w:szCs w:val="24"/>
        </w:rPr>
      </w:pPr>
      <w:bookmarkStart w:id="664" w:name="bookmark664"/>
      <w:r>
        <w:rPr>
          <w:b/>
          <w:bCs/>
          <w:color w:val="000000"/>
          <w:spacing w:val="0"/>
          <w:w w:val="100"/>
          <w:position w:val="0"/>
          <w:sz w:val="24"/>
          <w:szCs w:val="24"/>
        </w:rPr>
        <w:t>一</w:t>
      </w:r>
      <w:bookmarkEnd w:id="664"/>
      <w:r>
        <w:rPr>
          <w:b/>
          <w:bCs/>
          <w:color w:val="000000"/>
          <w:spacing w:val="0"/>
          <w:w w:val="100"/>
          <w:position w:val="0"/>
          <w:sz w:val="24"/>
          <w:szCs w:val="24"/>
        </w:rPr>
        <w:t>、</w:t>
        <w:tab/>
        <w:t>审计意见</w:t>
      </w:r>
    </w:p>
    <w:p>
      <w:pPr>
        <w:pStyle w:val="Style61"/>
        <w:keepNext w:val="0"/>
        <w:keepLines w:val="0"/>
        <w:widowControl w:val="0"/>
        <w:shd w:val="clear" w:color="auto" w:fill="auto"/>
        <w:bidi w:val="0"/>
        <w:spacing w:before="0" w:after="0" w:line="314" w:lineRule="exact"/>
        <w:ind w:left="0" w:right="0"/>
        <w:jc w:val="both"/>
      </w:pPr>
      <w:r>
        <w:rPr>
          <w:color w:val="000000"/>
          <w:spacing w:val="0"/>
          <w:w w:val="100"/>
          <w:position w:val="0"/>
        </w:rPr>
        <w:t>我们审计了浙江和仁科技股份有限公司（以下简称和仁科技公司）财务报表，包括</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2020</w:t>
      </w:r>
      <w:r>
        <w:rPr>
          <w:color w:val="000000"/>
          <w:spacing w:val="0"/>
          <w:w w:val="100"/>
          <w:position w:val="0"/>
        </w:rPr>
        <w:t>年度的合并及母公司利润表、合并及母公司现 金流量表、合并及母公司所有者权益变动表，以及相关财务报表附注。</w:t>
      </w:r>
    </w:p>
    <w:p>
      <w:pPr>
        <w:pStyle w:val="Style61"/>
        <w:keepNext w:val="0"/>
        <w:keepLines w:val="0"/>
        <w:widowControl w:val="0"/>
        <w:shd w:val="clear" w:color="auto" w:fill="auto"/>
        <w:bidi w:val="0"/>
        <w:spacing w:before="0" w:after="300" w:line="314" w:lineRule="exact"/>
        <w:ind w:left="0" w:right="0"/>
        <w:jc w:val="both"/>
      </w:pPr>
      <w:r>
        <w:rPr>
          <w:color w:val="000000"/>
          <w:spacing w:val="0"/>
          <w:w w:val="100"/>
          <w:position w:val="0"/>
        </w:rPr>
        <w:t>我们认为，后附的财务报表在所有重大方面按照企业会计准则的规定编制，公允反映了 和仁科技公司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2020</w:t>
      </w:r>
      <w:r>
        <w:rPr>
          <w:color w:val="000000"/>
          <w:spacing w:val="0"/>
          <w:w w:val="100"/>
          <w:position w:val="0"/>
        </w:rPr>
        <w:t>年度的合并及母公司经营 成果和现金流量。</w:t>
      </w:r>
    </w:p>
    <w:p>
      <w:pPr>
        <w:pStyle w:val="Style61"/>
        <w:keepNext w:val="0"/>
        <w:keepLines w:val="0"/>
        <w:widowControl w:val="0"/>
        <w:shd w:val="clear" w:color="auto" w:fill="auto"/>
        <w:tabs>
          <w:tab w:pos="987" w:val="left"/>
        </w:tabs>
        <w:bidi w:val="0"/>
        <w:spacing w:before="0" w:after="0" w:line="310" w:lineRule="exact"/>
        <w:ind w:left="0" w:right="0"/>
        <w:jc w:val="both"/>
        <w:rPr>
          <w:sz w:val="24"/>
          <w:szCs w:val="24"/>
        </w:rPr>
      </w:pPr>
      <w:bookmarkStart w:id="665" w:name="bookmark665"/>
      <w:r>
        <w:rPr>
          <w:b/>
          <w:bCs/>
          <w:color w:val="000000"/>
          <w:spacing w:val="0"/>
          <w:w w:val="100"/>
          <w:position w:val="0"/>
          <w:sz w:val="24"/>
          <w:szCs w:val="24"/>
        </w:rPr>
        <w:t>二</w:t>
      </w:r>
      <w:bookmarkEnd w:id="665"/>
      <w:r>
        <w:rPr>
          <w:b/>
          <w:bCs/>
          <w:color w:val="000000"/>
          <w:spacing w:val="0"/>
          <w:w w:val="100"/>
          <w:position w:val="0"/>
          <w:sz w:val="24"/>
          <w:szCs w:val="24"/>
        </w:rPr>
        <w:t>、</w:t>
        <w:tab/>
        <w:t>形成审计意见的基础</w:t>
      </w:r>
    </w:p>
    <w:p>
      <w:pPr>
        <w:pStyle w:val="Style61"/>
        <w:keepNext w:val="0"/>
        <w:keepLines w:val="0"/>
        <w:widowControl w:val="0"/>
        <w:shd w:val="clear" w:color="auto" w:fill="auto"/>
        <w:bidi w:val="0"/>
        <w:spacing w:before="0" w:after="300" w:line="310"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部分进一步阐述了我们在这些准则下的责任。按照中国注册会计师职业道 德守则，我们独立于和仁科技公司，并履行了职业道德方面的其他责任。我们相信，我们获 取的审计证据是充分、适当的，为发表审计意见提供了基础。</w:t>
      </w:r>
    </w:p>
    <w:p>
      <w:pPr>
        <w:pStyle w:val="Style61"/>
        <w:keepNext w:val="0"/>
        <w:keepLines w:val="0"/>
        <w:widowControl w:val="0"/>
        <w:shd w:val="clear" w:color="auto" w:fill="auto"/>
        <w:tabs>
          <w:tab w:pos="987" w:val="left"/>
        </w:tabs>
        <w:bidi w:val="0"/>
        <w:spacing w:before="0" w:after="0" w:line="312" w:lineRule="exact"/>
        <w:ind w:left="0" w:right="0"/>
        <w:jc w:val="both"/>
        <w:rPr>
          <w:sz w:val="24"/>
          <w:szCs w:val="24"/>
        </w:rPr>
      </w:pPr>
      <w:bookmarkStart w:id="666" w:name="bookmark666"/>
      <w:r>
        <w:rPr>
          <w:b/>
          <w:bCs/>
          <w:color w:val="000000"/>
          <w:spacing w:val="0"/>
          <w:w w:val="100"/>
          <w:position w:val="0"/>
          <w:sz w:val="24"/>
          <w:szCs w:val="24"/>
        </w:rPr>
        <w:t>三</w:t>
      </w:r>
      <w:bookmarkEnd w:id="666"/>
      <w:r>
        <w:rPr>
          <w:b/>
          <w:bCs/>
          <w:color w:val="000000"/>
          <w:spacing w:val="0"/>
          <w:w w:val="100"/>
          <w:position w:val="0"/>
          <w:sz w:val="24"/>
          <w:szCs w:val="24"/>
        </w:rPr>
        <w:t>、</w:t>
        <w:tab/>
        <w:t>关键审计事项</w:t>
      </w:r>
    </w:p>
    <w:p>
      <w:pPr>
        <w:pStyle w:val="Style61"/>
        <w:keepNext w:val="0"/>
        <w:keepLines w:val="0"/>
        <w:widowControl w:val="0"/>
        <w:shd w:val="clear" w:color="auto" w:fill="auto"/>
        <w:bidi w:val="0"/>
        <w:spacing w:before="0" w:after="0" w:line="312" w:lineRule="exact"/>
        <w:ind w:left="0" w:right="0"/>
        <w:jc w:val="both"/>
      </w:pPr>
      <w:r>
        <w:rPr>
          <w:color w:val="000000"/>
          <w:spacing w:val="0"/>
          <w:w w:val="100"/>
          <w:position w:val="0"/>
        </w:rPr>
        <w:t>关键审计事项是我们根据职业判断，认为对本期财务报表审计最为重要的事项。这些事 项的应对以对财务报表整体进行审计并形成审计意见为背景，我们不对这些事项单独发表意 见。</w:t>
      </w:r>
    </w:p>
    <w:p>
      <w:pPr>
        <w:pStyle w:val="Style61"/>
        <w:keepNext w:val="0"/>
        <w:keepLines w:val="0"/>
        <w:widowControl w:val="0"/>
        <w:shd w:val="clear" w:color="auto" w:fill="auto"/>
        <w:bidi w:val="0"/>
        <w:spacing w:before="0" w:after="0" w:line="312" w:lineRule="exact"/>
        <w:ind w:left="0" w:right="0"/>
        <w:jc w:val="both"/>
      </w:pPr>
      <w:bookmarkStart w:id="667" w:name="bookmark667"/>
      <w:r>
        <w:rPr>
          <w:color w:val="000000"/>
          <w:spacing w:val="0"/>
          <w:w w:val="100"/>
          <w:position w:val="0"/>
        </w:rPr>
        <w:t>（</w:t>
      </w:r>
      <w:bookmarkEnd w:id="667"/>
      <w:r>
        <w:rPr>
          <w:color w:val="000000"/>
          <w:spacing w:val="0"/>
          <w:w w:val="100"/>
          <w:position w:val="0"/>
        </w:rPr>
        <w:t>一）收入确认</w:t>
      </w:r>
    </w:p>
    <w:p>
      <w:pPr>
        <w:pStyle w:val="Style61"/>
        <w:keepNext w:val="0"/>
        <w:keepLines w:val="0"/>
        <w:widowControl w:val="0"/>
        <w:numPr>
          <w:ilvl w:val="0"/>
          <w:numId w:val="9"/>
        </w:numPr>
        <w:shd w:val="clear" w:color="auto" w:fill="auto"/>
        <w:bidi w:val="0"/>
        <w:spacing w:before="0" w:after="0" w:line="312" w:lineRule="exact"/>
        <w:ind w:left="0" w:right="0"/>
        <w:jc w:val="both"/>
      </w:pPr>
      <w:bookmarkStart w:id="668" w:name="bookmark668"/>
      <w:bookmarkEnd w:id="668"/>
      <w:r>
        <w:rPr>
          <w:color w:val="000000"/>
          <w:spacing w:val="0"/>
          <w:w w:val="100"/>
          <w:position w:val="0"/>
        </w:rPr>
        <w:t>事项描述</w:t>
      </w:r>
    </w:p>
    <w:p>
      <w:pPr>
        <w:pStyle w:val="Style61"/>
        <w:keepNext w:val="0"/>
        <w:keepLines w:val="0"/>
        <w:widowControl w:val="0"/>
        <w:shd w:val="clear" w:color="auto" w:fill="auto"/>
        <w:bidi w:val="0"/>
        <w:spacing w:before="0" w:after="0" w:line="312" w:lineRule="exact"/>
        <w:ind w:left="0" w:right="0"/>
        <w:jc w:val="both"/>
      </w:pPr>
      <w:r>
        <w:rPr>
          <w:color w:val="000000"/>
          <w:spacing w:val="0"/>
          <w:w w:val="100"/>
          <w:position w:val="0"/>
        </w:rPr>
        <w:t>相关信息披露详见财务报表附注三（二十三）及五（二</w:t>
      </w:r>
      <w:r>
        <w:rPr>
          <w:color w:val="000000"/>
          <w:spacing w:val="0"/>
          <w:w w:val="100"/>
          <w:position w:val="0"/>
        </w:rPr>
        <w:t>）1</w:t>
      </w:r>
      <w:r>
        <w:rPr>
          <w:color w:val="000000"/>
          <w:spacing w:val="0"/>
          <w:w w:val="100"/>
          <w:position w:val="0"/>
        </w:rPr>
        <w:t>。</w:t>
      </w:r>
    </w:p>
    <w:p>
      <w:pPr>
        <w:pStyle w:val="Style61"/>
        <w:keepNext w:val="0"/>
        <w:keepLines w:val="0"/>
        <w:widowControl w:val="0"/>
        <w:shd w:val="clear" w:color="auto" w:fill="auto"/>
        <w:bidi w:val="0"/>
        <w:spacing w:before="0" w:after="0" w:line="314" w:lineRule="exact"/>
        <w:ind w:left="0" w:right="0"/>
        <w:jc w:val="both"/>
      </w:pPr>
      <w:r>
        <w:rPr>
          <w:color w:val="000000"/>
          <w:spacing w:val="0"/>
          <w:w w:val="100"/>
          <w:position w:val="0"/>
        </w:rPr>
        <w:t>和仁科技公司</w:t>
      </w:r>
      <w:r>
        <w:rPr>
          <w:color w:val="000000"/>
          <w:spacing w:val="0"/>
          <w:w w:val="100"/>
          <w:position w:val="0"/>
        </w:rPr>
        <w:t>2020</w:t>
      </w:r>
      <w:r>
        <w:rPr>
          <w:color w:val="000000"/>
          <w:spacing w:val="0"/>
          <w:w w:val="100"/>
          <w:position w:val="0"/>
        </w:rPr>
        <w:t>年度合并营业收入为人民币</w:t>
      </w:r>
      <w:r>
        <w:rPr>
          <w:color w:val="000000"/>
          <w:spacing w:val="0"/>
          <w:w w:val="100"/>
          <w:position w:val="0"/>
        </w:rPr>
        <w:t>45,473.83</w:t>
      </w:r>
      <w:r>
        <w:rPr>
          <w:color w:val="000000"/>
          <w:spacing w:val="0"/>
          <w:w w:val="100"/>
          <w:position w:val="0"/>
        </w:rPr>
        <w:t xml:space="preserve">万元，公司的主要经营活动是医 疗信息系统软件及数字化场景应用系统的研发销售、实施集成、服务支持。其中，医疗信息 系统软件的销售与开发属于在某一时点履行的履约义务，在完成履约义务并经客户确认、已 收取款项或者享有现时收款权利时确认收入；数字化场景应用系统的实施属于在某一时段内 履行履约义务，根据投入法按照已交付的产品或已确认的工程量确定履约进度。针对某一时 点履行的履约义务，涉及和仁科技公司管理层（以下简称管理层）需要根据相关依据判断客 户是否已取得商品控制权；针对某一时段内履行履约义务，在确定履约进度时，需要对已经 实际发生的合同成本进行计量，对预计合同总成本进行估计，并在项目执行过程中持续评估 和修订，涉及管理层的重大会计估计和判断。由于营业收入是和仁科技公司关键业绩指标之 </w:t>
      </w:r>
      <w:r>
        <w:rPr>
          <w:color w:val="000000"/>
          <w:spacing w:val="0"/>
          <w:w w:val="100"/>
          <w:position w:val="0"/>
        </w:rPr>
        <w:t>一，可能存在管理层通过不恰当的收入确认以达到特定目标或预期的固有风险。同时，收入 确认涉及重大管理层判断。因此，我们将收入确认确定为关键审计事项。</w:t>
      </w:r>
    </w:p>
    <w:p>
      <w:pPr>
        <w:pStyle w:val="Style61"/>
        <w:keepNext w:val="0"/>
        <w:keepLines w:val="0"/>
        <w:widowControl w:val="0"/>
        <w:numPr>
          <w:ilvl w:val="0"/>
          <w:numId w:val="9"/>
        </w:numPr>
        <w:shd w:val="clear" w:color="auto" w:fill="auto"/>
        <w:bidi w:val="0"/>
        <w:spacing w:before="0" w:after="0" w:line="312" w:lineRule="exact"/>
        <w:ind w:left="0" w:right="0"/>
        <w:jc w:val="both"/>
      </w:pPr>
      <w:bookmarkStart w:id="669" w:name="bookmark669"/>
      <w:bookmarkEnd w:id="669"/>
      <w:r>
        <w:rPr>
          <w:color w:val="000000"/>
          <w:spacing w:val="0"/>
          <w:w w:val="100"/>
          <w:position w:val="0"/>
        </w:rPr>
        <w:t>审计应对</w:t>
      </w:r>
    </w:p>
    <w:p>
      <w:pPr>
        <w:pStyle w:val="Style61"/>
        <w:keepNext w:val="0"/>
        <w:keepLines w:val="0"/>
        <w:widowControl w:val="0"/>
        <w:shd w:val="clear" w:color="auto" w:fill="auto"/>
        <w:bidi w:val="0"/>
        <w:spacing w:before="0" w:after="0"/>
        <w:ind w:left="0" w:right="0"/>
        <w:jc w:val="both"/>
      </w:pPr>
      <w:r>
        <w:rPr>
          <w:color w:val="000000"/>
          <w:spacing w:val="0"/>
          <w:w w:val="100"/>
          <w:position w:val="0"/>
        </w:rPr>
        <w:t>针对收入确认，我们实施的审计程序主要包括：</w:t>
      </w:r>
    </w:p>
    <w:p>
      <w:pPr>
        <w:pStyle w:val="Style61"/>
        <w:keepNext w:val="0"/>
        <w:keepLines w:val="0"/>
        <w:widowControl w:val="0"/>
        <w:numPr>
          <w:ilvl w:val="0"/>
          <w:numId w:val="11"/>
        </w:numPr>
        <w:shd w:val="clear" w:color="auto" w:fill="auto"/>
        <w:tabs>
          <w:tab w:pos="973" w:val="left"/>
        </w:tabs>
        <w:bidi w:val="0"/>
        <w:spacing w:before="0" w:after="0"/>
        <w:ind w:left="0" w:right="0"/>
        <w:jc w:val="both"/>
      </w:pPr>
      <w:bookmarkStart w:id="670" w:name="bookmark670"/>
      <w:bookmarkEnd w:id="670"/>
      <w:r>
        <w:rPr>
          <w:color w:val="000000"/>
          <w:spacing w:val="0"/>
          <w:w w:val="100"/>
          <w:position w:val="0"/>
        </w:rPr>
        <w:t>了解与收入确认相关的关键内部控制，评价这些控制的设计，确定其是否得到执行, 并测试相关内部控制的运行有效性；</w:t>
      </w:r>
    </w:p>
    <w:p>
      <w:pPr>
        <w:pStyle w:val="Style61"/>
        <w:keepNext w:val="0"/>
        <w:keepLines w:val="0"/>
        <w:widowControl w:val="0"/>
        <w:numPr>
          <w:ilvl w:val="0"/>
          <w:numId w:val="11"/>
        </w:numPr>
        <w:shd w:val="clear" w:color="auto" w:fill="auto"/>
        <w:tabs>
          <w:tab w:pos="934" w:val="left"/>
        </w:tabs>
        <w:bidi w:val="0"/>
        <w:spacing w:before="0" w:after="0"/>
        <w:ind w:left="0" w:right="0"/>
        <w:jc w:val="both"/>
      </w:pPr>
      <w:bookmarkStart w:id="671" w:name="bookmark671"/>
      <w:bookmarkEnd w:id="671"/>
      <w:r>
        <w:rPr>
          <w:color w:val="000000"/>
          <w:spacing w:val="0"/>
          <w:w w:val="100"/>
          <w:position w:val="0"/>
        </w:rPr>
        <w:t>检查项目合同，了解主要合同条款或条件，评价收入确认方法是否适当；</w:t>
      </w:r>
    </w:p>
    <w:p>
      <w:pPr>
        <w:pStyle w:val="Style61"/>
        <w:keepNext w:val="0"/>
        <w:keepLines w:val="0"/>
        <w:widowControl w:val="0"/>
        <w:numPr>
          <w:ilvl w:val="0"/>
          <w:numId w:val="11"/>
        </w:numPr>
        <w:shd w:val="clear" w:color="auto" w:fill="auto"/>
        <w:tabs>
          <w:tab w:pos="978" w:val="left"/>
        </w:tabs>
        <w:bidi w:val="0"/>
        <w:spacing w:before="0" w:after="0"/>
        <w:ind w:left="0" w:right="0"/>
        <w:jc w:val="both"/>
      </w:pPr>
      <w:bookmarkStart w:id="672" w:name="bookmark672"/>
      <w:bookmarkEnd w:id="672"/>
      <w:r>
        <w:rPr>
          <w:color w:val="000000"/>
          <w:spacing w:val="0"/>
          <w:w w:val="100"/>
          <w:position w:val="0"/>
        </w:rPr>
        <w:t>以抽样方式检查管理层预计总收入和预计总成本所依据的合同和成本预算资料，评 价管理层所作估计是否合理、依据是否充分；</w:t>
      </w:r>
    </w:p>
    <w:p>
      <w:pPr>
        <w:pStyle w:val="Style61"/>
        <w:keepNext w:val="0"/>
        <w:keepLines w:val="0"/>
        <w:widowControl w:val="0"/>
        <w:numPr>
          <w:ilvl w:val="0"/>
          <w:numId w:val="11"/>
        </w:numPr>
        <w:shd w:val="clear" w:color="auto" w:fill="auto"/>
        <w:tabs>
          <w:tab w:pos="978" w:val="left"/>
        </w:tabs>
        <w:bidi w:val="0"/>
        <w:spacing w:before="0" w:after="0"/>
        <w:ind w:left="0" w:right="0"/>
        <w:jc w:val="both"/>
      </w:pPr>
      <w:bookmarkStart w:id="673" w:name="bookmark673"/>
      <w:bookmarkEnd w:id="673"/>
      <w:r>
        <w:rPr>
          <w:color w:val="000000"/>
          <w:spacing w:val="0"/>
          <w:w w:val="100"/>
          <w:position w:val="0"/>
        </w:rPr>
        <w:t>检查上线确认书、验收报告、签收资料等外部依据；抽样走访项目实施现场，抽样 视频或电话访谈客户，了解项目执行情况；</w:t>
      </w:r>
    </w:p>
    <w:p>
      <w:pPr>
        <w:pStyle w:val="Style61"/>
        <w:keepNext w:val="0"/>
        <w:keepLines w:val="0"/>
        <w:widowControl w:val="0"/>
        <w:numPr>
          <w:ilvl w:val="0"/>
          <w:numId w:val="11"/>
        </w:numPr>
        <w:shd w:val="clear" w:color="auto" w:fill="auto"/>
        <w:tabs>
          <w:tab w:pos="968" w:val="left"/>
        </w:tabs>
        <w:bidi w:val="0"/>
        <w:spacing w:before="0" w:after="0"/>
        <w:ind w:left="0" w:right="0"/>
        <w:jc w:val="both"/>
      </w:pPr>
      <w:bookmarkStart w:id="674" w:name="bookmark674"/>
      <w:bookmarkEnd w:id="674"/>
      <w:r>
        <w:rPr>
          <w:color w:val="000000"/>
          <w:spacing w:val="0"/>
          <w:w w:val="100"/>
          <w:position w:val="0"/>
        </w:rPr>
        <w:t>向主要客户函证合同情况、项目进度、以及材料、构配件、设备等报验清单、开票 收款内容；</w:t>
      </w:r>
    </w:p>
    <w:p>
      <w:pPr>
        <w:pStyle w:val="Style61"/>
        <w:keepNext w:val="0"/>
        <w:keepLines w:val="0"/>
        <w:widowControl w:val="0"/>
        <w:numPr>
          <w:ilvl w:val="0"/>
          <w:numId w:val="11"/>
        </w:numPr>
        <w:shd w:val="clear" w:color="auto" w:fill="auto"/>
        <w:tabs>
          <w:tab w:pos="934" w:val="left"/>
        </w:tabs>
        <w:bidi w:val="0"/>
        <w:spacing w:before="0" w:after="0"/>
        <w:ind w:left="0" w:right="0"/>
        <w:jc w:val="both"/>
      </w:pPr>
      <w:bookmarkStart w:id="675" w:name="bookmark675"/>
      <w:bookmarkEnd w:id="675"/>
      <w:r>
        <w:rPr>
          <w:color w:val="000000"/>
          <w:spacing w:val="0"/>
          <w:w w:val="100"/>
          <w:position w:val="0"/>
        </w:rPr>
        <w:t>复核对履约进度和按照履约进度确认收入的计算是否准确；</w:t>
      </w:r>
    </w:p>
    <w:p>
      <w:pPr>
        <w:pStyle w:val="Style61"/>
        <w:keepNext w:val="0"/>
        <w:keepLines w:val="0"/>
        <w:widowControl w:val="0"/>
        <w:numPr>
          <w:ilvl w:val="0"/>
          <w:numId w:val="11"/>
        </w:numPr>
        <w:shd w:val="clear" w:color="auto" w:fill="auto"/>
        <w:tabs>
          <w:tab w:pos="934" w:val="left"/>
        </w:tabs>
        <w:bidi w:val="0"/>
        <w:spacing w:before="0" w:after="0"/>
        <w:ind w:left="0" w:right="0"/>
        <w:jc w:val="left"/>
      </w:pPr>
      <w:bookmarkStart w:id="676" w:name="bookmark676"/>
      <w:bookmarkEnd w:id="676"/>
      <w:r>
        <w:rPr>
          <w:color w:val="000000"/>
          <w:spacing w:val="0"/>
          <w:w w:val="100"/>
          <w:position w:val="0"/>
        </w:rPr>
        <w:t>检查与营业收入相关的信息是否已在财务报表中作出恰当列报。</w:t>
      </w:r>
    </w:p>
    <w:p>
      <w:pPr>
        <w:pStyle w:val="Style61"/>
        <w:keepNext w:val="0"/>
        <w:keepLines w:val="0"/>
        <w:widowControl w:val="0"/>
        <w:numPr>
          <w:ilvl w:val="0"/>
          <w:numId w:val="13"/>
        </w:numPr>
        <w:shd w:val="clear" w:color="auto" w:fill="auto"/>
        <w:bidi w:val="0"/>
        <w:spacing w:before="0" w:after="0"/>
        <w:ind w:left="0" w:right="0"/>
        <w:jc w:val="both"/>
      </w:pPr>
      <w:bookmarkStart w:id="677" w:name="bookmark677"/>
      <w:bookmarkEnd w:id="677"/>
      <w:r>
        <w:rPr>
          <w:color w:val="000000"/>
          <w:spacing w:val="0"/>
          <w:w w:val="100"/>
          <w:position w:val="0"/>
        </w:rPr>
        <w:t>应收账款及合同资产减值</w:t>
      </w:r>
    </w:p>
    <w:p>
      <w:pPr>
        <w:pStyle w:val="Style61"/>
        <w:keepNext w:val="0"/>
        <w:keepLines w:val="0"/>
        <w:widowControl w:val="0"/>
        <w:numPr>
          <w:ilvl w:val="0"/>
          <w:numId w:val="15"/>
        </w:numPr>
        <w:shd w:val="clear" w:color="auto" w:fill="auto"/>
        <w:tabs>
          <w:tab w:pos="929" w:val="left"/>
        </w:tabs>
        <w:bidi w:val="0"/>
        <w:spacing w:before="0" w:after="0"/>
        <w:ind w:left="0" w:right="0"/>
        <w:jc w:val="both"/>
      </w:pPr>
      <w:bookmarkStart w:id="678" w:name="bookmark678"/>
      <w:bookmarkEnd w:id="678"/>
      <w:r>
        <w:rPr>
          <w:color w:val="000000"/>
          <w:spacing w:val="0"/>
          <w:w w:val="100"/>
          <w:position w:val="0"/>
        </w:rPr>
        <w:t>事项描述</w:t>
      </w:r>
    </w:p>
    <w:p>
      <w:pPr>
        <w:pStyle w:val="Style61"/>
        <w:keepNext w:val="0"/>
        <w:keepLines w:val="0"/>
        <w:widowControl w:val="0"/>
        <w:shd w:val="clear" w:color="auto" w:fill="auto"/>
        <w:bidi w:val="0"/>
        <w:spacing w:before="0" w:after="0"/>
        <w:ind w:left="0" w:right="0"/>
        <w:jc w:val="both"/>
      </w:pPr>
      <w:r>
        <w:rPr>
          <w:color w:val="000000"/>
          <w:spacing w:val="0"/>
          <w:w w:val="100"/>
          <w:position w:val="0"/>
        </w:rPr>
        <w:t>相关信息披露详见财务报表附注三(九)及五(一</w:t>
      </w:r>
      <w:r>
        <w:rPr>
          <w:color w:val="000000"/>
          <w:spacing w:val="0"/>
          <w:w w:val="100"/>
          <w:position w:val="0"/>
        </w:rPr>
        <w:t>)4</w:t>
      </w:r>
      <w:r>
        <w:rPr>
          <w:color w:val="000000"/>
          <w:spacing w:val="0"/>
          <w:w w:val="100"/>
          <w:position w:val="0"/>
        </w:rPr>
        <w:t>、</w:t>
      </w:r>
      <w:r>
        <w:rPr>
          <w:color w:val="000000"/>
          <w:spacing w:val="0"/>
          <w:w w:val="100"/>
          <w:position w:val="0"/>
        </w:rPr>
        <w:t>8</w:t>
      </w:r>
      <w:r>
        <w:rPr>
          <w:color w:val="000000"/>
          <w:spacing w:val="0"/>
          <w:w w:val="100"/>
          <w:position w:val="0"/>
        </w:rPr>
        <w:t>。</w:t>
      </w:r>
    </w:p>
    <w:p>
      <w:pPr>
        <w:pStyle w:val="Style61"/>
        <w:keepNext w:val="0"/>
        <w:keepLines w:val="0"/>
        <w:widowControl w:val="0"/>
        <w:shd w:val="clear" w:color="auto" w:fill="auto"/>
        <w:bidi w:val="0"/>
        <w:spacing w:before="0" w:after="0"/>
        <w:ind w:left="0" w:right="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日，和仁科技公司应收账款账面余额为</w:t>
      </w:r>
      <w:r>
        <w:rPr>
          <w:color w:val="000000"/>
          <w:spacing w:val="0"/>
          <w:w w:val="100"/>
          <w:position w:val="0"/>
        </w:rPr>
        <w:t>31,737.85</w:t>
      </w:r>
      <w:r>
        <w:rPr>
          <w:color w:val="000000"/>
          <w:spacing w:val="0"/>
          <w:w w:val="100"/>
          <w:position w:val="0"/>
        </w:rPr>
        <w:t xml:space="preserve">万元，坏账准备为 </w:t>
      </w:r>
      <w:r>
        <w:rPr>
          <w:color w:val="000000"/>
          <w:spacing w:val="0"/>
          <w:w w:val="100"/>
          <w:position w:val="0"/>
        </w:rPr>
        <w:t>9,735.52</w:t>
      </w:r>
      <w:r>
        <w:rPr>
          <w:color w:val="000000"/>
          <w:spacing w:val="0"/>
          <w:w w:val="100"/>
          <w:position w:val="0"/>
        </w:rPr>
        <w:t>万元，账面价值为</w:t>
      </w:r>
      <w:r>
        <w:rPr>
          <w:color w:val="000000"/>
          <w:spacing w:val="0"/>
          <w:w w:val="100"/>
          <w:position w:val="0"/>
        </w:rPr>
        <w:t>22,002.33</w:t>
      </w:r>
      <w:r>
        <w:rPr>
          <w:color w:val="000000"/>
          <w:spacing w:val="0"/>
          <w:w w:val="100"/>
          <w:position w:val="0"/>
        </w:rPr>
        <w:t>万元，合同资产账面余额为</w:t>
      </w:r>
      <w:r>
        <w:rPr>
          <w:color w:val="000000"/>
          <w:spacing w:val="0"/>
          <w:w w:val="100"/>
          <w:position w:val="0"/>
        </w:rPr>
        <w:t>20,852.59</w:t>
      </w:r>
      <w:r>
        <w:rPr>
          <w:color w:val="000000"/>
          <w:spacing w:val="0"/>
          <w:w w:val="100"/>
          <w:position w:val="0"/>
        </w:rPr>
        <w:t>万元，减值准备 为</w:t>
      </w:r>
      <w:r>
        <w:rPr>
          <w:color w:val="000000"/>
          <w:spacing w:val="0"/>
          <w:w w:val="100"/>
          <w:position w:val="0"/>
        </w:rPr>
        <w:t>1,269.16</w:t>
      </w:r>
      <w:r>
        <w:rPr>
          <w:color w:val="000000"/>
          <w:spacing w:val="0"/>
          <w:w w:val="100"/>
          <w:position w:val="0"/>
        </w:rPr>
        <w:t>万元，账面价值为</w:t>
      </w:r>
      <w:r>
        <w:rPr>
          <w:color w:val="000000"/>
          <w:spacing w:val="0"/>
          <w:w w:val="100"/>
          <w:position w:val="0"/>
        </w:rPr>
        <w:t>19,583.42</w:t>
      </w:r>
      <w:r>
        <w:rPr>
          <w:color w:val="000000"/>
          <w:spacing w:val="0"/>
          <w:w w:val="100"/>
          <w:position w:val="0"/>
        </w:rPr>
        <w:t>万元。</w:t>
      </w:r>
    </w:p>
    <w:p>
      <w:pPr>
        <w:pStyle w:val="Style61"/>
        <w:keepNext w:val="0"/>
        <w:keepLines w:val="0"/>
        <w:widowControl w:val="0"/>
        <w:shd w:val="clear" w:color="auto" w:fill="auto"/>
        <w:bidi w:val="0"/>
        <w:spacing w:before="0" w:after="0"/>
        <w:ind w:left="0" w:right="0"/>
        <w:jc w:val="both"/>
      </w:pPr>
      <w:r>
        <w:rPr>
          <w:color w:val="000000"/>
          <w:spacing w:val="0"/>
          <w:w w:val="100"/>
          <w:position w:val="0"/>
        </w:rPr>
        <w:t>管理层根据各项应收账款及合同资产的信用风险特征，以单项应收账款或应收账款组合 为基础，按照相当于整个存续期内的预期信用损失金额计量其损失准备。对于以组合为基础 计量预期信用损失的应收账款和合同资产，管理层以账龄为依据划分组合，参照历史信用损 失经验，并根据前瞻性估计予以调整，编制应收账款账龄与预期信用损失率对照表，据此确 定应计提的坏账准备或减值准备。</w:t>
      </w:r>
    </w:p>
    <w:p>
      <w:pPr>
        <w:pStyle w:val="Style61"/>
        <w:keepNext w:val="0"/>
        <w:keepLines w:val="0"/>
        <w:widowControl w:val="0"/>
        <w:shd w:val="clear" w:color="auto" w:fill="auto"/>
        <w:bidi w:val="0"/>
        <w:spacing w:before="0" w:after="0"/>
        <w:ind w:left="0" w:right="0"/>
        <w:jc w:val="both"/>
      </w:pPr>
      <w:r>
        <w:rPr>
          <w:color w:val="000000"/>
          <w:spacing w:val="0"/>
          <w:w w:val="100"/>
          <w:position w:val="0"/>
        </w:rPr>
        <w:t>由于应收账款及合同资产金额重大，且应收账款及合同资产减值涉及重大管理层判断， 我们将应收账款及合同资产减值确定为关键审计事项。</w:t>
      </w:r>
    </w:p>
    <w:p>
      <w:pPr>
        <w:pStyle w:val="Style61"/>
        <w:keepNext w:val="0"/>
        <w:keepLines w:val="0"/>
        <w:widowControl w:val="0"/>
        <w:numPr>
          <w:ilvl w:val="0"/>
          <w:numId w:val="15"/>
        </w:numPr>
        <w:shd w:val="clear" w:color="auto" w:fill="auto"/>
        <w:tabs>
          <w:tab w:pos="929" w:val="left"/>
        </w:tabs>
        <w:bidi w:val="0"/>
        <w:spacing w:before="0" w:after="0"/>
        <w:ind w:left="0" w:right="0"/>
        <w:jc w:val="both"/>
      </w:pPr>
      <w:bookmarkStart w:id="679" w:name="bookmark679"/>
      <w:bookmarkEnd w:id="679"/>
      <w:r>
        <w:rPr>
          <w:color w:val="000000"/>
          <w:spacing w:val="0"/>
          <w:w w:val="100"/>
          <w:position w:val="0"/>
        </w:rPr>
        <w:t>审计应对</w:t>
      </w:r>
    </w:p>
    <w:p>
      <w:pPr>
        <w:pStyle w:val="Style61"/>
        <w:keepNext w:val="0"/>
        <w:keepLines w:val="0"/>
        <w:widowControl w:val="0"/>
        <w:shd w:val="clear" w:color="auto" w:fill="auto"/>
        <w:bidi w:val="0"/>
        <w:spacing w:before="0" w:after="0"/>
        <w:ind w:left="0" w:right="0"/>
        <w:jc w:val="both"/>
      </w:pPr>
      <w:r>
        <w:rPr>
          <w:color w:val="000000"/>
          <w:spacing w:val="0"/>
          <w:w w:val="100"/>
          <w:position w:val="0"/>
        </w:rPr>
        <w:t>针对应收账款及合同资产减值，我们实施的审计程序主要包括：</w:t>
      </w:r>
    </w:p>
    <w:p>
      <w:pPr>
        <w:pStyle w:val="Style61"/>
        <w:keepNext w:val="0"/>
        <w:keepLines w:val="0"/>
        <w:widowControl w:val="0"/>
        <w:numPr>
          <w:ilvl w:val="0"/>
          <w:numId w:val="17"/>
        </w:numPr>
        <w:shd w:val="clear" w:color="auto" w:fill="auto"/>
        <w:tabs>
          <w:tab w:pos="973" w:val="left"/>
        </w:tabs>
        <w:bidi w:val="0"/>
        <w:spacing w:before="0" w:after="0"/>
        <w:ind w:left="0" w:right="0"/>
        <w:jc w:val="both"/>
      </w:pPr>
      <w:bookmarkStart w:id="680" w:name="bookmark680"/>
      <w:bookmarkEnd w:id="680"/>
      <w:r>
        <w:rPr>
          <w:color w:val="000000"/>
          <w:spacing w:val="0"/>
          <w:w w:val="100"/>
          <w:position w:val="0"/>
        </w:rPr>
        <w:t>了解与应收账款及合同资产减值相关的关键内部控制，评价这些控制的设计，确定 其是否得到执行，并测试相关内部控制的运行有效性；</w:t>
      </w:r>
    </w:p>
    <w:p>
      <w:pPr>
        <w:pStyle w:val="Style61"/>
        <w:keepNext w:val="0"/>
        <w:keepLines w:val="0"/>
        <w:widowControl w:val="0"/>
        <w:numPr>
          <w:ilvl w:val="0"/>
          <w:numId w:val="17"/>
        </w:numPr>
        <w:shd w:val="clear" w:color="auto" w:fill="auto"/>
        <w:tabs>
          <w:tab w:pos="978" w:val="left"/>
        </w:tabs>
        <w:bidi w:val="0"/>
        <w:spacing w:before="0" w:after="0"/>
        <w:ind w:left="0" w:right="0"/>
        <w:jc w:val="both"/>
      </w:pPr>
      <w:bookmarkStart w:id="681" w:name="bookmark681"/>
      <w:bookmarkEnd w:id="681"/>
      <w:r>
        <w:rPr>
          <w:color w:val="000000"/>
          <w:spacing w:val="0"/>
          <w:w w:val="100"/>
          <w:position w:val="0"/>
        </w:rPr>
        <w:t>复核以前年度已计提坏账准备的应收账款及合同资产的后续实际核销或转回情况， 评价管理层过往预测的准确性；</w:t>
      </w:r>
    </w:p>
    <w:p>
      <w:pPr>
        <w:pStyle w:val="Style61"/>
        <w:keepNext w:val="0"/>
        <w:keepLines w:val="0"/>
        <w:widowControl w:val="0"/>
        <w:numPr>
          <w:ilvl w:val="0"/>
          <w:numId w:val="17"/>
        </w:numPr>
        <w:shd w:val="clear" w:color="auto" w:fill="auto"/>
        <w:tabs>
          <w:tab w:pos="973" w:val="left"/>
        </w:tabs>
        <w:bidi w:val="0"/>
        <w:spacing w:before="0" w:after="0"/>
        <w:ind w:left="0" w:right="0"/>
        <w:jc w:val="both"/>
      </w:pPr>
      <w:bookmarkStart w:id="682" w:name="bookmark682"/>
      <w:bookmarkEnd w:id="682"/>
      <w:r>
        <w:rPr>
          <w:color w:val="000000"/>
          <w:spacing w:val="0"/>
          <w:w w:val="100"/>
          <w:position w:val="0"/>
        </w:rPr>
        <w:t>复核管理层对应收账款及合同资产进行信用风险评估的相关考虑和客观证据，评价 管理层是否恰当识别各项应收账款的信用风险特征；</w:t>
      </w:r>
    </w:p>
    <w:p>
      <w:pPr>
        <w:pStyle w:val="Style61"/>
        <w:keepNext w:val="0"/>
        <w:keepLines w:val="0"/>
        <w:widowControl w:val="0"/>
        <w:numPr>
          <w:ilvl w:val="0"/>
          <w:numId w:val="17"/>
        </w:numPr>
        <w:shd w:val="clear" w:color="auto" w:fill="auto"/>
        <w:tabs>
          <w:tab w:pos="978" w:val="left"/>
        </w:tabs>
        <w:bidi w:val="0"/>
        <w:spacing w:before="0" w:after="0"/>
        <w:ind w:left="0" w:right="0"/>
        <w:jc w:val="both"/>
      </w:pPr>
      <w:bookmarkStart w:id="683" w:name="bookmark683"/>
      <w:bookmarkEnd w:id="683"/>
      <w:r>
        <w:rPr>
          <w:color w:val="000000"/>
          <w:spacing w:val="0"/>
          <w:w w:val="100"/>
          <w:position w:val="0"/>
        </w:rPr>
        <w:t>对于采用组合方式进行减值测试的应收账款及合同资产，评价管理层按信用风险特 征划分组合的合理性；评价管理层根据历史信用损失经验及前瞻性估计确定的应收账款及合 同资产账龄与预期信用损失率对照表的合理性；测试管理层使用数据(包括账龄、历史损失 率等)的准确性和完整性以及对坏账准备的计算是否准确；</w:t>
      </w:r>
    </w:p>
    <w:p>
      <w:pPr>
        <w:pStyle w:val="Style61"/>
        <w:keepNext w:val="0"/>
        <w:keepLines w:val="0"/>
        <w:widowControl w:val="0"/>
        <w:numPr>
          <w:ilvl w:val="0"/>
          <w:numId w:val="17"/>
        </w:numPr>
        <w:shd w:val="clear" w:color="auto" w:fill="auto"/>
        <w:tabs>
          <w:tab w:pos="934" w:val="left"/>
        </w:tabs>
        <w:bidi w:val="0"/>
        <w:spacing w:before="0" w:after="0"/>
        <w:ind w:left="0" w:right="0"/>
        <w:jc w:val="left"/>
      </w:pPr>
      <w:bookmarkStart w:id="684" w:name="bookmark684"/>
      <w:bookmarkEnd w:id="684"/>
      <w:r>
        <w:rPr>
          <w:color w:val="000000"/>
          <w:spacing w:val="0"/>
          <w:w w:val="100"/>
          <w:position w:val="0"/>
        </w:rPr>
        <w:t>检查应收账款的期后回款情况，评价管理层计提应收账款坏账准备的合理性；</w:t>
      </w:r>
    </w:p>
    <w:p>
      <w:pPr>
        <w:pStyle w:val="Style61"/>
        <w:keepNext w:val="0"/>
        <w:keepLines w:val="0"/>
        <w:widowControl w:val="0"/>
        <w:numPr>
          <w:ilvl w:val="0"/>
          <w:numId w:val="17"/>
        </w:numPr>
        <w:shd w:val="clear" w:color="auto" w:fill="auto"/>
        <w:tabs>
          <w:tab w:pos="968" w:val="left"/>
        </w:tabs>
        <w:bidi w:val="0"/>
        <w:spacing w:before="0" w:after="0"/>
        <w:ind w:left="0" w:right="0"/>
        <w:jc w:val="both"/>
      </w:pPr>
      <w:bookmarkStart w:id="685" w:name="bookmark685"/>
      <w:bookmarkEnd w:id="685"/>
      <w:r>
        <w:rPr>
          <w:color w:val="000000"/>
          <w:spacing w:val="0"/>
          <w:w w:val="100"/>
          <w:position w:val="0"/>
        </w:rPr>
        <w:t>向主要客户函证合同内容、项目进度、以及材料、构配件、设备等报验清单、开票 收款等信息，确认应收账款的权利；</w:t>
      </w:r>
    </w:p>
    <w:p>
      <w:pPr>
        <w:pStyle w:val="Style61"/>
        <w:keepNext w:val="0"/>
        <w:keepLines w:val="0"/>
        <w:widowControl w:val="0"/>
        <w:numPr>
          <w:ilvl w:val="0"/>
          <w:numId w:val="17"/>
        </w:numPr>
        <w:shd w:val="clear" w:color="auto" w:fill="auto"/>
        <w:tabs>
          <w:tab w:pos="934" w:val="left"/>
        </w:tabs>
        <w:bidi w:val="0"/>
        <w:spacing w:before="0" w:after="0"/>
        <w:ind w:left="0" w:right="0"/>
        <w:jc w:val="left"/>
      </w:pPr>
      <w:bookmarkStart w:id="686" w:name="bookmark686"/>
      <w:bookmarkEnd w:id="686"/>
      <w:r>
        <w:rPr>
          <w:color w:val="000000"/>
          <w:spacing w:val="0"/>
          <w:w w:val="100"/>
          <w:position w:val="0"/>
        </w:rPr>
        <w:t>访谈部分大额应收账款客户，了解项目决算及付款延迟的原因；</w:t>
      </w:r>
    </w:p>
    <w:p>
      <w:pPr>
        <w:pStyle w:val="Style51"/>
        <w:keepNext w:val="0"/>
        <w:keepLines w:val="0"/>
        <w:widowControl w:val="0"/>
        <w:shd w:val="clear" w:color="auto" w:fill="auto"/>
        <w:bidi w:val="0"/>
        <w:spacing w:before="0" w:after="320" w:line="311" w:lineRule="exact"/>
        <w:ind w:left="0" w:right="0" w:firstLine="480"/>
        <w:jc w:val="both"/>
        <w:rPr>
          <w:sz w:val="22"/>
          <w:szCs w:val="22"/>
        </w:rPr>
      </w:pPr>
      <w:bookmarkStart w:id="687" w:name="bookmark687"/>
      <w:r>
        <w:rPr>
          <w:color w:val="000000"/>
          <w:spacing w:val="0"/>
          <w:w w:val="100"/>
          <w:position w:val="0"/>
          <w:sz w:val="22"/>
          <w:szCs w:val="22"/>
        </w:rPr>
        <w:t>（</w:t>
      </w:r>
      <w:bookmarkEnd w:id="687"/>
      <w:r>
        <w:rPr>
          <w:color w:val="000000"/>
          <w:spacing w:val="0"/>
          <w:w w:val="100"/>
          <w:position w:val="0"/>
          <w:sz w:val="22"/>
          <w:szCs w:val="22"/>
        </w:rPr>
        <w:t>8）</w:t>
      </w:r>
      <w:r>
        <w:rPr>
          <w:color w:val="000000"/>
          <w:spacing w:val="0"/>
          <w:w w:val="100"/>
          <w:position w:val="0"/>
          <w:sz w:val="22"/>
          <w:szCs w:val="22"/>
        </w:rPr>
        <w:t>检查与应收账款及合同资产减值相关的信息是否已在财务报表中作出恰当列报。</w:t>
      </w:r>
    </w:p>
    <w:p>
      <w:pPr>
        <w:pStyle w:val="Style61"/>
        <w:keepNext w:val="0"/>
        <w:keepLines w:val="0"/>
        <w:widowControl w:val="0"/>
        <w:shd w:val="clear" w:color="auto" w:fill="auto"/>
        <w:tabs>
          <w:tab w:pos="1019" w:val="left"/>
        </w:tabs>
        <w:bidi w:val="0"/>
        <w:spacing w:before="0" w:after="0" w:line="311" w:lineRule="exact"/>
        <w:ind w:left="0" w:right="0"/>
        <w:jc w:val="both"/>
        <w:rPr>
          <w:sz w:val="24"/>
          <w:szCs w:val="24"/>
        </w:rPr>
      </w:pPr>
      <w:bookmarkStart w:id="688" w:name="bookmark688"/>
      <w:r>
        <w:rPr>
          <w:b/>
          <w:bCs/>
          <w:color w:val="000000"/>
          <w:spacing w:val="0"/>
          <w:w w:val="100"/>
          <w:position w:val="0"/>
          <w:sz w:val="24"/>
          <w:szCs w:val="24"/>
        </w:rPr>
        <w:t>四</w:t>
      </w:r>
      <w:bookmarkEnd w:id="688"/>
      <w:r>
        <w:rPr>
          <w:b/>
          <w:bCs/>
          <w:color w:val="000000"/>
          <w:spacing w:val="0"/>
          <w:w w:val="100"/>
          <w:position w:val="0"/>
          <w:sz w:val="24"/>
          <w:szCs w:val="24"/>
        </w:rPr>
        <w:t>、</w:t>
        <w:tab/>
        <w:t>其他信息</w:t>
      </w:r>
    </w:p>
    <w:p>
      <w:pPr>
        <w:pStyle w:val="Style61"/>
        <w:keepNext w:val="0"/>
        <w:keepLines w:val="0"/>
        <w:widowControl w:val="0"/>
        <w:shd w:val="clear" w:color="auto" w:fill="auto"/>
        <w:bidi w:val="0"/>
        <w:spacing w:before="0" w:after="0" w:line="311" w:lineRule="exact"/>
        <w:ind w:left="0" w:right="0"/>
        <w:jc w:val="both"/>
      </w:pPr>
      <w:r>
        <w:rPr>
          <w:color w:val="000000"/>
          <w:spacing w:val="0"/>
          <w:w w:val="100"/>
          <w:position w:val="0"/>
        </w:rPr>
        <w:t>管理层对其他信息负责。其他信息包括年度报告中涵盖的信息，但不包括财务报表和我 们的审计报告。</w:t>
      </w:r>
    </w:p>
    <w:p>
      <w:pPr>
        <w:pStyle w:val="Style61"/>
        <w:keepNext w:val="0"/>
        <w:keepLines w:val="0"/>
        <w:widowControl w:val="0"/>
        <w:shd w:val="clear" w:color="auto" w:fill="auto"/>
        <w:bidi w:val="0"/>
        <w:spacing w:before="0" w:after="0" w:line="311" w:lineRule="exact"/>
        <w:ind w:left="0" w:right="0"/>
        <w:jc w:val="both"/>
      </w:pPr>
      <w:r>
        <w:rPr>
          <w:color w:val="000000"/>
          <w:spacing w:val="0"/>
          <w:w w:val="100"/>
          <w:position w:val="0"/>
        </w:rPr>
        <w:t>我们对财务报表发表的审计意见不涵盖其他信息，我们也不对其他信息发表任何形式的 鉴证结论。</w:t>
      </w:r>
    </w:p>
    <w:p>
      <w:pPr>
        <w:pStyle w:val="Style61"/>
        <w:keepNext w:val="0"/>
        <w:keepLines w:val="0"/>
        <w:widowControl w:val="0"/>
        <w:shd w:val="clear" w:color="auto" w:fill="auto"/>
        <w:bidi w:val="0"/>
        <w:spacing w:before="0" w:after="0" w:line="311" w:lineRule="exact"/>
        <w:ind w:left="0" w:right="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61"/>
        <w:keepNext w:val="0"/>
        <w:keepLines w:val="0"/>
        <w:widowControl w:val="0"/>
        <w:shd w:val="clear" w:color="auto" w:fill="auto"/>
        <w:bidi w:val="0"/>
        <w:spacing w:before="0" w:after="320" w:line="311" w:lineRule="exact"/>
        <w:ind w:left="0" w:right="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61"/>
        <w:keepNext w:val="0"/>
        <w:keepLines w:val="0"/>
        <w:widowControl w:val="0"/>
        <w:shd w:val="clear" w:color="auto" w:fill="auto"/>
        <w:tabs>
          <w:tab w:pos="1019" w:val="left"/>
        </w:tabs>
        <w:bidi w:val="0"/>
        <w:spacing w:before="0" w:after="0" w:line="309" w:lineRule="exact"/>
        <w:ind w:left="0" w:right="0"/>
        <w:jc w:val="both"/>
        <w:rPr>
          <w:sz w:val="24"/>
          <w:szCs w:val="24"/>
        </w:rPr>
      </w:pPr>
      <w:bookmarkStart w:id="689" w:name="bookmark689"/>
      <w:r>
        <w:rPr>
          <w:b/>
          <w:bCs/>
          <w:color w:val="000000"/>
          <w:spacing w:val="0"/>
          <w:w w:val="100"/>
          <w:position w:val="0"/>
          <w:sz w:val="24"/>
          <w:szCs w:val="24"/>
        </w:rPr>
        <w:t>五</w:t>
      </w:r>
      <w:bookmarkEnd w:id="689"/>
      <w:r>
        <w:rPr>
          <w:b/>
          <w:bCs/>
          <w:color w:val="000000"/>
          <w:spacing w:val="0"/>
          <w:w w:val="100"/>
          <w:position w:val="0"/>
          <w:sz w:val="24"/>
          <w:szCs w:val="24"/>
        </w:rPr>
        <w:t>、</w:t>
        <w:tab/>
        <w:t>管理层和治理层对财务报表的责任</w:t>
      </w:r>
    </w:p>
    <w:p>
      <w:pPr>
        <w:pStyle w:val="Style61"/>
        <w:keepNext w:val="0"/>
        <w:keepLines w:val="0"/>
        <w:widowControl w:val="0"/>
        <w:shd w:val="clear" w:color="auto" w:fill="auto"/>
        <w:bidi w:val="0"/>
        <w:spacing w:before="0" w:after="0" w:line="309" w:lineRule="exact"/>
        <w:ind w:left="0" w:right="0"/>
        <w:jc w:val="both"/>
      </w:pPr>
      <w:r>
        <w:rPr>
          <w:color w:val="000000"/>
          <w:spacing w:val="0"/>
          <w:w w:val="100"/>
          <w:position w:val="0"/>
        </w:rPr>
        <w:t>管理层负责按照企业会计准则的规定编制财务报表，使其实现公允反映，并设计、执行 和维护必要的内部控制，以使财务报表不存在由于舞弊或错误导致的重大错报。</w:t>
      </w:r>
    </w:p>
    <w:p>
      <w:pPr>
        <w:pStyle w:val="Style61"/>
        <w:keepNext w:val="0"/>
        <w:keepLines w:val="0"/>
        <w:widowControl w:val="0"/>
        <w:shd w:val="clear" w:color="auto" w:fill="auto"/>
        <w:bidi w:val="0"/>
        <w:spacing w:before="0" w:after="0" w:line="309" w:lineRule="exact"/>
        <w:ind w:left="0" w:right="0"/>
        <w:jc w:val="both"/>
      </w:pPr>
      <w:r>
        <w:rPr>
          <w:color w:val="000000"/>
          <w:spacing w:val="0"/>
          <w:w w:val="100"/>
          <w:position w:val="0"/>
        </w:rPr>
        <w:t>在编制财务报表时，管理层负责评估和仁科技公司的持续经营能力，披露与持续经营相 关的事项（如适用），并运用持续经营假设，除非计划进行清算、终止运营或别无其他现实 的选择。</w:t>
      </w:r>
    </w:p>
    <w:p>
      <w:pPr>
        <w:pStyle w:val="Style61"/>
        <w:keepNext w:val="0"/>
        <w:keepLines w:val="0"/>
        <w:widowControl w:val="0"/>
        <w:shd w:val="clear" w:color="auto" w:fill="auto"/>
        <w:bidi w:val="0"/>
        <w:spacing w:before="0" w:after="320" w:line="309" w:lineRule="exact"/>
        <w:ind w:left="0" w:right="0"/>
        <w:jc w:val="both"/>
      </w:pPr>
      <w:r>
        <w:rPr>
          <w:color w:val="000000"/>
          <w:spacing w:val="0"/>
          <w:w w:val="100"/>
          <w:position w:val="0"/>
        </w:rPr>
        <w:t>和仁科技公司治理层（以下简称治理层）负责监督和仁科技公司的财务报告过程。</w:t>
      </w:r>
    </w:p>
    <w:p>
      <w:pPr>
        <w:pStyle w:val="Style61"/>
        <w:keepNext w:val="0"/>
        <w:keepLines w:val="0"/>
        <w:widowControl w:val="0"/>
        <w:shd w:val="clear" w:color="auto" w:fill="auto"/>
        <w:tabs>
          <w:tab w:pos="1019" w:val="left"/>
        </w:tabs>
        <w:bidi w:val="0"/>
        <w:spacing w:before="0" w:after="0" w:line="311" w:lineRule="exact"/>
        <w:ind w:left="0" w:right="0"/>
        <w:jc w:val="both"/>
        <w:rPr>
          <w:sz w:val="24"/>
          <w:szCs w:val="24"/>
        </w:rPr>
      </w:pPr>
      <w:bookmarkStart w:id="690" w:name="bookmark690"/>
      <w:r>
        <w:rPr>
          <w:b/>
          <w:bCs/>
          <w:color w:val="000000"/>
          <w:spacing w:val="0"/>
          <w:w w:val="100"/>
          <w:position w:val="0"/>
          <w:sz w:val="24"/>
          <w:szCs w:val="24"/>
        </w:rPr>
        <w:t>六</w:t>
      </w:r>
      <w:bookmarkEnd w:id="690"/>
      <w:r>
        <w:rPr>
          <w:b/>
          <w:bCs/>
          <w:color w:val="000000"/>
          <w:spacing w:val="0"/>
          <w:w w:val="100"/>
          <w:position w:val="0"/>
          <w:sz w:val="24"/>
          <w:szCs w:val="24"/>
        </w:rPr>
        <w:t>、</w:t>
        <w:tab/>
        <w:t>注册会计师对财务报表审计的责任</w:t>
      </w:r>
    </w:p>
    <w:p>
      <w:pPr>
        <w:pStyle w:val="Style61"/>
        <w:keepNext w:val="0"/>
        <w:keepLines w:val="0"/>
        <w:widowControl w:val="0"/>
        <w:shd w:val="clear" w:color="auto" w:fill="auto"/>
        <w:bidi w:val="0"/>
        <w:spacing w:before="0" w:after="0" w:line="311" w:lineRule="exact"/>
        <w:ind w:left="0" w:right="0"/>
        <w:jc w:val="both"/>
      </w:pPr>
      <w:r>
        <w:rPr>
          <w:color w:val="000000"/>
          <w:spacing w:val="0"/>
          <w:w w:val="100"/>
          <w:position w:val="0"/>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61"/>
        <w:keepNext w:val="0"/>
        <w:keepLines w:val="0"/>
        <w:widowControl w:val="0"/>
        <w:shd w:val="clear" w:color="auto" w:fill="auto"/>
        <w:bidi w:val="0"/>
        <w:spacing w:before="0" w:after="0" w:line="311" w:lineRule="exact"/>
        <w:ind w:left="0" w:right="0"/>
        <w:jc w:val="both"/>
      </w:pPr>
      <w:r>
        <w:rPr>
          <w:color w:val="000000"/>
          <w:spacing w:val="0"/>
          <w:w w:val="100"/>
          <w:position w:val="0"/>
        </w:rPr>
        <w:t>在按照审计准则执行审计工作的过程中，我们运用职业判断，并保持职业怀疑。同时， 我们也执行以下工作：</w:t>
      </w:r>
    </w:p>
    <w:p>
      <w:pPr>
        <w:pStyle w:val="Style61"/>
        <w:keepNext w:val="0"/>
        <w:keepLines w:val="0"/>
        <w:widowControl w:val="0"/>
        <w:shd w:val="clear" w:color="auto" w:fill="auto"/>
        <w:tabs>
          <w:tab w:pos="1098" w:val="left"/>
        </w:tabs>
        <w:bidi w:val="0"/>
        <w:spacing w:before="0" w:after="0" w:line="311" w:lineRule="exact"/>
        <w:ind w:left="0" w:right="0"/>
        <w:jc w:val="both"/>
      </w:pPr>
      <w:bookmarkStart w:id="691" w:name="bookmark691"/>
      <w:r>
        <w:rPr>
          <w:color w:val="000000"/>
          <w:spacing w:val="0"/>
          <w:w w:val="100"/>
          <w:position w:val="0"/>
        </w:rPr>
        <w:t>（</w:t>
      </w:r>
      <w:bookmarkEnd w:id="691"/>
      <w:r>
        <w:rPr>
          <w:color w:val="000000"/>
          <w:spacing w:val="0"/>
          <w:w w:val="100"/>
          <w:position w:val="0"/>
        </w:rPr>
        <w:t>一）</w:t>
        <w:tab/>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61"/>
        <w:keepNext w:val="0"/>
        <w:keepLines w:val="0"/>
        <w:widowControl w:val="0"/>
        <w:shd w:val="clear" w:color="auto" w:fill="auto"/>
        <w:tabs>
          <w:tab w:pos="1088" w:val="left"/>
        </w:tabs>
        <w:bidi w:val="0"/>
        <w:spacing w:before="0" w:after="0" w:line="331" w:lineRule="exact"/>
        <w:ind w:left="0" w:right="0"/>
        <w:jc w:val="both"/>
      </w:pPr>
      <w:bookmarkStart w:id="692" w:name="bookmark692"/>
      <w:r>
        <w:rPr>
          <w:color w:val="000000"/>
          <w:spacing w:val="0"/>
          <w:w w:val="100"/>
          <w:position w:val="0"/>
        </w:rPr>
        <w:t>（</w:t>
      </w:r>
      <w:bookmarkEnd w:id="692"/>
      <w:r>
        <w:rPr>
          <w:color w:val="000000"/>
          <w:spacing w:val="0"/>
          <w:w w:val="100"/>
          <w:position w:val="0"/>
        </w:rPr>
        <w:t>二）</w:t>
        <w:tab/>
        <w:t>了解与审计相关的内部控制，以设计恰当的审计程序，但目的并非对内部控制的有 效性发表意见。</w:t>
      </w:r>
    </w:p>
    <w:p>
      <w:pPr>
        <w:pStyle w:val="Style61"/>
        <w:keepNext w:val="0"/>
        <w:keepLines w:val="0"/>
        <w:widowControl w:val="0"/>
        <w:shd w:val="clear" w:color="auto" w:fill="auto"/>
        <w:tabs>
          <w:tab w:pos="1054" w:val="left"/>
        </w:tabs>
        <w:bidi w:val="0"/>
        <w:spacing w:before="0" w:after="0" w:line="316" w:lineRule="exact"/>
        <w:ind w:left="0" w:right="0"/>
        <w:jc w:val="both"/>
      </w:pPr>
      <w:bookmarkStart w:id="693" w:name="bookmark693"/>
      <w:r>
        <w:rPr>
          <w:color w:val="000000"/>
          <w:spacing w:val="0"/>
          <w:w w:val="100"/>
          <w:position w:val="0"/>
        </w:rPr>
        <w:t>（</w:t>
      </w:r>
      <w:bookmarkEnd w:id="693"/>
      <w:r>
        <w:rPr>
          <w:color w:val="000000"/>
          <w:spacing w:val="0"/>
          <w:w w:val="100"/>
          <w:position w:val="0"/>
        </w:rPr>
        <w:t>三）</w:t>
        <w:tab/>
        <w:t>评价管理层选用会计政策的恰当性和作出会计估计及相关披露的合理性。</w:t>
      </w:r>
    </w:p>
    <w:p>
      <w:pPr>
        <w:pStyle w:val="Style61"/>
        <w:keepNext w:val="0"/>
        <w:keepLines w:val="0"/>
        <w:widowControl w:val="0"/>
        <w:shd w:val="clear" w:color="auto" w:fill="auto"/>
        <w:tabs>
          <w:tab w:pos="1098" w:val="left"/>
        </w:tabs>
        <w:bidi w:val="0"/>
        <w:spacing w:before="0" w:after="0" w:line="316" w:lineRule="exact"/>
        <w:ind w:left="0" w:right="0"/>
        <w:jc w:val="both"/>
      </w:pPr>
      <w:bookmarkStart w:id="694" w:name="bookmark694"/>
      <w:r>
        <w:rPr>
          <w:color w:val="000000"/>
          <w:spacing w:val="0"/>
          <w:w w:val="100"/>
          <w:position w:val="0"/>
        </w:rPr>
        <w:t>（</w:t>
      </w:r>
      <w:bookmarkEnd w:id="694"/>
      <w:r>
        <w:rPr>
          <w:color w:val="000000"/>
          <w:spacing w:val="0"/>
          <w:w w:val="100"/>
          <w:position w:val="0"/>
        </w:rPr>
        <w:t>四）</w:t>
        <w:tab/>
        <w:t>对管理层使用持续经营假设的恰当性得出结论。同时，根据获取的审计证据，就可 能导致对和仁科技公司持续经营能力产生重大疑虑的事项或情况是否存在重大不确定性得出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结论基于截至审计报告日可获得的信息。然而，未来的事项或情况可能导致和仁科技公司不 能持续经营。</w:t>
      </w:r>
    </w:p>
    <w:p>
      <w:pPr>
        <w:pStyle w:val="Style61"/>
        <w:keepNext w:val="0"/>
        <w:keepLines w:val="0"/>
        <w:widowControl w:val="0"/>
        <w:shd w:val="clear" w:color="auto" w:fill="auto"/>
        <w:tabs>
          <w:tab w:pos="1093" w:val="left"/>
        </w:tabs>
        <w:bidi w:val="0"/>
        <w:spacing w:before="0" w:after="0" w:line="316" w:lineRule="exact"/>
        <w:ind w:left="0" w:right="0"/>
        <w:jc w:val="both"/>
      </w:pPr>
      <w:bookmarkStart w:id="695" w:name="bookmark695"/>
      <w:r>
        <w:rPr>
          <w:color w:val="000000"/>
          <w:spacing w:val="0"/>
          <w:w w:val="100"/>
          <w:position w:val="0"/>
        </w:rPr>
        <w:t>（</w:t>
      </w:r>
      <w:bookmarkEnd w:id="695"/>
      <w:r>
        <w:rPr>
          <w:color w:val="000000"/>
          <w:spacing w:val="0"/>
          <w:w w:val="100"/>
          <w:position w:val="0"/>
        </w:rPr>
        <w:t>五）</w:t>
        <w:tab/>
        <w:t>评价财务报表的总体列报、结构和内容，并评价财务报表是否公允反映相关交易和 事项。</w:t>
      </w:r>
    </w:p>
    <w:p>
      <w:pPr>
        <w:pStyle w:val="Style61"/>
        <w:keepNext w:val="0"/>
        <w:keepLines w:val="0"/>
        <w:widowControl w:val="0"/>
        <w:shd w:val="clear" w:color="auto" w:fill="auto"/>
        <w:tabs>
          <w:tab w:pos="574" w:val="left"/>
        </w:tabs>
        <w:bidi w:val="0"/>
        <w:spacing w:before="0" w:after="0" w:line="311" w:lineRule="exact"/>
        <w:ind w:left="0" w:right="0"/>
        <w:jc w:val="both"/>
      </w:pPr>
      <w:bookmarkStart w:id="696" w:name="bookmark696"/>
      <w:r>
        <w:rPr>
          <w:color w:val="000000"/>
          <w:spacing w:val="0"/>
          <w:w w:val="100"/>
          <w:position w:val="0"/>
        </w:rPr>
        <w:t>（</w:t>
      </w:r>
      <w:bookmarkEnd w:id="696"/>
      <w:r>
        <w:rPr>
          <w:color w:val="000000"/>
          <w:spacing w:val="0"/>
          <w:w w:val="100"/>
          <w:position w:val="0"/>
        </w:rPr>
        <w:t>六）</w:t>
        <w:tab/>
        <w:t>就和仁科技公司中实体或业务活动的财务信息获取充分、适当的审计证据，以对财</w:t>
        <w:br w:type="page"/>
      </w:r>
      <w:r>
        <w:rPr>
          <w:color w:val="000000"/>
          <w:spacing w:val="0"/>
          <w:w w:val="100"/>
          <w:position w:val="0"/>
        </w:rPr>
        <w:t>务报表发表审计意见。我们负责指导、监督和执行集团审计，并对审计意见承担全部责任。</w:t>
      </w:r>
    </w:p>
    <w:p>
      <w:pPr>
        <w:pStyle w:val="Style61"/>
        <w:keepNext w:val="0"/>
        <w:keepLines w:val="0"/>
        <w:widowControl w:val="0"/>
        <w:shd w:val="clear" w:color="auto" w:fill="auto"/>
        <w:bidi w:val="0"/>
        <w:spacing w:before="0" w:after="0" w:line="314" w:lineRule="exact"/>
        <w:ind w:left="0" w:right="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61"/>
        <w:keepNext w:val="0"/>
        <w:keepLines w:val="0"/>
        <w:widowControl w:val="0"/>
        <w:shd w:val="clear" w:color="auto" w:fill="auto"/>
        <w:bidi w:val="0"/>
        <w:spacing w:before="0" w:after="0" w:line="314" w:lineRule="exact"/>
        <w:ind w:left="0" w:right="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61"/>
        <w:keepNext w:val="0"/>
        <w:keepLines w:val="0"/>
        <w:widowControl w:val="0"/>
        <w:shd w:val="clear" w:color="auto" w:fill="auto"/>
        <w:bidi w:val="0"/>
        <w:spacing w:before="0" w:after="300" w:line="314" w:lineRule="exact"/>
        <w:ind w:left="0" w:right="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22"/>
        <w:keepNext/>
        <w:keepLines/>
        <w:widowControl w:val="0"/>
        <w:shd w:val="clear" w:color="auto" w:fill="auto"/>
        <w:bidi w:val="0"/>
        <w:spacing w:before="0" w:after="380" w:line="314" w:lineRule="exact"/>
        <w:ind w:left="0" w:right="0" w:firstLine="0"/>
        <w:jc w:val="left"/>
      </w:pPr>
      <w:bookmarkStart w:id="697" w:name="bookmark697"/>
      <w:bookmarkStart w:id="698" w:name="bookmark698"/>
      <w:bookmarkStart w:id="699" w:name="bookmark699"/>
      <w:r>
        <w:rPr>
          <w:color w:val="000000"/>
          <w:spacing w:val="0"/>
          <w:w w:val="100"/>
          <w:position w:val="0"/>
          <w:sz w:val="24"/>
          <w:szCs w:val="24"/>
        </w:rPr>
        <w:t>二、财务报表</w:t>
      </w:r>
      <w:bookmarkEnd w:id="697"/>
      <w:bookmarkEnd w:id="698"/>
      <w:bookmarkEnd w:id="69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after="38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color w:val="000000"/>
          <w:spacing w:val="0"/>
          <w:w w:val="100"/>
          <w:position w:val="0"/>
        </w:rPr>
        <w:t>、合并资产负债表</w:t>
      </w:r>
      <w:bookmarkEnd w:id="700"/>
      <w:bookmarkEnd w:id="701"/>
      <w:bookmarkEnd w:id="703"/>
    </w:p>
    <w:p>
      <w:pPr>
        <w:pStyle w:val="Style26"/>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6374130</wp:posOffset>
                </wp:positionH>
                <wp:positionV relativeFrom="paragraph">
                  <wp:posOffset>431800</wp:posOffset>
                </wp:positionV>
                <wp:extent cx="481330" cy="146050"/>
                <wp:wrapSquare wrapText="bothSides"/>
                <wp:docPr id="21" name="Shape 21"/>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7" type="#_x0000_t202" style="position:absolute;margin-left:501.90000000000003pt;margin-top:34.pt;width:37.899999999999999pt;height:11.5pt;z-index:-125829373;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编制单位：浙江和仁科技股份有限公司</w:t>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7651" w:hSpace="14" w:vSpace="629" w:wrap="notBeside" w:vAnchor="text" w:hAnchor="text" w:x="99" w:y="630"/>
              <w:widowControl w:val="0"/>
              <w:rPr>
                <w:sz w:val="10"/>
                <w:szCs w:val="10"/>
              </w:rPr>
            </w:pPr>
          </w:p>
        </w:tc>
        <w:tc>
          <w:tcPr>
            <w:tcBorders>
              <w:top w:val="single" w:sz="4"/>
              <w:left w:val="single" w:sz="4"/>
              <w:right w:val="single" w:sz="4"/>
            </w:tcBorders>
            <w:shd w:val="clear" w:color="auto" w:fill="D3D3D3"/>
            <w:vAlign w:val="top"/>
          </w:tcPr>
          <w:p>
            <w:pPr>
              <w:framePr w:w="9581" w:h="7651"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440,209,354.52</w:t>
            </w:r>
          </w:p>
        </w:tc>
        <w:tc>
          <w:tcPr>
            <w:tcBorders>
              <w:top w:val="single" w:sz="4"/>
              <w:left w:val="single" w:sz="4"/>
              <w:right w:val="single" w:sz="4"/>
            </w:tcBorders>
            <w:shd w:val="clear" w:color="auto" w:fill="FFFFFF"/>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299,629,587.66</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7651"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651" w:hSpace="14" w:vSpace="629" w:wrap="notBeside" w:vAnchor="text" w:hAnchor="text" w:x="99"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7651"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651"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372,380,000.00</w:t>
            </w:r>
          </w:p>
        </w:tc>
        <w:tc>
          <w:tcPr>
            <w:tcBorders>
              <w:top w:val="single" w:sz="4"/>
              <w:left w:val="single" w:sz="4"/>
              <w:right w:val="single" w:sz="4"/>
            </w:tcBorders>
            <w:shd w:val="clear" w:color="auto" w:fill="FFFFFF"/>
            <w:vAlign w:val="top"/>
          </w:tcPr>
          <w:p>
            <w:pPr>
              <w:framePr w:w="9581" w:h="7651"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7651"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651"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framePr w:w="9581" w:h="7651"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671,420.00</w:t>
            </w:r>
          </w:p>
        </w:tc>
      </w:tr>
      <w:tr>
        <w:trPr>
          <w:trHeight w:val="398"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220,023,307.50</w:t>
            </w:r>
          </w:p>
        </w:tc>
        <w:tc>
          <w:tcPr>
            <w:tcBorders>
              <w:top w:val="single" w:sz="4"/>
              <w:left w:val="single" w:sz="4"/>
              <w:right w:val="single" w:sz="4"/>
            </w:tcBorders>
            <w:shd w:val="clear" w:color="auto" w:fill="FFFFFF"/>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307,633,563.06</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1" w:h="7651"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651"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3,307,143.51</w:t>
            </w:r>
          </w:p>
        </w:tc>
        <w:tc>
          <w:tcPr>
            <w:tcBorders>
              <w:top w:val="single" w:sz="4"/>
              <w:left w:val="single" w:sz="4"/>
              <w:right w:val="single" w:sz="4"/>
            </w:tcBorders>
            <w:shd w:val="clear" w:color="auto" w:fill="FFFFFF"/>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5,931,943.49</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7651"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651" w:hSpace="14" w:vSpace="629" w:wrap="notBeside" w:vAnchor="text" w:hAnchor="text" w:x="99"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7651"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651"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7651"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651"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19,289,775.42</w:t>
            </w:r>
          </w:p>
        </w:tc>
        <w:tc>
          <w:tcPr>
            <w:tcBorders>
              <w:top w:val="single" w:sz="4"/>
              <w:left w:val="single" w:sz="4"/>
              <w:right w:val="single" w:sz="4"/>
            </w:tcBorders>
            <w:shd w:val="clear" w:color="auto" w:fill="FFFFFF"/>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25,512,001.66</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framePr w:w="9581" w:h="7651"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651" w:hSpace="14" w:vSpace="629" w:wrap="notBeside" w:vAnchor="text" w:hAnchor="text" w:x="99"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7651"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651"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7651"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651" w:hSpace="14" w:vSpace="629" w:wrap="notBeside" w:vAnchor="text" w:hAnchor="text" w:x="99"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50,006,256.76</w:t>
            </w:r>
          </w:p>
        </w:tc>
        <w:tc>
          <w:tcPr>
            <w:tcBorders>
              <w:top w:val="single" w:sz="4"/>
              <w:left w:val="single" w:sz="4"/>
              <w:bottom w:val="single" w:sz="4"/>
              <w:right w:val="single" w:sz="4"/>
            </w:tcBorders>
            <w:shd w:val="clear" w:color="auto" w:fill="FFFFFF"/>
            <w:vAlign w:val="center"/>
          </w:tcPr>
          <w:p>
            <w:pPr>
              <w:pStyle w:val="Style2"/>
              <w:keepNext w:val="0"/>
              <w:keepLines w:val="0"/>
              <w:framePr w:w="9581" w:h="7651" w:hSpace="14" w:vSpace="629" w:wrap="notBeside" w:vAnchor="text" w:hAnchor="text" w:x="9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2,812,729.48</w:t>
            </w:r>
          </w:p>
        </w:tc>
      </w:tr>
    </w:tbl>
    <w:p>
      <w:pPr>
        <w:pStyle w:val="Style24"/>
        <w:keepNext w:val="0"/>
        <w:keepLines w:val="0"/>
        <w:framePr w:w="9672" w:h="211" w:hSpace="84" w:wrap="notBeside" w:vAnchor="text" w:hAnchor="text" w:x="85"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195,834,206.56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6,128,905.02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100,864,952.69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1,307,178,949.29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743,056,198.04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20,594,661.25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19,707,261.13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1,798,119.70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66,882,263.12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70,560,652.22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83,703,260.54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85,943,289.73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4,961,441.91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8,210,067.59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10,493,072.54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31,593,011.51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926,638.80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926,638.80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3,143,321.00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4,010,324.92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14,032,445.37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16,582,081.73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255,147,111.09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210,021,440.77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1,562,326,060.38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953,077,638.81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130,109,694.44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80,752,591.67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16,974,086.04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10,455,952.40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132,787,363.66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110,506,365.50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17,371,383.92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69,855,618.15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27,218,196.40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27,617,967.16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9,544,736.53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14,170,479.72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43,842,652.23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60,058,106.33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367,387.50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4,258,949.77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434,922,858.69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320,932,846.70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2,363,931.96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2,363,931.96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437,286,790.65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323,077,126.97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189,929,258.00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117,306,000.00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714,983,018.88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287,620,255.02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37,080,562.50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55,114,837.50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27,354,733.62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29,429,952.10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199,896,285.06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239,036,210.26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1,095,082,733.06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618,277,579.88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29,956,536.67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11,722,931.96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1,125,039,269.73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630,000,511.84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1,562,326,060.38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953,077,638.81</w:t>
            </w:r>
          </w:p>
        </w:tc>
      </w:tr>
    </w:tbl>
    <w:p>
      <w:pPr>
        <w:pStyle w:val="Style3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2" behindDoc="0" locked="0" layoutInCell="1" allowOverlap="1">
                <wp:simplePos x="0" y="0"/>
                <wp:positionH relativeFrom="page">
                  <wp:posOffset>701675</wp:posOffset>
                </wp:positionH>
                <wp:positionV relativeFrom="margin">
                  <wp:posOffset>4230370</wp:posOffset>
                </wp:positionV>
                <wp:extent cx="1054735" cy="149225"/>
                <wp:wrapTopAndBottom/>
                <wp:docPr id="23" name="Shape 2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法定代表人：杨一兵</w:t>
                            </w:r>
                          </w:p>
                        </w:txbxContent>
                      </wps:txbx>
                      <wps:bodyPr wrap="none" lIns="0" tIns="0" rIns="0" bIns="0">
                        <a:noAutoFit/>
                      </wps:bodyPr>
                    </wps:wsp>
                  </a:graphicData>
                </a:graphic>
              </wp:anchor>
            </w:drawing>
          </mc:Choice>
          <mc:Fallback>
            <w:pict>
              <v:shape id="_x0000_s1049" type="#_x0000_t202" style="position:absolute;margin-left:55.25pt;margin-top:333.10000000000002pt;width:83.049999999999997pt;height:11.75pt;z-index:-125829371;mso-wrap-distance-left:9.pt;mso-wrap-distance-top:12.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法定代表人：杨一兵</w:t>
                      </w:r>
                    </w:p>
                  </w:txbxContent>
                </v:textbox>
                <w10:wrap type="topAndBottom" anchorx="page" anchory="margin"/>
              </v:shape>
            </w:pict>
          </mc:Fallback>
        </mc:AlternateContent>
      </w:r>
      <w:r>
        <mc:AlternateContent>
          <mc:Choice Requires="wps">
            <w:drawing>
              <wp:anchor distT="152400" distB="3175" distL="2290445" distR="2516505" simplePos="0" relativeHeight="125829384" behindDoc="0" locked="0" layoutInCell="1" allowOverlap="1">
                <wp:simplePos x="0" y="0"/>
                <wp:positionH relativeFrom="page">
                  <wp:posOffset>2877820</wp:posOffset>
                </wp:positionH>
                <wp:positionV relativeFrom="margin">
                  <wp:posOffset>4230370</wp:posOffset>
                </wp:positionV>
                <wp:extent cx="1508760" cy="146050"/>
                <wp:wrapTopAndBottom/>
                <wp:docPr id="25" name="Shape 2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主管会计工作负责人：张雪峰</w:t>
                            </w:r>
                          </w:p>
                        </w:txbxContent>
                      </wps:txbx>
                      <wps:bodyPr wrap="none" lIns="0" tIns="0" rIns="0" bIns="0">
                        <a:noAutoFit/>
                      </wps:bodyPr>
                    </wps:wsp>
                  </a:graphicData>
                </a:graphic>
              </wp:anchor>
            </w:drawing>
          </mc:Choice>
          <mc:Fallback>
            <w:pict>
              <v:shape id="_x0000_s1051" type="#_x0000_t202" style="position:absolute;margin-left:226.59999999999999pt;margin-top:333.10000000000002pt;width:118.8pt;height:11.5pt;z-index:-125829369;mso-wrap-distance-left:180.34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主管会计工作负责人：张雪峰</w:t>
                      </w:r>
                    </w:p>
                  </w:txbxContent>
                </v:textbox>
                <w10:wrap type="topAndBottom" anchorx="page" anchory="margin"/>
              </v:shape>
            </w:pict>
          </mc:Fallback>
        </mc:AlternateContent>
      </w:r>
      <w:r>
        <mc:AlternateContent>
          <mc:Choice Requires="wps">
            <w:drawing>
              <wp:anchor distT="152400" distB="0" distL="4914900" distR="114300" simplePos="0" relativeHeight="125829386" behindDoc="0" locked="0" layoutInCell="1" allowOverlap="1">
                <wp:simplePos x="0" y="0"/>
                <wp:positionH relativeFrom="page">
                  <wp:posOffset>5502275</wp:posOffset>
                </wp:positionH>
                <wp:positionV relativeFrom="margin">
                  <wp:posOffset>4230370</wp:posOffset>
                </wp:positionV>
                <wp:extent cx="1286510" cy="149225"/>
                <wp:wrapTopAndBottom/>
                <wp:docPr id="27" name="Shape 2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会计机构负责人：刘双双</w:t>
                            </w:r>
                          </w:p>
                        </w:txbxContent>
                      </wps:txbx>
                      <wps:bodyPr wrap="none" lIns="0" tIns="0" rIns="0" bIns="0">
                        <a:noAutoFit/>
                      </wps:bodyPr>
                    </wps:wsp>
                  </a:graphicData>
                </a:graphic>
              </wp:anchor>
            </w:drawing>
          </mc:Choice>
          <mc:Fallback>
            <w:pict>
              <v:shape id="_x0000_s1053" type="#_x0000_t202" style="position:absolute;margin-left:433.25pt;margin-top:333.10000000000002pt;width:101.3pt;height:11.75pt;z-index:-125829367;mso-wrap-distance-left:387.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会计机构负责人：刘双双</w:t>
                      </w:r>
                    </w:p>
                  </w:txbxContent>
                </v:textbox>
                <w10:wrap type="topAndBottom" anchorx="page" anchory="margin"/>
              </v:shape>
            </w:pict>
          </mc:Fallback>
        </mc:AlternateContent>
      </w: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2</w:t>
      </w:r>
      <w:bookmarkEnd w:id="706"/>
      <w:r>
        <w:rPr>
          <w:color w:val="000000"/>
          <w:spacing w:val="0"/>
          <w:w w:val="100"/>
          <w:position w:val="0"/>
        </w:rPr>
        <w:t>、母公司资产负债表</w:t>
      </w:r>
      <w:bookmarkEnd w:id="704"/>
      <w:bookmarkEnd w:id="705"/>
      <w:bookmarkEnd w:id="707"/>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434,536,833.16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280,784,041.81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198,036,223.02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300,564,350.63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2,523,774.95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6,551,397.78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19,342,157.46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29,079,204.44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50,807,609.07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1,647,492.51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194,538,212.56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5,785,722.98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100,543,863.02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1,234,570,533.20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719,841,770.19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20,594,661.25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19,707,261.13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70,071,190.24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42,107,912.94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66,882,263.12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70,560,652.22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82,485,685.82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84,009,544.93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4,961,441.91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6,791,678.70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7,393,164.08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31,593,011.51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3,093,470.22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3,665,982.10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13,486,936.76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16,452,159.16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321,060,339.53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243,896,676.56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1,555,630,872.73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963,738,446.75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130,109,694.44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80,752,591.67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16,974,086.04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10,455,952.40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129,223,798.26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124,961,071.59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17,146,661.77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70,988,123.30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26,317,267.36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24,681,499.57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8,720,637.46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12,712,443.77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43,684,361.32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59,774,503.45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367,387.50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4,206,900.07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430,556,429.72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330,484,724.22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2,175,676.98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1,725,004.72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2,175,676.98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1,725,004.72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432,732,106.70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332,209,728.94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189,929,258.00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117,306,000.00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722,217,861.48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294,307,684.13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37,080,562.50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55,114,837.50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27,354,733.62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29,429,952.10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220,477,475.43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245,599,919.08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1,122,898,766.03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631,528,717.81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1,555,630,872.73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963,738,446.75</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3</w:t>
      </w:r>
      <w:bookmarkEnd w:id="710"/>
      <w:r>
        <w:rPr>
          <w:color w:val="000000"/>
          <w:spacing w:val="0"/>
          <w:w w:val="100"/>
          <w:position w:val="0"/>
        </w:rPr>
        <w:t>、合并利润表</w:t>
      </w:r>
      <w:bookmarkEnd w:id="708"/>
      <w:bookmarkEnd w:id="709"/>
      <w:bookmarkEnd w:id="71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454,738,265.15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440,959,834.78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454,738,265.15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440,959,834.78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396,055,525.62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393,678,674.54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258,912,979.79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240,125,126.91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6,441,334.12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6,175,982.68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32,633,465.36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33,537,624.47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52,923,179.19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63,424,943.14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45,718,691.00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47,355,553.90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-574,123.84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3,059,443.44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2,774,922.24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5,140,040.31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3,547,686.95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2,355,535.58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19,822,464.01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19,544,676.82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3,145,253.84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6,043,200.73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-1,798,119.70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-1,701,880.30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82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-27,991,596.49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-27,566,413.83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-5,786,757.56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47,847,912.96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45,279,873.80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918,634.67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283,128.81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1,119,416.26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1,507,583.77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47,647,131.37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44,055,418.84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5,600,881.35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2,696,720.15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42,046,250.02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41,358,698.69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持续经营净利润（净亏损以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42,046,250.02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41,358,698.69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43,142,792.75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41,234,827.65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42,046,250.02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41,358,698.69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43,142,792.75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41,234,827.65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123,871.04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6"/>
        <w:keepNext w:val="0"/>
        <w:keepLines w:val="0"/>
        <w:widowControl w:val="0"/>
        <w:shd w:val="clear" w:color="auto" w:fill="auto"/>
        <w:tabs>
          <w:tab w:pos="3422" w:val="left"/>
          <w:tab w:pos="7555" w:val="left"/>
        </w:tabs>
        <w:bidi w:val="0"/>
        <w:spacing w:before="0" w:after="380" w:line="240" w:lineRule="auto"/>
        <w:ind w:left="0" w:right="0" w:firstLine="0"/>
        <w:jc w:val="left"/>
      </w:pPr>
      <w:r>
        <w:rPr>
          <w:color w:val="000000"/>
          <w:spacing w:val="0"/>
          <w:w w:val="100"/>
          <w:position w:val="0"/>
        </w:rPr>
        <w:t>法定代表人：杨一兵</w:t>
        <w:tab/>
        <w:t>主管会计工作负责人：张雪峰</w:t>
        <w:tab/>
        <w:t>会计机构负责人：刘双双</w:t>
      </w:r>
    </w:p>
    <w:p>
      <w:pPr>
        <w:pStyle w:val="Style30"/>
        <w:keepNext/>
        <w:keepLines/>
        <w:widowControl w:val="0"/>
        <w:shd w:val="clear" w:color="auto" w:fill="auto"/>
        <w:bidi w:val="0"/>
        <w:spacing w:before="0" w:after="38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4</w:t>
      </w:r>
      <w:bookmarkEnd w:id="714"/>
      <w:r>
        <w:rPr>
          <w:color w:val="000000"/>
          <w:spacing w:val="0"/>
          <w:w w:val="100"/>
          <w:position w:val="0"/>
        </w:rPr>
        <w:t>、母公司利润表</w:t>
      </w:r>
      <w:bookmarkEnd w:id="712"/>
      <w:bookmarkEnd w:id="713"/>
      <w:bookmarkEnd w:id="71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440,245,241.38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419,359,038.13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253,910,518.25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241,947,747.59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6,300,071.96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5,945,164.31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25,665,682.77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24,760,294.39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47,906,984.56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54,775,768.07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38,398,105.21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37,361,047.74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-536,926.41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3,073,511.55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2,774,922.24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5,140,040.31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3,500,166.07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2,331,384.73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19,360,026.19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17,026,106.99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8,125,735.79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6,543,989.76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-1,798,119.70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-1,701,880.30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18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融资产终止确认收益（损失以号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82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公允价值变动收益（损失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-28,768,341.27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-27,962,544.40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-5,719,189.06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-21,576.40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61,575,745.22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47,081,480.43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166,828.63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1,048,544.66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1,604,944.65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60,694,029.19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45,476,935.78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5,499,627.94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1,819,093.68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55,194,401.25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43,657,842.10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（一）持续经营净利润（净亏 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55,194,401.25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43,657,842.10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（二）终止经营净利润（净亏 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55,194,401.25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43,657,842.10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5</w:t>
      </w:r>
      <w:bookmarkEnd w:id="718"/>
      <w:r>
        <w:rPr>
          <w:color w:val="000000"/>
          <w:spacing w:val="0"/>
          <w:w w:val="100"/>
          <w:position w:val="0"/>
        </w:rPr>
        <w:t>、合并现金流量表</w:t>
      </w:r>
      <w:bookmarkEnd w:id="716"/>
      <w:bookmarkEnd w:id="717"/>
      <w:bookmarkEnd w:id="71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324,736,018.89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468,368,308.01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向其他金融机构拆入资金净增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13,150,651.58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15,449,271.13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29,517,406.14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16,216,444.87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367,404,076.61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500,034,024.01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215,644,510.35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219,980,572.82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135,935,765.71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127,445,850.08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41,848,667.60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60,153,361.07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41,537,612.59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51,038,601.71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434,966,556.25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458,618,385.68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-67,562,479.64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41,415,638.33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477,553,500.00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928,000,000.00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5,363,380.89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7,286,027.70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处置固定资产、无形资产和其 他长期资产收回的现金净额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168,803.78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83,426.56</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1,131,863.27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58,828,000.00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541,913,684.67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936,501,317.53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63,451,472.50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17,732,971.88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625,703,500.00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1,081,500,000.00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27,862,824.86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支付其他与投资活动有关的现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70,808,000.00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787,825,797.36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1,099,232,971.88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-245,912,112.69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-162,731,654.35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499,617,592.57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19,553,100.00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2,627,100.00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629,617,592.57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99,553,100.00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105,000,000.00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15,842,697.27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10,634,830.38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5,366,538.00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6,571,520.62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1,364,701.05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102,414,217.89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116,999,531.43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527,203,374.68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-17,446,431.43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213,728,782.35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-138,762,447.45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217,718,253.56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356,480,701.01</w:t>
            </w:r>
          </w:p>
        </w:tc>
      </w:tr>
    </w:tbl>
    <w:p>
      <w:pPr>
        <w:widowControl w:val="0"/>
        <w:spacing w:line="1" w:lineRule="exact"/>
      </w:pPr>
      <w:r>
        <w:br w:type="page"/>
      </w:r>
    </w:p>
    <w:tbl>
      <w:tblPr>
        <w:tblOverlap w:val="never"/>
        <w:jc w:val="center"/>
        <w:tblLayout w:type="fixed"/>
      </w:tblPr>
      <w:tblGrid>
        <w:gridCol w:w="2971"/>
        <w:gridCol w:w="3302"/>
        <w:gridCol w:w="330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431,447,035.91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217,718,253.56</w:t>
            </w:r>
          </w:p>
        </w:tc>
      </w:tr>
    </w:tbl>
    <w:p>
      <w:pPr>
        <w:widowControl w:val="0"/>
        <w:spacing w:after="299" w:line="1" w:lineRule="exact"/>
      </w:pPr>
    </w:p>
    <w:p>
      <w:pPr>
        <w:pStyle w:val="Style30"/>
        <w:keepNext/>
        <w:keepLines/>
        <w:widowControl w:val="0"/>
        <w:shd w:val="clear" w:color="auto" w:fill="auto"/>
        <w:bidi w:val="0"/>
        <w:spacing w:before="0" w:after="40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6</w:t>
      </w:r>
      <w:bookmarkEnd w:id="722"/>
      <w:r>
        <w:rPr>
          <w:color w:val="000000"/>
          <w:spacing w:val="0"/>
          <w:w w:val="100"/>
          <w:position w:val="0"/>
        </w:rPr>
        <w:t>、母公司现金流量表</w:t>
      </w:r>
      <w:bookmarkEnd w:id="720"/>
      <w:bookmarkEnd w:id="721"/>
      <w:bookmarkEnd w:id="72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313,486,526.19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439,527,303.96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12,893,774.01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14,616,263.05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28,456,948.42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13,903,663.99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354,837,248.62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468,047,231.00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227,745,085.76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214,836,684.40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118,186,115.88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102,016,423.29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39,790,837.76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57,541,904.99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36,678,565.06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42,609,009.72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422,400,604.46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417,004,022.40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-67,563,355.84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51,043,208.60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454,431,318.54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889,000,000.00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13,109,036.95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7,045,870.06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163,253.78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73,676.56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59,086,275.31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526,789,884.58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904,869,546.62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63,233,570.72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16,725,257.64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642,870,100.00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1,049,103,000.00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取得子公司及其他营业单位支 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58,933,000.00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7,920,000.00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765,036,670.72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1,073,748,257.64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-238,246,786.14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-168,878,711.02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499,617,592.57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16,926,000.00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629,617,592.57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96,926,000.00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105,000,000.00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10,476,159.27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10,634,830.38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6,429,484.48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1,364,701.05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96,905,643.75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116,999,531.43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532,711,948.82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-20,073,531.43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226,901,806.84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-137,909,033.85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198,872,707.71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336,781,741.56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425,774,514.55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198,872,707.71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7</w:t>
      </w:r>
      <w:bookmarkEnd w:id="726"/>
      <w:r>
        <w:rPr>
          <w:color w:val="000000"/>
          <w:spacing w:val="0"/>
          <w:w w:val="100"/>
          <w:position w:val="0"/>
        </w:rPr>
        <w:t>、合并所有者权益变动表</w:t>
      </w:r>
      <w:bookmarkEnd w:id="724"/>
      <w:bookmarkEnd w:id="725"/>
      <w:bookmarkEnd w:id="72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1334"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val="restart"/>
            <w:tcBorders>
              <w:top w:val="single" w:sz="4"/>
              <w:lef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0,511.</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7,800.</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2,459.</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0,255.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55,114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8,409.</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5,120.</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551,48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2,763.</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4,275.</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7,612.</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18,838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573,55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42,046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474,78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2,725.</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518,52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6,160.</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518,52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470,45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9,609.</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551.25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2,725.</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16,629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16,629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4,917.</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25,443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24,896</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3,018.</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082,73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1"/>
        <w:gridCol w:w="643"/>
        <w:gridCol w:w="73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99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少数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所有 者权 益合</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739"/>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403"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top"/>
          </w:tcPr>
          <w:p>
            <w:pPr/>
          </w:p>
        </w:tc>
        <w:tc>
          <w:tcPr>
            <w:vMerge w:val="restart"/>
            <w:tcBorders>
              <w:top w:val="single" w:sz="4"/>
              <w:lef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FFFFFF"/>
            <w:vAlign w:val="top"/>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7,831.</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557,829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both"/>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7,831.</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557,829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,823.17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71,086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688.67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（一）综合收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698.69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39,658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,423.2</w:t>
            </w:r>
          </w:p>
          <w:p>
            <w:pPr>
              <w:pStyle w:val="Style2"/>
              <w:keepNext w:val="0"/>
              <w:keepLines w:val="0"/>
              <w:widowControl w:val="0"/>
              <w:shd w:val="clear" w:color="auto" w:fill="auto"/>
              <w:bidi w:val="0"/>
              <w:spacing w:before="0" w:after="10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35,908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548.22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16,226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21,516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w:t>
            </w:r>
          </w:p>
          <w:p>
            <w:pPr>
              <w:pStyle w:val="Style2"/>
              <w:keepNext w:val="0"/>
              <w:keepLines w:val="0"/>
              <w:widowControl w:val="0"/>
              <w:shd w:val="clear" w:color="auto" w:fill="auto"/>
              <w:bidi w:val="0"/>
              <w:spacing w:before="0" w:after="10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21,516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199.47</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248.75</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745.94</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0,255.</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55,114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,511.84</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8</w:t>
      </w:r>
      <w:bookmarkEnd w:id="730"/>
      <w:r>
        <w:rPr>
          <w:color w:val="000000"/>
          <w:spacing w:val="0"/>
          <w:w w:val="100"/>
          <w:position w:val="0"/>
        </w:rPr>
        <w:t>、母公司所有者权益变动表</w:t>
      </w:r>
      <w:bookmarkEnd w:id="728"/>
      <w:bookmarkEnd w:id="729"/>
      <w:bookmarkEnd w:id="731"/>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64"/>
        <w:gridCol w:w="9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资本公</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未分配</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益合计</w:t>
            </w:r>
          </w:p>
        </w:tc>
        <w:tc>
          <w:tcPr>
            <w:vMerge w:val="restart"/>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294,307,</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29,429,9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245,59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w:t>
            </w:r>
          </w:p>
        </w:tc>
        <w:tc>
          <w:tcPr>
            <w:tcBorders>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-75,946,58</w:t>
            </w:r>
          </w:p>
        </w:tc>
        <w:tc>
          <w:tcPr>
            <w:tcBorders>
              <w:lef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58.61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294,307,</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21,835,2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177,24</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7,991.6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w:t>
            </w:r>
          </w:p>
        </w:tc>
        <w:tc>
          <w:tcPr>
            <w:tcBorders>
              <w:left w:val="single" w:sz="4"/>
            </w:tcBorders>
            <w:shd w:val="clear" w:color="auto" w:fill="FFFFFF"/>
            <w:vAlign w:val="top"/>
          </w:tcPr>
          <w:p>
            <w:pPr>
              <w:widowControl w:val="0"/>
              <w:rPr>
                <w:sz w:val="10"/>
                <w:szCs w:val="10"/>
              </w:rPr>
            </w:pPr>
          </w:p>
        </w:tc>
      </w:tr>
      <w:tr>
        <w:trPr>
          <w:trHeight w:val="53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427,910,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567,316,6</w:t>
            </w:r>
          </w:p>
        </w:tc>
        <w:tc>
          <w:tcPr>
            <w:tcBorders>
              <w:left w:val="single" w:sz="4"/>
            </w:tcBorders>
            <w:shd w:val="clear" w:color="auto" w:fill="FFFFFF"/>
            <w:vAlign w:val="top"/>
          </w:tcPr>
          <w:p>
            <w:pPr>
              <w:widowControl w:val="0"/>
              <w:rPr>
                <w:sz w:val="10"/>
                <w:szCs w:val="10"/>
              </w:rPr>
            </w:pPr>
          </w:p>
        </w:tc>
      </w:tr>
      <w:tr>
        <w:trPr>
          <w:trHeight w:val="49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177.35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w:t>
            </w:r>
          </w:p>
        </w:tc>
        <w:tc>
          <w:tcPr>
            <w:tcBorders>
              <w:lef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55,194,40</w:t>
            </w:r>
          </w:p>
        </w:tc>
        <w:tc>
          <w:tcPr>
            <w:tcBorders>
              <w:lef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518,526,1</w:t>
            </w:r>
          </w:p>
        </w:tc>
        <w:tc>
          <w:tcPr>
            <w:tcBorders>
              <w:lef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377.35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725.00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60.35</w:t>
            </w:r>
          </w:p>
        </w:tc>
        <w:tc>
          <w:tcPr>
            <w:tcBorders>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496,319,6</w:t>
            </w:r>
          </w:p>
        </w:tc>
        <w:tc>
          <w:tcPr>
            <w:tcBorders>
              <w:lef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051.10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09.10</w:t>
            </w:r>
          </w:p>
        </w:tc>
        <w:tc>
          <w:tcPr>
            <w:tcBorders>
              <w:lef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5,577,55</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-1,248,2</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-17,992,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5,519,44</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-11,964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4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440.13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722,217,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37,080,5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1,122,898,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101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288,165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50,892,3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25,064,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212,592,1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558,019,23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288,165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212,592,1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558,019,23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6,142,4</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4,222,53</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4,365,7</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33,007,80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73,509,478.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43,657,84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43,657,842.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39,658,</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4,449,97</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35,908,448.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16,226,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21,516,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21,516,199.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1,916,2</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14,392,248.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-227,43</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4,365,7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4,365,7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-227,43</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-6,284,24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-33,516,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-33,516,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631,528,71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r>
    </w:tbl>
    <w:p>
      <w:pPr>
        <w:widowControl w:val="0"/>
        <w:spacing w:after="279" w:line="1" w:lineRule="exact"/>
      </w:pPr>
    </w:p>
    <w:p>
      <w:pPr>
        <w:pStyle w:val="Style22"/>
        <w:keepNext/>
        <w:keepLines/>
        <w:widowControl w:val="0"/>
        <w:shd w:val="clear" w:color="auto" w:fill="auto"/>
        <w:bidi w:val="0"/>
        <w:spacing w:before="0" w:after="280" w:line="240" w:lineRule="auto"/>
        <w:ind w:left="0" w:right="0" w:firstLine="0"/>
        <w:jc w:val="left"/>
      </w:pPr>
      <w:bookmarkStart w:id="732" w:name="bookmark732"/>
      <w:bookmarkStart w:id="733" w:name="bookmark733"/>
      <w:bookmarkStart w:id="734" w:name="bookmark734"/>
      <w:r>
        <w:rPr>
          <w:color w:val="000000"/>
          <w:spacing w:val="0"/>
          <w:w w:val="100"/>
          <w:position w:val="0"/>
          <w:sz w:val="24"/>
          <w:szCs w:val="24"/>
        </w:rPr>
        <w:t>三、公司基本情况</w:t>
      </w:r>
      <w:bookmarkEnd w:id="732"/>
      <w:bookmarkEnd w:id="733"/>
      <w:bookmarkEnd w:id="734"/>
    </w:p>
    <w:p>
      <w:pPr>
        <w:pStyle w:val="Style26"/>
        <w:keepNext w:val="0"/>
        <w:keepLines w:val="0"/>
        <w:widowControl w:val="0"/>
        <w:shd w:val="clear" w:color="auto" w:fill="auto"/>
        <w:bidi w:val="0"/>
        <w:spacing w:before="0" w:after="0" w:line="316" w:lineRule="exact"/>
        <w:ind w:left="0" w:right="0"/>
        <w:jc w:val="left"/>
      </w:pPr>
      <w:r>
        <w:rPr>
          <w:color w:val="000000"/>
          <w:spacing w:val="0"/>
          <w:w w:val="100"/>
          <w:position w:val="0"/>
        </w:rPr>
        <w:t xml:space="preserve">浙江和仁科技股份有限公司（以下简称公司或本公司）系由浙江和仁科技有限公司整体变更设立的股份有限公司，于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日在杭州市工商局高新区（滨江）分局登记注册，总部位于浙江省杭州市。公司现持有统一社会信用代码 为</w:t>
      </w:r>
      <w:r>
        <w:rPr>
          <w:rFonts w:ascii="Times New Roman" w:eastAsia="Times New Roman" w:hAnsi="Times New Roman" w:cs="Times New Roman"/>
          <w:color w:val="000000"/>
          <w:spacing w:val="0"/>
          <w:w w:val="100"/>
          <w:position w:val="0"/>
          <w:sz w:val="18"/>
          <w:szCs w:val="18"/>
        </w:rPr>
        <w:t>91330100563023775L</w:t>
      </w:r>
      <w:r>
        <w:rPr>
          <w:color w:val="000000"/>
          <w:spacing w:val="0"/>
          <w:w w:val="100"/>
          <w:position w:val="0"/>
        </w:rPr>
        <w:t>的营业执照，注册资本</w:t>
      </w:r>
      <w:r>
        <w:rPr>
          <w:rFonts w:ascii="Times New Roman" w:eastAsia="Times New Roman" w:hAnsi="Times New Roman" w:cs="Times New Roman"/>
          <w:color w:val="000000"/>
          <w:spacing w:val="0"/>
          <w:w w:val="100"/>
          <w:position w:val="0"/>
          <w:sz w:val="18"/>
          <w:szCs w:val="18"/>
        </w:rPr>
        <w:t>189,929,258.00</w:t>
      </w:r>
      <w:r>
        <w:rPr>
          <w:color w:val="000000"/>
          <w:spacing w:val="0"/>
          <w:w w:val="100"/>
          <w:position w:val="0"/>
        </w:rPr>
        <w:t>元，股份总数</w:t>
      </w:r>
      <w:r>
        <w:rPr>
          <w:rFonts w:ascii="Times New Roman" w:eastAsia="Times New Roman" w:hAnsi="Times New Roman" w:cs="Times New Roman"/>
          <w:color w:val="000000"/>
          <w:spacing w:val="0"/>
          <w:w w:val="100"/>
          <w:position w:val="0"/>
          <w:sz w:val="18"/>
          <w:szCs w:val="18"/>
        </w:rPr>
        <w:t>189,929,258</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元）。其中，有限 售条件的流通股份：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30,339,583</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159,589,675</w:t>
      </w:r>
      <w:r>
        <w:rPr>
          <w:color w:val="000000"/>
          <w:spacing w:val="0"/>
          <w:w w:val="100"/>
          <w:position w:val="0"/>
        </w:rPr>
        <w:t>股。公司股票已于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 深圳证券交易所挂牌交易。</w:t>
      </w:r>
    </w:p>
    <w:p>
      <w:pPr>
        <w:pStyle w:val="Style26"/>
        <w:keepNext w:val="0"/>
        <w:keepLines w:val="0"/>
        <w:widowControl w:val="0"/>
        <w:shd w:val="clear" w:color="auto" w:fill="auto"/>
        <w:bidi w:val="0"/>
        <w:spacing w:before="0" w:after="0" w:line="317" w:lineRule="exact"/>
        <w:ind w:left="0" w:right="0"/>
        <w:jc w:val="left"/>
      </w:pPr>
      <w:r>
        <w:rPr>
          <w:color w:val="000000"/>
          <w:spacing w:val="0"/>
          <w:w w:val="100"/>
          <w:position w:val="0"/>
        </w:rPr>
        <w:t>本公司属软件与信息服务行业。公司主要经营活动是医疗机构的医疗信息系统及数字化场景应用系统的研发销售、实施 集成、服务支持。主要产品或提供的劳务：医疗信息系统的相关产品及开发与服务、数字化场景应用系统的实施。</w:t>
      </w:r>
    </w:p>
    <w:p>
      <w:pPr>
        <w:pStyle w:val="Style26"/>
        <w:keepNext w:val="0"/>
        <w:keepLines w:val="0"/>
        <w:widowControl w:val="0"/>
        <w:shd w:val="clear" w:color="auto" w:fill="auto"/>
        <w:bidi w:val="0"/>
        <w:spacing w:before="0" w:after="0" w:line="316" w:lineRule="exact"/>
        <w:ind w:left="0" w:right="0"/>
        <w:jc w:val="left"/>
      </w:pPr>
      <w:r>
        <w:rPr>
          <w:color w:val="000000"/>
          <w:spacing w:val="0"/>
          <w:w w:val="100"/>
          <w:position w:val="0"/>
        </w:rPr>
        <w:t>本财务报表业经公司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日三届十三次董事会批准对外报出。</w:t>
      </w:r>
    </w:p>
    <w:p>
      <w:pPr>
        <w:pStyle w:val="Style26"/>
        <w:keepNext w:val="0"/>
        <w:keepLines w:val="0"/>
        <w:widowControl w:val="0"/>
        <w:shd w:val="clear" w:color="auto" w:fill="auto"/>
        <w:bidi w:val="0"/>
        <w:spacing w:before="0" w:after="360" w:line="312" w:lineRule="exact"/>
        <w:ind w:left="0" w:right="0"/>
        <w:jc w:val="left"/>
      </w:pPr>
      <w:r>
        <w:rPr>
          <w:color w:val="000000"/>
          <w:spacing w:val="0"/>
          <w:w w:val="100"/>
          <w:position w:val="0"/>
        </w:rPr>
        <w:t>本公司将湖南和仁湘雅数字医疗技术有限公司、和仁（天津）科技有限公司、赣州和仁信息服务有限公司、西安和仁汇 达信息科技有限公司、江苏和仁泰颐智能科技有限公司、杭州云医健康服务有限公司、中锦（天津）商业保理有限公司（以 下分别简称和仁湘雅公司、天津和仁公司、赣州和仁公司、西安和仁公司、江苏和仁公司、杭州云医公司、中锦保理公司） 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家子公司纳入报告期合并财务报表范围，情况详见本财务报表附注六和七之说明。</w:t>
      </w:r>
    </w:p>
    <w:p>
      <w:pPr>
        <w:pStyle w:val="Style22"/>
        <w:keepNext/>
        <w:keepLines/>
        <w:widowControl w:val="0"/>
        <w:shd w:val="clear" w:color="auto" w:fill="auto"/>
        <w:bidi w:val="0"/>
        <w:spacing w:before="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sz w:val="24"/>
          <w:szCs w:val="24"/>
        </w:rPr>
        <w:t>四</w:t>
      </w:r>
      <w:bookmarkEnd w:id="737"/>
      <w:r>
        <w:rPr>
          <w:color w:val="000000"/>
          <w:spacing w:val="0"/>
          <w:w w:val="100"/>
          <w:position w:val="0"/>
          <w:sz w:val="24"/>
          <w:szCs w:val="24"/>
        </w:rPr>
        <w:t>、财务报表的编制基础</w:t>
      </w:r>
      <w:bookmarkEnd w:id="735"/>
      <w:bookmarkEnd w:id="736"/>
      <w:bookmarkEnd w:id="738"/>
    </w:p>
    <w:p>
      <w:pPr>
        <w:pStyle w:val="Style30"/>
        <w:keepNext/>
        <w:keepLines/>
        <w:widowControl w:val="0"/>
        <w:shd w:val="clear" w:color="auto" w:fill="auto"/>
        <w:tabs>
          <w:tab w:pos="368" w:val="left"/>
        </w:tabs>
        <w:bidi w:val="0"/>
        <w:spacing w:before="0" w:after="28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color w:val="000000"/>
          <w:spacing w:val="0"/>
          <w:w w:val="100"/>
          <w:position w:val="0"/>
        </w:rPr>
        <w:t>、</w:t>
        <w:tab/>
        <w:t>编制基础</w:t>
      </w:r>
      <w:bookmarkEnd w:id="739"/>
      <w:bookmarkEnd w:id="740"/>
      <w:bookmarkEnd w:id="742"/>
    </w:p>
    <w:p>
      <w:pPr>
        <w:pStyle w:val="Style26"/>
        <w:keepNext w:val="0"/>
        <w:keepLines w:val="0"/>
        <w:widowControl w:val="0"/>
        <w:shd w:val="clear" w:color="auto" w:fill="auto"/>
        <w:bidi w:val="0"/>
        <w:spacing w:before="0" w:after="360" w:line="316" w:lineRule="exact"/>
        <w:ind w:left="0" w:right="0"/>
        <w:jc w:val="both"/>
      </w:pPr>
      <w:r>
        <w:rPr>
          <w:color w:val="000000"/>
          <w:spacing w:val="0"/>
          <w:w w:val="100"/>
          <w:position w:val="0"/>
        </w:rPr>
        <w:t>本公司财务报表以持续经营为编制基础。</w:t>
      </w:r>
    </w:p>
    <w:p>
      <w:pPr>
        <w:pStyle w:val="Style30"/>
        <w:keepNext/>
        <w:keepLines/>
        <w:widowControl w:val="0"/>
        <w:shd w:val="clear" w:color="auto" w:fill="auto"/>
        <w:tabs>
          <w:tab w:pos="378" w:val="left"/>
        </w:tabs>
        <w:bidi w:val="0"/>
        <w:spacing w:before="0" w:after="28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2</w:t>
      </w:r>
      <w:bookmarkEnd w:id="745"/>
      <w:r>
        <w:rPr>
          <w:color w:val="000000"/>
          <w:spacing w:val="0"/>
          <w:w w:val="100"/>
          <w:position w:val="0"/>
        </w:rPr>
        <w:t>、</w:t>
        <w:tab/>
        <w:t>持续经营</w:t>
      </w:r>
      <w:bookmarkEnd w:id="743"/>
      <w:bookmarkEnd w:id="744"/>
      <w:bookmarkEnd w:id="746"/>
    </w:p>
    <w:p>
      <w:pPr>
        <w:pStyle w:val="Style26"/>
        <w:keepNext w:val="0"/>
        <w:keepLines w:val="0"/>
        <w:widowControl w:val="0"/>
        <w:shd w:val="clear" w:color="auto" w:fill="auto"/>
        <w:bidi w:val="0"/>
        <w:spacing w:before="0" w:after="280" w:line="316" w:lineRule="exact"/>
        <w:ind w:left="0" w:right="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个月内的持续经营能力产生重大疑虑的事项或情况。</w:t>
      </w:r>
    </w:p>
    <w:p>
      <w:pPr>
        <w:pStyle w:val="Style22"/>
        <w:keepNext/>
        <w:keepLines/>
        <w:widowControl w:val="0"/>
        <w:shd w:val="clear" w:color="auto" w:fill="auto"/>
        <w:bidi w:val="0"/>
        <w:spacing w:before="0" w:after="260" w:line="240" w:lineRule="auto"/>
        <w:ind w:left="0" w:right="0" w:firstLine="0"/>
        <w:jc w:val="left"/>
      </w:pPr>
      <w:bookmarkStart w:id="747" w:name="bookmark747"/>
      <w:bookmarkStart w:id="748" w:name="bookmark748"/>
      <w:bookmarkStart w:id="749" w:name="bookmark749"/>
      <w:bookmarkStart w:id="750" w:name="bookmark750"/>
      <w:r>
        <w:rPr>
          <w:color w:val="000000"/>
          <w:spacing w:val="0"/>
          <w:w w:val="100"/>
          <w:position w:val="0"/>
          <w:sz w:val="24"/>
          <w:szCs w:val="24"/>
        </w:rPr>
        <w:t>五</w:t>
      </w:r>
      <w:bookmarkEnd w:id="749"/>
      <w:r>
        <w:rPr>
          <w:color w:val="000000"/>
          <w:spacing w:val="0"/>
          <w:w w:val="100"/>
          <w:position w:val="0"/>
          <w:sz w:val="24"/>
          <w:szCs w:val="24"/>
        </w:rPr>
        <w:t>、重要会计政策及会计估计</w:t>
      </w:r>
      <w:bookmarkEnd w:id="747"/>
      <w:bookmarkEnd w:id="748"/>
      <w:bookmarkEnd w:id="750"/>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具体会计政策和会计估计提示：</w:t>
      </w:r>
    </w:p>
    <w:p>
      <w:pPr>
        <w:pStyle w:val="Style26"/>
        <w:keepNext w:val="0"/>
        <w:keepLines w:val="0"/>
        <w:widowControl w:val="0"/>
        <w:shd w:val="clear" w:color="auto" w:fill="auto"/>
        <w:bidi w:val="0"/>
        <w:spacing w:before="0" w:after="360" w:line="322" w:lineRule="exact"/>
        <w:ind w:left="0" w:right="0"/>
        <w:jc w:val="both"/>
      </w:pPr>
      <w:r>
        <w:rPr>
          <w:color w:val="000000"/>
          <w:spacing w:val="0"/>
          <w:w w:val="100"/>
          <w:position w:val="0"/>
        </w:rPr>
        <w:t>本公司根据实际生产经营特点针对金融工具减值、无形资产摊销、收入确认等交易或事项制定了具体会计政策和会计估 计</w:t>
      </w:r>
    </w:p>
    <w:p>
      <w:pPr>
        <w:pStyle w:val="Style30"/>
        <w:keepNext/>
        <w:keepLines/>
        <w:widowControl w:val="0"/>
        <w:shd w:val="clear" w:color="auto" w:fill="auto"/>
        <w:bidi w:val="0"/>
        <w:spacing w:before="0" w:after="200" w:line="326"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1</w:t>
      </w:r>
      <w:bookmarkEnd w:id="753"/>
      <w:r>
        <w:rPr>
          <w:color w:val="000000"/>
          <w:spacing w:val="0"/>
          <w:w w:val="100"/>
          <w:position w:val="0"/>
        </w:rPr>
        <w:t>、遵循企业会计准则的声明</w:t>
      </w:r>
      <w:bookmarkEnd w:id="751"/>
      <w:bookmarkEnd w:id="752"/>
      <w:bookmarkEnd w:id="754"/>
    </w:p>
    <w:p>
      <w:pPr>
        <w:pStyle w:val="Style51"/>
        <w:keepNext w:val="0"/>
        <w:keepLines w:val="0"/>
        <w:widowControl w:val="0"/>
        <w:shd w:val="clear" w:color="auto" w:fill="auto"/>
        <w:bidi w:val="0"/>
        <w:spacing w:before="0" w:after="680" w:line="312" w:lineRule="exact"/>
        <w:ind w:left="0" w:right="0" w:firstLine="0"/>
        <w:jc w:val="left"/>
      </w:pPr>
      <w:r>
        <w:rPr>
          <w:color w:val="000000"/>
          <w:spacing w:val="0"/>
          <w:w w:val="100"/>
          <w:position w:val="0"/>
        </w:rPr>
        <w:t>本公司所编制的财务报表符合企业会计准则的要求，真实、完整地反映了公司的财务状况、经营成果和现 金流量等有关信息。</w:t>
      </w:r>
    </w:p>
    <w:p>
      <w:pPr>
        <w:pStyle w:val="Style30"/>
        <w:keepNext/>
        <w:keepLines/>
        <w:widowControl w:val="0"/>
        <w:shd w:val="clear" w:color="auto" w:fill="auto"/>
        <w:tabs>
          <w:tab w:pos="378" w:val="left"/>
        </w:tabs>
        <w:bidi w:val="0"/>
        <w:spacing w:before="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2</w:t>
      </w:r>
      <w:bookmarkEnd w:id="757"/>
      <w:r>
        <w:rPr>
          <w:color w:val="000000"/>
          <w:spacing w:val="0"/>
          <w:w w:val="100"/>
          <w:position w:val="0"/>
        </w:rPr>
        <w:t>、</w:t>
        <w:tab/>
        <w:t>会计期间</w:t>
      </w:r>
      <w:bookmarkEnd w:id="755"/>
      <w:bookmarkEnd w:id="756"/>
      <w:bookmarkEnd w:id="758"/>
    </w:p>
    <w:p>
      <w:pPr>
        <w:pStyle w:val="Style51"/>
        <w:keepNext w:val="0"/>
        <w:keepLines w:val="0"/>
        <w:widowControl w:val="0"/>
        <w:shd w:val="clear" w:color="auto" w:fill="auto"/>
        <w:bidi w:val="0"/>
        <w:spacing w:before="0" w:line="240" w:lineRule="auto"/>
        <w:ind w:left="0" w:right="0" w:firstLine="0"/>
        <w:jc w:val="left"/>
      </w:pPr>
      <w:r>
        <w:rPr>
          <w:color w:val="000000"/>
          <w:spacing w:val="0"/>
          <w:w w:val="100"/>
          <w:position w:val="0"/>
        </w:rPr>
        <w:t>会计年度自公历</w:t>
      </w:r>
      <w:r>
        <w:rPr>
          <w:rFonts w:ascii="Tahoma" w:eastAsia="Tahoma" w:hAnsi="Tahoma" w:cs="Tahoma"/>
          <w:color w:val="000000"/>
          <w:spacing w:val="0"/>
          <w:w w:val="100"/>
          <w:position w:val="0"/>
          <w:sz w:val="19"/>
          <w:szCs w:val="19"/>
        </w:rPr>
        <w:t>1</w:t>
      </w:r>
      <w:r>
        <w:rPr>
          <w:color w:val="000000"/>
          <w:spacing w:val="0"/>
          <w:w w:val="100"/>
          <w:position w:val="0"/>
        </w:rPr>
        <w:t>月</w:t>
      </w:r>
      <w:r>
        <w:rPr>
          <w:rFonts w:ascii="Tahoma" w:eastAsia="Tahoma" w:hAnsi="Tahoma" w:cs="Tahoma"/>
          <w:color w:val="000000"/>
          <w:spacing w:val="0"/>
          <w:w w:val="100"/>
          <w:position w:val="0"/>
          <w:sz w:val="19"/>
          <w:szCs w:val="19"/>
        </w:rPr>
        <w:t>1</w:t>
      </w:r>
      <w:r>
        <w:rPr>
          <w:color w:val="000000"/>
          <w:spacing w:val="0"/>
          <w:w w:val="100"/>
          <w:position w:val="0"/>
        </w:rPr>
        <w:t>日起至</w:t>
      </w:r>
      <w:r>
        <w:rPr>
          <w:rFonts w:ascii="Tahoma" w:eastAsia="Tahoma" w:hAnsi="Tahoma" w:cs="Tahoma"/>
          <w:color w:val="000000"/>
          <w:spacing w:val="0"/>
          <w:w w:val="100"/>
          <w:position w:val="0"/>
          <w:sz w:val="19"/>
          <w:szCs w:val="19"/>
        </w:rPr>
        <w:t>12</w:t>
      </w:r>
      <w:r>
        <w:rPr>
          <w:color w:val="000000"/>
          <w:spacing w:val="0"/>
          <w:w w:val="100"/>
          <w:position w:val="0"/>
        </w:rPr>
        <w:t>月</w:t>
      </w:r>
      <w:r>
        <w:rPr>
          <w:rFonts w:ascii="Tahoma" w:eastAsia="Tahoma" w:hAnsi="Tahoma" w:cs="Tahoma"/>
          <w:color w:val="000000"/>
          <w:spacing w:val="0"/>
          <w:w w:val="100"/>
          <w:position w:val="0"/>
          <w:sz w:val="19"/>
          <w:szCs w:val="19"/>
        </w:rPr>
        <w:t>31</w:t>
      </w:r>
      <w:r>
        <w:rPr>
          <w:color w:val="000000"/>
          <w:spacing w:val="0"/>
          <w:w w:val="100"/>
          <w:position w:val="0"/>
        </w:rPr>
        <w:t>日止。</w:t>
      </w:r>
    </w:p>
    <w:p>
      <w:pPr>
        <w:pStyle w:val="Style30"/>
        <w:keepNext/>
        <w:keepLines/>
        <w:widowControl w:val="0"/>
        <w:shd w:val="clear" w:color="auto" w:fill="auto"/>
        <w:tabs>
          <w:tab w:pos="378" w:val="left"/>
        </w:tabs>
        <w:bidi w:val="0"/>
        <w:spacing w:before="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3</w:t>
      </w:r>
      <w:bookmarkEnd w:id="761"/>
      <w:r>
        <w:rPr>
          <w:color w:val="000000"/>
          <w:spacing w:val="0"/>
          <w:w w:val="100"/>
          <w:position w:val="0"/>
        </w:rPr>
        <w:t>、</w:t>
        <w:tab/>
        <w:t>营业周期</w:t>
      </w:r>
      <w:bookmarkEnd w:id="759"/>
      <w:bookmarkEnd w:id="760"/>
      <w:bookmarkEnd w:id="762"/>
    </w:p>
    <w:p>
      <w:pPr>
        <w:pStyle w:val="Style51"/>
        <w:keepNext w:val="0"/>
        <w:keepLines w:val="0"/>
        <w:widowControl w:val="0"/>
        <w:shd w:val="clear" w:color="auto" w:fill="auto"/>
        <w:bidi w:val="0"/>
        <w:spacing w:before="0" w:line="240" w:lineRule="auto"/>
        <w:ind w:left="0" w:right="0" w:firstLine="0"/>
        <w:jc w:val="left"/>
      </w:pPr>
      <w:r>
        <w:rPr>
          <w:color w:val="000000"/>
          <w:spacing w:val="0"/>
          <w:w w:val="100"/>
          <w:position w:val="0"/>
        </w:rPr>
        <w:t>公司经营业务的营业周期较短，以</w:t>
      </w:r>
      <w:r>
        <w:rPr>
          <w:rFonts w:ascii="Tahoma" w:eastAsia="Tahoma" w:hAnsi="Tahoma" w:cs="Tahoma"/>
          <w:color w:val="000000"/>
          <w:spacing w:val="0"/>
          <w:w w:val="100"/>
          <w:position w:val="0"/>
          <w:sz w:val="19"/>
          <w:szCs w:val="19"/>
        </w:rPr>
        <w:t>12</w:t>
      </w:r>
      <w:r>
        <w:rPr>
          <w:color w:val="000000"/>
          <w:spacing w:val="0"/>
          <w:w w:val="100"/>
          <w:position w:val="0"/>
        </w:rPr>
        <w:t>个月作为资产和负债的流动性划分标准。</w:t>
      </w:r>
    </w:p>
    <w:p>
      <w:pPr>
        <w:pStyle w:val="Style30"/>
        <w:keepNext/>
        <w:keepLines/>
        <w:widowControl w:val="0"/>
        <w:shd w:val="clear" w:color="auto" w:fill="auto"/>
        <w:tabs>
          <w:tab w:pos="378" w:val="left"/>
        </w:tabs>
        <w:bidi w:val="0"/>
        <w:spacing w:before="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4</w:t>
      </w:r>
      <w:bookmarkEnd w:id="765"/>
      <w:r>
        <w:rPr>
          <w:color w:val="000000"/>
          <w:spacing w:val="0"/>
          <w:w w:val="100"/>
          <w:position w:val="0"/>
        </w:rPr>
        <w:t>、</w:t>
        <w:tab/>
        <w:t>记账本位币</w:t>
      </w:r>
      <w:bookmarkEnd w:id="763"/>
      <w:bookmarkEnd w:id="764"/>
      <w:bookmarkEnd w:id="766"/>
    </w:p>
    <w:p>
      <w:pPr>
        <w:pStyle w:val="Style51"/>
        <w:keepNext w:val="0"/>
        <w:keepLines w:val="0"/>
        <w:widowControl w:val="0"/>
        <w:shd w:val="clear" w:color="auto" w:fill="auto"/>
        <w:bidi w:val="0"/>
        <w:spacing w:before="0" w:after="680" w:line="240" w:lineRule="auto"/>
        <w:ind w:left="0" w:right="0" w:firstLine="0"/>
        <w:jc w:val="left"/>
      </w:pPr>
      <w:r>
        <w:rPr>
          <w:color w:val="000000"/>
          <w:spacing w:val="0"/>
          <w:w w:val="100"/>
          <w:position w:val="0"/>
        </w:rPr>
        <w:t>采用人民币为记账本位币。</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5</w:t>
      </w:r>
      <w:bookmarkEnd w:id="769"/>
      <w:r>
        <w:rPr>
          <w:color w:val="000000"/>
          <w:spacing w:val="0"/>
          <w:w w:val="100"/>
          <w:position w:val="0"/>
        </w:rPr>
        <w:t>、</w:t>
        <w:tab/>
        <w:t>同一控制下和非同一控制下企业合并的会计处理方法</w:t>
      </w:r>
      <w:bookmarkEnd w:id="767"/>
      <w:bookmarkEnd w:id="768"/>
      <w:bookmarkEnd w:id="770"/>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同一控制下企业合并的会计处理方法：公司在企业合并中取得的资产和负债，按照合并日被合并方在最终控制方合并财 务报表中的账面价值计量。公司按照被合并方所有者权益在最终控制方合并财务报表中的账面价值份额与支付的合并对价账 面价值或发行股份面值总额的差额，调整资本公积；资本公积不足冲减的，调整留存收益。</w:t>
      </w:r>
    </w:p>
    <w:p>
      <w:pPr>
        <w:pStyle w:val="Style26"/>
        <w:keepNext w:val="0"/>
        <w:keepLines w:val="0"/>
        <w:widowControl w:val="0"/>
        <w:shd w:val="clear" w:color="auto" w:fill="auto"/>
        <w:bidi w:val="0"/>
        <w:spacing w:before="0" w:after="360" w:line="314" w:lineRule="exact"/>
        <w:ind w:left="0" w:right="0"/>
        <w:jc w:val="both"/>
      </w:pPr>
      <w:r>
        <w:rPr>
          <w:color w:val="000000"/>
          <w:spacing w:val="0"/>
          <w:w w:val="100"/>
          <w:position w:val="0"/>
        </w:rPr>
        <w:t>非同一控制下企业合并的会计处理方法:公司在购买日对合并成本大于合并中取得的被购买方可辨认净资产公允价值份 额的差额，确认为商誉；如果合并成本小于合并中取得的被购买方可辨认净资产公允价值份额，首先对取得的被购买方各项 可辨认资产、负债及或有负债的公允价值以及合并成本的计量进行复核，经复核后合并成本仍小于合并中取得的被购买方可 辨认净资产公允价值份额的，其差额计入当期损益。</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6</w:t>
      </w:r>
      <w:bookmarkEnd w:id="773"/>
      <w:r>
        <w:rPr>
          <w:color w:val="000000"/>
          <w:spacing w:val="0"/>
          <w:w w:val="100"/>
          <w:position w:val="0"/>
        </w:rPr>
        <w:t>、</w:t>
        <w:tab/>
        <w:t>合并财务报表的编制方法</w:t>
      </w:r>
      <w:bookmarkEnd w:id="771"/>
      <w:bookmarkEnd w:id="772"/>
      <w:bookmarkEnd w:id="774"/>
    </w:p>
    <w:p>
      <w:pPr>
        <w:pStyle w:val="Style26"/>
        <w:keepNext w:val="0"/>
        <w:keepLines w:val="0"/>
        <w:widowControl w:val="0"/>
        <w:shd w:val="clear" w:color="auto" w:fill="auto"/>
        <w:bidi w:val="0"/>
        <w:spacing w:before="0" w:after="720" w:line="312" w:lineRule="exact"/>
        <w:ind w:left="0" w:right="0"/>
        <w:jc w:val="both"/>
      </w:pPr>
      <w:r>
        <w:rPr>
          <w:color w:val="000000"/>
          <w:spacing w:val="0"/>
          <w:w w:val="100"/>
          <w:position w:val="0"/>
        </w:rPr>
        <w:t>母公司将其控制的所有子公司纳入合并财务报表的合并范围。合并财务报表以母公司及其子公司的财务报表为基础，根 据其他有关资料，由母公司按照《企业会计准则第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号——合并财务报表》编制。</w:t>
      </w:r>
    </w:p>
    <w:p>
      <w:pPr>
        <w:pStyle w:val="Style30"/>
        <w:keepNext/>
        <w:keepLines/>
        <w:widowControl w:val="0"/>
        <w:shd w:val="clear" w:color="auto" w:fill="auto"/>
        <w:bidi w:val="0"/>
        <w:spacing w:before="0" w:after="26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7</w:t>
      </w:r>
      <w:bookmarkEnd w:id="777"/>
      <w:r>
        <w:rPr>
          <w:color w:val="000000"/>
          <w:spacing w:val="0"/>
          <w:w w:val="100"/>
          <w:position w:val="0"/>
        </w:rPr>
        <w:t>、现金及现金等价物的确定标准</w:t>
      </w:r>
      <w:bookmarkEnd w:id="775"/>
      <w:bookmarkEnd w:id="776"/>
      <w:bookmarkEnd w:id="778"/>
    </w:p>
    <w:p>
      <w:pPr>
        <w:pStyle w:val="Style26"/>
        <w:keepNext w:val="0"/>
        <w:keepLines w:val="0"/>
        <w:widowControl w:val="0"/>
        <w:shd w:val="clear" w:color="auto" w:fill="auto"/>
        <w:bidi w:val="0"/>
        <w:spacing w:before="0" w:after="360" w:line="317" w:lineRule="exact"/>
        <w:ind w:left="0" w:right="0"/>
        <w:jc w:val="left"/>
      </w:pPr>
      <w:r>
        <w:rPr>
          <w:color w:val="000000"/>
          <w:spacing w:val="0"/>
          <w:w w:val="100"/>
          <w:position w:val="0"/>
        </w:rPr>
        <w:t>列示于现金流量表中的现金是指库存现金以及可以随时用于支付的存款。现金等价物是指企业持有的期限短、流动性强、 易于转换为已知金额现金、价值变动风险很小的投资。</w:t>
      </w:r>
    </w:p>
    <w:p>
      <w:pPr>
        <w:pStyle w:val="Style30"/>
        <w:keepNext/>
        <w:keepLines/>
        <w:widowControl w:val="0"/>
        <w:shd w:val="clear" w:color="auto" w:fill="auto"/>
        <w:tabs>
          <w:tab w:pos="366" w:val="left"/>
        </w:tabs>
        <w:bidi w:val="0"/>
        <w:spacing w:before="0" w:after="28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8</w:t>
      </w:r>
      <w:bookmarkEnd w:id="781"/>
      <w:r>
        <w:rPr>
          <w:color w:val="000000"/>
          <w:spacing w:val="0"/>
          <w:w w:val="100"/>
          <w:position w:val="0"/>
        </w:rPr>
        <w:t>、</w:t>
        <w:tab/>
        <w:t>外币业务和外币报表折算</w:t>
      </w:r>
      <w:bookmarkEnd w:id="779"/>
      <w:bookmarkEnd w:id="780"/>
      <w:bookmarkEnd w:id="782"/>
    </w:p>
    <w:p>
      <w:pPr>
        <w:pStyle w:val="Style26"/>
        <w:keepNext w:val="0"/>
        <w:keepLines w:val="0"/>
        <w:widowControl w:val="0"/>
        <w:shd w:val="clear" w:color="auto" w:fill="auto"/>
        <w:bidi w:val="0"/>
        <w:spacing w:before="0" w:after="380" w:line="310" w:lineRule="exact"/>
        <w:ind w:left="0" w:right="0"/>
        <w:jc w:val="both"/>
      </w:pPr>
      <w:r>
        <w:rPr>
          <w:color w:val="000000"/>
          <w:spacing w:val="0"/>
          <w:w w:val="100"/>
          <w:position w:val="0"/>
        </w:rPr>
        <w:t xml:space="preserve">外币交易在初始确认时，采用交易发生日即期汇率的近似汇率折算为人民币金额。资产负债表日，外币货币性项目采用 资产负债表日即期汇率折算，因汇率不同而产生的汇兑差额，除与购建符合资本化条件资产有关的外币专门借款本金及利息 的汇兑差额外，计入当期损益；以历史成本计量的外币非货币性项目仍采用交易发生日即期汇率的近似汇率折算，不改变其 人民币金额；以公允价值计量的外币非货币性项目，采用公允价值确定日的即期汇率折算，差额计入当期损益或其他综合收 </w:t>
      </w:r>
      <w:r>
        <w:rPr>
          <w:color w:val="000000"/>
          <w:spacing w:val="0"/>
          <w:w w:val="100"/>
          <w:position w:val="0"/>
          <w:u w:val="single"/>
        </w:rPr>
        <w:t>益</w:t>
      </w:r>
      <w:r>
        <w:rPr>
          <w:color w:val="000000"/>
          <w:spacing w:val="0"/>
          <w:w w:val="100"/>
          <w:position w:val="0"/>
        </w:rPr>
        <w:t>。</w:t>
      </w:r>
    </w:p>
    <w:p>
      <w:pPr>
        <w:pStyle w:val="Style30"/>
        <w:keepNext/>
        <w:keepLines/>
        <w:widowControl w:val="0"/>
        <w:shd w:val="clear" w:color="auto" w:fill="auto"/>
        <w:tabs>
          <w:tab w:pos="366" w:val="left"/>
        </w:tabs>
        <w:bidi w:val="0"/>
        <w:spacing w:before="0" w:after="28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9</w:t>
      </w:r>
      <w:bookmarkEnd w:id="785"/>
      <w:r>
        <w:rPr>
          <w:color w:val="000000"/>
          <w:spacing w:val="0"/>
          <w:w w:val="100"/>
          <w:position w:val="0"/>
        </w:rPr>
        <w:t>、</w:t>
        <w:tab/>
        <w:t>金融工具</w:t>
      </w:r>
      <w:bookmarkEnd w:id="783"/>
      <w:bookmarkEnd w:id="784"/>
      <w:bookmarkEnd w:id="786"/>
    </w:p>
    <w:p>
      <w:pPr>
        <w:pStyle w:val="Style26"/>
        <w:keepNext w:val="0"/>
        <w:keepLines w:val="0"/>
        <w:widowControl w:val="0"/>
        <w:numPr>
          <w:ilvl w:val="0"/>
          <w:numId w:val="19"/>
        </w:numPr>
        <w:shd w:val="clear" w:color="auto" w:fill="auto"/>
        <w:tabs>
          <w:tab w:pos="670" w:val="left"/>
        </w:tabs>
        <w:bidi w:val="0"/>
        <w:spacing w:before="0" w:after="0" w:line="312" w:lineRule="exact"/>
        <w:ind w:left="0" w:right="0"/>
        <w:jc w:val="both"/>
      </w:pPr>
      <w:bookmarkStart w:id="787" w:name="bookmark787"/>
      <w:bookmarkEnd w:id="787"/>
      <w:r>
        <w:rPr>
          <w:color w:val="000000"/>
          <w:spacing w:val="0"/>
          <w:w w:val="100"/>
          <w:position w:val="0"/>
        </w:rPr>
        <w:t>金融资产和金融负债的分类</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金融资产在初始确认时划分为以下三类：</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以摊余成本计量的金融资产；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以公允价值计量且其变动计入其他综合 收益的金融资产；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以公允价值计量且其变动计入当期损益的金融资产。</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FFFFFF"/>
        </w:rPr>
        <w:t>金融负债在初始确认时划分为以下四类：</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以公允价值计量且其变动计入当期损益的金融负债；</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2）</w:t>
      </w:r>
      <w:r>
        <w:rPr>
          <w:color w:val="000000"/>
          <w:spacing w:val="0"/>
          <w:w w:val="100"/>
          <w:position w:val="0"/>
          <w:shd w:val="clear" w:color="auto" w:fill="FFFFFF"/>
        </w:rPr>
        <w:t>金融资产转移不 符合终止确认条件或继续涉入被转移金融资产所形成的金融负债；</w:t>
      </w:r>
      <w:r>
        <w:rPr>
          <w:rFonts w:ascii="Times New Roman" w:eastAsia="Times New Roman" w:hAnsi="Times New Roman" w:cs="Times New Roman"/>
          <w:color w:val="000000"/>
          <w:spacing w:val="0"/>
          <w:w w:val="100"/>
          <w:position w:val="0"/>
          <w:sz w:val="18"/>
          <w:szCs w:val="18"/>
          <w:shd w:val="clear" w:color="auto" w:fill="FFFFFF"/>
        </w:rPr>
        <w:t>（3）</w:t>
      </w:r>
      <w:r>
        <w:rPr>
          <w:color w:val="000000"/>
          <w:spacing w:val="0"/>
          <w:w w:val="100"/>
          <w:position w:val="0"/>
          <w:shd w:val="clear" w:color="auto" w:fill="FFFFFF"/>
        </w:rPr>
        <w:t>不属于上述</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或</w:t>
      </w:r>
      <w:r>
        <w:rPr>
          <w:rFonts w:ascii="Times New Roman" w:eastAsia="Times New Roman" w:hAnsi="Times New Roman" w:cs="Times New Roman"/>
          <w:color w:val="000000"/>
          <w:spacing w:val="0"/>
          <w:w w:val="100"/>
          <w:position w:val="0"/>
          <w:sz w:val="18"/>
          <w:szCs w:val="18"/>
          <w:shd w:val="clear" w:color="auto" w:fill="FFFFFF"/>
        </w:rPr>
        <w:t>（2）</w:t>
      </w:r>
      <w:r>
        <w:rPr>
          <w:color w:val="000000"/>
          <w:spacing w:val="0"/>
          <w:w w:val="100"/>
          <w:position w:val="0"/>
          <w:shd w:val="clear" w:color="auto" w:fill="FFFFFF"/>
        </w:rPr>
        <w:t>的财务担保合同，以及不属于上述</w:t>
      </w:r>
    </w:p>
    <w:p>
      <w:pPr>
        <w:pStyle w:val="Style26"/>
        <w:keepNext w:val="0"/>
        <w:keepLines w:val="0"/>
        <w:widowControl w:val="0"/>
        <w:shd w:val="clear" w:color="auto" w:fill="auto"/>
        <w:bidi w:val="0"/>
        <w:spacing w:before="0" w:after="0" w:line="312" w:lineRule="exact"/>
        <w:ind w:left="0" w:right="0" w:firstLine="0"/>
        <w:jc w:val="left"/>
      </w:pPr>
      <w:bookmarkStart w:id="788" w:name="bookmark788"/>
      <w:r>
        <w:rPr>
          <w:rFonts w:ascii="Times New Roman" w:eastAsia="Times New Roman" w:hAnsi="Times New Roman" w:cs="Times New Roman"/>
          <w:color w:val="000000"/>
          <w:spacing w:val="0"/>
          <w:w w:val="100"/>
          <w:position w:val="0"/>
          <w:sz w:val="18"/>
          <w:szCs w:val="18"/>
        </w:rPr>
        <w:t>（</w:t>
      </w:r>
      <w:bookmarkEnd w:id="7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并以低于市场利率贷款的贷款承诺；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以摊余成本计量的金融负债。</w:t>
      </w:r>
    </w:p>
    <w:p>
      <w:pPr>
        <w:pStyle w:val="Style26"/>
        <w:keepNext w:val="0"/>
        <w:keepLines w:val="0"/>
        <w:widowControl w:val="0"/>
        <w:numPr>
          <w:ilvl w:val="0"/>
          <w:numId w:val="19"/>
        </w:numPr>
        <w:shd w:val="clear" w:color="auto" w:fill="auto"/>
        <w:tabs>
          <w:tab w:pos="689" w:val="left"/>
        </w:tabs>
        <w:bidi w:val="0"/>
        <w:spacing w:before="0" w:after="0" w:line="312" w:lineRule="exact"/>
        <w:ind w:left="0" w:right="0"/>
        <w:jc w:val="left"/>
      </w:pPr>
      <w:bookmarkStart w:id="789" w:name="bookmark789"/>
      <w:bookmarkEnd w:id="789"/>
      <w:r>
        <w:rPr>
          <w:color w:val="000000"/>
          <w:spacing w:val="0"/>
          <w:w w:val="100"/>
          <w:position w:val="0"/>
        </w:rPr>
        <w:t>金融资产和金融负债的确认依据、计量方法和终止确认条件</w:t>
      </w:r>
    </w:p>
    <w:p>
      <w:pPr>
        <w:pStyle w:val="Style26"/>
        <w:keepNext w:val="0"/>
        <w:keepLines w:val="0"/>
        <w:widowControl w:val="0"/>
        <w:shd w:val="clear" w:color="auto" w:fill="auto"/>
        <w:tabs>
          <w:tab w:pos="775" w:val="left"/>
        </w:tabs>
        <w:bidi w:val="0"/>
        <w:spacing w:before="0" w:after="0" w:line="312" w:lineRule="exact"/>
        <w:ind w:left="0" w:right="0"/>
        <w:jc w:val="left"/>
      </w:pPr>
      <w:bookmarkStart w:id="790" w:name="bookmark790"/>
      <w:r>
        <w:rPr>
          <w:rFonts w:ascii="Times New Roman" w:eastAsia="Times New Roman" w:hAnsi="Times New Roman" w:cs="Times New Roman"/>
          <w:color w:val="000000"/>
          <w:spacing w:val="0"/>
          <w:w w:val="100"/>
          <w:position w:val="0"/>
          <w:sz w:val="18"/>
          <w:szCs w:val="18"/>
        </w:rPr>
        <w:t>（</w:t>
      </w:r>
      <w:bookmarkEnd w:id="790"/>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金融资产和金融负债的确认依据和初始计量方法</w:t>
      </w:r>
    </w:p>
    <w:p>
      <w:pPr>
        <w:pStyle w:val="Style26"/>
        <w:keepNext w:val="0"/>
        <w:keepLines w:val="0"/>
        <w:widowControl w:val="0"/>
        <w:shd w:val="clear" w:color="auto" w:fill="auto"/>
        <w:bidi w:val="0"/>
        <w:spacing w:before="0" w:after="0" w:line="312" w:lineRule="exact"/>
        <w:ind w:left="0" w:right="0"/>
        <w:jc w:val="left"/>
      </w:pPr>
      <w:r>
        <w:rPr>
          <w:color w:val="000000"/>
          <w:spacing w:val="0"/>
          <w:w w:val="100"/>
          <w:position w:val="0"/>
        </w:rPr>
        <w:t>公司成为金融工具合同的一方时，确认一项金融资产或金融负债。初始确认金融资产或金融负债时，按照公允价值计量； 对于以公允价值计量且其变动计入当期损益的金融资产和金融负债，相关交易费用直接计入当期损益；对于其他类别的金融 资产或金融负债，相关交易费用计入初始确认金额。但是，公司初始确认的应收账款未包含重大融资成分或公司不考虑未超 过一年的合同中的融资成分的，按照《企业会计准则第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号——收入》所定义的交易价格进行初始计量。</w:t>
      </w:r>
    </w:p>
    <w:p>
      <w:pPr>
        <w:pStyle w:val="Style26"/>
        <w:keepNext w:val="0"/>
        <w:keepLines w:val="0"/>
        <w:widowControl w:val="0"/>
        <w:shd w:val="clear" w:color="auto" w:fill="auto"/>
        <w:tabs>
          <w:tab w:pos="775" w:val="left"/>
        </w:tabs>
        <w:bidi w:val="0"/>
        <w:spacing w:before="0" w:after="0" w:line="312" w:lineRule="exact"/>
        <w:ind w:left="0" w:right="0"/>
        <w:jc w:val="both"/>
      </w:pPr>
      <w:bookmarkStart w:id="791" w:name="bookmark791"/>
      <w:r>
        <w:rPr>
          <w:rFonts w:ascii="Times New Roman" w:eastAsia="Times New Roman" w:hAnsi="Times New Roman" w:cs="Times New Roman"/>
          <w:color w:val="000000"/>
          <w:spacing w:val="0"/>
          <w:w w:val="100"/>
          <w:position w:val="0"/>
          <w:sz w:val="18"/>
          <w:szCs w:val="18"/>
        </w:rPr>
        <w:t>（</w:t>
      </w:r>
      <w:bookmarkEnd w:id="791"/>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金融资产的后续计量方法</w:t>
      </w:r>
    </w:p>
    <w:p>
      <w:pPr>
        <w:pStyle w:val="Style26"/>
        <w:keepNext w:val="0"/>
        <w:keepLines w:val="0"/>
        <w:widowControl w:val="0"/>
        <w:shd w:val="clear" w:color="auto" w:fill="auto"/>
        <w:tabs>
          <w:tab w:pos="698" w:val="left"/>
        </w:tabs>
        <w:bidi w:val="0"/>
        <w:spacing w:before="0" w:after="0" w:line="312" w:lineRule="exact"/>
        <w:ind w:left="0" w:right="0"/>
        <w:jc w:val="both"/>
      </w:pPr>
      <w:bookmarkStart w:id="792" w:name="bookmark792"/>
      <w:r>
        <w:rPr>
          <w:rFonts w:ascii="Times New Roman" w:eastAsia="Times New Roman" w:hAnsi="Times New Roman" w:cs="Times New Roman"/>
          <w:color w:val="000000"/>
          <w:spacing w:val="0"/>
          <w:w w:val="100"/>
          <w:position w:val="0"/>
          <w:sz w:val="18"/>
          <w:szCs w:val="18"/>
        </w:rPr>
        <w:t>1</w:t>
      </w:r>
      <w:bookmarkEnd w:id="7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以摊余成本计量的金融资产</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采用实际利率法，按照摊余成本进行后续计量。以摊余成本计量且不属于任何套期关系的一部分的金融资产所产生的利 得或损失，在终止确认、重分类、按照实际利率法摊销或确认减值时，计入当期损益。</w:t>
      </w:r>
    </w:p>
    <w:p>
      <w:pPr>
        <w:pStyle w:val="Style26"/>
        <w:keepNext w:val="0"/>
        <w:keepLines w:val="0"/>
        <w:widowControl w:val="0"/>
        <w:shd w:val="clear" w:color="auto" w:fill="auto"/>
        <w:tabs>
          <w:tab w:pos="718" w:val="left"/>
        </w:tabs>
        <w:bidi w:val="0"/>
        <w:spacing w:before="0" w:after="0" w:line="312" w:lineRule="exact"/>
        <w:ind w:left="0" w:right="0"/>
        <w:jc w:val="both"/>
      </w:pPr>
      <w:bookmarkStart w:id="793" w:name="bookmark793"/>
      <w:r>
        <w:rPr>
          <w:rFonts w:ascii="Times New Roman" w:eastAsia="Times New Roman" w:hAnsi="Times New Roman" w:cs="Times New Roman"/>
          <w:color w:val="000000"/>
          <w:spacing w:val="0"/>
          <w:w w:val="100"/>
          <w:position w:val="0"/>
          <w:sz w:val="18"/>
          <w:szCs w:val="18"/>
        </w:rPr>
        <w:t>2</w:t>
      </w:r>
      <w:bookmarkEnd w:id="7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以公允价值计量且其变动计入其他综合收益的债务工具投资</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采用公允价值进行后续计量。采用实际利率法计算的利息、减值损失或利得及汇兑损益计入当期损益，其他利得或损失 计入其他综合收益。终止确认时，将之前计入其他综合收益的累计利得或损失从其他综合收益中转出，计入当期损益。</w:t>
      </w:r>
    </w:p>
    <w:p>
      <w:pPr>
        <w:pStyle w:val="Style26"/>
        <w:keepNext w:val="0"/>
        <w:keepLines w:val="0"/>
        <w:widowControl w:val="0"/>
        <w:shd w:val="clear" w:color="auto" w:fill="auto"/>
        <w:tabs>
          <w:tab w:pos="718" w:val="left"/>
        </w:tabs>
        <w:bidi w:val="0"/>
        <w:spacing w:before="0" w:after="0" w:line="312" w:lineRule="exact"/>
        <w:ind w:left="0" w:right="0"/>
        <w:jc w:val="both"/>
      </w:pPr>
      <w:bookmarkStart w:id="794" w:name="bookmark794"/>
      <w:r>
        <w:rPr>
          <w:rFonts w:ascii="Times New Roman" w:eastAsia="Times New Roman" w:hAnsi="Times New Roman" w:cs="Times New Roman"/>
          <w:color w:val="000000"/>
          <w:spacing w:val="0"/>
          <w:w w:val="100"/>
          <w:position w:val="0"/>
          <w:sz w:val="18"/>
          <w:szCs w:val="18"/>
        </w:rPr>
        <w:t>3</w:t>
      </w:r>
      <w:bookmarkEnd w:id="7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以公允价值计量且其变动计入其他综合收益的权益工具投资</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采用公允价值进行后续计量。获得的股利（属于投资成本收回部分的除外）计入当期损益，其他利得或损失计入其他综 合收益。终止确认时，将之前计入其他综合收益的累计利得或损失从其他综合收益中转出，计入留存收益。</w:t>
      </w:r>
    </w:p>
    <w:p>
      <w:pPr>
        <w:pStyle w:val="Style26"/>
        <w:keepNext w:val="0"/>
        <w:keepLines w:val="0"/>
        <w:widowControl w:val="0"/>
        <w:shd w:val="clear" w:color="auto" w:fill="auto"/>
        <w:tabs>
          <w:tab w:pos="718" w:val="left"/>
        </w:tabs>
        <w:bidi w:val="0"/>
        <w:spacing w:before="0" w:after="0" w:line="312" w:lineRule="exact"/>
        <w:ind w:left="0" w:right="0"/>
        <w:jc w:val="both"/>
      </w:pPr>
      <w:bookmarkStart w:id="795" w:name="bookmark795"/>
      <w:r>
        <w:rPr>
          <w:rFonts w:ascii="Times New Roman" w:eastAsia="Times New Roman" w:hAnsi="Times New Roman" w:cs="Times New Roman"/>
          <w:color w:val="000000"/>
          <w:spacing w:val="0"/>
          <w:w w:val="100"/>
          <w:position w:val="0"/>
          <w:sz w:val="18"/>
          <w:szCs w:val="18"/>
        </w:rPr>
        <w:t>4</w:t>
      </w:r>
      <w:bookmarkEnd w:id="7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以公允价值计量且其变动计入当期损益的金融资产</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采用公允价值进行后续计量，产生的利得或损失（包括利息和股利收入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计入当期损益，除非该金融资产属于套期关系 的一部分。</w:t>
      </w:r>
    </w:p>
    <w:p>
      <w:pPr>
        <w:pStyle w:val="Style26"/>
        <w:keepNext w:val="0"/>
        <w:keepLines w:val="0"/>
        <w:widowControl w:val="0"/>
        <w:shd w:val="clear" w:color="auto" w:fill="auto"/>
        <w:tabs>
          <w:tab w:pos="780" w:val="left"/>
        </w:tabs>
        <w:bidi w:val="0"/>
        <w:spacing w:before="0" w:after="0" w:line="317" w:lineRule="exact"/>
        <w:ind w:left="0" w:right="0"/>
        <w:jc w:val="both"/>
      </w:pPr>
      <w:bookmarkStart w:id="796" w:name="bookmark796"/>
      <w:r>
        <w:rPr>
          <w:rFonts w:ascii="Times New Roman" w:eastAsia="Times New Roman" w:hAnsi="Times New Roman" w:cs="Times New Roman"/>
          <w:color w:val="000000"/>
          <w:spacing w:val="0"/>
          <w:w w:val="100"/>
          <w:position w:val="0"/>
          <w:sz w:val="18"/>
          <w:szCs w:val="18"/>
        </w:rPr>
        <w:t>（</w:t>
      </w:r>
      <w:bookmarkEnd w:id="796"/>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金融负债的后续计量方法</w:t>
      </w:r>
    </w:p>
    <w:p>
      <w:pPr>
        <w:pStyle w:val="Style26"/>
        <w:keepNext w:val="0"/>
        <w:keepLines w:val="0"/>
        <w:widowControl w:val="0"/>
        <w:shd w:val="clear" w:color="auto" w:fill="auto"/>
        <w:tabs>
          <w:tab w:pos="698" w:val="left"/>
        </w:tabs>
        <w:bidi w:val="0"/>
        <w:spacing w:before="0" w:after="0" w:line="312" w:lineRule="exact"/>
        <w:ind w:left="0" w:right="0"/>
        <w:jc w:val="both"/>
      </w:pPr>
      <w:bookmarkStart w:id="797" w:name="bookmark797"/>
      <w:r>
        <w:rPr>
          <w:rFonts w:ascii="Times New Roman" w:eastAsia="Times New Roman" w:hAnsi="Times New Roman" w:cs="Times New Roman"/>
          <w:color w:val="000000"/>
          <w:spacing w:val="0"/>
          <w:w w:val="100"/>
          <w:position w:val="0"/>
          <w:sz w:val="18"/>
          <w:szCs w:val="18"/>
          <w:shd w:val="clear" w:color="auto" w:fill="FFFFFF"/>
        </w:rPr>
        <w:t>1</w:t>
      </w:r>
      <w:bookmarkEnd w:id="797"/>
      <w:r>
        <w:rPr>
          <w:rFonts w:ascii="Times New Roman" w:eastAsia="Times New Roman" w:hAnsi="Times New Roman" w:cs="Times New Roman"/>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以公允价值计量且其变动计入当期损益的金融负债</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此类金融负债包括交易性金融负债（含属于金融负债的衍生工具）和指定为以公允价值计量且其变动计入当期损益的金 融负债。对于此类金融负债以公允价值进行后续计量。因公司自身信用风险变动引起的指定为以公允价值计量且其变动计入 当期损益的金融负债的公允价值变动金额计入其他综合收益，除非该处理会造成或扩大损益中的会计错配。此类金融负债产 生的其他利得或损失（包括利息费用、除因公司自身信用风险变动引起的公允价值变动）计入当期损益，除非该金融负债属 于套期关系的一部分。终止确认时，将之前计入其他综合收益的累计利得或损失从其他综合收益中转出，计入留存收益。</w:t>
      </w:r>
    </w:p>
    <w:p>
      <w:pPr>
        <w:pStyle w:val="Style26"/>
        <w:keepNext w:val="0"/>
        <w:keepLines w:val="0"/>
        <w:widowControl w:val="0"/>
        <w:shd w:val="clear" w:color="auto" w:fill="auto"/>
        <w:tabs>
          <w:tab w:pos="711" w:val="left"/>
        </w:tabs>
        <w:bidi w:val="0"/>
        <w:spacing w:before="0" w:after="0" w:line="314" w:lineRule="exact"/>
        <w:ind w:left="0" w:right="0"/>
        <w:jc w:val="both"/>
      </w:pPr>
      <w:bookmarkStart w:id="798" w:name="bookmark798"/>
      <w:r>
        <w:rPr>
          <w:rFonts w:ascii="Times New Roman" w:eastAsia="Times New Roman" w:hAnsi="Times New Roman" w:cs="Times New Roman"/>
          <w:color w:val="000000"/>
          <w:spacing w:val="0"/>
          <w:w w:val="100"/>
          <w:position w:val="0"/>
          <w:sz w:val="18"/>
          <w:szCs w:val="18"/>
        </w:rPr>
        <w:t>2</w:t>
      </w:r>
      <w:bookmarkEnd w:id="7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金融资产转移不符合终止确认条件或继续涉入被转移金融资产所形成的金融负债</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号——金融资产转移》相关规定进行计量。</w:t>
      </w:r>
    </w:p>
    <w:p>
      <w:pPr>
        <w:pStyle w:val="Style26"/>
        <w:keepNext w:val="0"/>
        <w:keepLines w:val="0"/>
        <w:widowControl w:val="0"/>
        <w:shd w:val="clear" w:color="auto" w:fill="auto"/>
        <w:tabs>
          <w:tab w:pos="711" w:val="left"/>
        </w:tabs>
        <w:bidi w:val="0"/>
        <w:spacing w:before="0" w:after="0" w:line="314" w:lineRule="exact"/>
        <w:ind w:left="0" w:right="0"/>
        <w:jc w:val="both"/>
      </w:pPr>
      <w:bookmarkStart w:id="799" w:name="bookmark799"/>
      <w:r>
        <w:rPr>
          <w:rFonts w:ascii="Times New Roman" w:eastAsia="Times New Roman" w:hAnsi="Times New Roman" w:cs="Times New Roman"/>
          <w:color w:val="000000"/>
          <w:spacing w:val="0"/>
          <w:w w:val="100"/>
          <w:position w:val="0"/>
          <w:sz w:val="18"/>
          <w:szCs w:val="18"/>
        </w:rPr>
        <w:t>3</w:t>
      </w:r>
      <w:bookmarkEnd w:id="7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并以低于市场利率贷款的贷款承诺</w:t>
      </w:r>
    </w:p>
    <w:p>
      <w:pPr>
        <w:pStyle w:val="Style26"/>
        <w:keepNext w:val="0"/>
        <w:keepLines w:val="0"/>
        <w:widowControl w:val="0"/>
        <w:shd w:val="clear" w:color="auto" w:fill="auto"/>
        <w:bidi w:val="0"/>
        <w:spacing w:before="0" w:after="0" w:line="307" w:lineRule="exact"/>
        <w:ind w:left="0" w:right="0"/>
        <w:jc w:val="both"/>
      </w:pPr>
      <w:r>
        <w:rPr>
          <w:color w:val="000000"/>
          <w:spacing w:val="0"/>
          <w:w w:val="100"/>
          <w:position w:val="0"/>
        </w:rPr>
        <w:t>在初始确认后按照下列两项金额之中的较高者进行后续计量：①按照金融工具的减值规定确定的损失准备金额；②初 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号——收入》相关规定所确定的累计摊销额后的余额。</w:t>
      </w:r>
    </w:p>
    <w:p>
      <w:pPr>
        <w:pStyle w:val="Style26"/>
        <w:keepNext w:val="0"/>
        <w:keepLines w:val="0"/>
        <w:widowControl w:val="0"/>
        <w:shd w:val="clear" w:color="auto" w:fill="auto"/>
        <w:tabs>
          <w:tab w:pos="711" w:val="left"/>
        </w:tabs>
        <w:bidi w:val="0"/>
        <w:spacing w:before="0" w:after="0" w:line="314" w:lineRule="exact"/>
        <w:ind w:left="0" w:right="0"/>
        <w:jc w:val="both"/>
      </w:pPr>
      <w:bookmarkStart w:id="800" w:name="bookmark800"/>
      <w:r>
        <w:rPr>
          <w:rFonts w:ascii="Times New Roman" w:eastAsia="Times New Roman" w:hAnsi="Times New Roman" w:cs="Times New Roman"/>
          <w:color w:val="000000"/>
          <w:spacing w:val="0"/>
          <w:w w:val="100"/>
          <w:position w:val="0"/>
          <w:sz w:val="18"/>
          <w:szCs w:val="18"/>
        </w:rPr>
        <w:t>4</w:t>
      </w:r>
      <w:bookmarkEnd w:id="80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以摊余成本计量的金融负债</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采用实际利率法以摊余成本计量。以摊余成本计量且不属于任何套期关系的一部分的金融负债所产生的利得或损失，在 终止确认、按照实际利率法摊销时计入当期损益。</w:t>
      </w:r>
    </w:p>
    <w:p>
      <w:pPr>
        <w:pStyle w:val="Style26"/>
        <w:keepNext w:val="0"/>
        <w:keepLines w:val="0"/>
        <w:widowControl w:val="0"/>
        <w:shd w:val="clear" w:color="auto" w:fill="auto"/>
        <w:bidi w:val="0"/>
        <w:spacing w:before="0" w:after="0" w:line="317" w:lineRule="exact"/>
        <w:ind w:left="0" w:right="0"/>
        <w:jc w:val="both"/>
      </w:pPr>
      <w:bookmarkStart w:id="801" w:name="bookmark801"/>
      <w:r>
        <w:rPr>
          <w:rFonts w:ascii="Times New Roman" w:eastAsia="Times New Roman" w:hAnsi="Times New Roman" w:cs="Times New Roman"/>
          <w:color w:val="000000"/>
          <w:spacing w:val="0"/>
          <w:w w:val="100"/>
          <w:position w:val="0"/>
          <w:sz w:val="18"/>
          <w:szCs w:val="18"/>
        </w:rPr>
        <w:t>（</w:t>
      </w:r>
      <w:bookmarkEnd w:id="801"/>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金融资产和金融负债的终止确认</w:t>
      </w:r>
    </w:p>
    <w:p>
      <w:pPr>
        <w:pStyle w:val="Style26"/>
        <w:keepNext w:val="0"/>
        <w:keepLines w:val="0"/>
        <w:widowControl w:val="0"/>
        <w:shd w:val="clear" w:color="auto" w:fill="auto"/>
        <w:tabs>
          <w:tab w:pos="692" w:val="left"/>
        </w:tabs>
        <w:bidi w:val="0"/>
        <w:spacing w:before="0" w:after="0" w:line="314" w:lineRule="exact"/>
        <w:ind w:left="0" w:right="0"/>
        <w:jc w:val="both"/>
      </w:pPr>
      <w:bookmarkStart w:id="802" w:name="bookmark802"/>
      <w:r>
        <w:rPr>
          <w:rFonts w:ascii="Times New Roman" w:eastAsia="Times New Roman" w:hAnsi="Times New Roman" w:cs="Times New Roman"/>
          <w:color w:val="000000"/>
          <w:spacing w:val="0"/>
          <w:w w:val="100"/>
          <w:position w:val="0"/>
          <w:sz w:val="18"/>
          <w:szCs w:val="18"/>
        </w:rPr>
        <w:t>1</w:t>
      </w:r>
      <w:bookmarkEnd w:id="80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当满足下列条件之一时，终止确认金融资产：</w:t>
      </w:r>
    </w:p>
    <w:p>
      <w:pPr>
        <w:pStyle w:val="Style26"/>
        <w:keepNext w:val="0"/>
        <w:keepLines w:val="0"/>
        <w:widowControl w:val="0"/>
        <w:numPr>
          <w:ilvl w:val="0"/>
          <w:numId w:val="21"/>
        </w:numPr>
        <w:shd w:val="clear" w:color="auto" w:fill="auto"/>
        <w:tabs>
          <w:tab w:pos="735" w:val="left"/>
        </w:tabs>
        <w:bidi w:val="0"/>
        <w:spacing w:before="0" w:after="0" w:line="314" w:lineRule="exact"/>
        <w:ind w:left="0" w:right="0"/>
        <w:jc w:val="both"/>
      </w:pPr>
      <w:bookmarkStart w:id="803" w:name="bookmark803"/>
      <w:bookmarkEnd w:id="803"/>
      <w:r>
        <w:rPr>
          <w:color w:val="000000"/>
          <w:spacing w:val="0"/>
          <w:w w:val="100"/>
          <w:position w:val="0"/>
        </w:rPr>
        <w:t>收取金融资产现金流量的合同权利已终止；</w:t>
      </w:r>
    </w:p>
    <w:p>
      <w:pPr>
        <w:pStyle w:val="Style26"/>
        <w:keepNext w:val="0"/>
        <w:keepLines w:val="0"/>
        <w:widowControl w:val="0"/>
        <w:numPr>
          <w:ilvl w:val="0"/>
          <w:numId w:val="21"/>
        </w:numPr>
        <w:shd w:val="clear" w:color="auto" w:fill="auto"/>
        <w:tabs>
          <w:tab w:pos="735" w:val="left"/>
        </w:tabs>
        <w:bidi w:val="0"/>
        <w:spacing w:before="0" w:after="0" w:line="314" w:lineRule="exact"/>
        <w:ind w:left="0" w:right="0"/>
        <w:jc w:val="both"/>
      </w:pPr>
      <w:bookmarkStart w:id="804" w:name="bookmark804"/>
      <w:bookmarkEnd w:id="804"/>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号——金融资产转移》关于金融资产终止确认的规定。</w:t>
      </w:r>
    </w:p>
    <w:p>
      <w:pPr>
        <w:pStyle w:val="Style26"/>
        <w:keepNext w:val="0"/>
        <w:keepLines w:val="0"/>
        <w:widowControl w:val="0"/>
        <w:shd w:val="clear" w:color="auto" w:fill="auto"/>
        <w:tabs>
          <w:tab w:pos="711" w:val="left"/>
        </w:tabs>
        <w:bidi w:val="0"/>
        <w:spacing w:before="0" w:after="0" w:line="314" w:lineRule="exact"/>
        <w:ind w:left="0" w:right="0"/>
        <w:jc w:val="both"/>
      </w:pPr>
      <w:bookmarkStart w:id="805" w:name="bookmark805"/>
      <w:r>
        <w:rPr>
          <w:rFonts w:ascii="Times New Roman" w:eastAsia="Times New Roman" w:hAnsi="Times New Roman" w:cs="Times New Roman"/>
          <w:color w:val="000000"/>
          <w:spacing w:val="0"/>
          <w:w w:val="100"/>
          <w:position w:val="0"/>
          <w:sz w:val="18"/>
          <w:szCs w:val="18"/>
        </w:rPr>
        <w:t>2</w:t>
      </w:r>
      <w:bookmarkEnd w:id="8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当金融负债（或其一部分）的现时义务已经解除时，相应终止确认该金融负债（或该部分金融负债）。</w:t>
      </w:r>
    </w:p>
    <w:p>
      <w:pPr>
        <w:pStyle w:val="Style26"/>
        <w:keepNext w:val="0"/>
        <w:keepLines w:val="0"/>
        <w:widowControl w:val="0"/>
        <w:numPr>
          <w:ilvl w:val="0"/>
          <w:numId w:val="19"/>
        </w:numPr>
        <w:shd w:val="clear" w:color="auto" w:fill="auto"/>
        <w:tabs>
          <w:tab w:pos="673" w:val="left"/>
        </w:tabs>
        <w:bidi w:val="0"/>
        <w:spacing w:before="0" w:after="0" w:line="314" w:lineRule="exact"/>
        <w:ind w:left="0" w:right="0"/>
        <w:jc w:val="both"/>
      </w:pPr>
      <w:bookmarkStart w:id="806" w:name="bookmark806"/>
      <w:bookmarkEnd w:id="806"/>
      <w:r>
        <w:rPr>
          <w:color w:val="000000"/>
          <w:spacing w:val="0"/>
          <w:w w:val="100"/>
          <w:position w:val="0"/>
        </w:rPr>
        <w:t>金融资产转移的确认依据和计量方法</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公司转移了金融资产所有权上几乎所有的风险和报酬的，终止确认该金融资产，并将转移中产生或保留的权利和义务单 独确认为资产或负债；保留了金融资产所有权上几乎所有的风险和报酬的，继续确认所转移的金融资产。公司既没有转移也 没有保留金融资产所有权上几乎所有的风险和报酬的，分别下列情况处理：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未保留对该金融资产控制的，终止确认该金 融资产，并将转移中产生或保留的权利和义务单独确认为资产或负债；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保留了对该金融资产控制的，按照继续涉入所转 移金融资产的程度确认有关金融资产，并相应确认有关负债。</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金融资产整体转移满足终止确认条件的，将下列两项金额的差额计入当期损益：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所转移金融资产在终止确认日的账 面价值；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因转移金融资产而收到的对价，与原直接计入其他综合收益的公允价值变动累计额中对应终止确认部分的金额 （涉及转移的金融资产为以公允价值计量且其变动计入其他综合收益的债务工具投资）之和。转移了金融资产的一部分，且 该被转移部分整体满足终止确认条件的，将转移前金融资产整体的账面价值，在终止确认部分和继续确认部分之间，按照转 移日各自的相对公允价值进行分摊，并将下列两项金额的差额计入当期损益：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终止确认部分的账面价值；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终止确认 部分的对价，与原直接计入其他综合收益的公允价值变动累计额中对应终止确认部分的金额（涉及转移的金融资产为以公允 价值计量且其变动计入其他综合收益的债务工具投资）之和。</w:t>
      </w:r>
    </w:p>
    <w:p>
      <w:pPr>
        <w:pStyle w:val="Style26"/>
        <w:keepNext w:val="0"/>
        <w:keepLines w:val="0"/>
        <w:widowControl w:val="0"/>
        <w:numPr>
          <w:ilvl w:val="0"/>
          <w:numId w:val="19"/>
        </w:numPr>
        <w:shd w:val="clear" w:color="auto" w:fill="auto"/>
        <w:tabs>
          <w:tab w:pos="682" w:val="left"/>
        </w:tabs>
        <w:bidi w:val="0"/>
        <w:spacing w:before="0" w:after="0" w:line="314" w:lineRule="exact"/>
        <w:ind w:left="0" w:right="0"/>
        <w:jc w:val="both"/>
      </w:pPr>
      <w:bookmarkStart w:id="807" w:name="bookmark807"/>
      <w:bookmarkEnd w:id="807"/>
      <w:r>
        <w:rPr>
          <w:color w:val="000000"/>
          <w:spacing w:val="0"/>
          <w:w w:val="100"/>
          <w:position w:val="0"/>
        </w:rPr>
        <w:t>金融资产和金融负债的公允价值确定方法</w:t>
      </w:r>
    </w:p>
    <w:p>
      <w:pPr>
        <w:pStyle w:val="Style26"/>
        <w:keepNext w:val="0"/>
        <w:keepLines w:val="0"/>
        <w:widowControl w:val="0"/>
        <w:shd w:val="clear" w:color="auto" w:fill="auto"/>
        <w:bidi w:val="0"/>
        <w:spacing w:before="0" w:after="140" w:line="322" w:lineRule="exact"/>
        <w:ind w:left="0" w:right="0"/>
        <w:jc w:val="both"/>
      </w:pPr>
      <w:r>
        <w:rPr>
          <w:color w:val="000000"/>
          <w:spacing w:val="0"/>
          <w:w w:val="100"/>
          <w:position w:val="0"/>
        </w:rPr>
        <w:t>公司采用在当前情况下适用并且有足够可利用数据和其他信息支持的估值技术确定相关金融资产和金融负债的公允价 值。公司将估值技术使用的输入值分以下层级，并依次使用：</w:t>
      </w:r>
    </w:p>
    <w:p>
      <w:pPr>
        <w:pStyle w:val="Style26"/>
        <w:keepNext w:val="0"/>
        <w:keepLines w:val="0"/>
        <w:widowControl w:val="0"/>
        <w:shd w:val="clear" w:color="auto" w:fill="auto"/>
        <w:tabs>
          <w:tab w:pos="769" w:val="left"/>
        </w:tabs>
        <w:bidi w:val="0"/>
        <w:spacing w:before="0" w:after="0" w:line="374" w:lineRule="auto"/>
        <w:ind w:left="0" w:right="0"/>
        <w:jc w:val="both"/>
      </w:pPr>
      <w:bookmarkStart w:id="808" w:name="bookmark808"/>
      <w:r>
        <w:rPr>
          <w:rFonts w:ascii="Times New Roman" w:eastAsia="Times New Roman" w:hAnsi="Times New Roman" w:cs="Times New Roman"/>
          <w:color w:val="000000"/>
          <w:spacing w:val="0"/>
          <w:w w:val="100"/>
          <w:position w:val="0"/>
          <w:sz w:val="18"/>
          <w:szCs w:val="18"/>
        </w:rPr>
        <w:t>（</w:t>
      </w:r>
      <w:bookmarkEnd w:id="808"/>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第一层次输入值是在计量日能够取得的相同资产或负债在活跃市场上未经调整的报价；</w:t>
      </w:r>
    </w:p>
    <w:p>
      <w:pPr>
        <w:pStyle w:val="Style26"/>
        <w:keepNext w:val="0"/>
        <w:keepLines w:val="0"/>
        <w:widowControl w:val="0"/>
        <w:shd w:val="clear" w:color="auto" w:fill="auto"/>
        <w:tabs>
          <w:tab w:pos="739" w:val="left"/>
        </w:tabs>
        <w:bidi w:val="0"/>
        <w:spacing w:before="0" w:after="0" w:line="322" w:lineRule="exact"/>
        <w:ind w:left="0" w:right="0"/>
        <w:jc w:val="both"/>
      </w:pPr>
      <w:bookmarkStart w:id="809" w:name="bookmark809"/>
      <w:r>
        <w:rPr>
          <w:rFonts w:ascii="Times New Roman" w:eastAsia="Times New Roman" w:hAnsi="Times New Roman" w:cs="Times New Roman"/>
          <w:color w:val="000000"/>
          <w:spacing w:val="0"/>
          <w:w w:val="100"/>
          <w:position w:val="0"/>
          <w:sz w:val="18"/>
          <w:szCs w:val="18"/>
        </w:rPr>
        <w:t>（</w:t>
      </w:r>
      <w:bookmarkEnd w:id="809"/>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第二层次输入值是除第一层次输入值外相关资产或负债直接或间接可观察的输入值，包括：活跃市场中类似资产或 负债的报价；非活跃市场中相同或类似资产或负债的报价；除报价以外的其他可观察输入值，如在正常报价间隔期间可观察 的利率和收益率曲线等；市场验证的输入值等；</w:t>
      </w:r>
    </w:p>
    <w:p>
      <w:pPr>
        <w:pStyle w:val="Style26"/>
        <w:keepNext w:val="0"/>
        <w:keepLines w:val="0"/>
        <w:widowControl w:val="0"/>
        <w:shd w:val="clear" w:color="auto" w:fill="auto"/>
        <w:tabs>
          <w:tab w:pos="744" w:val="left"/>
        </w:tabs>
        <w:bidi w:val="0"/>
        <w:spacing w:before="0" w:after="0" w:line="322" w:lineRule="exact"/>
        <w:ind w:left="0" w:right="0"/>
        <w:jc w:val="both"/>
      </w:pPr>
      <w:bookmarkStart w:id="810" w:name="bookmark810"/>
      <w:r>
        <w:rPr>
          <w:rFonts w:ascii="Times New Roman" w:eastAsia="Times New Roman" w:hAnsi="Times New Roman" w:cs="Times New Roman"/>
          <w:color w:val="000000"/>
          <w:spacing w:val="0"/>
          <w:w w:val="100"/>
          <w:position w:val="0"/>
          <w:sz w:val="18"/>
          <w:szCs w:val="18"/>
        </w:rPr>
        <w:t>（</w:t>
      </w:r>
      <w:bookmarkEnd w:id="810"/>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第三层次输入值是相关资产或负债的不可观察输入值，包括不能直接观察或无法由可观察市场数据验证的利率、股 票波动率、企业合并中承担的弃置义务的未来现金流量、使用自身数据作出的财务预测等。</w:t>
      </w:r>
    </w:p>
    <w:p>
      <w:pPr>
        <w:pStyle w:val="Style26"/>
        <w:keepNext w:val="0"/>
        <w:keepLines w:val="0"/>
        <w:widowControl w:val="0"/>
        <w:numPr>
          <w:ilvl w:val="0"/>
          <w:numId w:val="19"/>
        </w:numPr>
        <w:shd w:val="clear" w:color="auto" w:fill="auto"/>
        <w:tabs>
          <w:tab w:pos="682" w:val="left"/>
        </w:tabs>
        <w:bidi w:val="0"/>
        <w:spacing w:before="0" w:after="0" w:line="322" w:lineRule="exact"/>
        <w:ind w:left="0" w:right="0"/>
        <w:jc w:val="both"/>
      </w:pPr>
      <w:bookmarkStart w:id="811" w:name="bookmark811"/>
      <w:bookmarkEnd w:id="811"/>
      <w:r>
        <w:rPr>
          <w:color w:val="000000"/>
          <w:spacing w:val="0"/>
          <w:w w:val="100"/>
          <w:position w:val="0"/>
        </w:rPr>
        <w:t>金融工具减值</w:t>
      </w:r>
    </w:p>
    <w:p>
      <w:pPr>
        <w:pStyle w:val="Style26"/>
        <w:keepNext w:val="0"/>
        <w:keepLines w:val="0"/>
        <w:widowControl w:val="0"/>
        <w:shd w:val="clear" w:color="auto" w:fill="auto"/>
        <w:bidi w:val="0"/>
        <w:spacing w:before="0" w:after="0" w:line="314" w:lineRule="exact"/>
        <w:ind w:left="0" w:right="0"/>
        <w:jc w:val="both"/>
      </w:pPr>
      <w:bookmarkStart w:id="812" w:name="bookmark812"/>
      <w:r>
        <w:rPr>
          <w:rFonts w:ascii="Times New Roman" w:eastAsia="Times New Roman" w:hAnsi="Times New Roman" w:cs="Times New Roman"/>
          <w:color w:val="000000"/>
          <w:spacing w:val="0"/>
          <w:w w:val="100"/>
          <w:position w:val="0"/>
          <w:sz w:val="18"/>
          <w:szCs w:val="18"/>
        </w:rPr>
        <w:t>（</w:t>
      </w:r>
      <w:bookmarkEnd w:id="8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金融工具减值计量和会计处理</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公司以预期信用损失为基础，对以摊余成本计量的金融资产、以公允价值计量且其变动计入其他综合收益的债务工具投 资、合同资产、租赁应收款、分类为以公允价值计量且其变动计入当期损益的金融负债以外的贷款承诺、不属于以公允价值 计量且其变动计入当期损益的金融负债或不属于金融资产转移不符合终止确认条件或继续涉入被转移金融资产所形成的金 融负债的财务担保合同进行减值处理并确认损失准备。</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预期信用损失，是指以发生违约的风险为权重的金融工具信用损失的加权平均值。信用损失，是指公司按照原实际利率 </w:t>
      </w:r>
      <w:r>
        <w:rPr>
          <w:color w:val="000000"/>
          <w:spacing w:val="0"/>
          <w:w w:val="100"/>
          <w:position w:val="0"/>
        </w:rPr>
        <w:t>折现的、根据合同应收的所有合同现金流量与预期收取的所有现金流量之间的差额，即全部现金短缺的现值。其中，对于公 司购买或源生的已发生信用减值的金融资产，按照该金融资产经信用调整的实际利率折现。</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对于购买或源生的已发生信用减值的金融资产，公司在资产负债表日仅将自初始确认后整个存续期内预期信用损失的累 计变动确认为损失准备。</w:t>
      </w:r>
    </w:p>
    <w:p>
      <w:pPr>
        <w:pStyle w:val="Style26"/>
        <w:keepNext w:val="0"/>
        <w:keepLines w:val="0"/>
        <w:widowControl w:val="0"/>
        <w:shd w:val="clear" w:color="auto" w:fill="auto"/>
        <w:bidi w:val="0"/>
        <w:spacing w:before="0" w:after="0" w:line="326" w:lineRule="exact"/>
        <w:ind w:left="0" w:right="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号——收入》规范的交易形成，且不含重大融资成分或者公司不考虑不超过一年的合同中 的融资成分的应收款项及合同资产，公司运用简化计量方法，按照相当于整个存续期内的预期信用损失金额计量损失准备。</w:t>
      </w:r>
    </w:p>
    <w:p>
      <w:pPr>
        <w:pStyle w:val="Style26"/>
        <w:keepNext w:val="0"/>
        <w:keepLines w:val="0"/>
        <w:widowControl w:val="0"/>
        <w:shd w:val="clear" w:color="auto" w:fill="auto"/>
        <w:bidi w:val="0"/>
        <w:spacing w:before="0" w:after="0" w:line="326" w:lineRule="exact"/>
        <w:ind w:left="0" w:right="0"/>
        <w:jc w:val="both"/>
      </w:pPr>
      <w:r>
        <w:rPr>
          <w:color w:val="000000"/>
          <w:spacing w:val="0"/>
          <w:w w:val="100"/>
          <w:position w:val="0"/>
        </w:rPr>
        <w:t>对于租赁应收款、由《企业会计准则第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号——收入》规范的交易形成且包含重大融资成分的应收款项及合同资产， 公司运用简化计量方法，按照相当于整个存续期内的预期信用损失金额计量损失准备。</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除上述计量方法以外的金融资产，公司在每个资产负债表日评估其信用风险自初始确认后是否已经显著增加。如果信用 风险自初始确认后已显著增加，公司按照整个存续期内预期信用损失的金额计量损失准备；如果信用风险自初始确认后未显 著增加，公司按照该金融工具未来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公司利用可获得的合理且有依据的信息，包括前瞻性信息，通过比较金融工具在资产负债表日发生违约的风险与在初始 确认日发生违约的风险，以确定金融工具的信用风险自初始确认后是否已显著增加。</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于资产负债表日，若公司判断金融工具只具有较低的信用风险，则假定该金融工具的信用风险自初始确认后并未显著增 加。</w:t>
      </w:r>
    </w:p>
    <w:p>
      <w:pPr>
        <w:pStyle w:val="Style26"/>
        <w:keepNext w:val="0"/>
        <w:keepLines w:val="0"/>
        <w:widowControl w:val="0"/>
        <w:shd w:val="clear" w:color="auto" w:fill="auto"/>
        <w:bidi w:val="0"/>
        <w:spacing w:before="0" w:after="0" w:line="322" w:lineRule="exact"/>
        <w:ind w:left="0" w:right="0"/>
        <w:jc w:val="both"/>
      </w:pPr>
      <w:r>
        <w:rPr>
          <w:color w:val="000000"/>
          <w:spacing w:val="0"/>
          <w:w w:val="100"/>
          <w:position w:val="0"/>
        </w:rPr>
        <w:t>公司以单项金融工具或金融工具组合为基础评估预期信用风险和计量预期信用损失。当以金融工具组合为基础时，公司 以共同风险特征为依据，将金融工具划分为不同组合。</w:t>
      </w:r>
    </w:p>
    <w:p>
      <w:pPr>
        <w:pStyle w:val="Style26"/>
        <w:keepNext w:val="0"/>
        <w:keepLines w:val="0"/>
        <w:widowControl w:val="0"/>
        <w:shd w:val="clear" w:color="auto" w:fill="auto"/>
        <w:bidi w:val="0"/>
        <w:spacing w:before="0" w:after="100" w:line="319" w:lineRule="exact"/>
        <w:ind w:left="0" w:right="0"/>
        <w:jc w:val="both"/>
      </w:pPr>
      <w:r>
        <w:rPr>
          <w:color w:val="000000"/>
          <w:spacing w:val="0"/>
          <w:w w:val="100"/>
          <w:position w:val="0"/>
        </w:rPr>
        <w:t>公司在每个资产负债表日重新计量预期信用损失，由此形成的损失准备的增加或转回金额，作为减值损失或利得计入当 期损益。对于以摊余成本计量的金融资产，损失准备抵减该金融资产在资产负债表中列示的账面价值；对于以公允价值计量 且其变动计入其他综合收益的债权投资，公司在其他综合收益中确认其损失准备，不抵减该金融资产的账面价值。</w:t>
      </w:r>
    </w:p>
    <w:p>
      <w:pPr>
        <w:pStyle w:val="Style24"/>
        <w:keepNext w:val="0"/>
        <w:keepLines w:val="0"/>
        <w:widowControl w:val="0"/>
        <w:shd w:val="clear" w:color="auto" w:fill="auto"/>
        <w:bidi w:val="0"/>
        <w:spacing w:before="0" w:after="0" w:line="240" w:lineRule="auto"/>
        <w:ind w:left="365"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按组合评估预期信用风险和计量预期信用损失的金融工具</w:t>
      </w:r>
    </w:p>
    <w:tbl>
      <w:tblPr>
        <w:tblOverlap w:val="never"/>
        <w:jc w:val="left"/>
        <w:tblLayout w:type="fixed"/>
      </w:tblPr>
      <w:tblGrid>
        <w:gridCol w:w="2894"/>
        <w:gridCol w:w="2794"/>
        <w:gridCol w:w="2870"/>
      </w:tblGrid>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计量预期信用损失的方法</w:t>
            </w:r>
          </w:p>
        </w:tc>
      </w:tr>
      <w:tr>
        <w:trPr>
          <w:trHeight w:val="739" w:hRule="exact"/>
        </w:trPr>
        <w:tc>
          <w:tcPr>
            <w:tcBorders>
              <w:top w:val="single" w:sz="4"/>
            </w:tcBorders>
            <w:shd w:val="clear" w:color="auto" w:fill="FFFFFF"/>
            <w:vAlign w:val="center"/>
          </w:tcPr>
          <w:p>
            <w:pPr>
              <w:pStyle w:val="Style2"/>
              <w:keepNext w:val="0"/>
              <w:keepLines w:val="0"/>
              <w:widowControl w:val="0"/>
              <w:shd w:val="clear" w:color="auto" w:fill="auto"/>
              <w:tabs>
                <w:tab w:leader="hyphen" w:pos="1633" w:val="left"/>
              </w:tabs>
              <w:bidi w:val="0"/>
              <w:spacing w:before="0" w:after="120" w:line="240" w:lineRule="auto"/>
              <w:ind w:left="0" w:right="0"/>
              <w:jc w:val="left"/>
            </w:pPr>
            <w:r>
              <w:rPr>
                <w:color w:val="000000"/>
                <w:spacing w:val="0"/>
                <w:w w:val="100"/>
                <w:position w:val="0"/>
              </w:rPr>
              <w:t>其他应收款</w:t>
              <w:tab/>
              <w:t>应收增值税退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税款组合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60"/>
              <w:jc w:val="left"/>
            </w:pPr>
            <w:r>
              <w:rPr>
                <w:color w:val="000000"/>
                <w:spacing w:val="0"/>
                <w:w w:val="100"/>
                <w:position w:val="0"/>
              </w:rPr>
              <w:t>款项性质</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参考历史信用损失经验，结合当 前状况以及对未来经济状况的预测， 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或整个存续期预期信用损失率，计算 预期信用损失</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r>
              <w:rPr>
                <w:color w:val="000000"/>
                <w:spacing w:val="0"/>
                <w:w w:val="100"/>
                <w:position w:val="0"/>
              </w:rPr>
              <w:t>一</w:t>
            </w:r>
            <w:r>
              <w:rPr>
                <w:color w:val="000000"/>
                <w:spacing w:val="0"/>
                <w:w w:val="100"/>
                <w:position w:val="0"/>
              </w:rPr>
              <w:t>账龄组合</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账龄</w:t>
            </w:r>
          </w:p>
        </w:tc>
        <w:tc>
          <w:tcPr>
            <w:vMerge/>
            <w:tcBorders>
              <w:left w:val="single" w:sz="4"/>
              <w:right w:val="single" w:sz="4"/>
            </w:tcBorders>
            <w:shd w:val="clear" w:color="auto" w:fill="FFFFFF"/>
            <w:vAlign w:val="center"/>
          </w:tcPr>
          <w:p>
            <w:pPr/>
          </w:p>
        </w:tc>
      </w:tr>
      <w:tr>
        <w:trPr>
          <w:trHeight w:val="51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r>
              <w:rPr>
                <w:color w:val="000000"/>
                <w:spacing w:val="0"/>
                <w:w w:val="100"/>
                <w:position w:val="0"/>
              </w:rPr>
              <w:t>一</w:t>
            </w:r>
            <w:r>
              <w:rPr>
                <w:color w:val="000000"/>
                <w:spacing w:val="0"/>
                <w:w w:val="100"/>
                <w:position w:val="0"/>
              </w:rPr>
              <w:t>账龄组合</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按组合计量预期信用损失的应收款项及合同资产</w:t>
      </w:r>
    </w:p>
    <w:p>
      <w:pPr>
        <w:pStyle w:val="Style24"/>
        <w:keepNext w:val="0"/>
        <w:keepLines w:val="0"/>
        <w:widowControl w:val="0"/>
        <w:shd w:val="clear" w:color="auto" w:fill="auto"/>
        <w:bidi w:val="0"/>
        <w:spacing w:before="0" w:after="0" w:line="240" w:lineRule="auto"/>
        <w:ind w:left="365"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具体组合及计量预期信用损失的方法</w:t>
      </w:r>
    </w:p>
    <w:tbl>
      <w:tblPr>
        <w:tblOverlap w:val="never"/>
        <w:jc w:val="left"/>
        <w:tblLayout w:type="fixed"/>
      </w:tblPr>
      <w:tblGrid>
        <w:gridCol w:w="3254"/>
        <w:gridCol w:w="2434"/>
        <w:gridCol w:w="2870"/>
      </w:tblGrid>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计量预期信用损失的方法</w:t>
            </w:r>
          </w:p>
        </w:tc>
      </w:tr>
      <w:tr>
        <w:trPr>
          <w:trHeight w:val="1363" w:hRule="exact"/>
        </w:trPr>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jc w:val="left"/>
            </w:pPr>
            <w:r>
              <w:rPr>
                <w:color w:val="000000"/>
                <w:spacing w:val="0"/>
                <w:w w:val="100"/>
                <w:position w:val="0"/>
              </w:rPr>
              <w:t>应收票据一银行承兑汇票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60"/>
              <w:jc w:val="left"/>
            </w:pPr>
            <w:r>
              <w:rPr>
                <w:color w:val="000000"/>
                <w:spacing w:val="0"/>
                <w:w w:val="100"/>
                <w:position w:val="0"/>
              </w:rPr>
              <w:t>票据类型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参考历史信用损失经验，结合当 前状况以及对未来经济状况的预测， 通过违约风险敞口和整个存续期预 期信用损失率，计算预期信用损失</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应收账款一账龄组合</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账龄</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参考历史信用损失经验，结合当 前状况以及对未来经济状况的预测， 编制应收账款账龄与整个存续期预 期信用损失率对照表，计算预期信用 损失</w:t>
            </w:r>
          </w:p>
        </w:tc>
      </w:tr>
      <w:tr>
        <w:trPr>
          <w:trHeight w:val="1258"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jc w:val="left"/>
            </w:pPr>
            <w:r>
              <w:rPr>
                <w:color w:val="000000"/>
                <w:spacing w:val="0"/>
                <w:w w:val="100"/>
                <w:position w:val="0"/>
              </w:rPr>
              <w:t>应收票据一商业承兑汇票</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pStyle w:val="Style24"/>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应收账款一账龄组合、应收票据一商业承兑汇票的账龄与整个存续期预期信用损失率对照表</w:t>
      </w:r>
    </w:p>
    <w:p>
      <w:pPr>
        <w:widowControl w:val="0"/>
        <w:spacing w:line="1" w:lineRule="exact"/>
      </w:pPr>
    </w:p>
    <w:tbl>
      <w:tblPr>
        <w:tblOverlap w:val="never"/>
        <w:jc w:val="left"/>
        <w:tblLayout w:type="fixed"/>
      </w:tblPr>
      <w:tblGrid>
        <w:gridCol w:w="4526"/>
        <w:gridCol w:w="2002"/>
        <w:gridCol w:w="2035"/>
      </w:tblGrid>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560"/>
              <w:jc w:val="left"/>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应收账款</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预期信用损失率</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应收票据</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预期信用损失率</w:t>
            </w: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4"/>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金融资产和金融负债的抵销</w:t>
      </w:r>
    </w:p>
    <w:p>
      <w:pPr>
        <w:pStyle w:val="Style26"/>
        <w:keepNext w:val="0"/>
        <w:keepLines w:val="0"/>
        <w:widowControl w:val="0"/>
        <w:shd w:val="clear" w:color="auto" w:fill="auto"/>
        <w:bidi w:val="0"/>
        <w:spacing w:before="0" w:after="380" w:line="317" w:lineRule="exact"/>
        <w:ind w:left="0" w:right="0"/>
        <w:jc w:val="left"/>
      </w:pPr>
      <w:r>
        <w:rPr>
          <w:color w:val="000000"/>
          <w:spacing w:val="0"/>
          <w:w w:val="100"/>
          <w:position w:val="0"/>
        </w:rPr>
        <w:t>金融资产和金融负债在资产负债表内分别列示，不相互抵销。但同时满足下列条件的，公司以相互抵销后的净额在资产 负债表内列示：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公司具有抵销已确认金额的法定权利，且该种法定权利是当前可执行的；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公司计划以净额结算，或 同时变现该金融资产和清偿该金融负债。</w:t>
      </w:r>
    </w:p>
    <w:p>
      <w:pPr>
        <w:pStyle w:val="Style30"/>
        <w:keepNext/>
        <w:keepLines/>
        <w:widowControl w:val="0"/>
        <w:shd w:val="clear" w:color="auto" w:fill="auto"/>
        <w:tabs>
          <w:tab w:pos="574" w:val="left"/>
        </w:tabs>
        <w:bidi w:val="0"/>
        <w:spacing w:before="0" w:after="38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0</w:t>
      </w:r>
      <w:r>
        <w:rPr>
          <w:color w:val="000000"/>
          <w:spacing w:val="0"/>
          <w:w w:val="100"/>
          <w:position w:val="0"/>
        </w:rPr>
        <w:t>、</w:t>
        <w:tab/>
        <w:t>存货</w:t>
      </w:r>
      <w:bookmarkEnd w:id="813"/>
      <w:bookmarkEnd w:id="814"/>
      <w:bookmarkEnd w:id="816"/>
    </w:p>
    <w:p>
      <w:pPr>
        <w:pStyle w:val="Style26"/>
        <w:keepNext w:val="0"/>
        <w:keepLines w:val="0"/>
        <w:widowControl w:val="0"/>
        <w:numPr>
          <w:ilvl w:val="0"/>
          <w:numId w:val="23"/>
        </w:numPr>
        <w:shd w:val="clear" w:color="auto" w:fill="auto"/>
        <w:bidi w:val="0"/>
        <w:spacing w:before="0" w:after="0" w:line="360" w:lineRule="auto"/>
        <w:ind w:left="0" w:right="0" w:firstLine="860"/>
        <w:jc w:val="both"/>
      </w:pPr>
      <w:bookmarkStart w:id="817" w:name="bookmark817"/>
      <w:bookmarkEnd w:id="817"/>
      <w:r>
        <w:rPr>
          <w:color w:val="000000"/>
          <w:spacing w:val="0"/>
          <w:w w:val="100"/>
          <w:position w:val="0"/>
        </w:rPr>
        <w:t>存货的分类</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存货包括在日常活动中持有以备出售的产成品或商品、处于开发过程中的软件产品或施工过程中的系统集成工程，在生 产过程或提供劳务过程中耗用的材料和物料等。</w:t>
      </w:r>
    </w:p>
    <w:p>
      <w:pPr>
        <w:pStyle w:val="Style26"/>
        <w:keepNext w:val="0"/>
        <w:keepLines w:val="0"/>
        <w:widowControl w:val="0"/>
        <w:numPr>
          <w:ilvl w:val="0"/>
          <w:numId w:val="23"/>
        </w:numPr>
        <w:shd w:val="clear" w:color="auto" w:fill="auto"/>
        <w:tabs>
          <w:tab w:pos="700" w:val="left"/>
        </w:tabs>
        <w:bidi w:val="0"/>
        <w:spacing w:before="0" w:after="0" w:line="360" w:lineRule="auto"/>
        <w:ind w:left="0" w:right="0"/>
        <w:jc w:val="both"/>
      </w:pPr>
      <w:bookmarkStart w:id="818" w:name="bookmark818"/>
      <w:bookmarkEnd w:id="818"/>
      <w:r>
        <w:rPr>
          <w:color w:val="000000"/>
          <w:spacing w:val="0"/>
          <w:w w:val="100"/>
          <w:position w:val="0"/>
        </w:rPr>
        <w:t>发出存货的计价方法</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发出存货采用个别计价法。</w:t>
      </w:r>
    </w:p>
    <w:p>
      <w:pPr>
        <w:pStyle w:val="Style26"/>
        <w:keepNext w:val="0"/>
        <w:keepLines w:val="0"/>
        <w:widowControl w:val="0"/>
        <w:numPr>
          <w:ilvl w:val="0"/>
          <w:numId w:val="23"/>
        </w:numPr>
        <w:shd w:val="clear" w:color="auto" w:fill="auto"/>
        <w:tabs>
          <w:tab w:pos="700" w:val="left"/>
        </w:tabs>
        <w:bidi w:val="0"/>
        <w:spacing w:before="0" w:after="0" w:line="360" w:lineRule="auto"/>
        <w:ind w:left="0" w:right="0"/>
        <w:jc w:val="both"/>
      </w:pPr>
      <w:bookmarkStart w:id="819" w:name="bookmark819"/>
      <w:bookmarkEnd w:id="819"/>
      <w:r>
        <w:rPr>
          <w:color w:val="000000"/>
          <w:spacing w:val="0"/>
          <w:w w:val="100"/>
          <w:position w:val="0"/>
        </w:rPr>
        <w:t>存货可变现净值的确定依据</w:t>
      </w:r>
    </w:p>
    <w:p>
      <w:pPr>
        <w:pStyle w:val="Style26"/>
        <w:keepNext w:val="0"/>
        <w:keepLines w:val="0"/>
        <w:widowControl w:val="0"/>
        <w:shd w:val="clear" w:color="auto" w:fill="auto"/>
        <w:bidi w:val="0"/>
        <w:spacing w:before="0" w:after="140" w:line="313" w:lineRule="exact"/>
        <w:ind w:left="0" w:right="0"/>
        <w:jc w:val="both"/>
      </w:pPr>
      <w:r>
        <w:rPr>
          <w:color w:val="000000"/>
          <w:spacing w:val="0"/>
          <w:w w:val="100"/>
          <w:position w:val="0"/>
        </w:rPr>
        <w:t>资产负债表日，存货采用成本与可变现净值孰低计量，按照单个存货成本高于可变现净值的差额计提存货跌价准备。直 接用于出售的存货，在正常生产经营过程中以该存货的估计售价减去估计的销售费用和相关税费后的金额确定其可变现净 值；需要经过加工的存货，在正常生产经营过程中以所生产的产成品的估计售价减去至完工时估计将要发生的成本、估计的 销售费用和相关税费后的金额确定其可变现净值；资产负债表日，同一项存货中一部分有合同价格约定、其他部分不存在合 同价格的，分别确定其可变现净值，并与其对应的成本进行比较，分别确定存货跌价准备的计提或转回的金额。</w:t>
      </w:r>
    </w:p>
    <w:p>
      <w:pPr>
        <w:pStyle w:val="Style26"/>
        <w:keepNext w:val="0"/>
        <w:keepLines w:val="0"/>
        <w:widowControl w:val="0"/>
        <w:numPr>
          <w:ilvl w:val="0"/>
          <w:numId w:val="23"/>
        </w:numPr>
        <w:shd w:val="clear" w:color="auto" w:fill="auto"/>
        <w:tabs>
          <w:tab w:pos="700" w:val="left"/>
        </w:tabs>
        <w:bidi w:val="0"/>
        <w:spacing w:before="0" w:after="0" w:line="360" w:lineRule="auto"/>
        <w:ind w:left="0" w:right="0"/>
        <w:jc w:val="both"/>
      </w:pPr>
      <w:bookmarkStart w:id="820" w:name="bookmark820"/>
      <w:bookmarkEnd w:id="820"/>
      <w:r>
        <w:rPr>
          <w:color w:val="000000"/>
          <w:spacing w:val="0"/>
          <w:w w:val="100"/>
          <w:position w:val="0"/>
        </w:rPr>
        <w:t>存货的盘存制度</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存货的盘存制度为永续盘存制。</w:t>
      </w:r>
    </w:p>
    <w:p>
      <w:pPr>
        <w:pStyle w:val="Style26"/>
        <w:keepNext w:val="0"/>
        <w:keepLines w:val="0"/>
        <w:widowControl w:val="0"/>
        <w:numPr>
          <w:ilvl w:val="0"/>
          <w:numId w:val="23"/>
        </w:numPr>
        <w:shd w:val="clear" w:color="auto" w:fill="auto"/>
        <w:tabs>
          <w:tab w:pos="700" w:val="left"/>
        </w:tabs>
        <w:bidi w:val="0"/>
        <w:spacing w:before="0" w:after="0" w:line="360" w:lineRule="auto"/>
        <w:ind w:left="0" w:right="0"/>
        <w:jc w:val="both"/>
      </w:pPr>
      <w:bookmarkStart w:id="821" w:name="bookmark821"/>
      <w:bookmarkEnd w:id="821"/>
      <w:r>
        <w:rPr>
          <w:color w:val="000000"/>
          <w:spacing w:val="0"/>
          <w:w w:val="100"/>
          <w:position w:val="0"/>
        </w:rPr>
        <w:t>低值易耗品和包装物的摊销方法</w:t>
      </w:r>
    </w:p>
    <w:p>
      <w:pPr>
        <w:pStyle w:val="Style26"/>
        <w:keepNext w:val="0"/>
        <w:keepLines w:val="0"/>
        <w:widowControl w:val="0"/>
        <w:shd w:val="clear" w:color="auto" w:fill="auto"/>
        <w:tabs>
          <w:tab w:pos="786" w:val="left"/>
        </w:tabs>
        <w:bidi w:val="0"/>
        <w:spacing w:before="0" w:after="0" w:line="360" w:lineRule="auto"/>
        <w:ind w:left="0" w:right="0"/>
        <w:jc w:val="both"/>
      </w:pPr>
      <w:bookmarkStart w:id="822" w:name="bookmark822"/>
      <w:r>
        <w:rPr>
          <w:rFonts w:ascii="Times New Roman" w:eastAsia="Times New Roman" w:hAnsi="Times New Roman" w:cs="Times New Roman"/>
          <w:color w:val="000000"/>
          <w:spacing w:val="0"/>
          <w:w w:val="100"/>
          <w:position w:val="0"/>
          <w:sz w:val="18"/>
          <w:szCs w:val="18"/>
        </w:rPr>
        <w:t>（</w:t>
      </w:r>
      <w:bookmarkEnd w:id="822"/>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低值易耗品</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按照使用一次转销法进行摊销。</w:t>
      </w:r>
    </w:p>
    <w:p>
      <w:pPr>
        <w:pStyle w:val="Style26"/>
        <w:keepNext w:val="0"/>
        <w:keepLines w:val="0"/>
        <w:widowControl w:val="0"/>
        <w:shd w:val="clear" w:color="auto" w:fill="auto"/>
        <w:tabs>
          <w:tab w:pos="786" w:val="left"/>
        </w:tabs>
        <w:bidi w:val="0"/>
        <w:spacing w:before="0" w:after="0" w:line="360" w:lineRule="auto"/>
        <w:ind w:left="0" w:right="0"/>
        <w:jc w:val="both"/>
      </w:pPr>
      <w:bookmarkStart w:id="823" w:name="bookmark823"/>
      <w:r>
        <w:rPr>
          <w:rFonts w:ascii="Times New Roman" w:eastAsia="Times New Roman" w:hAnsi="Times New Roman" w:cs="Times New Roman"/>
          <w:color w:val="000000"/>
          <w:spacing w:val="0"/>
          <w:w w:val="100"/>
          <w:position w:val="0"/>
          <w:sz w:val="18"/>
          <w:szCs w:val="18"/>
        </w:rPr>
        <w:t>（</w:t>
      </w:r>
      <w:bookmarkEnd w:id="823"/>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包装物</w:t>
      </w:r>
    </w:p>
    <w:p>
      <w:pPr>
        <w:pStyle w:val="Style26"/>
        <w:keepNext w:val="0"/>
        <w:keepLines w:val="0"/>
        <w:widowControl w:val="0"/>
        <w:shd w:val="clear" w:color="auto" w:fill="auto"/>
        <w:bidi w:val="0"/>
        <w:spacing w:before="0" w:after="380" w:line="317" w:lineRule="exact"/>
        <w:ind w:left="0" w:right="0"/>
        <w:jc w:val="both"/>
      </w:pPr>
      <w:r>
        <w:rPr>
          <w:color w:val="000000"/>
          <w:spacing w:val="0"/>
          <w:w w:val="100"/>
          <w:position w:val="0"/>
        </w:rPr>
        <w:t>按照一次转销法进行摊销。</w:t>
      </w:r>
    </w:p>
    <w:p>
      <w:pPr>
        <w:pStyle w:val="Style30"/>
        <w:keepNext/>
        <w:keepLines/>
        <w:widowControl w:val="0"/>
        <w:shd w:val="clear" w:color="auto" w:fill="auto"/>
        <w:tabs>
          <w:tab w:pos="574" w:val="left"/>
        </w:tabs>
        <w:bidi w:val="0"/>
        <w:spacing w:before="0" w:after="26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1</w:t>
      </w:r>
      <w:r>
        <w:rPr>
          <w:color w:val="000000"/>
          <w:spacing w:val="0"/>
          <w:w w:val="100"/>
          <w:position w:val="0"/>
        </w:rPr>
        <w:t>、</w:t>
        <w:tab/>
        <w:t>合同资产</w:t>
      </w:r>
      <w:bookmarkEnd w:id="824"/>
      <w:bookmarkEnd w:id="825"/>
      <w:bookmarkEnd w:id="827"/>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公司根据履行履约义务与客户付款之间的关系在资产负债表中列示合同资产或合同负债。公司将同一合同下的合同资产 和合同负债相互抵销后以净额列示。</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公司将拥有的、无条件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向客户收取对价的权利作为应收款项列示，将已向客户转让商品而有权 收取对价的权利（该权利取决于时间流逝之外的其他因素）作为合同资产列示。</w:t>
      </w:r>
    </w:p>
    <w:p>
      <w:pPr>
        <w:pStyle w:val="Style30"/>
        <w:keepNext/>
        <w:keepLines/>
        <w:widowControl w:val="0"/>
        <w:shd w:val="clear" w:color="auto" w:fill="auto"/>
        <w:tabs>
          <w:tab w:pos="433" w:val="left"/>
        </w:tabs>
        <w:bidi w:val="0"/>
        <w:spacing w:before="0" w:after="28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2</w:t>
      </w:r>
      <w:r>
        <w:rPr>
          <w:color w:val="000000"/>
          <w:spacing w:val="0"/>
          <w:w w:val="100"/>
          <w:position w:val="0"/>
        </w:rPr>
        <w:t>、</w:t>
        <w:tab/>
        <w:t>合同成本</w:t>
      </w:r>
      <w:bookmarkEnd w:id="828"/>
      <w:bookmarkEnd w:id="829"/>
      <w:bookmarkEnd w:id="831"/>
    </w:p>
    <w:p>
      <w:pPr>
        <w:pStyle w:val="Style26"/>
        <w:keepNext w:val="0"/>
        <w:keepLines w:val="0"/>
        <w:widowControl w:val="0"/>
        <w:shd w:val="clear" w:color="auto" w:fill="auto"/>
        <w:bidi w:val="0"/>
        <w:spacing w:before="0" w:after="0" w:line="314" w:lineRule="exact"/>
        <w:ind w:left="0" w:right="0"/>
        <w:jc w:val="left"/>
      </w:pPr>
      <w:r>
        <w:rPr>
          <w:color w:val="000000"/>
          <w:spacing w:val="0"/>
          <w:w w:val="100"/>
          <w:position w:val="0"/>
        </w:rPr>
        <w:t>与合同成本有关的资产包括合同取得成本和合同履约成本。</w:t>
      </w:r>
    </w:p>
    <w:p>
      <w:pPr>
        <w:pStyle w:val="Style26"/>
        <w:keepNext w:val="0"/>
        <w:keepLines w:val="0"/>
        <w:widowControl w:val="0"/>
        <w:shd w:val="clear" w:color="auto" w:fill="auto"/>
        <w:bidi w:val="0"/>
        <w:spacing w:before="0" w:after="0" w:line="312" w:lineRule="exact"/>
        <w:ind w:left="0" w:right="0"/>
        <w:jc w:val="left"/>
      </w:pPr>
      <w:r>
        <w:rPr>
          <w:color w:val="000000"/>
          <w:spacing w:val="0"/>
          <w:w w:val="100"/>
          <w:position w:val="0"/>
        </w:rPr>
        <w:t>公司为取得合同发生的增量成本预期能够收回的，作为合同取得成本确认为一项资产。如果合同取得成本的摊销期限不 超过一年，在发生时直接计入当期损益。</w:t>
      </w:r>
    </w:p>
    <w:p>
      <w:pPr>
        <w:pStyle w:val="Style26"/>
        <w:keepNext w:val="0"/>
        <w:keepLines w:val="0"/>
        <w:widowControl w:val="0"/>
        <w:shd w:val="clear" w:color="auto" w:fill="auto"/>
        <w:bidi w:val="0"/>
        <w:spacing w:before="0" w:after="0" w:line="317" w:lineRule="exact"/>
        <w:ind w:left="0" w:right="0"/>
        <w:jc w:val="left"/>
      </w:pPr>
      <w:r>
        <w:rPr>
          <w:color w:val="000000"/>
          <w:spacing w:val="0"/>
          <w:w w:val="100"/>
          <w:position w:val="0"/>
        </w:rPr>
        <w:t>公司为履行合同发生的成本，不适用存货、固定资产或无形资产等相关准则的规范范围且同时满足下列条件的，作为合 同履约成本确认为一项资产：</w:t>
      </w:r>
    </w:p>
    <w:p>
      <w:pPr>
        <w:pStyle w:val="Style26"/>
        <w:keepNext w:val="0"/>
        <w:keepLines w:val="0"/>
        <w:widowControl w:val="0"/>
        <w:numPr>
          <w:ilvl w:val="0"/>
          <w:numId w:val="25"/>
        </w:numPr>
        <w:shd w:val="clear" w:color="auto" w:fill="auto"/>
        <w:tabs>
          <w:tab w:pos="630" w:val="left"/>
        </w:tabs>
        <w:bidi w:val="0"/>
        <w:spacing w:before="0" w:after="0" w:line="346" w:lineRule="exact"/>
        <w:ind w:left="0" w:right="0"/>
        <w:jc w:val="left"/>
      </w:pPr>
      <w:bookmarkStart w:id="832" w:name="bookmark832"/>
      <w:bookmarkEnd w:id="832"/>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26"/>
        <w:keepNext w:val="0"/>
        <w:keepLines w:val="0"/>
        <w:widowControl w:val="0"/>
        <w:numPr>
          <w:ilvl w:val="0"/>
          <w:numId w:val="25"/>
        </w:numPr>
        <w:shd w:val="clear" w:color="auto" w:fill="auto"/>
        <w:tabs>
          <w:tab w:pos="660" w:val="left"/>
        </w:tabs>
        <w:bidi w:val="0"/>
        <w:spacing w:before="0" w:after="0" w:line="346" w:lineRule="exact"/>
        <w:ind w:left="0" w:right="0"/>
        <w:jc w:val="left"/>
      </w:pPr>
      <w:bookmarkStart w:id="833" w:name="bookmark833"/>
      <w:bookmarkEnd w:id="833"/>
      <w:r>
        <w:rPr>
          <w:color w:val="000000"/>
          <w:spacing w:val="0"/>
          <w:w w:val="100"/>
          <w:position w:val="0"/>
        </w:rPr>
        <w:t>该成本增加了公司未来用于履行履约义务的资源；</w:t>
      </w:r>
    </w:p>
    <w:p>
      <w:pPr>
        <w:pStyle w:val="Style26"/>
        <w:keepNext w:val="0"/>
        <w:keepLines w:val="0"/>
        <w:widowControl w:val="0"/>
        <w:numPr>
          <w:ilvl w:val="0"/>
          <w:numId w:val="25"/>
        </w:numPr>
        <w:shd w:val="clear" w:color="auto" w:fill="auto"/>
        <w:tabs>
          <w:tab w:pos="660" w:val="left"/>
        </w:tabs>
        <w:bidi w:val="0"/>
        <w:spacing w:before="0" w:after="0" w:line="346" w:lineRule="exact"/>
        <w:ind w:left="0" w:right="0"/>
        <w:jc w:val="left"/>
      </w:pPr>
      <w:bookmarkStart w:id="834" w:name="bookmark834"/>
      <w:bookmarkEnd w:id="834"/>
      <w:r>
        <w:rPr>
          <w:color w:val="000000"/>
          <w:spacing w:val="0"/>
          <w:w w:val="100"/>
          <w:position w:val="0"/>
        </w:rPr>
        <w:t>该成本预期能够收回。</w:t>
      </w:r>
    </w:p>
    <w:p>
      <w:pPr>
        <w:pStyle w:val="Style26"/>
        <w:keepNext w:val="0"/>
        <w:keepLines w:val="0"/>
        <w:widowControl w:val="0"/>
        <w:shd w:val="clear" w:color="auto" w:fill="auto"/>
        <w:bidi w:val="0"/>
        <w:spacing w:before="0" w:after="0" w:line="346" w:lineRule="exact"/>
        <w:ind w:left="0" w:right="0"/>
        <w:jc w:val="left"/>
      </w:pPr>
      <w:r>
        <w:rPr>
          <w:color w:val="000000"/>
          <w:spacing w:val="0"/>
          <w:w w:val="100"/>
          <w:position w:val="0"/>
        </w:rPr>
        <w:t>公司对于与合同成本有关的资产采用与该资产相关的商品或服务收入确认相同的基础进行摊销，计入当期损益。</w:t>
      </w:r>
    </w:p>
    <w:p>
      <w:pPr>
        <w:pStyle w:val="Style26"/>
        <w:keepNext w:val="0"/>
        <w:keepLines w:val="0"/>
        <w:widowControl w:val="0"/>
        <w:shd w:val="clear" w:color="auto" w:fill="auto"/>
        <w:bidi w:val="0"/>
        <w:spacing w:before="0" w:after="380" w:line="312" w:lineRule="exact"/>
        <w:ind w:left="0" w:right="0"/>
        <w:jc w:val="left"/>
      </w:pPr>
      <w:r>
        <w:rPr>
          <w:color w:val="000000"/>
          <w:spacing w:val="0"/>
          <w:w w:val="100"/>
          <w:position w:val="0"/>
        </w:rPr>
        <w:t>如果与合同成本有关的资产的账面价值高于因转让与该资产相关的商品或服务预期能够取得的剩余对价减去估计将要 发生的成本，公司对超出部分计提减值准备，并确认为资产减值损失。以前期间减值的因素之后发生变化，使得转让该资产 相关的商品或服务预期能够取得的剩余对价减去估计将要发生的成本高于该资产账面价值的，转回原已计提的资产减值准 备，并计入当期损益，但转回后的资产账面价值不超过假定不计提减值准备情况下该资产在转回日的账面价值。</w:t>
      </w:r>
    </w:p>
    <w:p>
      <w:pPr>
        <w:pStyle w:val="Style30"/>
        <w:keepNext/>
        <w:keepLines/>
        <w:widowControl w:val="0"/>
        <w:shd w:val="clear" w:color="auto" w:fill="auto"/>
        <w:tabs>
          <w:tab w:pos="433" w:val="left"/>
        </w:tabs>
        <w:bidi w:val="0"/>
        <w:spacing w:before="0" w:after="280" w:line="240" w:lineRule="auto"/>
        <w:ind w:left="0" w:right="0" w:firstLine="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w:t>
      </w:r>
      <w:bookmarkEnd w:id="835"/>
      <w:bookmarkEnd w:id="836"/>
      <w:bookmarkEnd w:id="838"/>
    </w:p>
    <w:p>
      <w:pPr>
        <w:pStyle w:val="Style26"/>
        <w:keepNext w:val="0"/>
        <w:keepLines w:val="0"/>
        <w:widowControl w:val="0"/>
        <w:numPr>
          <w:ilvl w:val="0"/>
          <w:numId w:val="27"/>
        </w:numPr>
        <w:shd w:val="clear" w:color="auto" w:fill="auto"/>
        <w:tabs>
          <w:tab w:pos="641" w:val="left"/>
        </w:tabs>
        <w:bidi w:val="0"/>
        <w:spacing w:before="0" w:after="0" w:line="314" w:lineRule="exact"/>
        <w:ind w:left="0" w:right="0"/>
        <w:jc w:val="both"/>
      </w:pPr>
      <w:bookmarkStart w:id="839" w:name="bookmark839"/>
      <w:bookmarkEnd w:id="839"/>
      <w:r>
        <w:rPr>
          <w:color w:val="000000"/>
          <w:spacing w:val="0"/>
          <w:w w:val="100"/>
          <w:position w:val="0"/>
        </w:rPr>
        <w:t>共同控制、重大影响的判断</w:t>
      </w:r>
    </w:p>
    <w:p>
      <w:pPr>
        <w:pStyle w:val="Style26"/>
        <w:keepNext w:val="0"/>
        <w:keepLines w:val="0"/>
        <w:widowControl w:val="0"/>
        <w:shd w:val="clear" w:color="auto" w:fill="auto"/>
        <w:bidi w:val="0"/>
        <w:spacing w:before="0" w:after="0" w:line="314" w:lineRule="exact"/>
        <w:ind w:left="0" w:right="0"/>
        <w:jc w:val="left"/>
      </w:pPr>
      <w:r>
        <w:rPr>
          <w:color w:val="000000"/>
          <w:spacing w:val="0"/>
          <w:w w:val="100"/>
          <w:position w:val="0"/>
        </w:rPr>
        <w:t>按照相关约定对某项安排存在共有的控制，并且该安排的相关活动必须经过分享控制权的参与方一致同意后才能决策， 认定为共同控制。对被投资单位的财务和经营政策有参与决策的权力，但并不能够控制或者与其他方一起共同控制这些政策 的制定，认定为重大影响。</w:t>
      </w:r>
    </w:p>
    <w:p>
      <w:pPr>
        <w:pStyle w:val="Style26"/>
        <w:keepNext w:val="0"/>
        <w:keepLines w:val="0"/>
        <w:widowControl w:val="0"/>
        <w:numPr>
          <w:ilvl w:val="0"/>
          <w:numId w:val="27"/>
        </w:numPr>
        <w:shd w:val="clear" w:color="auto" w:fill="auto"/>
        <w:tabs>
          <w:tab w:pos="660" w:val="left"/>
        </w:tabs>
        <w:bidi w:val="0"/>
        <w:spacing w:before="0" w:after="0" w:line="314" w:lineRule="exact"/>
        <w:ind w:left="0" w:right="0"/>
        <w:jc w:val="both"/>
      </w:pPr>
      <w:bookmarkStart w:id="840" w:name="bookmark840"/>
      <w:bookmarkEnd w:id="840"/>
      <w:r>
        <w:rPr>
          <w:color w:val="000000"/>
          <w:spacing w:val="0"/>
          <w:w w:val="100"/>
          <w:position w:val="0"/>
        </w:rPr>
        <w:t>投资成本的确定</w:t>
      </w:r>
    </w:p>
    <w:p>
      <w:pPr>
        <w:pStyle w:val="Style26"/>
        <w:keepNext w:val="0"/>
        <w:keepLines w:val="0"/>
        <w:widowControl w:val="0"/>
        <w:numPr>
          <w:ilvl w:val="0"/>
          <w:numId w:val="29"/>
        </w:numPr>
        <w:shd w:val="clear" w:color="auto" w:fill="auto"/>
        <w:tabs>
          <w:tab w:pos="726" w:val="left"/>
        </w:tabs>
        <w:bidi w:val="0"/>
        <w:spacing w:before="0" w:after="0" w:line="315" w:lineRule="exact"/>
        <w:ind w:left="0" w:right="0"/>
        <w:jc w:val="both"/>
      </w:pPr>
      <w:bookmarkStart w:id="841" w:name="bookmark841"/>
      <w:bookmarkEnd w:id="841"/>
      <w:r>
        <w:rPr>
          <w:color w:val="000000"/>
          <w:spacing w:val="0"/>
          <w:w w:val="100"/>
          <w:position w:val="0"/>
        </w:rPr>
        <w:t>同一控制下的企业合并形成的，合并方以支付现金、转让非现金资产、承担债务或发行权益性证券作为合并对价的， 在合并日按照取得被合并方所有者权益在最终控制方合并财务报表中的账面价值的份额作为其初始投资成本。长期股权投资 初始投资成本与支付的合并对价的账面价值或发行股份的面值总额之间的差额调整资本公积；资本公积不足冲减的，调整留 存收益。</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的，在合并日，根据合并后应享有被合并方 净资产在最终控制方合并财务报表中的账面价值的份额确定初始投资成本。合并日长期股权投资的初始投资成本，与达到合 并前的长期股权投资账面价值加上合并日进一步取得股份新支付对价的账面价值之和的差额，调整资本公积；资本公积不足 冲减的，调整留存收益。</w:t>
      </w:r>
    </w:p>
    <w:p>
      <w:pPr>
        <w:pStyle w:val="Style26"/>
        <w:keepNext w:val="0"/>
        <w:keepLines w:val="0"/>
        <w:widowControl w:val="0"/>
        <w:numPr>
          <w:ilvl w:val="0"/>
          <w:numId w:val="29"/>
        </w:numPr>
        <w:shd w:val="clear" w:color="auto" w:fill="auto"/>
        <w:tabs>
          <w:tab w:pos="746" w:val="left"/>
        </w:tabs>
        <w:bidi w:val="0"/>
        <w:spacing w:before="0" w:after="0" w:line="314" w:lineRule="exact"/>
        <w:ind w:left="0" w:right="0"/>
        <w:jc w:val="both"/>
      </w:pPr>
      <w:bookmarkStart w:id="842" w:name="bookmark842"/>
      <w:bookmarkEnd w:id="842"/>
      <w:r>
        <w:rPr>
          <w:color w:val="000000"/>
          <w:spacing w:val="0"/>
          <w:w w:val="100"/>
          <w:position w:val="0"/>
        </w:rPr>
        <w:t>非同一控制下的企业合并形成的，在购买日按照支付的合并对价的公允价值作为其初始投资成本。</w:t>
      </w:r>
    </w:p>
    <w:p>
      <w:pPr>
        <w:pStyle w:val="Style26"/>
        <w:keepNext w:val="0"/>
        <w:keepLines w:val="0"/>
        <w:widowControl w:val="0"/>
        <w:shd w:val="clear" w:color="auto" w:fill="auto"/>
        <w:bidi w:val="0"/>
        <w:spacing w:before="0" w:after="60" w:line="307" w:lineRule="exact"/>
        <w:ind w:left="0" w:right="0"/>
        <w:jc w:val="both"/>
      </w:pPr>
      <w:r>
        <w:rPr>
          <w:color w:val="000000"/>
          <w:spacing w:val="0"/>
          <w:w w:val="100"/>
          <w:position w:val="0"/>
        </w:rPr>
        <w:t>公司通过多次交易分步实现非同一控制下企业合并形成的长期股权投资，区分个别财务报表和合并财务报表进行相关会 计处理：</w:t>
      </w:r>
    </w:p>
    <w:p>
      <w:pPr>
        <w:pStyle w:val="Style26"/>
        <w:keepNext w:val="0"/>
        <w:keepLines w:val="0"/>
        <w:widowControl w:val="0"/>
        <w:numPr>
          <w:ilvl w:val="0"/>
          <w:numId w:val="31"/>
        </w:numPr>
        <w:shd w:val="clear" w:color="auto" w:fill="auto"/>
        <w:tabs>
          <w:tab w:pos="659" w:val="left"/>
        </w:tabs>
        <w:bidi w:val="0"/>
        <w:spacing w:before="0" w:after="0" w:line="302" w:lineRule="exact"/>
        <w:ind w:left="0" w:right="0"/>
        <w:jc w:val="both"/>
      </w:pPr>
      <w:bookmarkStart w:id="843" w:name="bookmark843"/>
      <w:bookmarkEnd w:id="843"/>
      <w:r>
        <w:rPr>
          <w:color w:val="000000"/>
          <w:spacing w:val="0"/>
          <w:w w:val="100"/>
          <w:position w:val="0"/>
        </w:rPr>
        <w:t>在个别财务报表中，按照原持有的股权投资的账面价值加上新增投资成本之和，作为改按成本法核算的初始投资成 本。</w:t>
      </w:r>
    </w:p>
    <w:p>
      <w:pPr>
        <w:pStyle w:val="Style26"/>
        <w:keepNext w:val="0"/>
        <w:keepLines w:val="0"/>
        <w:widowControl w:val="0"/>
        <w:numPr>
          <w:ilvl w:val="0"/>
          <w:numId w:val="31"/>
        </w:numPr>
        <w:shd w:val="clear" w:color="auto" w:fill="auto"/>
        <w:tabs>
          <w:tab w:pos="659" w:val="left"/>
        </w:tabs>
        <w:bidi w:val="0"/>
        <w:spacing w:before="0" w:after="0" w:line="314" w:lineRule="exact"/>
        <w:ind w:left="0" w:right="0"/>
        <w:jc w:val="both"/>
      </w:pPr>
      <w:bookmarkStart w:id="844" w:name="bookmark844"/>
      <w:bookmarkEnd w:id="844"/>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的，把各项交易作为一项取得控制权的交易进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的，对于购买日之前持有的被购买方的股权，按照该股权在购买日的公允价值进行重新计 量，公允价值与其账面价值的差额计入当期投资收益；购买日之前持有的被购买方的股权涉及权益法核算下的其他综合收益 等的，与其相关的其他综合收益等转为购买日所属当期收益。但由于被投资方重新计量设定受益计划净负债或净资产变动而 产生的其他综合收益除外。</w:t>
      </w:r>
    </w:p>
    <w:p>
      <w:pPr>
        <w:pStyle w:val="Style26"/>
        <w:keepNext w:val="0"/>
        <w:keepLines w:val="0"/>
        <w:widowControl w:val="0"/>
        <w:numPr>
          <w:ilvl w:val="0"/>
          <w:numId w:val="29"/>
        </w:numPr>
        <w:shd w:val="clear" w:color="auto" w:fill="auto"/>
        <w:bidi w:val="0"/>
        <w:spacing w:before="0" w:after="0" w:line="317" w:lineRule="exact"/>
        <w:ind w:left="0" w:right="0"/>
        <w:jc w:val="both"/>
      </w:pPr>
      <w:bookmarkStart w:id="845" w:name="bookmark845"/>
      <w:bookmarkEnd w:id="845"/>
      <w:r>
        <w:rPr>
          <w:color w:val="000000"/>
          <w:spacing w:val="0"/>
          <w:w w:val="100"/>
          <w:position w:val="0"/>
        </w:rPr>
        <w:t>除企业合并形成以外的：以支付现金取得的，按照实际支付的购买价款作为其初始投资成本；以发行权益性证券取 得的，按照发行权益性证券的公允价值作为其初始投资成本；以债务重组方式取得的，按《企业会计准则第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 重组》确定其初始投资成本；以非货币性资产交换取得的，按《企业会计准则第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号——非货币性资产交换》确定其初始投 资成本。</w:t>
      </w:r>
    </w:p>
    <w:p>
      <w:pPr>
        <w:pStyle w:val="Style26"/>
        <w:keepNext w:val="0"/>
        <w:keepLines w:val="0"/>
        <w:widowControl w:val="0"/>
        <w:numPr>
          <w:ilvl w:val="0"/>
          <w:numId w:val="27"/>
        </w:numPr>
        <w:shd w:val="clear" w:color="auto" w:fill="auto"/>
        <w:tabs>
          <w:tab w:pos="680" w:val="left"/>
        </w:tabs>
        <w:bidi w:val="0"/>
        <w:spacing w:before="0" w:after="0" w:line="317" w:lineRule="exact"/>
        <w:ind w:left="0" w:right="0"/>
        <w:jc w:val="both"/>
      </w:pPr>
      <w:bookmarkStart w:id="846" w:name="bookmark846"/>
      <w:bookmarkEnd w:id="846"/>
      <w:r>
        <w:rPr>
          <w:color w:val="000000"/>
          <w:spacing w:val="0"/>
          <w:w w:val="100"/>
          <w:position w:val="0"/>
        </w:rPr>
        <w:t>后续计量及损益确认方法</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对被投资单位实施控制的长期股权投资采用成本法核算；对联营企业和合营企业的长期股权投资，采用权益法核算。</w:t>
      </w:r>
    </w:p>
    <w:p>
      <w:pPr>
        <w:pStyle w:val="Style26"/>
        <w:keepNext w:val="0"/>
        <w:keepLines w:val="0"/>
        <w:widowControl w:val="0"/>
        <w:numPr>
          <w:ilvl w:val="0"/>
          <w:numId w:val="27"/>
        </w:numPr>
        <w:shd w:val="clear" w:color="auto" w:fill="auto"/>
        <w:tabs>
          <w:tab w:pos="690" w:val="left"/>
        </w:tabs>
        <w:bidi w:val="0"/>
        <w:spacing w:before="0" w:after="140" w:line="317" w:lineRule="exact"/>
        <w:ind w:left="0" w:right="0"/>
        <w:jc w:val="both"/>
      </w:pPr>
      <w:bookmarkStart w:id="847" w:name="bookmark847"/>
      <w:bookmarkEnd w:id="847"/>
      <w:r>
        <w:rPr>
          <w:color w:val="000000"/>
          <w:spacing w:val="0"/>
          <w:w w:val="100"/>
          <w:position w:val="0"/>
        </w:rPr>
        <w:t>通过多次交易分步处置对子公司投资至丧失控制权的处理方法</w:t>
      </w:r>
    </w:p>
    <w:p>
      <w:pPr>
        <w:pStyle w:val="Style26"/>
        <w:keepNext w:val="0"/>
        <w:keepLines w:val="0"/>
        <w:widowControl w:val="0"/>
        <w:numPr>
          <w:ilvl w:val="0"/>
          <w:numId w:val="33"/>
        </w:numPr>
        <w:shd w:val="clear" w:color="auto" w:fill="auto"/>
        <w:tabs>
          <w:tab w:pos="776" w:val="left"/>
        </w:tabs>
        <w:bidi w:val="0"/>
        <w:spacing w:before="0" w:after="0" w:line="360" w:lineRule="auto"/>
        <w:ind w:left="0" w:right="0"/>
        <w:jc w:val="left"/>
      </w:pPr>
      <w:bookmarkStart w:id="848" w:name="bookmark848"/>
      <w:bookmarkEnd w:id="848"/>
      <w:r>
        <w:rPr>
          <w:color w:val="000000"/>
          <w:spacing w:val="0"/>
          <w:w w:val="100"/>
          <w:position w:val="0"/>
        </w:rPr>
        <w:t>个别财务报表</w:t>
      </w:r>
    </w:p>
    <w:p>
      <w:pPr>
        <w:pStyle w:val="Style26"/>
        <w:keepNext w:val="0"/>
        <w:keepLines w:val="0"/>
        <w:widowControl w:val="0"/>
        <w:shd w:val="clear" w:color="auto" w:fill="auto"/>
        <w:bidi w:val="0"/>
        <w:spacing w:before="0" w:after="140" w:line="307" w:lineRule="exact"/>
        <w:ind w:left="0" w:right="0"/>
        <w:jc w:val="left"/>
      </w:pPr>
      <w:r>
        <w:rPr>
          <w:color w:val="000000"/>
          <w:spacing w:val="0"/>
          <w:w w:val="100"/>
          <w:position w:val="0"/>
        </w:rPr>
        <w:t>对处置的股权，其账面价值与实际取得价款之间的差额，计入当期损益。对于剩余股权，对被投资单位仍具有重大影响 或者与其他方一起实施共同控制的，转为权益法核算；不能再对被投资单位实施控制、共同控制或重大影响的，按照《企业 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号——金融工具确认和计量》的相关规定进行核算。</w:t>
      </w:r>
    </w:p>
    <w:p>
      <w:pPr>
        <w:pStyle w:val="Style26"/>
        <w:keepNext w:val="0"/>
        <w:keepLines w:val="0"/>
        <w:widowControl w:val="0"/>
        <w:numPr>
          <w:ilvl w:val="0"/>
          <w:numId w:val="33"/>
        </w:numPr>
        <w:shd w:val="clear" w:color="auto" w:fill="auto"/>
        <w:tabs>
          <w:tab w:pos="776" w:val="left"/>
        </w:tabs>
        <w:bidi w:val="0"/>
        <w:spacing w:before="0" w:after="0" w:line="360" w:lineRule="auto"/>
        <w:ind w:left="0" w:right="0"/>
        <w:jc w:val="left"/>
      </w:pPr>
      <w:bookmarkStart w:id="849" w:name="bookmark849"/>
      <w:bookmarkEnd w:id="849"/>
      <w:r>
        <w:rPr>
          <w:color w:val="000000"/>
          <w:spacing w:val="0"/>
          <w:w w:val="100"/>
          <w:position w:val="0"/>
        </w:rPr>
        <w:t>合并财务报表</w:t>
      </w:r>
    </w:p>
    <w:p>
      <w:pPr>
        <w:pStyle w:val="Style26"/>
        <w:keepNext w:val="0"/>
        <w:keepLines w:val="0"/>
        <w:widowControl w:val="0"/>
        <w:numPr>
          <w:ilvl w:val="0"/>
          <w:numId w:val="35"/>
        </w:numPr>
        <w:shd w:val="clear" w:color="auto" w:fill="auto"/>
        <w:tabs>
          <w:tab w:pos="700" w:val="left"/>
        </w:tabs>
        <w:bidi w:val="0"/>
        <w:spacing w:before="0" w:after="0" w:line="317" w:lineRule="exact"/>
        <w:ind w:left="0" w:right="0"/>
        <w:jc w:val="left"/>
      </w:pPr>
      <w:bookmarkStart w:id="850" w:name="bookmark850"/>
      <w:bookmarkEnd w:id="850"/>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26"/>
        <w:keepNext w:val="0"/>
        <w:keepLines w:val="0"/>
        <w:widowControl w:val="0"/>
        <w:shd w:val="clear" w:color="auto" w:fill="auto"/>
        <w:bidi w:val="0"/>
        <w:spacing w:before="0" w:after="0" w:line="317" w:lineRule="exact"/>
        <w:ind w:left="0" w:right="0"/>
        <w:jc w:val="left"/>
      </w:pPr>
      <w:r>
        <w:rPr>
          <w:color w:val="000000"/>
          <w:spacing w:val="0"/>
          <w:w w:val="100"/>
          <w:position w:val="0"/>
        </w:rPr>
        <w:t>在丧失控制权之前，处置价款与处置长期股权投资相对应享有子公司自购买日或合并日开始持续计算的净资产份额之间 的差额，调整资本公积(资本溢价)，资本溢价不足冲减的，冲减留存收益。</w:t>
      </w:r>
    </w:p>
    <w:p>
      <w:pPr>
        <w:pStyle w:val="Style26"/>
        <w:keepNext w:val="0"/>
        <w:keepLines w:val="0"/>
        <w:widowControl w:val="0"/>
        <w:shd w:val="clear" w:color="auto" w:fill="auto"/>
        <w:bidi w:val="0"/>
        <w:spacing w:before="0" w:after="0" w:line="315" w:lineRule="exact"/>
        <w:ind w:left="0" w:right="0"/>
        <w:jc w:val="left"/>
      </w:pPr>
      <w:r>
        <w:rPr>
          <w:color w:val="000000"/>
          <w:spacing w:val="0"/>
          <w:w w:val="100"/>
          <w:position w:val="0"/>
        </w:rPr>
        <w:t>丧失对原子公司控制权时，对于剩余股权，按照其在丧失控制权日的公允价值进行重新计量。处置股权取得的对价与剩 余股权公允价值之和，减去按原持股比例计算应享有原有子公司自购买日或合并日开始持续计算的净资产的份额之间的差 额，计入丧失控制权当期的投资收益，同时冲减商誉。与原有子公司股权投资相关的其他综合收益等，应当在丧失控制权时 转为当期投资收益。</w:t>
      </w:r>
    </w:p>
    <w:p>
      <w:pPr>
        <w:pStyle w:val="Style26"/>
        <w:keepNext w:val="0"/>
        <w:keepLines w:val="0"/>
        <w:widowControl w:val="0"/>
        <w:numPr>
          <w:ilvl w:val="0"/>
          <w:numId w:val="35"/>
        </w:numPr>
        <w:shd w:val="clear" w:color="auto" w:fill="auto"/>
        <w:tabs>
          <w:tab w:pos="719" w:val="left"/>
        </w:tabs>
        <w:bidi w:val="0"/>
        <w:spacing w:before="0" w:after="0" w:line="317" w:lineRule="exact"/>
        <w:ind w:left="0" w:right="0"/>
        <w:jc w:val="left"/>
      </w:pPr>
      <w:bookmarkStart w:id="851" w:name="bookmark851"/>
      <w:bookmarkEnd w:id="851"/>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26"/>
        <w:keepNext w:val="0"/>
        <w:keepLines w:val="0"/>
        <w:widowControl w:val="0"/>
        <w:shd w:val="clear" w:color="auto" w:fill="auto"/>
        <w:bidi w:val="0"/>
        <w:spacing w:before="0" w:after="380" w:line="314" w:lineRule="exact"/>
        <w:ind w:left="0" w:right="0"/>
        <w:jc w:val="left"/>
      </w:pPr>
      <w:r>
        <w:rPr>
          <w:color w:val="000000"/>
          <w:spacing w:val="0"/>
          <w:w w:val="100"/>
          <w:position w:val="0"/>
        </w:rPr>
        <w:t>将各项交易作为一项处置子公司并丧失控制权的交易进行会计处理。但是，在丧失控制权之前每一次处置价款与处置投 资对应的享有该子公司净资产份额的差额，在合并财务报表中确认为其他综合收益，在丧失控制权时一并转入丧失控制权当 期的损益。</w:t>
      </w:r>
    </w:p>
    <w:p>
      <w:pPr>
        <w:pStyle w:val="Style30"/>
        <w:keepNext/>
        <w:keepLines/>
        <w:widowControl w:val="0"/>
        <w:shd w:val="clear" w:color="auto" w:fill="auto"/>
        <w:tabs>
          <w:tab w:pos="464" w:val="left"/>
        </w:tabs>
        <w:bidi w:val="0"/>
        <w:spacing w:before="0" w:after="26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852"/>
      <w:bookmarkEnd w:id="853"/>
      <w:bookmarkEnd w:id="855"/>
    </w:p>
    <w:p>
      <w:pPr>
        <w:pStyle w:val="Style26"/>
        <w:keepNext w:val="0"/>
        <w:keepLines w:val="0"/>
        <w:widowControl w:val="0"/>
        <w:shd w:val="clear" w:color="auto" w:fill="auto"/>
        <w:bidi w:val="0"/>
        <w:spacing w:before="0" w:after="0" w:line="353" w:lineRule="exact"/>
        <w:ind w:left="0" w:right="0" w:firstLine="0"/>
        <w:jc w:val="left"/>
      </w:pPr>
      <w:r>
        <w:rPr>
          <w:color w:val="000000"/>
          <w:spacing w:val="0"/>
          <w:w w:val="100"/>
          <w:position w:val="0"/>
        </w:rPr>
        <w:t>投资性房地产计量模式 成本法计量 折旧或摊销方法</w:t>
      </w:r>
    </w:p>
    <w:p>
      <w:pPr>
        <w:pStyle w:val="Style26"/>
        <w:keepNext w:val="0"/>
        <w:keepLines w:val="0"/>
        <w:widowControl w:val="0"/>
        <w:numPr>
          <w:ilvl w:val="0"/>
          <w:numId w:val="37"/>
        </w:numPr>
        <w:shd w:val="clear" w:color="auto" w:fill="auto"/>
        <w:tabs>
          <w:tab w:pos="671" w:val="left"/>
        </w:tabs>
        <w:bidi w:val="0"/>
        <w:spacing w:before="0" w:after="0" w:line="353" w:lineRule="exact"/>
        <w:ind w:left="0" w:right="0"/>
        <w:jc w:val="left"/>
      </w:pPr>
      <w:bookmarkStart w:id="856" w:name="bookmark856"/>
      <w:bookmarkEnd w:id="856"/>
      <w:r>
        <w:rPr>
          <w:color w:val="000000"/>
          <w:spacing w:val="0"/>
          <w:w w:val="100"/>
          <w:position w:val="0"/>
        </w:rPr>
        <w:t>投资性房地产包括已出租的土地使用权、持有并准备增值后转让的土地使用权和已出租的建筑物。</w:t>
      </w:r>
    </w:p>
    <w:p>
      <w:pPr>
        <w:pStyle w:val="Style26"/>
        <w:keepNext w:val="0"/>
        <w:keepLines w:val="0"/>
        <w:widowControl w:val="0"/>
        <w:numPr>
          <w:ilvl w:val="0"/>
          <w:numId w:val="37"/>
        </w:numPr>
        <w:shd w:val="clear" w:color="auto" w:fill="auto"/>
        <w:tabs>
          <w:tab w:pos="660" w:val="left"/>
        </w:tabs>
        <w:bidi w:val="0"/>
        <w:spacing w:before="0" w:after="380" w:line="326" w:lineRule="exact"/>
        <w:ind w:left="0" w:right="0"/>
        <w:jc w:val="left"/>
      </w:pPr>
      <w:bookmarkStart w:id="857" w:name="bookmark857"/>
      <w:bookmarkEnd w:id="857"/>
      <w:r>
        <w:rPr>
          <w:color w:val="000000"/>
          <w:spacing w:val="0"/>
          <w:w w:val="100"/>
          <w:position w:val="0"/>
        </w:rPr>
        <w:t>投资性房地产按照成本进行初始计量，采用成本模式进行后续计量，并采用与固定资产和无形资产相同的方法计提 折旧或进行摊销。</w:t>
      </w:r>
    </w:p>
    <w:p>
      <w:pPr>
        <w:pStyle w:val="Style30"/>
        <w:keepNext/>
        <w:keepLines/>
        <w:widowControl w:val="0"/>
        <w:shd w:val="clear" w:color="auto" w:fill="auto"/>
        <w:tabs>
          <w:tab w:pos="464" w:val="left"/>
        </w:tabs>
        <w:bidi w:val="0"/>
        <w:spacing w:before="0" w:after="380" w:line="240" w:lineRule="auto"/>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858"/>
      <w:bookmarkEnd w:id="859"/>
      <w:bookmarkEnd w:id="861"/>
    </w:p>
    <w:p>
      <w:pPr>
        <w:pStyle w:val="Style37"/>
        <w:keepNext/>
        <w:keepLines/>
        <w:widowControl w:val="0"/>
        <w:numPr>
          <w:ilvl w:val="0"/>
          <w:numId w:val="39"/>
        </w:numPr>
        <w:shd w:val="clear" w:color="auto" w:fill="auto"/>
        <w:bidi w:val="0"/>
        <w:spacing w:before="0" w:after="260" w:line="240" w:lineRule="auto"/>
        <w:ind w:left="0" w:right="0" w:firstLine="0"/>
        <w:jc w:val="both"/>
      </w:pPr>
      <w:bookmarkStart w:id="862" w:name="bookmark862"/>
      <w:bookmarkStart w:id="863" w:name="bookmark863"/>
      <w:bookmarkStart w:id="864" w:name="bookmark864"/>
      <w:bookmarkStart w:id="865" w:name="bookmark865"/>
      <w:bookmarkEnd w:id="864"/>
      <w:r>
        <w:rPr>
          <w:color w:val="000000"/>
          <w:spacing w:val="0"/>
          <w:w w:val="100"/>
          <w:position w:val="0"/>
        </w:rPr>
        <w:t>确认条件</w:t>
      </w:r>
      <w:bookmarkEnd w:id="862"/>
      <w:bookmarkEnd w:id="863"/>
      <w:bookmarkEnd w:id="865"/>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固定资产是指为生产商品、提供劳务、出租或经营管理而持有的，使用年限超过一个会计年度的有形资产。固定资产在同时 满足经济利益很可能流入、成本能够可靠计量时予以确认。</w:t>
      </w:r>
    </w:p>
    <w:p>
      <w:pPr>
        <w:pStyle w:val="Style37"/>
        <w:keepNext/>
        <w:keepLines/>
        <w:widowControl w:val="0"/>
        <w:numPr>
          <w:ilvl w:val="0"/>
          <w:numId w:val="39"/>
        </w:numPr>
        <w:shd w:val="clear" w:color="auto" w:fill="auto"/>
        <w:bidi w:val="0"/>
        <w:spacing w:before="0" w:after="300" w:line="240" w:lineRule="auto"/>
        <w:ind w:left="0" w:right="0" w:firstLine="140"/>
        <w:jc w:val="both"/>
      </w:pPr>
      <w:bookmarkStart w:id="866" w:name="bookmark866"/>
      <w:bookmarkStart w:id="867" w:name="bookmark867"/>
      <w:bookmarkStart w:id="868" w:name="bookmark868"/>
      <w:bookmarkStart w:id="869" w:name="bookmark869"/>
      <w:bookmarkEnd w:id="868"/>
      <w:r>
        <w:rPr>
          <w:color w:val="000000"/>
          <w:spacing w:val="0"/>
          <w:w w:val="100"/>
          <w:position w:val="0"/>
        </w:rPr>
        <w:t>折旧方法</w:t>
      </w:r>
      <w:bookmarkEnd w:id="866"/>
      <w:bookmarkEnd w:id="867"/>
      <w:bookmarkEnd w:id="869"/>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99" w:line="1" w:lineRule="exact"/>
      </w:pPr>
    </w:p>
    <w:p>
      <w:pPr>
        <w:pStyle w:val="Style37"/>
        <w:keepNext/>
        <w:keepLines/>
        <w:widowControl w:val="0"/>
        <w:numPr>
          <w:ilvl w:val="0"/>
          <w:numId w:val="39"/>
        </w:numPr>
        <w:shd w:val="clear" w:color="auto" w:fill="auto"/>
        <w:bidi w:val="0"/>
        <w:spacing w:before="0" w:after="300" w:line="302" w:lineRule="exact"/>
        <w:ind w:left="0" w:right="0" w:firstLine="0"/>
        <w:jc w:val="both"/>
      </w:pPr>
      <w:bookmarkStart w:id="870" w:name="bookmark870"/>
      <w:bookmarkStart w:id="871" w:name="bookmark871"/>
      <w:bookmarkStart w:id="872" w:name="bookmark872"/>
      <w:bookmarkStart w:id="873" w:name="bookmark873"/>
      <w:bookmarkEnd w:id="872"/>
      <w:r>
        <w:rPr>
          <w:color w:val="000000"/>
          <w:spacing w:val="0"/>
          <w:w w:val="100"/>
          <w:position w:val="0"/>
        </w:rPr>
        <w:t>融资租入固定资产的认定依据、计价和折旧方法</w:t>
      </w:r>
      <w:bookmarkEnd w:id="870"/>
      <w:bookmarkEnd w:id="871"/>
      <w:bookmarkEnd w:id="873"/>
    </w:p>
    <w:p>
      <w:pPr>
        <w:pStyle w:val="Style26"/>
        <w:keepNext w:val="0"/>
        <w:keepLines w:val="0"/>
        <w:widowControl w:val="0"/>
        <w:shd w:val="clear" w:color="auto" w:fill="auto"/>
        <w:bidi w:val="0"/>
        <w:spacing w:before="0" w:after="300" w:line="324" w:lineRule="exact"/>
        <w:ind w:left="0" w:right="0" w:firstLine="0"/>
        <w:jc w:val="both"/>
      </w:pPr>
      <w:r>
        <w:rPr>
          <w:color w:val="000000"/>
          <w:spacing w:val="0"/>
          <w:w w:val="100"/>
          <w:position w:val="0"/>
        </w:rPr>
        <w:t>无</w:t>
      </w:r>
    </w:p>
    <w:p>
      <w:pPr>
        <w:pStyle w:val="Style30"/>
        <w:keepNext/>
        <w:keepLines/>
        <w:widowControl w:val="0"/>
        <w:shd w:val="clear" w:color="auto" w:fill="auto"/>
        <w:tabs>
          <w:tab w:pos="580" w:val="left"/>
        </w:tabs>
        <w:bidi w:val="0"/>
        <w:spacing w:before="0" w:after="300" w:line="302" w:lineRule="exact"/>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874"/>
      <w:bookmarkEnd w:id="875"/>
      <w:bookmarkEnd w:id="877"/>
    </w:p>
    <w:p>
      <w:pPr>
        <w:pStyle w:val="Style26"/>
        <w:keepNext w:val="0"/>
        <w:keepLines w:val="0"/>
        <w:widowControl w:val="0"/>
        <w:numPr>
          <w:ilvl w:val="0"/>
          <w:numId w:val="41"/>
        </w:numPr>
        <w:shd w:val="clear" w:color="auto" w:fill="auto"/>
        <w:tabs>
          <w:tab w:pos="670" w:val="left"/>
        </w:tabs>
        <w:bidi w:val="0"/>
        <w:spacing w:before="0" w:after="0" w:line="324" w:lineRule="exact"/>
        <w:ind w:left="0" w:right="0"/>
        <w:jc w:val="both"/>
      </w:pPr>
      <w:bookmarkStart w:id="878" w:name="bookmark878"/>
      <w:bookmarkEnd w:id="878"/>
      <w:r>
        <w:rPr>
          <w:color w:val="000000"/>
          <w:spacing w:val="0"/>
          <w:w w:val="100"/>
          <w:position w:val="0"/>
        </w:rPr>
        <w:t>在建工程同时满足经济利益很可能流入、成本能够可靠计量则予以确认。在建工程按建造该项资产达到预定可使用状 态前所发生的实际成本计量。</w:t>
      </w:r>
    </w:p>
    <w:p>
      <w:pPr>
        <w:pStyle w:val="Style26"/>
        <w:keepNext w:val="0"/>
        <w:keepLines w:val="0"/>
        <w:widowControl w:val="0"/>
        <w:numPr>
          <w:ilvl w:val="0"/>
          <w:numId w:val="41"/>
        </w:numPr>
        <w:shd w:val="clear" w:color="auto" w:fill="auto"/>
        <w:tabs>
          <w:tab w:pos="666" w:val="left"/>
        </w:tabs>
        <w:bidi w:val="0"/>
        <w:spacing w:before="0" w:after="300" w:line="324" w:lineRule="exact"/>
        <w:ind w:left="0" w:right="0"/>
        <w:jc w:val="both"/>
      </w:pPr>
      <w:bookmarkStart w:id="879" w:name="bookmark879"/>
      <w:bookmarkEnd w:id="879"/>
      <w:r>
        <w:rPr>
          <w:color w:val="000000"/>
          <w:spacing w:val="0"/>
          <w:w w:val="100"/>
          <w:position w:val="0"/>
        </w:rPr>
        <w:t>在建工程达到预定可使用状态时，按工程实际成本转入固定资产。已达到预定可使用状态但尚未办理竣工决算的，先 按估计价值转入固定资产，待办理竣工决算后再按实际成本调整原暂估价值，但不再调整原已计提的折旧。</w:t>
      </w:r>
    </w:p>
    <w:p>
      <w:pPr>
        <w:pStyle w:val="Style30"/>
        <w:keepNext/>
        <w:keepLines/>
        <w:widowControl w:val="0"/>
        <w:shd w:val="clear" w:color="auto" w:fill="auto"/>
        <w:tabs>
          <w:tab w:pos="580" w:val="left"/>
        </w:tabs>
        <w:bidi w:val="0"/>
        <w:spacing w:before="0" w:after="400" w:line="302" w:lineRule="exact"/>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80"/>
      <w:bookmarkEnd w:id="881"/>
      <w:bookmarkEnd w:id="883"/>
    </w:p>
    <w:p>
      <w:pPr>
        <w:pStyle w:val="Style26"/>
        <w:keepNext w:val="0"/>
        <w:keepLines w:val="0"/>
        <w:widowControl w:val="0"/>
        <w:numPr>
          <w:ilvl w:val="0"/>
          <w:numId w:val="43"/>
        </w:numPr>
        <w:shd w:val="clear" w:color="auto" w:fill="auto"/>
        <w:tabs>
          <w:tab w:pos="681" w:val="left"/>
        </w:tabs>
        <w:bidi w:val="0"/>
        <w:spacing w:before="0" w:after="0" w:line="377" w:lineRule="auto"/>
        <w:ind w:left="0" w:right="0"/>
        <w:jc w:val="both"/>
      </w:pPr>
      <w:bookmarkStart w:id="884" w:name="bookmark884"/>
      <w:bookmarkEnd w:id="884"/>
      <w:r>
        <w:rPr>
          <w:color w:val="000000"/>
          <w:spacing w:val="0"/>
          <w:w w:val="100"/>
          <w:position w:val="0"/>
        </w:rPr>
        <w:t>借款费用资本化的确认原则</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公司发生的借款费用，可直接归属于符合资本化条件的资产的购建或者生产的，予以资本化，计入相关资产成本；其他 借款费用，在发生时确认为费用，计入当期损益。</w:t>
      </w:r>
    </w:p>
    <w:p>
      <w:pPr>
        <w:pStyle w:val="Style26"/>
        <w:keepNext w:val="0"/>
        <w:keepLines w:val="0"/>
        <w:widowControl w:val="0"/>
        <w:numPr>
          <w:ilvl w:val="0"/>
          <w:numId w:val="43"/>
        </w:numPr>
        <w:shd w:val="clear" w:color="auto" w:fill="auto"/>
        <w:tabs>
          <w:tab w:pos="700" w:val="left"/>
        </w:tabs>
        <w:bidi w:val="0"/>
        <w:spacing w:before="0" w:after="0" w:line="382" w:lineRule="auto"/>
        <w:ind w:left="0" w:right="0"/>
        <w:jc w:val="both"/>
      </w:pPr>
      <w:bookmarkStart w:id="885" w:name="bookmark885"/>
      <w:bookmarkEnd w:id="885"/>
      <w:r>
        <w:rPr>
          <w:color w:val="000000"/>
          <w:spacing w:val="0"/>
          <w:w w:val="100"/>
          <w:position w:val="0"/>
        </w:rPr>
        <w:t>借款费用资本化期间</w:t>
      </w:r>
    </w:p>
    <w:p>
      <w:pPr>
        <w:pStyle w:val="Style26"/>
        <w:keepNext w:val="0"/>
        <w:keepLines w:val="0"/>
        <w:widowControl w:val="0"/>
        <w:numPr>
          <w:ilvl w:val="0"/>
          <w:numId w:val="45"/>
        </w:numPr>
        <w:shd w:val="clear" w:color="auto" w:fill="auto"/>
        <w:tabs>
          <w:tab w:pos="757" w:val="left"/>
        </w:tabs>
        <w:bidi w:val="0"/>
        <w:spacing w:before="0" w:after="0" w:line="329" w:lineRule="exact"/>
        <w:ind w:left="0" w:right="0"/>
        <w:jc w:val="both"/>
      </w:pPr>
      <w:bookmarkStart w:id="886" w:name="bookmark886"/>
      <w:bookmarkEnd w:id="886"/>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为使资产达到预 定可使用或可销售状态所必要的购建或者生产活动已经开始。</w:t>
      </w:r>
    </w:p>
    <w:p>
      <w:pPr>
        <w:pStyle w:val="Style26"/>
        <w:keepNext w:val="0"/>
        <w:keepLines w:val="0"/>
        <w:widowControl w:val="0"/>
        <w:numPr>
          <w:ilvl w:val="0"/>
          <w:numId w:val="45"/>
        </w:numPr>
        <w:shd w:val="clear" w:color="auto" w:fill="auto"/>
        <w:tabs>
          <w:tab w:pos="757" w:val="left"/>
        </w:tabs>
        <w:bidi w:val="0"/>
        <w:spacing w:before="0" w:after="0" w:line="329" w:lineRule="exact"/>
        <w:ind w:left="0" w:right="0"/>
        <w:jc w:val="both"/>
      </w:pPr>
      <w:bookmarkStart w:id="887" w:name="bookmark887"/>
      <w:bookmarkEnd w:id="887"/>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 资本化；中断期间发生的借款费用确认为当期费用，直至资产的购建或者生产活动重新开始。</w:t>
      </w:r>
    </w:p>
    <w:p>
      <w:pPr>
        <w:pStyle w:val="Style26"/>
        <w:keepNext w:val="0"/>
        <w:keepLines w:val="0"/>
        <w:widowControl w:val="0"/>
        <w:numPr>
          <w:ilvl w:val="0"/>
          <w:numId w:val="45"/>
        </w:numPr>
        <w:shd w:val="clear" w:color="auto" w:fill="auto"/>
        <w:tabs>
          <w:tab w:pos="786" w:val="left"/>
        </w:tabs>
        <w:bidi w:val="0"/>
        <w:spacing w:before="0" w:after="140" w:line="329" w:lineRule="exact"/>
        <w:ind w:left="0" w:right="0"/>
        <w:jc w:val="both"/>
      </w:pPr>
      <w:bookmarkStart w:id="888" w:name="bookmark888"/>
      <w:bookmarkEnd w:id="888"/>
      <w:r>
        <w:rPr>
          <w:color w:val="000000"/>
          <w:spacing w:val="0"/>
          <w:w w:val="100"/>
          <w:position w:val="0"/>
        </w:rPr>
        <w:t>当所购建或者生产符合资本化条件的资产达到预定可使用或可销售状态时，借款费用停止资本化。</w:t>
      </w:r>
    </w:p>
    <w:p>
      <w:pPr>
        <w:pStyle w:val="Style26"/>
        <w:keepNext w:val="0"/>
        <w:keepLines w:val="0"/>
        <w:widowControl w:val="0"/>
        <w:numPr>
          <w:ilvl w:val="0"/>
          <w:numId w:val="43"/>
        </w:numPr>
        <w:shd w:val="clear" w:color="auto" w:fill="auto"/>
        <w:tabs>
          <w:tab w:pos="700" w:val="left"/>
        </w:tabs>
        <w:bidi w:val="0"/>
        <w:spacing w:before="0" w:after="0" w:line="377" w:lineRule="auto"/>
        <w:ind w:left="0" w:right="0"/>
        <w:jc w:val="both"/>
      </w:pPr>
      <w:bookmarkStart w:id="889" w:name="bookmark889"/>
      <w:bookmarkEnd w:id="889"/>
      <w:r>
        <w:rPr>
          <w:color w:val="000000"/>
          <w:spacing w:val="0"/>
          <w:w w:val="100"/>
          <w:position w:val="0"/>
        </w:rPr>
        <w:t>借款费用资本化率以及资本化金额</w:t>
      </w:r>
    </w:p>
    <w:p>
      <w:pPr>
        <w:pStyle w:val="Style26"/>
        <w:keepNext w:val="0"/>
        <w:keepLines w:val="0"/>
        <w:widowControl w:val="0"/>
        <w:shd w:val="clear" w:color="auto" w:fill="auto"/>
        <w:bidi w:val="0"/>
        <w:spacing w:before="0" w:after="300" w:line="315" w:lineRule="exact"/>
        <w:ind w:left="0" w:right="0"/>
        <w:jc w:val="both"/>
      </w:pPr>
      <w:r>
        <w:rPr>
          <w:color w:val="000000"/>
          <w:spacing w:val="0"/>
          <w:w w:val="100"/>
          <w:position w:val="0"/>
        </w:rPr>
        <w:t>为购建或者生产符合资本化条件的资产而借入专门借款的，以专门借款当期实际发生的利息费用(包括按照实际利率法 确定的折价或溢价的摊销)，减去将尚未动用的借款资金存入银行取得的利息收入或进行暂时性投资取得的投资收益后的金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款的资产支出加权平均数乘以占用一般借款的资本化率，计算确定一般借款应予资本化的利息金额。</w:t>
      </w:r>
    </w:p>
    <w:p>
      <w:pPr>
        <w:pStyle w:val="Style30"/>
        <w:keepNext/>
        <w:keepLines/>
        <w:widowControl w:val="0"/>
        <w:shd w:val="clear" w:color="auto" w:fill="auto"/>
        <w:tabs>
          <w:tab w:pos="580" w:val="left"/>
        </w:tabs>
        <w:bidi w:val="0"/>
        <w:spacing w:before="0" w:after="300" w:line="302" w:lineRule="exact"/>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890"/>
      <w:bookmarkEnd w:id="891"/>
      <w:bookmarkEnd w:id="893"/>
    </w:p>
    <w:p>
      <w:pPr>
        <w:pStyle w:val="Style37"/>
        <w:keepNext/>
        <w:keepLines/>
        <w:widowControl w:val="0"/>
        <w:numPr>
          <w:ilvl w:val="0"/>
          <w:numId w:val="47"/>
        </w:numPr>
        <w:shd w:val="clear" w:color="auto" w:fill="auto"/>
        <w:bidi w:val="0"/>
        <w:spacing w:before="0" w:after="300" w:line="302" w:lineRule="exact"/>
        <w:ind w:left="0" w:right="0" w:firstLine="0"/>
        <w:jc w:val="left"/>
      </w:pPr>
      <w:bookmarkStart w:id="894" w:name="bookmark894"/>
      <w:bookmarkStart w:id="895" w:name="bookmark895"/>
      <w:bookmarkStart w:id="896" w:name="bookmark896"/>
      <w:bookmarkStart w:id="897" w:name="bookmark897"/>
      <w:bookmarkEnd w:id="896"/>
      <w:r>
        <w:rPr>
          <w:color w:val="000000"/>
          <w:spacing w:val="0"/>
          <w:w w:val="100"/>
          <w:position w:val="0"/>
        </w:rPr>
        <w:t>计价方法、使用寿命、减值测试</w:t>
      </w:r>
      <w:bookmarkEnd w:id="894"/>
      <w:bookmarkEnd w:id="895"/>
      <w:bookmarkEnd w:id="897"/>
    </w:p>
    <w:p>
      <w:pPr>
        <w:pStyle w:val="Style51"/>
        <w:keepNext w:val="0"/>
        <w:keepLines w:val="0"/>
        <w:widowControl w:val="0"/>
        <w:numPr>
          <w:ilvl w:val="0"/>
          <w:numId w:val="49"/>
        </w:numPr>
        <w:shd w:val="clear" w:color="auto" w:fill="auto"/>
        <w:tabs>
          <w:tab w:pos="760" w:val="left"/>
        </w:tabs>
        <w:bidi w:val="0"/>
        <w:spacing w:before="0" w:after="0" w:line="302" w:lineRule="exact"/>
        <w:ind w:left="0" w:right="0" w:firstLine="440"/>
        <w:jc w:val="both"/>
      </w:pPr>
      <w:bookmarkStart w:id="898" w:name="bookmark898"/>
      <w:bookmarkEnd w:id="898"/>
      <w:r>
        <w:rPr>
          <w:color w:val="000000"/>
          <w:spacing w:val="0"/>
          <w:w w:val="100"/>
          <w:position w:val="0"/>
        </w:rPr>
        <w:t>无形资产包括土地使用权、软件、专利权及非专利技术等，按成本进行初始计量。</w:t>
      </w:r>
    </w:p>
    <w:p>
      <w:pPr>
        <w:pStyle w:val="Style51"/>
        <w:keepNext w:val="0"/>
        <w:keepLines w:val="0"/>
        <w:widowControl w:val="0"/>
        <w:numPr>
          <w:ilvl w:val="0"/>
          <w:numId w:val="49"/>
        </w:numPr>
        <w:shd w:val="clear" w:color="auto" w:fill="auto"/>
        <w:tabs>
          <w:tab w:pos="752" w:val="left"/>
        </w:tabs>
        <w:bidi w:val="0"/>
        <w:spacing w:before="0" w:after="300" w:line="302" w:lineRule="exact"/>
        <w:ind w:left="0" w:right="0" w:firstLine="440"/>
        <w:jc w:val="both"/>
      </w:pPr>
      <w:bookmarkStart w:id="899" w:name="bookmark899"/>
      <w:bookmarkEnd w:id="899"/>
      <w:r>
        <w:rPr>
          <w:color w:val="000000"/>
          <w:spacing w:val="0"/>
          <w:w w:val="100"/>
          <w:position w:val="0"/>
        </w:rPr>
        <w:t>使用寿命有限的无形资产，在使用寿命内按照与该项无形资产有关的经济利益的预期实现方式系 统合理地摊销，无法可靠确定预期实现方式的，采用直线法摊销。具体年限如下：</w:t>
      </w:r>
    </w:p>
    <w:tbl>
      <w:tblPr>
        <w:tblOverlap w:val="never"/>
        <w:jc w:val="left"/>
        <w:tblLayout w:type="fixed"/>
      </w:tblPr>
      <w:tblGrid>
        <w:gridCol w:w="2170"/>
        <w:gridCol w:w="219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ahoma" w:eastAsia="Tahoma" w:hAnsi="Tahoma" w:cs="Tahoma"/>
                <w:color w:val="000000"/>
                <w:spacing w:val="0"/>
                <w:w w:val="100"/>
                <w:position w:val="0"/>
                <w:sz w:val="19"/>
                <w:szCs w:val="19"/>
              </w:rPr>
              <w:t>3-5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ahoma" w:eastAsia="Tahoma" w:hAnsi="Tahoma" w:cs="Tahoma"/>
                <w:color w:val="000000"/>
                <w:spacing w:val="0"/>
                <w:w w:val="100"/>
                <w:position w:val="0"/>
                <w:sz w:val="19"/>
                <w:szCs w:val="19"/>
              </w:rPr>
              <w:t>50</w:t>
            </w:r>
          </w:p>
        </w:tc>
      </w:tr>
    </w:tbl>
    <w:p>
      <w:pPr>
        <w:widowControl w:val="0"/>
        <w:spacing w:after="639" w:line="1" w:lineRule="exact"/>
      </w:pPr>
    </w:p>
    <w:p>
      <w:pPr>
        <w:pStyle w:val="Style37"/>
        <w:keepNext/>
        <w:keepLines/>
        <w:widowControl w:val="0"/>
        <w:shd w:val="clear" w:color="auto" w:fill="auto"/>
        <w:bidi w:val="0"/>
        <w:spacing w:before="0" w:after="260" w:line="240" w:lineRule="auto"/>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00"/>
      <w:bookmarkEnd w:id="901"/>
      <w:bookmarkEnd w:id="903"/>
    </w:p>
    <w:p>
      <w:pPr>
        <w:pStyle w:val="Style26"/>
        <w:keepNext w:val="0"/>
        <w:keepLines w:val="0"/>
        <w:widowControl w:val="0"/>
        <w:shd w:val="clear" w:color="auto" w:fill="auto"/>
        <w:bidi w:val="0"/>
        <w:spacing w:before="0" w:after="0" w:line="311" w:lineRule="exact"/>
        <w:ind w:left="0" w:right="0"/>
        <w:jc w:val="left"/>
      </w:pPr>
      <w:r>
        <w:rPr>
          <w:color w:val="000000"/>
          <w:spacing w:val="0"/>
          <w:w w:val="100"/>
          <w:position w:val="0"/>
        </w:rPr>
        <w:t>内部研究开发项目研究阶段的支出，于发生时计入当期损益。内部研究开发项目开发阶段的支出，同时满足下列条件的， 确认为无形资产：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完成该无形资产以使其能够使用或出售在技术上具有可行性；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具有完成该无形资产并使用或出售 的意图；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无形资产产生经济利益的方式，包括能够证明运用该无形资产生产的产品存在市场或无形资产自身存在市场， 无形资产将在内部使用的，能证明其有用性；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有足够的技术、财务资源和其他资源支持，以完成该无形资产的开发，并 有能力使用或出售该无形资产；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归属于该无形资产开发阶段的支出能够可靠地计量。</w:t>
      </w:r>
    </w:p>
    <w:p>
      <w:pPr>
        <w:pStyle w:val="Style26"/>
        <w:keepNext w:val="0"/>
        <w:keepLines w:val="0"/>
        <w:widowControl w:val="0"/>
        <w:shd w:val="clear" w:color="auto" w:fill="auto"/>
        <w:bidi w:val="0"/>
        <w:spacing w:before="0" w:after="380" w:line="307" w:lineRule="exact"/>
        <w:ind w:left="0" w:right="0"/>
        <w:jc w:val="left"/>
      </w:pPr>
      <w:r>
        <w:rPr>
          <w:color w:val="000000"/>
          <w:spacing w:val="0"/>
          <w:w w:val="100"/>
          <w:position w:val="0"/>
        </w:rPr>
        <w:t>公司划分内部研究开发项目研究阶段支出和开发阶段支出的具体标准：公司在完成项目设计方案达到预期要求并通过评 审立项后开始资本化，在完成开发形成标准化产品达到交付条件时停止资本化，并转入无形资产。</w:t>
      </w:r>
    </w:p>
    <w:p>
      <w:pPr>
        <w:pStyle w:val="Style30"/>
        <w:keepNext/>
        <w:keepLines/>
        <w:widowControl w:val="0"/>
        <w:shd w:val="clear" w:color="auto" w:fill="auto"/>
        <w:tabs>
          <w:tab w:pos="474" w:val="left"/>
        </w:tabs>
        <w:bidi w:val="0"/>
        <w:spacing w:before="0" w:after="26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9</w:t>
      </w:r>
      <w:r>
        <w:rPr>
          <w:color w:val="000000"/>
          <w:spacing w:val="0"/>
          <w:w w:val="100"/>
          <w:position w:val="0"/>
        </w:rPr>
        <w:t>、</w:t>
        <w:tab/>
        <w:t>长期资产减值</w:t>
      </w:r>
      <w:bookmarkEnd w:id="904"/>
      <w:bookmarkEnd w:id="905"/>
      <w:bookmarkEnd w:id="907"/>
    </w:p>
    <w:p>
      <w:pPr>
        <w:pStyle w:val="Style26"/>
        <w:keepNext w:val="0"/>
        <w:keepLines w:val="0"/>
        <w:widowControl w:val="0"/>
        <w:shd w:val="clear" w:color="auto" w:fill="auto"/>
        <w:bidi w:val="0"/>
        <w:spacing w:before="0" w:after="0" w:line="319" w:lineRule="exact"/>
        <w:ind w:left="0" w:right="0"/>
        <w:jc w:val="both"/>
      </w:pPr>
      <w:r>
        <w:rPr>
          <w:color w:val="000000"/>
          <w:spacing w:val="0"/>
          <w:w w:val="100"/>
          <w:position w:val="0"/>
        </w:rPr>
        <w:t>对长期股权投资、采用成本模式计量的投资性房地产、固定资产、在建工程使用寿命有限的无形资产等长期资产，在资 产负债表日有迹象表明发生减值的，估计其可收回金额。对因企业合并所形成的商誉和使用寿命不确定的无形资产，无论是 否存在减值迹象，每年都进行减值测试。商誉结合与其相关的资产组或者资产组组合进行减值测试。</w:t>
      </w:r>
    </w:p>
    <w:p>
      <w:pPr>
        <w:pStyle w:val="Style26"/>
        <w:keepNext w:val="0"/>
        <w:keepLines w:val="0"/>
        <w:widowControl w:val="0"/>
        <w:shd w:val="clear" w:color="auto" w:fill="auto"/>
        <w:bidi w:val="0"/>
        <w:spacing w:before="0" w:after="380" w:line="313" w:lineRule="exact"/>
        <w:ind w:left="0" w:right="0" w:firstLine="360"/>
        <w:jc w:val="left"/>
      </w:pPr>
      <w:r>
        <w:rPr>
          <w:color w:val="000000"/>
          <w:spacing w:val="0"/>
          <w:w w:val="100"/>
          <w:position w:val="0"/>
        </w:rPr>
        <w:t>若上述长期资产的可收回金额低于其账面价值的，按其差额确认资产减值准备并计入当期损益。</w:t>
      </w:r>
    </w:p>
    <w:p>
      <w:pPr>
        <w:pStyle w:val="Style30"/>
        <w:keepNext/>
        <w:keepLines/>
        <w:widowControl w:val="0"/>
        <w:shd w:val="clear" w:color="auto" w:fill="auto"/>
        <w:tabs>
          <w:tab w:pos="483" w:val="left"/>
        </w:tabs>
        <w:bidi w:val="0"/>
        <w:spacing w:before="0" w:after="26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908"/>
      <w:bookmarkEnd w:id="909"/>
      <w:bookmarkEnd w:id="911"/>
    </w:p>
    <w:p>
      <w:pPr>
        <w:pStyle w:val="Style26"/>
        <w:keepNext w:val="0"/>
        <w:keepLines w:val="0"/>
        <w:widowControl w:val="0"/>
        <w:shd w:val="clear" w:color="auto" w:fill="auto"/>
        <w:bidi w:val="0"/>
        <w:spacing w:before="0" w:after="720" w:line="314" w:lineRule="exact"/>
        <w:ind w:left="0" w:right="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年）的各项费用。长期待摊费用按实际发生额入账，在受益 期或规定的期限内分期平均摊销。如果长期待摊的费用项目不能使以后会计期间受益则将尚未摊销的该项目的摊余价值全部 转入当期损益。</w:t>
      </w:r>
    </w:p>
    <w:p>
      <w:pPr>
        <w:pStyle w:val="Style30"/>
        <w:keepNext/>
        <w:keepLines/>
        <w:widowControl w:val="0"/>
        <w:shd w:val="clear" w:color="auto" w:fill="auto"/>
        <w:tabs>
          <w:tab w:pos="483" w:val="left"/>
        </w:tabs>
        <w:bidi w:val="0"/>
        <w:spacing w:before="0" w:after="26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1</w:t>
      </w:r>
      <w:r>
        <w:rPr>
          <w:color w:val="000000"/>
          <w:spacing w:val="0"/>
          <w:w w:val="100"/>
          <w:position w:val="0"/>
        </w:rPr>
        <w:t>、</w:t>
        <w:tab/>
        <w:t>合同负债</w:t>
      </w:r>
      <w:bookmarkEnd w:id="912"/>
      <w:bookmarkEnd w:id="913"/>
      <w:bookmarkEnd w:id="915"/>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公司根据履行履约义务与客户付款之间的关系在资产负债表中列示合同资产或合同负债。公司将同一合同下的合同资产 和合同负债相互抵销后以净额列示。</w:t>
      </w:r>
    </w:p>
    <w:p>
      <w:pPr>
        <w:pStyle w:val="Style26"/>
        <w:keepNext w:val="0"/>
        <w:keepLines w:val="0"/>
        <w:widowControl w:val="0"/>
        <w:shd w:val="clear" w:color="auto" w:fill="auto"/>
        <w:bidi w:val="0"/>
        <w:spacing w:before="0" w:after="720" w:line="317" w:lineRule="exact"/>
        <w:ind w:left="0" w:right="0" w:firstLine="740"/>
        <w:jc w:val="both"/>
      </w:pPr>
      <w:r>
        <w:rPr>
          <w:color w:val="000000"/>
          <w:spacing w:val="0"/>
          <w:w w:val="100"/>
          <w:position w:val="0"/>
        </w:rPr>
        <w:t>公司将已收或应收客户对价而应向客户转让商品的义务作为合同负债列示。</w:t>
      </w:r>
    </w:p>
    <w:p>
      <w:pPr>
        <w:pStyle w:val="Style30"/>
        <w:keepNext/>
        <w:keepLines/>
        <w:widowControl w:val="0"/>
        <w:shd w:val="clear" w:color="auto" w:fill="auto"/>
        <w:tabs>
          <w:tab w:pos="483" w:val="left"/>
        </w:tabs>
        <w:bidi w:val="0"/>
        <w:spacing w:before="0" w:after="3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916"/>
      <w:bookmarkEnd w:id="917"/>
      <w:bookmarkEnd w:id="919"/>
    </w:p>
    <w:p>
      <w:pPr>
        <w:pStyle w:val="Style37"/>
        <w:keepNext/>
        <w:keepLines/>
        <w:widowControl w:val="0"/>
        <w:shd w:val="clear" w:color="auto" w:fill="auto"/>
        <w:bidi w:val="0"/>
        <w:spacing w:before="0" w:after="26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20"/>
      <w:bookmarkEnd w:id="921"/>
      <w:bookmarkEnd w:id="923"/>
    </w:p>
    <w:p>
      <w:pPr>
        <w:pStyle w:val="Style26"/>
        <w:keepNext w:val="0"/>
        <w:keepLines w:val="0"/>
        <w:widowControl w:val="0"/>
        <w:shd w:val="clear" w:color="auto" w:fill="auto"/>
        <w:bidi w:val="0"/>
        <w:spacing w:before="0" w:after="260" w:line="317" w:lineRule="exact"/>
        <w:ind w:left="0" w:right="0" w:firstLine="360"/>
        <w:jc w:val="both"/>
      </w:pPr>
      <w:r>
        <w:rPr>
          <w:color w:val="000000"/>
          <w:spacing w:val="0"/>
          <w:w w:val="100"/>
          <w:position w:val="0"/>
        </w:rPr>
        <w:t>在职工为公司提供服务的会计期间，将实际发生的短期薪酬确认为负债，并计入当期损益或相关资产成本。</w:t>
      </w:r>
    </w:p>
    <w:p>
      <w:pPr>
        <w:pStyle w:val="Style37"/>
        <w:keepNext/>
        <w:keepLines/>
        <w:widowControl w:val="0"/>
        <w:numPr>
          <w:ilvl w:val="0"/>
          <w:numId w:val="47"/>
        </w:numPr>
        <w:shd w:val="clear" w:color="auto" w:fill="auto"/>
        <w:tabs>
          <w:tab w:pos="609" w:val="left"/>
        </w:tabs>
        <w:bidi w:val="0"/>
        <w:spacing w:before="0" w:after="280" w:line="240" w:lineRule="auto"/>
        <w:ind w:left="0" w:right="0" w:firstLine="0"/>
        <w:jc w:val="left"/>
      </w:pPr>
      <w:bookmarkStart w:id="924" w:name="bookmark924"/>
      <w:bookmarkStart w:id="925" w:name="bookmark925"/>
      <w:bookmarkStart w:id="926" w:name="bookmark926"/>
      <w:bookmarkStart w:id="927" w:name="bookmark927"/>
      <w:bookmarkEnd w:id="926"/>
      <w:r>
        <w:rPr>
          <w:color w:val="000000"/>
          <w:spacing w:val="0"/>
          <w:w w:val="100"/>
          <w:position w:val="0"/>
        </w:rPr>
        <w:t>离职后福利的会计处理方法</w:t>
      </w:r>
      <w:bookmarkEnd w:id="924"/>
      <w:bookmarkEnd w:id="925"/>
      <w:bookmarkEnd w:id="927"/>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离职后福利分为设定提存计划和设定受益计划。</w:t>
      </w:r>
    </w:p>
    <w:p>
      <w:pPr>
        <w:pStyle w:val="Style26"/>
        <w:keepNext w:val="0"/>
        <w:keepLines w:val="0"/>
        <w:widowControl w:val="0"/>
        <w:numPr>
          <w:ilvl w:val="0"/>
          <w:numId w:val="51"/>
        </w:numPr>
        <w:shd w:val="clear" w:color="auto" w:fill="auto"/>
        <w:tabs>
          <w:tab w:pos="760" w:val="left"/>
        </w:tabs>
        <w:bidi w:val="0"/>
        <w:spacing w:before="0" w:after="0" w:line="317" w:lineRule="exact"/>
        <w:ind w:left="0" w:right="0"/>
        <w:jc w:val="both"/>
      </w:pPr>
      <w:bookmarkStart w:id="928" w:name="bookmark928"/>
      <w:bookmarkEnd w:id="928"/>
      <w:r>
        <w:rPr>
          <w:color w:val="000000"/>
          <w:spacing w:val="0"/>
          <w:w w:val="100"/>
          <w:position w:val="0"/>
        </w:rPr>
        <w:t>在职工为公司提供服务的会计期间，根据设定提存计划计算的应缴存金额确认为负债，并计入当期损益或相关资产 成本。</w:t>
      </w:r>
    </w:p>
    <w:p>
      <w:pPr>
        <w:pStyle w:val="Style26"/>
        <w:keepNext w:val="0"/>
        <w:keepLines w:val="0"/>
        <w:widowControl w:val="0"/>
        <w:numPr>
          <w:ilvl w:val="0"/>
          <w:numId w:val="51"/>
        </w:numPr>
        <w:shd w:val="clear" w:color="auto" w:fill="auto"/>
        <w:tabs>
          <w:tab w:pos="784" w:val="left"/>
        </w:tabs>
        <w:bidi w:val="0"/>
        <w:spacing w:before="0" w:after="0" w:line="317" w:lineRule="exact"/>
        <w:ind w:left="0" w:right="0"/>
        <w:jc w:val="both"/>
      </w:pPr>
      <w:bookmarkStart w:id="929" w:name="bookmark929"/>
      <w:bookmarkEnd w:id="929"/>
      <w:r>
        <w:rPr>
          <w:color w:val="000000"/>
          <w:spacing w:val="0"/>
          <w:w w:val="100"/>
          <w:position w:val="0"/>
        </w:rPr>
        <w:t>对设定受益计划的会计处理通常包括下列步骤：</w:t>
      </w:r>
    </w:p>
    <w:p>
      <w:pPr>
        <w:pStyle w:val="Style26"/>
        <w:keepNext w:val="0"/>
        <w:keepLines w:val="0"/>
        <w:widowControl w:val="0"/>
        <w:numPr>
          <w:ilvl w:val="0"/>
          <w:numId w:val="53"/>
        </w:numPr>
        <w:shd w:val="clear" w:color="auto" w:fill="auto"/>
        <w:tabs>
          <w:tab w:pos="697" w:val="left"/>
        </w:tabs>
        <w:bidi w:val="0"/>
        <w:spacing w:before="0" w:after="0" w:line="317" w:lineRule="exact"/>
        <w:ind w:left="0" w:right="0"/>
        <w:jc w:val="both"/>
      </w:pPr>
      <w:bookmarkStart w:id="930" w:name="bookmark930"/>
      <w:bookmarkEnd w:id="930"/>
      <w:r>
        <w:rPr>
          <w:color w:val="000000"/>
          <w:spacing w:val="0"/>
          <w:w w:val="100"/>
          <w:position w:val="0"/>
        </w:rPr>
        <w:t>根据预期累计福利单位法，采用无偏且相互一致的精算假设对有关人口统计变量和财务变量等作出估计，计量设定 受益计划所产生的义务，并确定相关义务的所属期间。同时，对设定受益计划所产生的义务予以折现，以确定设定受益计划 义务的现值和当期服务成本；</w:t>
      </w:r>
    </w:p>
    <w:p>
      <w:pPr>
        <w:pStyle w:val="Style26"/>
        <w:keepNext w:val="0"/>
        <w:keepLines w:val="0"/>
        <w:widowControl w:val="0"/>
        <w:numPr>
          <w:ilvl w:val="0"/>
          <w:numId w:val="53"/>
        </w:numPr>
        <w:shd w:val="clear" w:color="auto" w:fill="auto"/>
        <w:tabs>
          <w:tab w:pos="697" w:val="left"/>
        </w:tabs>
        <w:bidi w:val="0"/>
        <w:spacing w:before="0" w:after="0" w:line="317" w:lineRule="exact"/>
        <w:ind w:left="0" w:right="0"/>
        <w:jc w:val="both"/>
      </w:pPr>
      <w:bookmarkStart w:id="931" w:name="bookmark931"/>
      <w:bookmarkEnd w:id="931"/>
      <w:r>
        <w:rPr>
          <w:color w:val="000000"/>
          <w:spacing w:val="0"/>
          <w:w w:val="100"/>
          <w:position w:val="0"/>
        </w:rPr>
        <w:t>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计划净资产；</w:t>
      </w:r>
    </w:p>
    <w:p>
      <w:pPr>
        <w:pStyle w:val="Style26"/>
        <w:keepNext w:val="0"/>
        <w:keepLines w:val="0"/>
        <w:widowControl w:val="0"/>
        <w:numPr>
          <w:ilvl w:val="0"/>
          <w:numId w:val="53"/>
        </w:numPr>
        <w:shd w:val="clear" w:color="auto" w:fill="auto"/>
        <w:tabs>
          <w:tab w:pos="707" w:val="left"/>
        </w:tabs>
        <w:bidi w:val="0"/>
        <w:spacing w:before="0" w:after="380" w:line="317" w:lineRule="exact"/>
        <w:ind w:left="0" w:right="0"/>
        <w:jc w:val="both"/>
      </w:pPr>
      <w:bookmarkStart w:id="932" w:name="bookmark932"/>
      <w:bookmarkEnd w:id="932"/>
      <w:r>
        <w:rPr>
          <w:color w:val="000000"/>
          <w:spacing w:val="0"/>
          <w:w w:val="100"/>
          <w:position w:val="0"/>
        </w:rPr>
        <w:t>期末，将设定受益计划产生的职工薪酬成本确认为服务成本、设定受益计划净负债或净资产的利息净额以及重新计 量设定受益计划净负债或净资产所产生的变动等三部分，其中服务成本和设定受益计划净负债或净资产的利息净额计入当期 损益或相关资产成本，重新计量设定受益计划净负债或净资产所产生的变动计入其他综合收益，并且在后续会计期间不允许 转回至损益，但可以在权益范围内转移这些在其他综合收益确认的金额。</w:t>
      </w:r>
    </w:p>
    <w:p>
      <w:pPr>
        <w:pStyle w:val="Style37"/>
        <w:keepNext/>
        <w:keepLines/>
        <w:widowControl w:val="0"/>
        <w:numPr>
          <w:ilvl w:val="0"/>
          <w:numId w:val="51"/>
        </w:numPr>
        <w:shd w:val="clear" w:color="auto" w:fill="auto"/>
        <w:tabs>
          <w:tab w:pos="491" w:val="left"/>
        </w:tabs>
        <w:bidi w:val="0"/>
        <w:spacing w:before="0" w:after="280" w:line="240" w:lineRule="auto"/>
        <w:ind w:left="0" w:right="0" w:firstLine="0"/>
        <w:jc w:val="left"/>
      </w:pPr>
      <w:bookmarkStart w:id="933" w:name="bookmark933"/>
      <w:bookmarkStart w:id="934" w:name="bookmark934"/>
      <w:bookmarkStart w:id="935" w:name="bookmark935"/>
      <w:bookmarkStart w:id="936" w:name="bookmark936"/>
      <w:bookmarkEnd w:id="935"/>
      <w:r>
        <w:rPr>
          <w:color w:val="000000"/>
          <w:spacing w:val="0"/>
          <w:w w:val="100"/>
          <w:position w:val="0"/>
        </w:rPr>
        <w:t>辞退福利的会计处理方法</w:t>
      </w:r>
      <w:bookmarkEnd w:id="933"/>
      <w:bookmarkEnd w:id="934"/>
      <w:bookmarkEnd w:id="936"/>
    </w:p>
    <w:p>
      <w:pPr>
        <w:pStyle w:val="Style26"/>
        <w:keepNext w:val="0"/>
        <w:keepLines w:val="0"/>
        <w:widowControl w:val="0"/>
        <w:shd w:val="clear" w:color="auto" w:fill="auto"/>
        <w:bidi w:val="0"/>
        <w:spacing w:before="0" w:after="380" w:line="312" w:lineRule="exact"/>
        <w:ind w:left="0" w:right="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公司不能单方面 撤回因解除劳动关系计划或裁减建议所提供的辞退福利时；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公司确认与涉及支付辞退福利的重组相关的成本或费用时。</w:t>
      </w:r>
    </w:p>
    <w:p>
      <w:pPr>
        <w:pStyle w:val="Style37"/>
        <w:keepNext/>
        <w:keepLines/>
        <w:widowControl w:val="0"/>
        <w:numPr>
          <w:ilvl w:val="0"/>
          <w:numId w:val="51"/>
        </w:numPr>
        <w:shd w:val="clear" w:color="auto" w:fill="auto"/>
        <w:tabs>
          <w:tab w:pos="609" w:val="left"/>
        </w:tabs>
        <w:bidi w:val="0"/>
        <w:spacing w:before="0" w:after="280" w:line="240" w:lineRule="auto"/>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其他长期职工福利的会计处理方法</w:t>
      </w:r>
      <w:bookmarkEnd w:id="937"/>
      <w:bookmarkEnd w:id="938"/>
      <w:bookmarkEnd w:id="940"/>
    </w:p>
    <w:p>
      <w:pPr>
        <w:pStyle w:val="Style26"/>
        <w:keepNext w:val="0"/>
        <w:keepLines w:val="0"/>
        <w:widowControl w:val="0"/>
        <w:shd w:val="clear" w:color="auto" w:fill="auto"/>
        <w:bidi w:val="0"/>
        <w:spacing w:before="0" w:after="380" w:line="314" w:lineRule="exact"/>
        <w:ind w:left="0" w:right="0" w:firstLine="960"/>
        <w:jc w:val="both"/>
      </w:pPr>
      <w:r>
        <w:rPr>
          <w:color w:val="000000"/>
          <w:spacing w:val="0"/>
          <w:w w:val="100"/>
          <w:position w:val="0"/>
        </w:rPr>
        <w:t>向职工提供的其他长期福利，符合设定提存计划条件的，按照设定提存计划的有关规定进行会计处理；除此之 外的其他长期福利，按照设定受益计划的有关规定进行会计处理，为简化相关会计处理，将其产生的职工薪酬成本确认为服 务成本、其他长期职工福利净负债或净资产的利息净额以及重新计量其他长期职工福利净负债或净资产所产生的变动等组成 项目的总净额计入当期损益或相关资产成本。</w:t>
      </w:r>
    </w:p>
    <w:p>
      <w:pPr>
        <w:pStyle w:val="Style30"/>
        <w:keepNext/>
        <w:keepLines/>
        <w:widowControl w:val="0"/>
        <w:shd w:val="clear" w:color="auto" w:fill="auto"/>
        <w:bidi w:val="0"/>
        <w:spacing w:before="0" w:after="280" w:line="240" w:lineRule="auto"/>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941"/>
      <w:bookmarkEnd w:id="942"/>
      <w:bookmarkEnd w:id="944"/>
    </w:p>
    <w:p>
      <w:pPr>
        <w:pStyle w:val="Style26"/>
        <w:keepNext w:val="0"/>
        <w:keepLines w:val="0"/>
        <w:widowControl w:val="0"/>
        <w:numPr>
          <w:ilvl w:val="0"/>
          <w:numId w:val="55"/>
        </w:numPr>
        <w:shd w:val="clear" w:color="auto" w:fill="auto"/>
        <w:bidi w:val="0"/>
        <w:spacing w:before="0" w:after="0" w:line="324" w:lineRule="exact"/>
        <w:ind w:left="0" w:right="0"/>
        <w:jc w:val="both"/>
      </w:pPr>
      <w:bookmarkStart w:id="945" w:name="bookmark945"/>
      <w:bookmarkEnd w:id="94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因对外提供担保、诉讼事项、产品质量保证、亏损合同等或有事项形成的义务成为公司承担的现时义务，履行该义务 很可能导致经济利益流出公司，且该义务的金额能够可靠的计量时，公司将该项义务确认为预计负债。</w:t>
      </w:r>
    </w:p>
    <w:p>
      <w:pPr>
        <w:pStyle w:val="Style26"/>
        <w:keepNext w:val="0"/>
        <w:keepLines w:val="0"/>
        <w:widowControl w:val="0"/>
        <w:numPr>
          <w:ilvl w:val="0"/>
          <w:numId w:val="55"/>
        </w:numPr>
        <w:shd w:val="clear" w:color="auto" w:fill="auto"/>
        <w:tabs>
          <w:tab w:pos="673" w:val="left"/>
        </w:tabs>
        <w:bidi w:val="0"/>
        <w:spacing w:before="0" w:after="720" w:line="324" w:lineRule="exact"/>
        <w:ind w:left="0" w:right="0"/>
        <w:jc w:val="both"/>
      </w:pPr>
      <w:bookmarkStart w:id="946" w:name="bookmark946"/>
      <w:bookmarkEnd w:id="946"/>
      <w:r>
        <w:rPr>
          <w:color w:val="000000"/>
          <w:spacing w:val="0"/>
          <w:w w:val="100"/>
          <w:position w:val="0"/>
        </w:rPr>
        <w:t>公司按照履行相关现时义务所需支出的最佳估计数对预计负债进行初始计量，并在资产负债表日对预计负债的账面价 值进行复核。</w:t>
      </w:r>
    </w:p>
    <w:p>
      <w:pPr>
        <w:pStyle w:val="Style30"/>
        <w:keepNext/>
        <w:keepLines/>
        <w:widowControl w:val="0"/>
        <w:shd w:val="clear" w:color="auto" w:fill="auto"/>
        <w:bidi w:val="0"/>
        <w:spacing w:before="0" w:after="380" w:line="240" w:lineRule="auto"/>
        <w:ind w:left="0" w:right="0" w:firstLine="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4</w:t>
      </w:r>
      <w:r>
        <w:rPr>
          <w:color w:val="000000"/>
          <w:spacing w:val="0"/>
          <w:w w:val="100"/>
          <w:position w:val="0"/>
        </w:rPr>
        <w:t>、股份支付</w:t>
      </w:r>
      <w:bookmarkEnd w:id="947"/>
      <w:bookmarkEnd w:id="948"/>
      <w:bookmarkEnd w:id="950"/>
    </w:p>
    <w:p>
      <w:pPr>
        <w:pStyle w:val="Style26"/>
        <w:keepNext w:val="0"/>
        <w:keepLines w:val="0"/>
        <w:widowControl w:val="0"/>
        <w:numPr>
          <w:ilvl w:val="0"/>
          <w:numId w:val="57"/>
        </w:numPr>
        <w:shd w:val="clear" w:color="auto" w:fill="auto"/>
        <w:tabs>
          <w:tab w:pos="679" w:val="left"/>
        </w:tabs>
        <w:bidi w:val="0"/>
        <w:spacing w:before="0" w:after="140" w:line="240" w:lineRule="auto"/>
        <w:ind w:left="0" w:right="0"/>
        <w:jc w:val="both"/>
      </w:pPr>
      <w:bookmarkStart w:id="951" w:name="bookmark951"/>
      <w:bookmarkEnd w:id="951"/>
      <w:r>
        <w:rPr>
          <w:color w:val="000000"/>
          <w:spacing w:val="0"/>
          <w:w w:val="100"/>
          <w:position w:val="0"/>
        </w:rPr>
        <w:t>股份支付的种类</w:t>
      </w:r>
    </w:p>
    <w:p>
      <w:pPr>
        <w:pStyle w:val="Style26"/>
        <w:keepNext w:val="0"/>
        <w:keepLines w:val="0"/>
        <w:widowControl w:val="0"/>
        <w:shd w:val="clear" w:color="auto" w:fill="auto"/>
        <w:bidi w:val="0"/>
        <w:spacing w:before="0" w:after="140" w:line="240" w:lineRule="auto"/>
        <w:ind w:left="0" w:right="0"/>
        <w:jc w:val="both"/>
      </w:pPr>
      <w:r>
        <w:rPr>
          <w:color w:val="000000"/>
          <w:spacing w:val="0"/>
          <w:w w:val="100"/>
          <w:position w:val="0"/>
        </w:rPr>
        <w:t>包括以权益结算的股份支付和以现金结算的股份支付。</w:t>
      </w:r>
    </w:p>
    <w:p>
      <w:pPr>
        <w:pStyle w:val="Style26"/>
        <w:keepNext w:val="0"/>
        <w:keepLines w:val="0"/>
        <w:widowControl w:val="0"/>
        <w:numPr>
          <w:ilvl w:val="0"/>
          <w:numId w:val="57"/>
        </w:numPr>
        <w:shd w:val="clear" w:color="auto" w:fill="auto"/>
        <w:tabs>
          <w:tab w:pos="698" w:val="left"/>
        </w:tabs>
        <w:bidi w:val="0"/>
        <w:spacing w:before="0" w:after="140" w:line="240" w:lineRule="auto"/>
        <w:ind w:left="0" w:right="0"/>
        <w:jc w:val="both"/>
      </w:pPr>
      <w:bookmarkStart w:id="952" w:name="bookmark952"/>
      <w:bookmarkEnd w:id="952"/>
      <w:r>
        <w:rPr>
          <w:color w:val="000000"/>
          <w:spacing w:val="0"/>
          <w:w w:val="100"/>
          <w:position w:val="0"/>
        </w:rPr>
        <w:t>实施、修改、终止股份支付计划的相关会计处理</w:t>
      </w:r>
    </w:p>
    <w:p>
      <w:pPr>
        <w:pStyle w:val="Style26"/>
        <w:keepNext w:val="0"/>
        <w:keepLines w:val="0"/>
        <w:widowControl w:val="0"/>
        <w:shd w:val="clear" w:color="auto" w:fill="auto"/>
        <w:bidi w:val="0"/>
        <w:spacing w:before="0" w:after="20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以权益结算的股份支付</w:t>
      </w:r>
    </w:p>
    <w:p>
      <w:pPr>
        <w:pStyle w:val="Style26"/>
        <w:keepNext w:val="0"/>
        <w:keepLines w:val="0"/>
        <w:widowControl w:val="0"/>
        <w:shd w:val="clear" w:color="auto" w:fill="auto"/>
        <w:bidi w:val="0"/>
        <w:spacing w:before="0" w:after="0" w:line="317" w:lineRule="exact"/>
        <w:ind w:left="0" w:right="0"/>
        <w:jc w:val="left"/>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换取其他方服务的权益结算的股份支付，如果其他方服务的公允价值能够可靠计量的，按照其他方服务在取得日的公允 价值计量；如果其他方服务的公允价值不能可靠计量，但权益工具的公允价值能够可靠计量的，按照权益工具在服务取得日 的公允价值计量，计入相关成本或费用，相应增加所有者权益。</w:t>
      </w:r>
    </w:p>
    <w:p>
      <w:pPr>
        <w:pStyle w:val="Style26"/>
        <w:keepNext w:val="0"/>
        <w:keepLines w:val="0"/>
        <w:widowControl w:val="0"/>
        <w:shd w:val="clear" w:color="auto" w:fill="auto"/>
        <w:tabs>
          <w:tab w:pos="726" w:val="left"/>
        </w:tabs>
        <w:bidi w:val="0"/>
        <w:spacing w:before="0" w:after="0" w:line="360" w:lineRule="auto"/>
        <w:ind w:left="0" w:right="0"/>
        <w:jc w:val="left"/>
      </w:pPr>
      <w:bookmarkStart w:id="953" w:name="bookmark953"/>
      <w:r>
        <w:rPr>
          <w:rFonts w:ascii="Times New Roman" w:eastAsia="Times New Roman" w:hAnsi="Times New Roman" w:cs="Times New Roman"/>
          <w:color w:val="000000"/>
          <w:spacing w:val="0"/>
          <w:w w:val="100"/>
          <w:position w:val="0"/>
          <w:sz w:val="18"/>
          <w:szCs w:val="18"/>
        </w:rPr>
        <w:t>（</w:t>
      </w:r>
      <w:bookmarkEnd w:id="953"/>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以现金结算的股份支付</w:t>
      </w:r>
    </w:p>
    <w:p>
      <w:pPr>
        <w:pStyle w:val="Style26"/>
        <w:keepNext w:val="0"/>
        <w:keepLines w:val="0"/>
        <w:widowControl w:val="0"/>
        <w:shd w:val="clear" w:color="auto" w:fill="auto"/>
        <w:bidi w:val="0"/>
        <w:spacing w:before="0" w:after="140" w:line="317" w:lineRule="exact"/>
        <w:ind w:left="0" w:right="0"/>
        <w:jc w:val="left"/>
      </w:pPr>
      <w:r>
        <w:rPr>
          <w:color w:val="000000"/>
          <w:spacing w:val="0"/>
          <w:w w:val="100"/>
          <w:position w:val="0"/>
        </w:rPr>
        <w:t>授予后立即可行权的换取职工服务的以现金结算的股份支付，在授予日按公司承担负债的公允价值计入相关成本或费 用，相应增加负债。完成等待期内的服务或达到规定业绩条件才可行权的换取职工服务的以现金结算的股份支付，在等待期 内的每个资产负债表日，以对可行权情况的最佳估计为基础，按公司承担负债的公允价值，将当期取得的服务计入相关成本 或费用和相应的负债。</w:t>
      </w:r>
    </w:p>
    <w:p>
      <w:pPr>
        <w:pStyle w:val="Style26"/>
        <w:keepNext w:val="0"/>
        <w:keepLines w:val="0"/>
        <w:widowControl w:val="0"/>
        <w:shd w:val="clear" w:color="auto" w:fill="auto"/>
        <w:tabs>
          <w:tab w:pos="726" w:val="left"/>
        </w:tabs>
        <w:bidi w:val="0"/>
        <w:spacing w:before="0" w:after="0" w:line="360" w:lineRule="auto"/>
        <w:ind w:left="0" w:right="0"/>
        <w:jc w:val="both"/>
      </w:pPr>
      <w:bookmarkStart w:id="954" w:name="bookmark954"/>
      <w:r>
        <w:rPr>
          <w:rFonts w:ascii="Times New Roman" w:eastAsia="Times New Roman" w:hAnsi="Times New Roman" w:cs="Times New Roman"/>
          <w:color w:val="000000"/>
          <w:spacing w:val="0"/>
          <w:w w:val="100"/>
          <w:position w:val="0"/>
          <w:sz w:val="18"/>
          <w:szCs w:val="18"/>
        </w:rPr>
        <w:t>（</w:t>
      </w:r>
      <w:bookmarkEnd w:id="954"/>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修改、终止股份支付计划</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如果修改增加了所授予的权益工具的公允价值，公司按照权益工具公允价值的增加相应地确认取得服务的增加；如果修 改增加了所授予的权益工具的数量，公司将增加的权益工具的公允价值相应地确认为取得服务的增加；如果公司按照有利于 职工的方式修改可行权条件，公司在处理可行权条件时，考虑修改后的可行权条件。</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如果修改减少了授予的权益工具的公允价值，公司继续以权益工具在授予日的公允价值为基础，确认取得服务的金额， 而不考虑权益工具公允价值的减少；如果修改减少了授予的权益工具的数量，公司将减少部分作为已授予的权益工具的取消 来进行处理；如果以不利于职工的方式修改了可行权条件，在处理可行权条件时，不考虑修改后的可行权条件。</w:t>
      </w:r>
    </w:p>
    <w:p>
      <w:pPr>
        <w:pStyle w:val="Style26"/>
        <w:keepNext w:val="0"/>
        <w:keepLines w:val="0"/>
        <w:widowControl w:val="0"/>
        <w:shd w:val="clear" w:color="auto" w:fill="auto"/>
        <w:bidi w:val="0"/>
        <w:spacing w:before="0" w:after="380" w:line="322" w:lineRule="exact"/>
        <w:ind w:left="0" w:right="0"/>
        <w:jc w:val="both"/>
      </w:pPr>
      <w:r>
        <w:rPr>
          <w:color w:val="000000"/>
          <w:spacing w:val="0"/>
          <w:w w:val="100"/>
          <w:position w:val="0"/>
        </w:rPr>
        <w:t>如果公司在等待期内取消了所授予的权益工具或结算了所授予的权益工具（因未满足可行权条件而被取消的除外），则 将取消或结算作为加速可行权处理，立即确认原本在剩余等待期内确认的金额。</w:t>
      </w:r>
    </w:p>
    <w:p>
      <w:pPr>
        <w:pStyle w:val="Style30"/>
        <w:keepNext/>
        <w:keepLines/>
        <w:widowControl w:val="0"/>
        <w:shd w:val="clear" w:color="auto" w:fill="auto"/>
        <w:bidi w:val="0"/>
        <w:spacing w:before="0" w:after="260" w:line="240" w:lineRule="auto"/>
        <w:ind w:left="0" w:right="0" w:firstLine="0"/>
        <w:jc w:val="left"/>
      </w:pPr>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25</w:t>
      </w:r>
      <w:r>
        <w:rPr>
          <w:color w:val="000000"/>
          <w:spacing w:val="0"/>
          <w:w w:val="100"/>
          <w:position w:val="0"/>
        </w:rPr>
        <w:t>、收入</w:t>
      </w:r>
      <w:bookmarkEnd w:id="955"/>
      <w:bookmarkEnd w:id="956"/>
      <w:bookmarkEnd w:id="957"/>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numPr>
          <w:ilvl w:val="0"/>
          <w:numId w:val="59"/>
        </w:numPr>
        <w:shd w:val="clear" w:color="auto" w:fill="auto"/>
        <w:tabs>
          <w:tab w:pos="658" w:val="left"/>
        </w:tabs>
        <w:bidi w:val="0"/>
        <w:spacing w:before="0" w:after="0" w:line="360" w:lineRule="auto"/>
        <w:ind w:left="0" w:right="0"/>
        <w:jc w:val="both"/>
      </w:pPr>
      <w:bookmarkStart w:id="958" w:name="bookmark958"/>
      <w:bookmarkEnd w:id="958"/>
      <w:r>
        <w:rPr>
          <w:color w:val="000000"/>
          <w:spacing w:val="0"/>
          <w:w w:val="100"/>
          <w:position w:val="0"/>
        </w:rPr>
        <w:t>收入确认原则</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于合同开始日，公司对合同进行评估，识别合同所包含的各单项履约义务，并确定各单项履约义务是在某一时段内履行， 还是在某一时点履行。</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满足下列条件之一时，属于在某一时段内履行履约义务，否则，属于在某一时点履行履约义务：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客户在公司履约的 同时即取得并消耗公司履约所带来的经济利益；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客户能够控制公司履约过程中在建商品；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公司履约过程中所产出的 商品具有不可替代用途，且公司在整个合同期间内有权就累计至今已完成的履约部分收取款项。</w:t>
      </w:r>
    </w:p>
    <w:p>
      <w:pPr>
        <w:pStyle w:val="Style26"/>
        <w:keepNext w:val="0"/>
        <w:keepLines w:val="0"/>
        <w:widowControl w:val="0"/>
        <w:shd w:val="clear" w:color="auto" w:fill="auto"/>
        <w:bidi w:val="0"/>
        <w:spacing w:before="0" w:after="140" w:line="313" w:lineRule="exact"/>
        <w:ind w:left="0" w:right="0"/>
        <w:jc w:val="both"/>
      </w:pPr>
      <w:r>
        <w:rPr>
          <w:color w:val="000000"/>
          <w:spacing w:val="0"/>
          <w:w w:val="100"/>
          <w:position w:val="0"/>
        </w:rPr>
        <w:t>对于在某一时段内履行的履约义务，公司在该段时间内按照履约进度确认收入。履约进度不能合理确定时，已经发生的 成本预计能够得到补偿的，按照已经发生的成本金额确认收入，直到履约进度能够合理确定为止。对于在某一时点履行的履 约义务，在客户取得相关商品或服务控制权时点确认收入。在判断客户是否已取得商品控制权时，公司考虑下列迹象：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 司就该商品享有现时收款权利，即客户就该商品负有现时付款义务；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公司已将该商品的法定所有权转移给客户，即客户 已拥有该商品的法定所有权；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公司已将该商品实物转移给客户，即客户已实物占有该商品；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公司已将该商品所有权 上的主要风险和报酬转移给客户，即客户已取得该商品所有权上的主要风险和报酬；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客户已接受该商品；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其他表明 客户已取得商品控制权的迹象。</w:t>
      </w:r>
    </w:p>
    <w:p>
      <w:pPr>
        <w:pStyle w:val="Style26"/>
        <w:keepNext w:val="0"/>
        <w:keepLines w:val="0"/>
        <w:widowControl w:val="0"/>
        <w:numPr>
          <w:ilvl w:val="0"/>
          <w:numId w:val="59"/>
        </w:numPr>
        <w:shd w:val="clear" w:color="auto" w:fill="auto"/>
        <w:tabs>
          <w:tab w:pos="658" w:val="left"/>
        </w:tabs>
        <w:bidi w:val="0"/>
        <w:spacing w:before="0" w:after="0" w:line="360" w:lineRule="auto"/>
        <w:ind w:left="0" w:right="0"/>
        <w:jc w:val="both"/>
      </w:pPr>
      <w:bookmarkStart w:id="959" w:name="bookmark959"/>
      <w:bookmarkEnd w:id="959"/>
      <w:r>
        <w:rPr>
          <w:color w:val="000000"/>
          <w:spacing w:val="0"/>
          <w:w w:val="100"/>
          <w:position w:val="0"/>
        </w:rPr>
        <w:t>收入计量原则</w:t>
      </w:r>
    </w:p>
    <w:p>
      <w:pPr>
        <w:pStyle w:val="Style26"/>
        <w:keepNext w:val="0"/>
        <w:keepLines w:val="0"/>
        <w:widowControl w:val="0"/>
        <w:shd w:val="clear" w:color="auto" w:fill="auto"/>
        <w:tabs>
          <w:tab w:pos="706" w:val="left"/>
        </w:tabs>
        <w:bidi w:val="0"/>
        <w:spacing w:before="0" w:after="0" w:line="319" w:lineRule="exact"/>
        <w:ind w:left="0" w:right="0"/>
        <w:jc w:val="both"/>
      </w:pPr>
      <w:bookmarkStart w:id="960" w:name="bookmark960"/>
      <w:r>
        <w:rPr>
          <w:rFonts w:ascii="Times New Roman" w:eastAsia="Times New Roman" w:hAnsi="Times New Roman" w:cs="Times New Roman"/>
          <w:color w:val="000000"/>
          <w:spacing w:val="0"/>
          <w:w w:val="100"/>
          <w:position w:val="0"/>
          <w:sz w:val="18"/>
          <w:szCs w:val="18"/>
        </w:rPr>
        <w:t>（</w:t>
      </w:r>
      <w:bookmarkEnd w:id="960"/>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公司按照分摊至各单项履约义务的交易价格计量收入。交易价格是公司因向客户转让商品或服务而预期有权收取的 对价金额，不包括代第三方收取的款项以及预期将退还给客户的款项。</w:t>
      </w:r>
    </w:p>
    <w:p>
      <w:pPr>
        <w:pStyle w:val="Style26"/>
        <w:keepNext w:val="0"/>
        <w:keepLines w:val="0"/>
        <w:widowControl w:val="0"/>
        <w:shd w:val="clear" w:color="auto" w:fill="auto"/>
        <w:tabs>
          <w:tab w:pos="702" w:val="left"/>
        </w:tabs>
        <w:bidi w:val="0"/>
        <w:spacing w:before="0" w:after="80" w:line="319" w:lineRule="exact"/>
        <w:ind w:left="0" w:right="0"/>
        <w:jc w:val="both"/>
      </w:pPr>
      <w:bookmarkStart w:id="961" w:name="bookmark961"/>
      <w:r>
        <w:rPr>
          <w:rFonts w:ascii="Times New Roman" w:eastAsia="Times New Roman" w:hAnsi="Times New Roman" w:cs="Times New Roman"/>
          <w:color w:val="000000"/>
          <w:spacing w:val="0"/>
          <w:w w:val="100"/>
          <w:position w:val="0"/>
          <w:sz w:val="18"/>
          <w:szCs w:val="18"/>
        </w:rPr>
        <w:t>（</w:t>
      </w:r>
      <w:bookmarkEnd w:id="961"/>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合同中存在可变对价的，公司按照期望值或最可能发生金额确定可变对价的最佳估计数，但包含可变对价的交易价 格，不超过在相关不确定性消除时累计已确认收入极可能不会发生重大转回的金额。</w:t>
      </w:r>
    </w:p>
    <w:p>
      <w:pPr>
        <w:pStyle w:val="Style26"/>
        <w:keepNext w:val="0"/>
        <w:keepLines w:val="0"/>
        <w:widowControl w:val="0"/>
        <w:numPr>
          <w:ilvl w:val="0"/>
          <w:numId w:val="47"/>
        </w:numPr>
        <w:shd w:val="clear" w:color="auto" w:fill="auto"/>
        <w:tabs>
          <w:tab w:pos="737" w:val="left"/>
        </w:tabs>
        <w:bidi w:val="0"/>
        <w:spacing w:before="0" w:after="0" w:line="323" w:lineRule="exact"/>
        <w:ind w:left="0" w:right="0"/>
        <w:jc w:val="left"/>
      </w:pPr>
      <w:bookmarkStart w:id="962" w:name="bookmark962"/>
      <w:bookmarkEnd w:id="962"/>
      <w:r>
        <w:rPr>
          <w:color w:val="000000"/>
          <w:spacing w:val="0"/>
          <w:w w:val="100"/>
          <w:position w:val="0"/>
        </w:rPr>
        <w:t>合同中存在重大融资成分的，公司按照假定客户在取得商品或服务控制权时即以现金支付的应付金额确定交易价 格。该交易价格与合同对价之间的差额，在合同期间内采用实际利率法摊销。合同开始日，公司预计客户取得商品或服务控 制权与客户支付价款间隔不超过一年的，不考虑合同中存在的重大融资成分。</w:t>
      </w:r>
    </w:p>
    <w:p>
      <w:pPr>
        <w:pStyle w:val="Style26"/>
        <w:keepNext w:val="0"/>
        <w:keepLines w:val="0"/>
        <w:widowControl w:val="0"/>
        <w:numPr>
          <w:ilvl w:val="0"/>
          <w:numId w:val="47"/>
        </w:numPr>
        <w:shd w:val="clear" w:color="auto" w:fill="auto"/>
        <w:tabs>
          <w:tab w:pos="737" w:val="left"/>
        </w:tabs>
        <w:bidi w:val="0"/>
        <w:spacing w:before="0" w:after="0" w:line="323" w:lineRule="exact"/>
        <w:ind w:left="0" w:right="0"/>
        <w:jc w:val="left"/>
      </w:pPr>
      <w:bookmarkStart w:id="963" w:name="bookmark963"/>
      <w:bookmarkEnd w:id="963"/>
      <w:r>
        <w:rPr>
          <w:color w:val="000000"/>
          <w:spacing w:val="0"/>
          <w:w w:val="100"/>
          <w:position w:val="0"/>
        </w:rPr>
        <w:t>合同中包含两项或多项履约义务的，公司于合同开始日，按照各单项履约义务所承诺商品的单独售价的相对比例， 将交易价格分摊至各单项履约义务。</w:t>
      </w:r>
    </w:p>
    <w:p>
      <w:pPr>
        <w:pStyle w:val="Style26"/>
        <w:keepNext w:val="0"/>
        <w:keepLines w:val="0"/>
        <w:widowControl w:val="0"/>
        <w:numPr>
          <w:ilvl w:val="0"/>
          <w:numId w:val="59"/>
        </w:numPr>
        <w:shd w:val="clear" w:color="auto" w:fill="auto"/>
        <w:bidi w:val="0"/>
        <w:spacing w:before="0" w:after="0" w:line="323" w:lineRule="exact"/>
        <w:ind w:left="0" w:right="0"/>
        <w:jc w:val="left"/>
      </w:pPr>
      <w:bookmarkStart w:id="964" w:name="bookmark964"/>
      <w:bookmarkEnd w:id="964"/>
      <w:r>
        <w:rPr>
          <w:color w:val="000000"/>
          <w:spacing w:val="0"/>
          <w:w w:val="100"/>
          <w:position w:val="0"/>
        </w:rPr>
        <w:t>收入确认的具体方法</w:t>
      </w:r>
    </w:p>
    <w:p>
      <w:pPr>
        <w:pStyle w:val="Style26"/>
        <w:keepNext w:val="0"/>
        <w:keepLines w:val="0"/>
        <w:widowControl w:val="0"/>
        <w:shd w:val="clear" w:color="auto" w:fill="auto"/>
        <w:bidi w:val="0"/>
        <w:spacing w:before="0" w:after="0" w:line="312" w:lineRule="exact"/>
        <w:ind w:left="0" w:right="0"/>
        <w:jc w:val="left"/>
      </w:pPr>
      <w:r>
        <w:rPr>
          <w:color w:val="000000"/>
          <w:spacing w:val="0"/>
          <w:w w:val="100"/>
          <w:position w:val="0"/>
        </w:rPr>
        <w:t>公司主要经营医疗信息系统的相关产品及开发与服务、数字化场景应用系统的实施以及销售商品等其他业务。主要业务 类型的收入确认具体方法如下：</w:t>
      </w:r>
    </w:p>
    <w:p>
      <w:pPr>
        <w:pStyle w:val="Style26"/>
        <w:keepNext w:val="0"/>
        <w:keepLines w:val="0"/>
        <w:widowControl w:val="0"/>
        <w:numPr>
          <w:ilvl w:val="0"/>
          <w:numId w:val="61"/>
        </w:numPr>
        <w:shd w:val="clear" w:color="auto" w:fill="auto"/>
        <w:tabs>
          <w:tab w:pos="762" w:val="left"/>
        </w:tabs>
        <w:bidi w:val="0"/>
        <w:spacing w:before="0" w:after="0" w:line="314" w:lineRule="exact"/>
        <w:ind w:left="0" w:right="0"/>
        <w:jc w:val="left"/>
      </w:pPr>
      <w:bookmarkStart w:id="965" w:name="bookmark965"/>
      <w:bookmarkEnd w:id="965"/>
      <w:r>
        <w:rPr>
          <w:color w:val="000000"/>
          <w:spacing w:val="0"/>
          <w:w w:val="100"/>
          <w:position w:val="0"/>
        </w:rPr>
        <w:t>医疗信息系统软件的销售与开发</w:t>
      </w:r>
    </w:p>
    <w:p>
      <w:pPr>
        <w:pStyle w:val="Style26"/>
        <w:keepNext w:val="0"/>
        <w:keepLines w:val="0"/>
        <w:widowControl w:val="0"/>
        <w:shd w:val="clear" w:color="auto" w:fill="auto"/>
        <w:bidi w:val="0"/>
        <w:spacing w:before="0" w:after="0" w:line="317" w:lineRule="exact"/>
        <w:ind w:left="0" w:right="0"/>
        <w:jc w:val="left"/>
      </w:pPr>
      <w:r>
        <w:rPr>
          <w:color w:val="000000"/>
          <w:spacing w:val="0"/>
          <w:w w:val="100"/>
          <w:position w:val="0"/>
        </w:rPr>
        <w:t>该类业务主要包括医院临床信息系统、区域智慧医疗系统的销售与开发，根据合同履约义务的性质判断，属于在某一时 点履行的履约义务，公司在完成履约义务并经客户确认、已收取款项或者享有现时收款权利时确认收入。</w:t>
      </w:r>
    </w:p>
    <w:p>
      <w:pPr>
        <w:pStyle w:val="Style26"/>
        <w:keepNext w:val="0"/>
        <w:keepLines w:val="0"/>
        <w:widowControl w:val="0"/>
        <w:numPr>
          <w:ilvl w:val="0"/>
          <w:numId w:val="61"/>
        </w:numPr>
        <w:shd w:val="clear" w:color="auto" w:fill="auto"/>
        <w:tabs>
          <w:tab w:pos="762" w:val="left"/>
        </w:tabs>
        <w:bidi w:val="0"/>
        <w:spacing w:before="0" w:after="0" w:line="317" w:lineRule="exact"/>
        <w:ind w:left="0" w:right="0"/>
        <w:jc w:val="left"/>
      </w:pPr>
      <w:bookmarkStart w:id="966" w:name="bookmark966"/>
      <w:bookmarkEnd w:id="966"/>
      <w:r>
        <w:rPr>
          <w:color w:val="000000"/>
          <w:spacing w:val="0"/>
          <w:w w:val="100"/>
          <w:position w:val="0"/>
        </w:rPr>
        <w:t>医疗信息系统服务</w:t>
      </w:r>
    </w:p>
    <w:p>
      <w:pPr>
        <w:pStyle w:val="Style26"/>
        <w:keepNext w:val="0"/>
        <w:keepLines w:val="0"/>
        <w:widowControl w:val="0"/>
        <w:shd w:val="clear" w:color="auto" w:fill="auto"/>
        <w:bidi w:val="0"/>
        <w:spacing w:before="0" w:after="0" w:line="312" w:lineRule="exact"/>
        <w:ind w:left="0" w:right="0"/>
        <w:jc w:val="left"/>
      </w:pPr>
      <w:r>
        <w:rPr>
          <w:color w:val="000000"/>
          <w:spacing w:val="0"/>
          <w:w w:val="100"/>
          <w:position w:val="0"/>
        </w:rPr>
        <w:t>该类业务主要为在一段时间内向客户提供系统运维服务，由于客户在公司履约的同时即取得并消耗公司履约所带来的经 济利益，属于在某一时段内履行履约义务，按照公司与客户的约定分期确认收入。</w:t>
      </w:r>
    </w:p>
    <w:p>
      <w:pPr>
        <w:pStyle w:val="Style26"/>
        <w:keepNext w:val="0"/>
        <w:keepLines w:val="0"/>
        <w:widowControl w:val="0"/>
        <w:numPr>
          <w:ilvl w:val="0"/>
          <w:numId w:val="61"/>
        </w:numPr>
        <w:shd w:val="clear" w:color="auto" w:fill="auto"/>
        <w:tabs>
          <w:tab w:pos="762" w:val="left"/>
        </w:tabs>
        <w:bidi w:val="0"/>
        <w:spacing w:before="0" w:after="0" w:line="314" w:lineRule="exact"/>
        <w:ind w:left="0" w:right="0"/>
        <w:jc w:val="left"/>
      </w:pPr>
      <w:bookmarkStart w:id="967" w:name="bookmark967"/>
      <w:bookmarkEnd w:id="967"/>
      <w:r>
        <w:rPr>
          <w:color w:val="000000"/>
          <w:spacing w:val="0"/>
          <w:w w:val="100"/>
          <w:position w:val="0"/>
        </w:rPr>
        <w:t>数字化场景应用系统的实施</w:t>
      </w:r>
    </w:p>
    <w:p>
      <w:pPr>
        <w:pStyle w:val="Style26"/>
        <w:keepNext w:val="0"/>
        <w:keepLines w:val="0"/>
        <w:widowControl w:val="0"/>
        <w:shd w:val="clear" w:color="auto" w:fill="auto"/>
        <w:bidi w:val="0"/>
        <w:spacing w:before="0" w:after="0" w:line="314" w:lineRule="exact"/>
        <w:ind w:left="0" w:right="0"/>
        <w:jc w:val="left"/>
      </w:pPr>
      <w:r>
        <w:rPr>
          <w:color w:val="000000"/>
          <w:spacing w:val="0"/>
          <w:w w:val="100"/>
          <w:position w:val="0"/>
        </w:rPr>
        <w:t>公司提供数字化场景应用系统的实施属于在某一时段内履行履约义务，根据投入法按照已交付的产品或已确认的工程量 确定履约进度。履约进度不能合理确定时，公司已经发生的成本预计能够得到补偿的，按照已经发生的成本金额确认收入， 直到履约进度能够合理确定为止。</w:t>
      </w:r>
    </w:p>
    <w:p>
      <w:pPr>
        <w:pStyle w:val="Style26"/>
        <w:keepNext w:val="0"/>
        <w:keepLines w:val="0"/>
        <w:widowControl w:val="0"/>
        <w:numPr>
          <w:ilvl w:val="0"/>
          <w:numId w:val="61"/>
        </w:numPr>
        <w:shd w:val="clear" w:color="auto" w:fill="auto"/>
        <w:tabs>
          <w:tab w:pos="762" w:val="left"/>
        </w:tabs>
        <w:bidi w:val="0"/>
        <w:spacing w:before="0" w:after="0" w:line="314" w:lineRule="exact"/>
        <w:ind w:left="0" w:right="0"/>
        <w:jc w:val="left"/>
      </w:pPr>
      <w:bookmarkStart w:id="968" w:name="bookmark968"/>
      <w:bookmarkEnd w:id="968"/>
      <w:r>
        <w:rPr>
          <w:color w:val="000000"/>
          <w:spacing w:val="0"/>
          <w:w w:val="100"/>
          <w:position w:val="0"/>
        </w:rPr>
        <w:t>其他软件及硬件产品销售业务</w:t>
      </w:r>
    </w:p>
    <w:p>
      <w:pPr>
        <w:pStyle w:val="Style26"/>
        <w:keepNext w:val="0"/>
        <w:keepLines w:val="0"/>
        <w:widowControl w:val="0"/>
        <w:shd w:val="clear" w:color="auto" w:fill="auto"/>
        <w:bidi w:val="0"/>
        <w:spacing w:before="0" w:after="360" w:line="312" w:lineRule="exact"/>
        <w:ind w:left="0" w:right="0"/>
        <w:jc w:val="left"/>
      </w:pPr>
      <w:r>
        <w:rPr>
          <w:color w:val="000000"/>
          <w:spacing w:val="0"/>
          <w:w w:val="100"/>
          <w:position w:val="0"/>
        </w:rPr>
        <w:t>公司其他软件及硬件产品销售业务属于在某一时点履行履约义务，在客户验收、已收取货款或取得了收款权利且相关的 经济利益很可能流入时确认。</w:t>
      </w:r>
    </w:p>
    <w:p>
      <w:pPr>
        <w:pStyle w:val="Style30"/>
        <w:keepNext/>
        <w:keepLines/>
        <w:widowControl w:val="0"/>
        <w:shd w:val="clear" w:color="auto" w:fill="auto"/>
        <w:bidi w:val="0"/>
        <w:spacing w:before="0" w:after="28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969"/>
      <w:bookmarkEnd w:id="970"/>
      <w:bookmarkEnd w:id="972"/>
    </w:p>
    <w:p>
      <w:pPr>
        <w:pStyle w:val="Style26"/>
        <w:keepNext w:val="0"/>
        <w:keepLines w:val="0"/>
        <w:widowControl w:val="0"/>
        <w:numPr>
          <w:ilvl w:val="0"/>
          <w:numId w:val="63"/>
        </w:numPr>
        <w:shd w:val="clear" w:color="auto" w:fill="auto"/>
        <w:tabs>
          <w:tab w:pos="651" w:val="left"/>
        </w:tabs>
        <w:bidi w:val="0"/>
        <w:spacing w:before="0" w:after="0" w:line="317" w:lineRule="exact"/>
        <w:ind w:left="0" w:right="0"/>
        <w:jc w:val="both"/>
      </w:pPr>
      <w:bookmarkStart w:id="973" w:name="bookmark973"/>
      <w:bookmarkEnd w:id="973"/>
      <w:r>
        <w:rPr>
          <w:color w:val="000000"/>
          <w:spacing w:val="0"/>
          <w:w w:val="100"/>
          <w:position w:val="0"/>
        </w:rPr>
        <w:t>政府补助在同时满足下列条件时予以确认：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公司能够满足政府补助所附的条件；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公司能够收到政府补助。政 府补助为货币性资产的，按照收到或应收的金额计量。政府补助为非货币性资产的，按照公允价值计量；公允价值不能可靠 取得的，按照名义金额计量。</w:t>
      </w:r>
    </w:p>
    <w:p>
      <w:pPr>
        <w:pStyle w:val="Style26"/>
        <w:keepNext w:val="0"/>
        <w:keepLines w:val="0"/>
        <w:widowControl w:val="0"/>
        <w:numPr>
          <w:ilvl w:val="0"/>
          <w:numId w:val="63"/>
        </w:numPr>
        <w:shd w:val="clear" w:color="auto" w:fill="auto"/>
        <w:tabs>
          <w:tab w:pos="676" w:val="left"/>
        </w:tabs>
        <w:bidi w:val="0"/>
        <w:spacing w:before="0" w:after="0" w:line="314" w:lineRule="exact"/>
        <w:ind w:left="0" w:right="0"/>
        <w:jc w:val="both"/>
      </w:pPr>
      <w:bookmarkStart w:id="974" w:name="bookmark974"/>
      <w:bookmarkEnd w:id="974"/>
      <w:r>
        <w:rPr>
          <w:color w:val="000000"/>
          <w:spacing w:val="0"/>
          <w:w w:val="100"/>
          <w:position w:val="0"/>
        </w:rPr>
        <w:t>与资产相关的政府补助判断依据及会计处理方法</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政府文件规定用于购建或以其他方式形成长期资产的政府补助划分为与资产相关的政府补助。政府文件不明确的，以取 得该补助必须具备的基本条件为基础进行判断，以购建或其他方式形成长期资产为基本条件的作为与资产相关的政府补助。 与资产相关的政府补助，冲减相关资产的账面价值或确认为递延收益。与资产相关的政府补助确认为递延收益的，在相关资 产使用寿命内按照合理、系统的方法分期计入损益。按照名义金额计量的政府补助，直接计入当期损益。相关资产在使用寿 命结束前被出售、转让、报废或发生毁损的，将尚未分配的相关递延收益余额转入资产处置当期的损益。</w:t>
      </w:r>
    </w:p>
    <w:p>
      <w:pPr>
        <w:pStyle w:val="Style26"/>
        <w:keepNext w:val="0"/>
        <w:keepLines w:val="0"/>
        <w:widowControl w:val="0"/>
        <w:numPr>
          <w:ilvl w:val="0"/>
          <w:numId w:val="63"/>
        </w:numPr>
        <w:shd w:val="clear" w:color="auto" w:fill="auto"/>
        <w:tabs>
          <w:tab w:pos="676" w:val="left"/>
        </w:tabs>
        <w:bidi w:val="0"/>
        <w:spacing w:before="0" w:after="0" w:line="314" w:lineRule="exact"/>
        <w:ind w:left="0" w:right="0"/>
        <w:jc w:val="both"/>
      </w:pPr>
      <w:bookmarkStart w:id="975" w:name="bookmark975"/>
      <w:bookmarkEnd w:id="975"/>
      <w:r>
        <w:rPr>
          <w:color w:val="000000"/>
          <w:spacing w:val="0"/>
          <w:w w:val="100"/>
          <w:position w:val="0"/>
        </w:rPr>
        <w:t>与收益相关的政府补助判断依据及会计处理方法</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除与资产相关的政府补助之外的政府补助划分为与收益相关的政府补助。对于同时包含与资产相关部分和与收益相关部 分的政府补助，难以区分与资产相关或与收益相关的，整体归类为与收益相关的政府补助。与收益相关的政府补助，用于补 偿以后期间的相关成本费用或损失的，确认为递延收益，在确认相关成本费用或损失的期间，计入当期损益或冲减相关成本； 用于补偿已发生的相关成本费用或损失的，直接计入当期损益或冲减相关成本。</w:t>
      </w:r>
    </w:p>
    <w:p>
      <w:pPr>
        <w:pStyle w:val="Style26"/>
        <w:keepNext w:val="0"/>
        <w:keepLines w:val="0"/>
        <w:widowControl w:val="0"/>
        <w:numPr>
          <w:ilvl w:val="0"/>
          <w:numId w:val="63"/>
        </w:numPr>
        <w:shd w:val="clear" w:color="auto" w:fill="auto"/>
        <w:tabs>
          <w:tab w:pos="646" w:val="left"/>
        </w:tabs>
        <w:bidi w:val="0"/>
        <w:spacing w:before="0" w:after="0" w:line="326" w:lineRule="exact"/>
        <w:ind w:left="0" w:right="0"/>
        <w:jc w:val="both"/>
      </w:pPr>
      <w:bookmarkStart w:id="976" w:name="bookmark976"/>
      <w:bookmarkEnd w:id="976"/>
      <w:r>
        <w:rPr>
          <w:color w:val="000000"/>
          <w:spacing w:val="0"/>
          <w:w w:val="100"/>
          <w:position w:val="0"/>
        </w:rPr>
        <w:t>与公司日常经营活动相关的政府补助，按照经济业务实质，计入其他收益或冲减相关成本费用。与公司日常活动无 关的政府补助，计入营业外收支。</w:t>
      </w:r>
    </w:p>
    <w:p>
      <w:pPr>
        <w:pStyle w:val="Style26"/>
        <w:keepNext w:val="0"/>
        <w:keepLines w:val="0"/>
        <w:widowControl w:val="0"/>
        <w:numPr>
          <w:ilvl w:val="0"/>
          <w:numId w:val="63"/>
        </w:numPr>
        <w:shd w:val="clear" w:color="auto" w:fill="auto"/>
        <w:tabs>
          <w:tab w:pos="676" w:val="left"/>
        </w:tabs>
        <w:bidi w:val="0"/>
        <w:spacing w:before="0" w:after="0" w:line="314" w:lineRule="exact"/>
        <w:ind w:left="0" w:right="0"/>
        <w:jc w:val="both"/>
      </w:pPr>
      <w:bookmarkStart w:id="977" w:name="bookmark977"/>
      <w:bookmarkEnd w:id="977"/>
      <w:r>
        <w:rPr>
          <w:color w:val="000000"/>
          <w:spacing w:val="0"/>
          <w:w w:val="100"/>
          <w:position w:val="0"/>
        </w:rPr>
        <w:t>政策性优惠贷款贴息的会计处理方法</w:t>
      </w:r>
    </w:p>
    <w:p>
      <w:pPr>
        <w:pStyle w:val="Style26"/>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财政将贴息资金拨付给贷款银行，由贷款银行以政策性优惠利率向公司提供贷款的，以实际收到的借款金额作为借 </w:t>
      </w:r>
      <w:r>
        <w:rPr>
          <w:color w:val="000000"/>
          <w:spacing w:val="0"/>
          <w:w w:val="100"/>
          <w:position w:val="0"/>
        </w:rPr>
        <w:t>款的入账价值，按照借款本金和该政策性优惠利率计算相关借款费用。</w:t>
      </w:r>
    </w:p>
    <w:p>
      <w:pPr>
        <w:pStyle w:val="Style26"/>
        <w:keepNext w:val="0"/>
        <w:keepLines w:val="0"/>
        <w:widowControl w:val="0"/>
        <w:shd w:val="clear" w:color="auto" w:fill="auto"/>
        <w:bidi w:val="0"/>
        <w:spacing w:before="0" w:after="380" w:line="320"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财政将贴息资金直接拨付给公司的，将对应的贴息冲减相关借款费用。</w:t>
      </w:r>
    </w:p>
    <w:p>
      <w:pPr>
        <w:pStyle w:val="Style30"/>
        <w:keepNext/>
        <w:keepLines/>
        <w:widowControl w:val="0"/>
        <w:shd w:val="clear" w:color="auto" w:fill="auto"/>
        <w:tabs>
          <w:tab w:pos="487" w:val="left"/>
        </w:tabs>
        <w:bidi w:val="0"/>
        <w:spacing w:before="0" w:after="28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8"/>
      <w:bookmarkEnd w:id="979"/>
      <w:bookmarkEnd w:id="981"/>
    </w:p>
    <w:p>
      <w:pPr>
        <w:pStyle w:val="Style26"/>
        <w:keepNext w:val="0"/>
        <w:keepLines w:val="0"/>
        <w:widowControl w:val="0"/>
        <w:numPr>
          <w:ilvl w:val="0"/>
          <w:numId w:val="65"/>
        </w:numPr>
        <w:shd w:val="clear" w:color="auto" w:fill="auto"/>
        <w:tabs>
          <w:tab w:pos="670" w:val="left"/>
        </w:tabs>
        <w:bidi w:val="0"/>
        <w:spacing w:before="0" w:after="0" w:line="320" w:lineRule="exact"/>
        <w:ind w:left="0" w:right="0"/>
        <w:jc w:val="left"/>
      </w:pPr>
      <w:bookmarkStart w:id="982" w:name="bookmark982"/>
      <w:bookmarkEnd w:id="982"/>
      <w:r>
        <w:rPr>
          <w:color w:val="000000"/>
          <w:spacing w:val="0"/>
          <w:w w:val="100"/>
          <w:position w:val="0"/>
        </w:rPr>
        <w:t>根据资产、负债的账面价值与其计税基础之间的差额(未作为资产和负债确认的项目按照税法规定可以确定其计税 基础的，该计税基础与其账面数之间的差额)，按照预期收回该资产或清偿该负债期间的适用税率计算确认递延所得税资产 或递延所得税负债。</w:t>
      </w:r>
    </w:p>
    <w:p>
      <w:pPr>
        <w:pStyle w:val="Style26"/>
        <w:keepNext w:val="0"/>
        <w:keepLines w:val="0"/>
        <w:widowControl w:val="0"/>
        <w:numPr>
          <w:ilvl w:val="0"/>
          <w:numId w:val="65"/>
        </w:numPr>
        <w:shd w:val="clear" w:color="auto" w:fill="auto"/>
        <w:tabs>
          <w:tab w:pos="656" w:val="left"/>
        </w:tabs>
        <w:bidi w:val="0"/>
        <w:spacing w:before="0" w:after="0" w:line="320" w:lineRule="exact"/>
        <w:ind w:left="0" w:right="0"/>
        <w:jc w:val="left"/>
      </w:pPr>
      <w:bookmarkStart w:id="983" w:name="bookmark983"/>
      <w:bookmarkEnd w:id="983"/>
      <w:r>
        <w:rPr>
          <w:color w:val="000000"/>
          <w:spacing w:val="0"/>
          <w:w w:val="100"/>
          <w:position w:val="0"/>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Style26"/>
        <w:keepNext w:val="0"/>
        <w:keepLines w:val="0"/>
        <w:widowControl w:val="0"/>
        <w:numPr>
          <w:ilvl w:val="0"/>
          <w:numId w:val="65"/>
        </w:numPr>
        <w:shd w:val="clear" w:color="auto" w:fill="auto"/>
        <w:tabs>
          <w:tab w:pos="680" w:val="left"/>
        </w:tabs>
        <w:bidi w:val="0"/>
        <w:spacing w:before="0" w:after="0" w:line="320" w:lineRule="exact"/>
        <w:ind w:left="0" w:right="0"/>
        <w:jc w:val="left"/>
      </w:pPr>
      <w:bookmarkStart w:id="984" w:name="bookmark984"/>
      <w:bookmarkEnd w:id="984"/>
      <w:r>
        <w:rPr>
          <w:color w:val="000000"/>
          <w:spacing w:val="0"/>
          <w:w w:val="100"/>
          <w:position w:val="0"/>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Style26"/>
        <w:keepNext w:val="0"/>
        <w:keepLines w:val="0"/>
        <w:widowControl w:val="0"/>
        <w:numPr>
          <w:ilvl w:val="0"/>
          <w:numId w:val="65"/>
        </w:numPr>
        <w:shd w:val="clear" w:color="auto" w:fill="auto"/>
        <w:tabs>
          <w:tab w:pos="675" w:val="left"/>
        </w:tabs>
        <w:bidi w:val="0"/>
        <w:spacing w:before="0" w:after="380" w:line="312" w:lineRule="exact"/>
        <w:ind w:left="0" w:right="0"/>
        <w:jc w:val="left"/>
      </w:pPr>
      <w:bookmarkStart w:id="985" w:name="bookmark985"/>
      <w:bookmarkEnd w:id="985"/>
      <w:r>
        <w:rPr>
          <w:color w:val="000000"/>
          <w:spacing w:val="0"/>
          <w:w w:val="100"/>
          <w:position w:val="0"/>
        </w:rPr>
        <w:t>公司当期所得税和递延所得税作为所得税费用或收益计入当期损益,但不包括下列情况产生的所得税: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企业合并;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直接在所有者权益中确认的交易或者事项。</w:t>
      </w:r>
    </w:p>
    <w:p>
      <w:pPr>
        <w:pStyle w:val="Style30"/>
        <w:keepNext/>
        <w:keepLines/>
        <w:widowControl w:val="0"/>
        <w:shd w:val="clear" w:color="auto" w:fill="auto"/>
        <w:tabs>
          <w:tab w:pos="487" w:val="left"/>
        </w:tabs>
        <w:bidi w:val="0"/>
        <w:spacing w:before="0" w:after="38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986"/>
      <w:bookmarkEnd w:id="987"/>
      <w:bookmarkEnd w:id="989"/>
    </w:p>
    <w:p>
      <w:pPr>
        <w:pStyle w:val="Style37"/>
        <w:keepNext/>
        <w:keepLines/>
        <w:widowControl w:val="0"/>
        <w:numPr>
          <w:ilvl w:val="0"/>
          <w:numId w:val="67"/>
        </w:numPr>
        <w:shd w:val="clear" w:color="auto" w:fill="auto"/>
        <w:tabs>
          <w:tab w:pos="493" w:val="left"/>
        </w:tabs>
        <w:bidi w:val="0"/>
        <w:spacing w:before="0" w:after="280" w:line="240" w:lineRule="auto"/>
        <w:ind w:left="0" w:right="0" w:firstLine="0"/>
        <w:jc w:val="left"/>
      </w:pPr>
      <w:bookmarkStart w:id="990" w:name="bookmark990"/>
      <w:bookmarkStart w:id="991" w:name="bookmark991"/>
      <w:bookmarkStart w:id="992" w:name="bookmark992"/>
      <w:bookmarkStart w:id="993" w:name="bookmark993"/>
      <w:bookmarkEnd w:id="992"/>
      <w:r>
        <w:rPr>
          <w:color w:val="000000"/>
          <w:spacing w:val="0"/>
          <w:w w:val="100"/>
          <w:position w:val="0"/>
        </w:rPr>
        <w:t>经营租赁的会计处理方法</w:t>
      </w:r>
      <w:bookmarkEnd w:id="990"/>
      <w:bookmarkEnd w:id="991"/>
      <w:bookmarkEnd w:id="993"/>
    </w:p>
    <w:p>
      <w:pPr>
        <w:pStyle w:val="Style26"/>
        <w:keepNext w:val="0"/>
        <w:keepLines w:val="0"/>
        <w:widowControl w:val="0"/>
        <w:shd w:val="clear" w:color="auto" w:fill="auto"/>
        <w:bidi w:val="0"/>
        <w:spacing w:before="0" w:after="0" w:line="317" w:lineRule="exact"/>
        <w:ind w:left="0" w:right="0"/>
        <w:jc w:val="left"/>
      </w:pPr>
      <w:r>
        <w:rPr>
          <w:color w:val="000000"/>
          <w:spacing w:val="0"/>
          <w:w w:val="100"/>
          <w:position w:val="0"/>
        </w:rPr>
        <w:t>公司为承租人时，在租赁期内各个期间按照直线法将租金计入相关资产成本或确认为当期损益，发生的初始直接费用， 直接计入当期损益。或有租金在实际发生时计入当期损益。</w:t>
      </w:r>
    </w:p>
    <w:p>
      <w:pPr>
        <w:pStyle w:val="Style26"/>
        <w:keepNext w:val="0"/>
        <w:keepLines w:val="0"/>
        <w:widowControl w:val="0"/>
        <w:shd w:val="clear" w:color="auto" w:fill="auto"/>
        <w:bidi w:val="0"/>
        <w:spacing w:before="0" w:after="380" w:line="322" w:lineRule="exact"/>
        <w:ind w:left="0" w:right="0"/>
        <w:jc w:val="left"/>
      </w:pPr>
      <w:r>
        <w:rPr>
          <w:color w:val="000000"/>
          <w:spacing w:val="0"/>
          <w:w w:val="100"/>
          <w:position w:val="0"/>
        </w:rPr>
        <w:t>公司为出租人时，在租赁期内各个期间按照直线法将租金确认为当期损益，发生的初始直接费用，除金额较大的予以资 本化并分期计入损益外，均直接计入当期损益。或有租金在实际发生时计入当期损益。</w:t>
      </w:r>
    </w:p>
    <w:p>
      <w:pPr>
        <w:pStyle w:val="Style37"/>
        <w:keepNext/>
        <w:keepLines/>
        <w:widowControl w:val="0"/>
        <w:numPr>
          <w:ilvl w:val="0"/>
          <w:numId w:val="67"/>
        </w:numPr>
        <w:shd w:val="clear" w:color="auto" w:fill="auto"/>
        <w:tabs>
          <w:tab w:pos="493" w:val="left"/>
        </w:tabs>
        <w:bidi w:val="0"/>
        <w:spacing w:before="0" w:after="280" w:line="240" w:lineRule="auto"/>
        <w:ind w:left="0" w:right="0" w:firstLine="0"/>
        <w:jc w:val="left"/>
      </w:pPr>
      <w:bookmarkStart w:id="994" w:name="bookmark994"/>
      <w:bookmarkStart w:id="995" w:name="bookmark995"/>
      <w:bookmarkStart w:id="996" w:name="bookmark996"/>
      <w:bookmarkStart w:id="997" w:name="bookmark997"/>
      <w:bookmarkEnd w:id="996"/>
      <w:r>
        <w:rPr>
          <w:color w:val="000000"/>
          <w:spacing w:val="0"/>
          <w:w w:val="100"/>
          <w:position w:val="0"/>
        </w:rPr>
        <w:t>融资租赁的会计处理方法</w:t>
      </w:r>
      <w:bookmarkEnd w:id="994"/>
      <w:bookmarkEnd w:id="995"/>
      <w:bookmarkEnd w:id="997"/>
    </w:p>
    <w:p>
      <w:pPr>
        <w:pStyle w:val="Style26"/>
        <w:keepNext w:val="0"/>
        <w:keepLines w:val="0"/>
        <w:widowControl w:val="0"/>
        <w:shd w:val="clear" w:color="auto" w:fill="auto"/>
        <w:bidi w:val="0"/>
        <w:spacing w:before="0" w:after="380" w:line="320" w:lineRule="exact"/>
        <w:ind w:left="0" w:right="0" w:firstLine="0"/>
        <w:jc w:val="left"/>
      </w:pPr>
      <w:r>
        <w:rPr>
          <w:color w:val="000000"/>
          <w:spacing w:val="0"/>
          <w:w w:val="100"/>
          <w:position w:val="0"/>
        </w:rPr>
        <w:t>无</w:t>
      </w:r>
    </w:p>
    <w:p>
      <w:pPr>
        <w:pStyle w:val="Style30"/>
        <w:keepNext/>
        <w:keepLines/>
        <w:widowControl w:val="0"/>
        <w:shd w:val="clear" w:color="auto" w:fill="auto"/>
        <w:tabs>
          <w:tab w:pos="487" w:val="left"/>
        </w:tabs>
        <w:bidi w:val="0"/>
        <w:spacing w:before="0" w:after="28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2</w:t>
      </w:r>
      <w:bookmarkEnd w:id="1000"/>
      <w:r>
        <w:rPr>
          <w:rFonts w:ascii="Times New Roman" w:eastAsia="Times New Roman" w:hAnsi="Times New Roman" w:cs="Times New Roman"/>
          <w:color w:val="000000"/>
          <w:spacing w:val="0"/>
          <w:w w:val="100"/>
          <w:position w:val="0"/>
        </w:rPr>
        <w:t>9</w:t>
      </w:r>
      <w:r>
        <w:rPr>
          <w:color w:val="000000"/>
          <w:spacing w:val="0"/>
          <w:w w:val="100"/>
          <w:position w:val="0"/>
        </w:rPr>
        <w:t>、</w:t>
        <w:tab/>
        <w:t>其他重要的会计政策和会计估计</w:t>
      </w:r>
      <w:bookmarkEnd w:id="1001"/>
      <w:bookmarkEnd w:id="998"/>
      <w:bookmarkEnd w:id="999"/>
    </w:p>
    <w:p>
      <w:pPr>
        <w:pStyle w:val="Style26"/>
        <w:keepNext w:val="0"/>
        <w:keepLines w:val="0"/>
        <w:widowControl w:val="0"/>
        <w:shd w:val="clear" w:color="auto" w:fill="auto"/>
        <w:bidi w:val="0"/>
        <w:spacing w:before="0" w:after="380" w:line="320" w:lineRule="exact"/>
        <w:ind w:left="0" w:right="0" w:firstLine="0"/>
        <w:jc w:val="left"/>
      </w:pPr>
      <w:r>
        <w:rPr>
          <w:color w:val="000000"/>
          <w:spacing w:val="0"/>
          <w:w w:val="100"/>
          <w:position w:val="0"/>
        </w:rPr>
        <w:t>无</w:t>
      </w:r>
    </w:p>
    <w:p>
      <w:pPr>
        <w:pStyle w:val="Style30"/>
        <w:keepNext/>
        <w:keepLines/>
        <w:widowControl w:val="0"/>
        <w:shd w:val="clear" w:color="auto" w:fill="auto"/>
        <w:tabs>
          <w:tab w:pos="487" w:val="left"/>
        </w:tabs>
        <w:bidi w:val="0"/>
        <w:spacing w:before="0" w:after="38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3</w:t>
      </w:r>
      <w:bookmarkEnd w:id="1004"/>
      <w:r>
        <w:rPr>
          <w:rFonts w:ascii="Times New Roman" w:eastAsia="Times New Roman" w:hAnsi="Times New Roman" w:cs="Times New Roman"/>
          <w:color w:val="000000"/>
          <w:spacing w:val="0"/>
          <w:w w:val="100"/>
          <w:position w:val="0"/>
        </w:rPr>
        <w:t>0</w:t>
      </w:r>
      <w:r>
        <w:rPr>
          <w:color w:val="000000"/>
          <w:spacing w:val="0"/>
          <w:w w:val="100"/>
          <w:position w:val="0"/>
        </w:rPr>
        <w:t>、</w:t>
        <w:tab/>
        <w:t>重要会计政策和会计估计变更</w:t>
      </w:r>
      <w:bookmarkEnd w:id="1002"/>
      <w:bookmarkEnd w:id="1003"/>
      <w:bookmarkEnd w:id="1005"/>
    </w:p>
    <w:p>
      <w:pPr>
        <w:pStyle w:val="Style37"/>
        <w:keepNext/>
        <w:keepLines/>
        <w:widowControl w:val="0"/>
        <w:numPr>
          <w:ilvl w:val="0"/>
          <w:numId w:val="69"/>
        </w:numPr>
        <w:shd w:val="clear" w:color="auto" w:fill="auto"/>
        <w:bidi w:val="0"/>
        <w:spacing w:before="0" w:line="240" w:lineRule="auto"/>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重要会计政策变更</w:t>
      </w:r>
      <w:bookmarkEnd w:id="1006"/>
      <w:bookmarkEnd w:id="1007"/>
      <w:bookmarkEnd w:id="100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详见下述说明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经公司三届董事会第四次董事会议批 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numPr>
          <w:ilvl w:val="0"/>
          <w:numId w:val="69"/>
        </w:numPr>
        <w:shd w:val="clear" w:color="auto" w:fill="auto"/>
        <w:bidi w:val="0"/>
        <w:spacing w:before="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重要会计估计变更</w:t>
      </w:r>
      <w:bookmarkEnd w:id="1010"/>
      <w:bookmarkEnd w:id="1011"/>
      <w:bookmarkEnd w:id="1013"/>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69"/>
        </w:numPr>
        <w:shd w:val="clear" w:color="auto" w:fill="auto"/>
        <w:bidi w:val="0"/>
        <w:spacing w:before="0" w:line="240" w:lineRule="auto"/>
        <w:ind w:left="0" w:right="0" w:firstLine="0"/>
        <w:jc w:val="left"/>
      </w:pPr>
      <w:bookmarkStart w:id="1014" w:name="bookmark1014"/>
      <w:bookmarkStart w:id="1015" w:name="bookmark1015"/>
      <w:bookmarkStart w:id="1016" w:name="bookmark1016"/>
      <w:bookmarkStart w:id="1017" w:name="bookmark1017"/>
      <w:bookmarkEnd w:id="1016"/>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14"/>
      <w:bookmarkEnd w:id="1015"/>
      <w:bookmarkEnd w:id="101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299,629,587.66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299,629,587.66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307,633,563.06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166,487,726.57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-141,145,836.49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5,931,943.49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5,931,943.49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25,512,001.66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25,512,001.66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2,812,729.48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39,185,675.47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36,372,945.99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106,492,311.54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106,492,311.54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100,864,952.69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106,394,323.55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5,529,370.86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743,056,198.04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750,304,989.94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7,248,791.90</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19,707,261.13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19,707,261.13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1,798,119.70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1,798,119.70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70,560,652.22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70,560,652.22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85,943,289.73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85,943,289.73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10,493,072.54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10,493,072.54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926,638.80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926,638.80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4,010,324.92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4,010,324.92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16,582,081.73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16,818,664.70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236,582.97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210,021,440.77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210,258,023.74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236,582.97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953,077,638.81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960,563,013.68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7,485,374.87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80,752,591.67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80,752,591.67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10,455,952.40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10,455,952.40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110,506,365.50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121,339,707.34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10,833,341.84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17,371,383.92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931,029.15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-16,440,354.77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90,729,700.12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90,729,700.12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27,617,967.16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27,617,967.16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14,170,479.72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10,950,201.10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-3,220,278.62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60,058,106.33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60,058,106.33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4,100,309.45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4,100,309.45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320,932,846.70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406,935,564.72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86,002,718.02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2,144,280.27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2,144,280.27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2,144,280.27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2,144,280.27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323,077,126.97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409,079,844.99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86,002,718.02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117,306,000.00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117,306,000.00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287,620,255.02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287,620,255.02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55,114,837.50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55,114,837.50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29,429,952.10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21,835,293.49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-7,594,658.61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239,036,210.26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168,718,409.74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-70,317,800.52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618,277,579.88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540,365,120.75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-77,912,459.13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11,722,931.96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11,118,047.94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-604,884.02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630,000,511.84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551,483,168.69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-78,517,343.15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953,077,638.81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960,563,013.68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7,485,374.87</w:t>
            </w:r>
          </w:p>
        </w:tc>
      </w:tr>
    </w:tbl>
    <w:p>
      <w:pPr>
        <w:widowControl w:val="0"/>
        <w:spacing w:after="99" w:line="1" w:lineRule="exact"/>
      </w:pPr>
    </w:p>
    <w:p>
      <w:pPr>
        <w:pStyle w:val="Style26"/>
        <w:keepNext w:val="0"/>
        <w:keepLines w:val="0"/>
        <w:widowControl w:val="0"/>
        <w:shd w:val="clear" w:color="auto" w:fill="auto"/>
        <w:bidi w:val="0"/>
        <w:spacing w:before="0" w:after="60" w:line="240" w:lineRule="auto"/>
        <w:ind w:left="0" w:right="0" w:firstLine="0"/>
        <w:jc w:val="both"/>
      </w:pPr>
      <w:r>
        <w:rPr>
          <w:color w:val="000000"/>
          <w:spacing w:val="0"/>
          <w:w w:val="100"/>
          <w:position w:val="0"/>
        </w:rPr>
        <w:t>调整情况说明</w:t>
      </w:r>
    </w:p>
    <w:p>
      <w:pPr>
        <w:pStyle w:val="Style51"/>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对</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1</w:t>
      </w:r>
      <w:r>
        <w:rPr>
          <w:color w:val="000000"/>
          <w:spacing w:val="0"/>
          <w:w w:val="100"/>
          <w:position w:val="0"/>
        </w:rPr>
        <w:t>月</w:t>
      </w:r>
      <w:r>
        <w:rPr>
          <w:rFonts w:ascii="Tahoma" w:eastAsia="Tahoma" w:hAnsi="Tahoma" w:cs="Tahoma"/>
          <w:color w:val="000000"/>
          <w:spacing w:val="0"/>
          <w:w w:val="100"/>
          <w:position w:val="0"/>
          <w:sz w:val="19"/>
          <w:szCs w:val="19"/>
        </w:rPr>
        <w:t>1</w:t>
      </w:r>
      <w:r>
        <w:rPr>
          <w:color w:val="000000"/>
          <w:spacing w:val="0"/>
          <w:w w:val="100"/>
          <w:position w:val="0"/>
        </w:rPr>
        <w:t>日之前发生的合同变更，公司采用简化处理方法，对所有合同根据合同变更的最终安排，识 别已履行的和尚未履行的履约义务、确定交易价格以及在已履行的和尚未履行的履约义务之间分摊交易价 格。采用该简化方法对公司财务报表无重大影响。</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母公司资产负债表</w:t>
      </w: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280,784,041.81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280,784,041.81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300,564,350.63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159,996,876.64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-140,567,473.99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6,551,397.78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6,551,397.78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29,079,204.44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29,079,204.44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1,647,492.51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41,044,858.58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39,397,366.07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105,913,949.04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105,913,949.04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100,543,863.02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106,073,233.88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5,529,370.86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719,841,770.19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730,114,982.17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10,273,211.98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19,707,261.13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19,707,261.13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42,107,912.94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42,107,912.94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70,560,652.22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70,560,652.22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84,009,544.93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84,009,544.93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7,393,164.08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7,393,164.08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3,665,982.10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3,665,982.10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16,452,159.16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16,235,079.12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-217,080.04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243,896,676.56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243,679,596.52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-217,080.04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963,738,446.75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973,794,578.69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10,056,131.94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80,752,591.67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80,752,591.67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10,455,952.40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10,455,952.40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124,961,071.59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135,794,413.43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10,833,341.84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17,146,661.77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931,029.15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-16,215,632.62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90,504,977.97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90,504,977.97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24,681,499.57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24,681,499.57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12,712,443.77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9,492,165.15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-3,220,278.62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59,774,503.45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59,774,503.45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367,387.50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4,100,309.45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4,100,309.45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330,484,724.22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416,487,442.24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86,002,718.02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1,725,004.72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1,725,004.72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1,725,004.72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1,725,004.72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332,209,728.94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418,212,446.96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86,002,718.02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117,306,000.00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117,306,000.00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294,307,684.13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294,307,684.13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55,114,837.50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55,114,837.50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29,429,952.10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21,835,293.49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-7,594,658.61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245,599,919.08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177,247,991.61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-68,351,927.47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631,528,717.81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555,582,131.73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-75,946,586.08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963,738,446.75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973,794,578.69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10,056,131.94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51"/>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对</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1</w:t>
      </w:r>
      <w:r>
        <w:rPr>
          <w:color w:val="000000"/>
          <w:spacing w:val="0"/>
          <w:w w:val="100"/>
          <w:position w:val="0"/>
        </w:rPr>
        <w:t>月</w:t>
      </w:r>
      <w:r>
        <w:rPr>
          <w:rFonts w:ascii="Tahoma" w:eastAsia="Tahoma" w:hAnsi="Tahoma" w:cs="Tahoma"/>
          <w:color w:val="000000"/>
          <w:spacing w:val="0"/>
          <w:w w:val="100"/>
          <w:position w:val="0"/>
          <w:sz w:val="19"/>
          <w:szCs w:val="19"/>
        </w:rPr>
        <w:t>1</w:t>
      </w:r>
      <w:r>
        <w:rPr>
          <w:color w:val="000000"/>
          <w:spacing w:val="0"/>
          <w:w w:val="100"/>
          <w:position w:val="0"/>
        </w:rPr>
        <w:t>日之前发生的合同变更，公司采用简化处理方法，对所有合同根据合同变更的最终安排，识 别已履行的和尚未履行的履约义务、确定交易价格以及在已履行的和尚未履行的履约义务之间分摊交易价 格。采用该简化方法对公司财务报表无重大影响。</w:t>
      </w:r>
    </w:p>
    <w:p>
      <w:pPr>
        <w:pStyle w:val="Style37"/>
        <w:keepNext/>
        <w:keepLines/>
        <w:widowControl w:val="0"/>
        <w:shd w:val="clear" w:color="auto" w:fill="auto"/>
        <w:bidi w:val="0"/>
        <w:spacing w:before="0" w:after="360" w:line="317" w:lineRule="exact"/>
        <w:ind w:left="0" w:right="0" w:firstLine="0"/>
        <w:jc w:val="both"/>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18"/>
      <w:bookmarkEnd w:id="1019"/>
      <w:bookmarkEnd w:id="1021"/>
    </w:p>
    <w:p>
      <w:pPr>
        <w:pStyle w:val="Style26"/>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317" w:lineRule="exact"/>
        <w:ind w:left="0" w:right="0" w:firstLine="0"/>
        <w:jc w:val="both"/>
      </w:pPr>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31</w:t>
      </w:r>
      <w:r>
        <w:rPr>
          <w:color w:val="000000"/>
          <w:spacing w:val="0"/>
          <w:w w:val="100"/>
          <w:position w:val="0"/>
        </w:rPr>
        <w:t>、其他</w:t>
      </w:r>
      <w:bookmarkEnd w:id="1022"/>
      <w:bookmarkEnd w:id="1023"/>
      <w:bookmarkEnd w:id="1024"/>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both"/>
      </w:pPr>
      <w:bookmarkStart w:id="1025" w:name="bookmark1025"/>
      <w:bookmarkStart w:id="1026" w:name="bookmark1026"/>
      <w:bookmarkStart w:id="1027" w:name="bookmark1027"/>
      <w:bookmarkStart w:id="1028" w:name="bookmark1028"/>
      <w:r>
        <w:rPr>
          <w:color w:val="000000"/>
          <w:spacing w:val="0"/>
          <w:w w:val="100"/>
          <w:position w:val="0"/>
          <w:sz w:val="24"/>
          <w:szCs w:val="24"/>
        </w:rPr>
        <w:t>六</w:t>
      </w:r>
      <w:bookmarkEnd w:id="1027"/>
      <w:r>
        <w:rPr>
          <w:color w:val="000000"/>
          <w:spacing w:val="0"/>
          <w:w w:val="100"/>
          <w:position w:val="0"/>
          <w:sz w:val="24"/>
          <w:szCs w:val="24"/>
        </w:rPr>
        <w:t>、税项</w:t>
      </w:r>
      <w:bookmarkEnd w:id="1025"/>
      <w:bookmarkEnd w:id="1026"/>
      <w:bookmarkEnd w:id="1028"/>
    </w:p>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1029" w:name="bookmark102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1029"/>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以按税法规定计算的销售货物和应税 劳务收入为基础计算销项税额,扣除当 期允许抵扣的进项税额后，差额部分为 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 租金收入的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&gt; </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1030" w:name="bookmark103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bookmarkEnd w:id="1030"/>
    </w:p>
    <w:p>
      <w:pPr>
        <w:widowControl w:val="0"/>
        <w:spacing w:after="279" w:line="1" w:lineRule="exact"/>
      </w:pPr>
    </w:p>
    <w:p>
      <w:pPr>
        <w:pStyle w:val="Style51"/>
        <w:keepNext w:val="0"/>
        <w:keepLines w:val="0"/>
        <w:widowControl w:val="0"/>
        <w:numPr>
          <w:ilvl w:val="0"/>
          <w:numId w:val="71"/>
        </w:numPr>
        <w:shd w:val="clear" w:color="auto" w:fill="auto"/>
        <w:tabs>
          <w:tab w:pos="334" w:val="left"/>
        </w:tabs>
        <w:bidi w:val="0"/>
        <w:spacing w:before="0" w:after="0" w:line="317" w:lineRule="exact"/>
        <w:ind w:left="0" w:right="0" w:firstLine="0"/>
        <w:jc w:val="both"/>
      </w:pPr>
      <w:bookmarkStart w:id="1031" w:name="bookmark1031"/>
      <w:bookmarkEnd w:id="1031"/>
      <w:r>
        <w:rPr>
          <w:color w:val="000000"/>
          <w:spacing w:val="0"/>
          <w:w w:val="100"/>
          <w:position w:val="0"/>
        </w:rPr>
        <w:t>根据财政部、国家税务总局《关于软件产品增值税政策的通知》（财税〔</w:t>
      </w:r>
      <w:r>
        <w:rPr>
          <w:rFonts w:ascii="Tahoma" w:eastAsia="Tahoma" w:hAnsi="Tahoma" w:cs="Tahoma"/>
          <w:color w:val="000000"/>
          <w:spacing w:val="0"/>
          <w:w w:val="100"/>
          <w:position w:val="0"/>
          <w:sz w:val="19"/>
          <w:szCs w:val="19"/>
        </w:rPr>
        <w:t>2011） 100</w:t>
      </w:r>
      <w:r>
        <w:rPr>
          <w:color w:val="000000"/>
          <w:spacing w:val="0"/>
          <w:w w:val="100"/>
          <w:position w:val="0"/>
        </w:rPr>
        <w:t>号）</w:t>
      </w:r>
      <w:r>
        <w:rPr>
          <w:color w:val="000000"/>
          <w:spacing w:val="0"/>
          <w:w w:val="100"/>
          <w:position w:val="0"/>
          <w:sz w:val="24"/>
          <w:szCs w:val="24"/>
        </w:rPr>
        <w:t>，</w:t>
      </w:r>
      <w:r>
        <w:rPr>
          <w:color w:val="000000"/>
          <w:spacing w:val="0"/>
          <w:w w:val="100"/>
          <w:position w:val="0"/>
        </w:rPr>
        <w:t>本公司及控 股子公司天津和仁公司自行开发研制的软件产品销售先按</w:t>
      </w:r>
      <w:r>
        <w:rPr>
          <w:rFonts w:ascii="Tahoma" w:eastAsia="Tahoma" w:hAnsi="Tahoma" w:cs="Tahoma"/>
          <w:color w:val="000000"/>
          <w:spacing w:val="0"/>
          <w:w w:val="100"/>
          <w:position w:val="0"/>
          <w:sz w:val="19"/>
          <w:szCs w:val="19"/>
        </w:rPr>
        <w:t>13%</w:t>
      </w:r>
      <w:r>
        <w:rPr>
          <w:color w:val="000000"/>
          <w:spacing w:val="0"/>
          <w:w w:val="100"/>
          <w:position w:val="0"/>
        </w:rPr>
        <w:t>的税率计缴增值税，其实际税负超过</w:t>
      </w:r>
      <w:r>
        <w:rPr>
          <w:rFonts w:ascii="Tahoma" w:eastAsia="Tahoma" w:hAnsi="Tahoma" w:cs="Tahoma"/>
          <w:color w:val="000000"/>
          <w:spacing w:val="0"/>
          <w:w w:val="100"/>
          <w:position w:val="0"/>
          <w:sz w:val="19"/>
          <w:szCs w:val="19"/>
        </w:rPr>
        <w:t>3%</w:t>
      </w:r>
      <w:r>
        <w:rPr>
          <w:color w:val="000000"/>
          <w:spacing w:val="0"/>
          <w:w w:val="100"/>
          <w:position w:val="0"/>
        </w:rPr>
        <w:t>部分 经主管国家税务局审核后予以退税。</w:t>
      </w:r>
    </w:p>
    <w:p>
      <w:pPr>
        <w:pStyle w:val="Style51"/>
        <w:keepNext w:val="0"/>
        <w:keepLines w:val="0"/>
        <w:widowControl w:val="0"/>
        <w:numPr>
          <w:ilvl w:val="0"/>
          <w:numId w:val="71"/>
        </w:numPr>
        <w:shd w:val="clear" w:color="auto" w:fill="auto"/>
        <w:tabs>
          <w:tab w:pos="330" w:val="left"/>
        </w:tabs>
        <w:bidi w:val="0"/>
        <w:spacing w:before="0" w:after="0" w:line="322" w:lineRule="exact"/>
        <w:ind w:left="0" w:right="0" w:firstLine="0"/>
        <w:jc w:val="both"/>
      </w:pPr>
      <w:bookmarkStart w:id="1032" w:name="bookmark1032"/>
      <w:bookmarkEnd w:id="1032"/>
      <w:r>
        <w:rPr>
          <w:color w:val="000000"/>
          <w:spacing w:val="0"/>
          <w:w w:val="100"/>
          <w:position w:val="0"/>
        </w:rPr>
        <w:t>根据财政部、国家税务总局《关于全面推开营业税改征增值税试点的通知》（财税〔</w:t>
      </w:r>
      <w:r>
        <w:rPr>
          <w:rFonts w:ascii="Tahoma" w:eastAsia="Tahoma" w:hAnsi="Tahoma" w:cs="Tahoma"/>
          <w:color w:val="000000"/>
          <w:spacing w:val="0"/>
          <w:w w:val="100"/>
          <w:position w:val="0"/>
          <w:sz w:val="19"/>
          <w:szCs w:val="19"/>
        </w:rPr>
        <w:t>2016） 36</w:t>
      </w:r>
      <w:r>
        <w:rPr>
          <w:color w:val="000000"/>
          <w:spacing w:val="0"/>
          <w:w w:val="100"/>
          <w:position w:val="0"/>
        </w:rPr>
        <w:t>号）</w:t>
      </w:r>
      <w:r>
        <w:rPr>
          <w:color w:val="000000"/>
          <w:spacing w:val="0"/>
          <w:w w:val="100"/>
          <w:position w:val="0"/>
          <w:sz w:val="24"/>
          <w:szCs w:val="24"/>
        </w:rPr>
        <w:t>，</w:t>
      </w:r>
      <w:r>
        <w:rPr>
          <w:color w:val="000000"/>
          <w:spacing w:val="0"/>
          <w:w w:val="100"/>
          <w:position w:val="0"/>
        </w:rPr>
        <w:t xml:space="preserve">提 供技术转让、技术开发和与之相关的技术咨询、技术服务业务取得的收入，免缴增值税。本公司及控股子 </w:t>
      </w:r>
      <w:r>
        <w:rPr>
          <w:color w:val="000000"/>
          <w:spacing w:val="0"/>
          <w:w w:val="100"/>
          <w:position w:val="0"/>
        </w:rPr>
        <w:t>公司天津和仁公司对符合条件的技术开发收入免缴增值税。</w:t>
      </w:r>
    </w:p>
    <w:p>
      <w:pPr>
        <w:pStyle w:val="Style51"/>
        <w:keepNext w:val="0"/>
        <w:keepLines w:val="0"/>
        <w:widowControl w:val="0"/>
        <w:numPr>
          <w:ilvl w:val="0"/>
          <w:numId w:val="71"/>
        </w:numPr>
        <w:shd w:val="clear" w:color="auto" w:fill="auto"/>
        <w:tabs>
          <w:tab w:pos="330" w:val="left"/>
        </w:tabs>
        <w:bidi w:val="0"/>
        <w:spacing w:before="0" w:after="0" w:line="315" w:lineRule="exact"/>
        <w:ind w:left="0" w:right="0" w:firstLine="0"/>
        <w:jc w:val="both"/>
      </w:pPr>
      <w:bookmarkStart w:id="1033" w:name="bookmark1033"/>
      <w:bookmarkEnd w:id="1033"/>
      <w:r>
        <w:rPr>
          <w:color w:val="000000"/>
          <w:spacing w:val="0"/>
          <w:w w:val="100"/>
          <w:position w:val="0"/>
        </w:rPr>
        <w:t>根据全国高新技术企业认定管理工作领导小组办公室《关于浙江省</w:t>
      </w:r>
      <w:r>
        <w:rPr>
          <w:rFonts w:ascii="Tahoma" w:eastAsia="Tahoma" w:hAnsi="Tahoma" w:cs="Tahoma"/>
          <w:color w:val="000000"/>
          <w:spacing w:val="0"/>
          <w:w w:val="100"/>
          <w:position w:val="0"/>
          <w:sz w:val="19"/>
          <w:szCs w:val="19"/>
        </w:rPr>
        <w:t>2018</w:t>
      </w:r>
      <w:r>
        <w:rPr>
          <w:color w:val="000000"/>
          <w:spacing w:val="0"/>
          <w:w w:val="100"/>
          <w:position w:val="0"/>
        </w:rPr>
        <w:t>年高新技术企业备案的复函》</w:t>
      </w:r>
    </w:p>
    <w:p>
      <w:pPr>
        <w:pStyle w:val="Style51"/>
        <w:keepNext w:val="0"/>
        <w:keepLines w:val="0"/>
        <w:widowControl w:val="0"/>
        <w:shd w:val="clear" w:color="auto" w:fill="auto"/>
        <w:tabs>
          <w:tab w:pos="1846" w:val="left"/>
        </w:tabs>
        <w:bidi w:val="0"/>
        <w:spacing w:before="0" w:after="0" w:line="315" w:lineRule="exact"/>
        <w:ind w:left="0" w:right="0" w:firstLine="0"/>
        <w:jc w:val="both"/>
      </w:pPr>
      <w:r>
        <w:rPr>
          <w:color w:val="000000"/>
          <w:spacing w:val="0"/>
          <w:w w:val="100"/>
          <w:position w:val="0"/>
        </w:rPr>
        <w:t>（国科火字〔</w:t>
      </w:r>
      <w:r>
        <w:rPr>
          <w:rFonts w:ascii="Tahoma" w:eastAsia="Tahoma" w:hAnsi="Tahoma" w:cs="Tahoma"/>
          <w:color w:val="000000"/>
          <w:spacing w:val="0"/>
          <w:w w:val="100"/>
          <w:position w:val="0"/>
          <w:sz w:val="19"/>
          <w:szCs w:val="19"/>
        </w:rPr>
        <w:t>2019）</w:t>
        <w:tab/>
        <w:t>70</w:t>
      </w:r>
      <w:r>
        <w:rPr>
          <w:color w:val="000000"/>
          <w:spacing w:val="0"/>
          <w:w w:val="100"/>
          <w:position w:val="0"/>
        </w:rPr>
        <w:t>号），本公司被认定为高新技术企业，认定有效期为</w:t>
      </w:r>
      <w:r>
        <w:rPr>
          <w:rFonts w:ascii="Tahoma" w:eastAsia="Tahoma" w:hAnsi="Tahoma" w:cs="Tahoma"/>
          <w:color w:val="000000"/>
          <w:spacing w:val="0"/>
          <w:w w:val="100"/>
          <w:position w:val="0"/>
          <w:sz w:val="19"/>
          <w:szCs w:val="19"/>
        </w:rPr>
        <w:t>3</w:t>
      </w:r>
      <w:r>
        <w:rPr>
          <w:color w:val="000000"/>
          <w:spacing w:val="0"/>
          <w:w w:val="100"/>
          <w:position w:val="0"/>
        </w:rPr>
        <w:t>年（</w:t>
      </w:r>
      <w:r>
        <w:rPr>
          <w:rFonts w:ascii="Tahoma" w:eastAsia="Tahoma" w:hAnsi="Tahoma" w:cs="Tahoma"/>
          <w:color w:val="000000"/>
          <w:spacing w:val="0"/>
          <w:w w:val="100"/>
          <w:position w:val="0"/>
          <w:sz w:val="19"/>
          <w:szCs w:val="19"/>
        </w:rPr>
        <w:t>2018</w:t>
      </w:r>
      <w:r>
        <w:rPr>
          <w:color w:val="000000"/>
          <w:spacing w:val="0"/>
          <w:w w:val="100"/>
          <w:position w:val="0"/>
        </w:rPr>
        <w:t>年至</w:t>
      </w:r>
      <w:r>
        <w:rPr>
          <w:rFonts w:ascii="Tahoma" w:eastAsia="Tahoma" w:hAnsi="Tahoma" w:cs="Tahoma"/>
          <w:color w:val="000000"/>
          <w:spacing w:val="0"/>
          <w:w w:val="100"/>
          <w:position w:val="0"/>
          <w:sz w:val="19"/>
          <w:szCs w:val="19"/>
        </w:rPr>
        <w:t>2020</w:t>
      </w:r>
      <w:r>
        <w:rPr>
          <w:color w:val="000000"/>
          <w:spacing w:val="0"/>
          <w:w w:val="100"/>
          <w:position w:val="0"/>
        </w:rPr>
        <w:t>年）。另</w:t>
      </w:r>
    </w:p>
    <w:p>
      <w:pPr>
        <w:pStyle w:val="Style51"/>
        <w:keepNext w:val="0"/>
        <w:keepLines w:val="0"/>
        <w:widowControl w:val="0"/>
        <w:shd w:val="clear" w:color="auto" w:fill="auto"/>
        <w:bidi w:val="0"/>
        <w:spacing w:before="0" w:after="0" w:line="315" w:lineRule="exact"/>
        <w:ind w:left="0" w:right="0" w:firstLine="0"/>
        <w:jc w:val="both"/>
      </w:pPr>
      <w:r>
        <w:rPr>
          <w:color w:val="000000"/>
          <w:spacing w:val="0"/>
          <w:w w:val="100"/>
          <w:position w:val="0"/>
        </w:rPr>
        <w:t>外，根据财政部、国家税务总局《关于进一步鼓励软件产业和集成电路产业发展企业所得税政策的通知》</w:t>
      </w:r>
    </w:p>
    <w:p>
      <w:pPr>
        <w:pStyle w:val="Style51"/>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（财税</w:t>
      </w:r>
      <w:r>
        <w:rPr>
          <w:color w:val="000000"/>
          <w:spacing w:val="0"/>
          <w:w w:val="100"/>
          <w:position w:val="0"/>
          <w:sz w:val="24"/>
          <w:szCs w:val="24"/>
        </w:rPr>
        <w:t>（</w:t>
      </w:r>
      <w:r>
        <w:rPr>
          <w:rFonts w:ascii="Tahoma" w:eastAsia="Tahoma" w:hAnsi="Tahoma" w:cs="Tahoma"/>
          <w:color w:val="000000"/>
          <w:spacing w:val="0"/>
          <w:w w:val="100"/>
          <w:position w:val="0"/>
          <w:sz w:val="19"/>
          <w:szCs w:val="19"/>
        </w:rPr>
        <w:t>2012 ） 27</w:t>
      </w:r>
      <w:r>
        <w:rPr>
          <w:color w:val="000000"/>
          <w:spacing w:val="0"/>
          <w:w w:val="100"/>
          <w:position w:val="0"/>
        </w:rPr>
        <w:t>号）的规定，本公司预计可以通过</w:t>
      </w:r>
      <w:r>
        <w:rPr>
          <w:rFonts w:ascii="Tahoma" w:eastAsia="Tahoma" w:hAnsi="Tahoma" w:cs="Tahoma"/>
          <w:color w:val="000000"/>
          <w:spacing w:val="0"/>
          <w:w w:val="100"/>
          <w:position w:val="0"/>
          <w:sz w:val="19"/>
          <w:szCs w:val="19"/>
        </w:rPr>
        <w:t>2020</w:t>
      </w:r>
      <w:r>
        <w:rPr>
          <w:color w:val="000000"/>
          <w:spacing w:val="0"/>
          <w:w w:val="100"/>
          <w:position w:val="0"/>
        </w:rPr>
        <w:t>年国家规划布局内重点软件企业认定，故</w:t>
      </w:r>
      <w:r>
        <w:rPr>
          <w:rFonts w:ascii="Tahoma" w:eastAsia="Tahoma" w:hAnsi="Tahoma" w:cs="Tahoma"/>
          <w:color w:val="000000"/>
          <w:spacing w:val="0"/>
          <w:w w:val="100"/>
          <w:position w:val="0"/>
          <w:sz w:val="19"/>
          <w:szCs w:val="19"/>
        </w:rPr>
        <w:t xml:space="preserve">2020 </w:t>
      </w:r>
      <w:r>
        <w:rPr>
          <w:color w:val="000000"/>
          <w:spacing w:val="0"/>
          <w:w w:val="100"/>
          <w:position w:val="0"/>
        </w:rPr>
        <w:t>年暂减按</w:t>
      </w:r>
      <w:r>
        <w:rPr>
          <w:rFonts w:ascii="Tahoma" w:eastAsia="Tahoma" w:hAnsi="Tahoma" w:cs="Tahoma"/>
          <w:color w:val="000000"/>
          <w:spacing w:val="0"/>
          <w:w w:val="100"/>
          <w:position w:val="0"/>
          <w:sz w:val="19"/>
          <w:szCs w:val="19"/>
        </w:rPr>
        <w:t>10%</w:t>
      </w:r>
      <w:r>
        <w:rPr>
          <w:color w:val="000000"/>
          <w:spacing w:val="0"/>
          <w:w w:val="100"/>
          <w:position w:val="0"/>
        </w:rPr>
        <w:t>的税率计缴企业所得税。</w:t>
      </w:r>
    </w:p>
    <w:p>
      <w:pPr>
        <w:pStyle w:val="Style51"/>
        <w:keepNext w:val="0"/>
        <w:keepLines w:val="0"/>
        <w:widowControl w:val="0"/>
        <w:numPr>
          <w:ilvl w:val="0"/>
          <w:numId w:val="71"/>
        </w:numPr>
        <w:shd w:val="clear" w:color="auto" w:fill="auto"/>
        <w:tabs>
          <w:tab w:pos="334" w:val="left"/>
        </w:tabs>
        <w:bidi w:val="0"/>
        <w:spacing w:before="0" w:after="140" w:line="315" w:lineRule="exact"/>
        <w:ind w:left="0" w:right="0" w:firstLine="0"/>
        <w:jc w:val="both"/>
      </w:pPr>
      <w:bookmarkStart w:id="1034" w:name="bookmark1034"/>
      <w:bookmarkEnd w:id="1034"/>
      <w:r>
        <w:rPr>
          <w:color w:val="000000"/>
          <w:spacing w:val="0"/>
          <w:w w:val="100"/>
          <w:position w:val="0"/>
        </w:rPr>
        <w:t>根据财政部、国家税务总局、海关总署《关于鼓励软件产业和集成电路产业发展有关税收政策问题的 通知》（财税〔</w:t>
      </w:r>
      <w:r>
        <w:rPr>
          <w:rFonts w:ascii="Tahoma" w:eastAsia="Tahoma" w:hAnsi="Tahoma" w:cs="Tahoma"/>
          <w:color w:val="000000"/>
          <w:spacing w:val="0"/>
          <w:w w:val="100"/>
          <w:position w:val="0"/>
          <w:sz w:val="19"/>
          <w:szCs w:val="19"/>
        </w:rPr>
        <w:t>2000） 25</w:t>
      </w:r>
      <w:r>
        <w:rPr>
          <w:color w:val="000000"/>
          <w:spacing w:val="0"/>
          <w:w w:val="100"/>
          <w:position w:val="0"/>
        </w:rPr>
        <w:t>号）</w:t>
      </w:r>
      <w:r>
        <w:rPr>
          <w:color w:val="000000"/>
          <w:spacing w:val="0"/>
          <w:w w:val="100"/>
          <w:position w:val="0"/>
          <w:sz w:val="24"/>
          <w:szCs w:val="24"/>
        </w:rPr>
        <w:t>，</w:t>
      </w:r>
      <w:r>
        <w:rPr>
          <w:color w:val="000000"/>
          <w:spacing w:val="0"/>
          <w:w w:val="100"/>
          <w:position w:val="0"/>
        </w:rPr>
        <w:t>对我国境内新办软件生产企业经认定后，自开始获利年度起，企业所得税 可享受两免三减半税收优惠。控股子公司天津和仁公司由天津市软件行业协会认证为软件企业，并取得编 号为津</w:t>
      </w:r>
      <w:r>
        <w:rPr>
          <w:rFonts w:ascii="Tahoma" w:eastAsia="Tahoma" w:hAnsi="Tahoma" w:cs="Tahoma"/>
          <w:color w:val="000000"/>
          <w:spacing w:val="0"/>
          <w:w w:val="100"/>
          <w:position w:val="0"/>
          <w:sz w:val="19"/>
          <w:szCs w:val="19"/>
        </w:rPr>
        <w:t>RQ-2016-0115</w:t>
      </w:r>
      <w:r>
        <w:rPr>
          <w:color w:val="000000"/>
          <w:spacing w:val="0"/>
          <w:w w:val="100"/>
          <w:position w:val="0"/>
        </w:rPr>
        <w:t>的《软件企业认定证书》</w:t>
      </w:r>
      <w:r>
        <w:rPr>
          <w:color w:val="000000"/>
          <w:spacing w:val="0"/>
          <w:w w:val="100"/>
          <w:position w:val="0"/>
          <w:sz w:val="24"/>
          <w:szCs w:val="24"/>
        </w:rPr>
        <w:t>，</w:t>
      </w:r>
      <w:r>
        <w:rPr>
          <w:color w:val="000000"/>
          <w:spacing w:val="0"/>
          <w:w w:val="100"/>
          <w:position w:val="0"/>
        </w:rPr>
        <w:t>经天津市经济技术开发区国税局第一税务所同意</w:t>
      </w:r>
      <w:r>
        <w:rPr>
          <w:color w:val="000000"/>
          <w:spacing w:val="0"/>
          <w:w w:val="100"/>
          <w:position w:val="0"/>
        </w:rPr>
        <w:t>，</w:t>
      </w:r>
      <w:r>
        <w:rPr>
          <w:color w:val="000000"/>
          <w:spacing w:val="0"/>
          <w:w w:val="100"/>
          <w:position w:val="0"/>
        </w:rPr>
        <w:t>天津和仁 公司从</w:t>
      </w:r>
      <w:r>
        <w:rPr>
          <w:rFonts w:ascii="Tahoma" w:eastAsia="Tahoma" w:hAnsi="Tahoma" w:cs="Tahoma"/>
          <w:color w:val="000000"/>
          <w:spacing w:val="0"/>
          <w:w w:val="100"/>
          <w:position w:val="0"/>
          <w:sz w:val="19"/>
          <w:szCs w:val="19"/>
        </w:rPr>
        <w:t>2016</w:t>
      </w:r>
      <w:r>
        <w:rPr>
          <w:color w:val="000000"/>
          <w:spacing w:val="0"/>
          <w:w w:val="100"/>
          <w:position w:val="0"/>
        </w:rPr>
        <w:t>年度起享受两免三减半的税收优惠，本期享受减半征收企业所得税的税收优惠。</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51"/>
        <w:keepNext w:val="0"/>
        <w:keepLines w:val="0"/>
        <w:widowControl w:val="0"/>
        <w:shd w:val="clear" w:color="auto" w:fill="auto"/>
        <w:bidi w:val="0"/>
        <w:spacing w:before="0" w:after="1320" w:line="307" w:lineRule="exact"/>
        <w:ind w:left="0" w:right="0" w:firstLine="0"/>
        <w:jc w:val="both"/>
      </w:pPr>
      <w:r>
        <w:rPr>
          <w:color w:val="000000"/>
          <w:spacing w:val="0"/>
          <w:w w:val="100"/>
          <w:position w:val="0"/>
        </w:rPr>
        <w:t>本公司自行开发研制的软件产品销售，其实际税负超过</w:t>
      </w:r>
      <w:r>
        <w:rPr>
          <w:rFonts w:ascii="Times New Roman" w:eastAsia="Times New Roman" w:hAnsi="Times New Roman" w:cs="Times New Roman"/>
          <w:color w:val="000000"/>
          <w:spacing w:val="0"/>
          <w:w w:val="100"/>
          <w:position w:val="0"/>
        </w:rPr>
        <w:t>3%</w:t>
      </w:r>
      <w:r>
        <w:rPr>
          <w:color w:val="000000"/>
          <w:spacing w:val="0"/>
          <w:w w:val="100"/>
          <w:position w:val="0"/>
        </w:rPr>
        <w:t>部分经主管国家税务局审核后予以退税，本期增 值税退税金额为</w:t>
      </w:r>
      <w:r>
        <w:rPr>
          <w:rFonts w:ascii="Tahoma" w:eastAsia="Tahoma" w:hAnsi="Tahoma" w:cs="Tahoma"/>
          <w:color w:val="000000"/>
          <w:spacing w:val="0"/>
          <w:w w:val="100"/>
          <w:position w:val="0"/>
          <w:sz w:val="19"/>
          <w:szCs w:val="19"/>
        </w:rPr>
        <w:t>11,975,381.24</w:t>
      </w:r>
      <w:r>
        <w:rPr>
          <w:color w:val="000000"/>
          <w:spacing w:val="0"/>
          <w:w w:val="100"/>
          <w:position w:val="0"/>
        </w:rPr>
        <w:t>元，对公司当期损益的影响金额为</w:t>
      </w:r>
      <w:r>
        <w:rPr>
          <w:rFonts w:ascii="Tahoma" w:eastAsia="Tahoma" w:hAnsi="Tahoma" w:cs="Tahoma"/>
          <w:color w:val="000000"/>
          <w:spacing w:val="0"/>
          <w:w w:val="100"/>
          <w:position w:val="0"/>
          <w:sz w:val="19"/>
          <w:szCs w:val="19"/>
        </w:rPr>
        <w:t xml:space="preserve">10, 777, </w:t>
      </w:r>
      <w:r>
        <w:rPr>
          <w:rFonts w:ascii="Tahoma" w:eastAsia="Tahoma" w:hAnsi="Tahoma" w:cs="Tahoma"/>
          <w:color w:val="000000"/>
          <w:spacing w:val="0"/>
          <w:w w:val="100"/>
          <w:position w:val="0"/>
          <w:sz w:val="19"/>
          <w:szCs w:val="19"/>
        </w:rPr>
        <w:t xml:space="preserve">843. </w:t>
      </w:r>
      <w:r>
        <w:rPr>
          <w:rFonts w:ascii="Tahoma" w:eastAsia="Tahoma" w:hAnsi="Tahoma" w:cs="Tahoma"/>
          <w:color w:val="000000"/>
          <w:spacing w:val="0"/>
          <w:w w:val="100"/>
          <w:position w:val="0"/>
          <w:sz w:val="19"/>
          <w:szCs w:val="19"/>
        </w:rPr>
        <w:t>12</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both"/>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3</w:t>
      </w:r>
      <w:bookmarkEnd w:id="1037"/>
      <w:r>
        <w:rPr>
          <w:color w:val="000000"/>
          <w:spacing w:val="0"/>
          <w:w w:val="100"/>
          <w:position w:val="0"/>
        </w:rPr>
        <w:t>、其他</w:t>
      </w:r>
      <w:bookmarkEnd w:id="1035"/>
      <w:bookmarkEnd w:id="1036"/>
      <w:bookmarkEnd w:id="1038"/>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both"/>
      </w:pPr>
      <w:bookmarkStart w:id="1039" w:name="bookmark1039"/>
      <w:bookmarkStart w:id="1040" w:name="bookmark1040"/>
      <w:bookmarkStart w:id="1041" w:name="bookmark1041"/>
      <w:bookmarkStart w:id="1042" w:name="bookmark1042"/>
      <w:r>
        <w:rPr>
          <w:color w:val="000000"/>
          <w:spacing w:val="0"/>
          <w:w w:val="100"/>
          <w:position w:val="0"/>
          <w:sz w:val="24"/>
          <w:szCs w:val="24"/>
        </w:rPr>
        <w:t>七</w:t>
      </w:r>
      <w:bookmarkEnd w:id="1041"/>
      <w:r>
        <w:rPr>
          <w:color w:val="000000"/>
          <w:spacing w:val="0"/>
          <w:w w:val="100"/>
          <w:position w:val="0"/>
          <w:sz w:val="24"/>
          <w:szCs w:val="24"/>
        </w:rPr>
        <w:t>、合并财务报表项目注释</w:t>
      </w:r>
      <w:bookmarkEnd w:id="1039"/>
      <w:bookmarkEnd w:id="1040"/>
      <w:bookmarkEnd w:id="1042"/>
    </w:p>
    <w:p>
      <w:pPr>
        <w:pStyle w:val="Style30"/>
        <w:keepNext/>
        <w:keepLines/>
        <w:widowControl w:val="0"/>
        <w:shd w:val="clear" w:color="auto" w:fill="auto"/>
        <w:bidi w:val="0"/>
        <w:spacing w:before="0" w:line="240" w:lineRule="auto"/>
        <w:ind w:left="0" w:right="0" w:firstLine="0"/>
        <w:jc w:val="both"/>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1</w:t>
      </w:r>
      <w:bookmarkEnd w:id="1045"/>
      <w:r>
        <w:rPr>
          <w:color w:val="000000"/>
          <w:spacing w:val="0"/>
          <w:w w:val="100"/>
          <w:position w:val="0"/>
        </w:rPr>
        <w:t>、货币资金</w:t>
      </w:r>
      <w:bookmarkEnd w:id="1043"/>
      <w:bookmarkEnd w:id="1044"/>
      <w:bookmarkEnd w:id="104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430,472,130.26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285,762,330.70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9,736,950.88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13,862,919.18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440,209,354.52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299,629,587.66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8,762,318.61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12,911,334.10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1"/>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其他货币资金中有票据保证金存款</w:t>
      </w:r>
      <w:r>
        <w:rPr>
          <w:rFonts w:ascii="Tahoma" w:eastAsia="Tahoma" w:hAnsi="Tahoma" w:cs="Tahoma"/>
          <w:color w:val="000000"/>
          <w:spacing w:val="0"/>
          <w:w w:val="100"/>
          <w:position w:val="0"/>
          <w:sz w:val="19"/>
          <w:szCs w:val="19"/>
        </w:rPr>
        <w:t>4,834,938.63</w:t>
      </w:r>
      <w:r>
        <w:rPr>
          <w:color w:val="000000"/>
          <w:spacing w:val="0"/>
          <w:w w:val="100"/>
          <w:position w:val="0"/>
        </w:rPr>
        <w:t>元、保函保证金存款</w:t>
      </w:r>
      <w:r>
        <w:rPr>
          <w:rFonts w:ascii="Tahoma" w:eastAsia="Tahoma" w:hAnsi="Tahoma" w:cs="Tahoma"/>
          <w:color w:val="000000"/>
          <w:spacing w:val="0"/>
          <w:w w:val="100"/>
          <w:position w:val="0"/>
          <w:sz w:val="19"/>
          <w:szCs w:val="19"/>
        </w:rPr>
        <w:t xml:space="preserve">2,114, </w:t>
      </w:r>
      <w:r>
        <w:rPr>
          <w:rFonts w:ascii="Tahoma" w:eastAsia="Tahoma" w:hAnsi="Tahoma" w:cs="Tahoma"/>
          <w:color w:val="000000"/>
          <w:spacing w:val="0"/>
          <w:w w:val="100"/>
          <w:position w:val="0"/>
          <w:sz w:val="19"/>
          <w:szCs w:val="19"/>
        </w:rPr>
        <w:t>471.28</w:t>
      </w:r>
      <w:r>
        <w:rPr>
          <w:color w:val="000000"/>
          <w:spacing w:val="0"/>
          <w:w w:val="100"/>
          <w:position w:val="0"/>
        </w:rPr>
        <w:t>元、农民工工资保 证金专户存款</w:t>
      </w:r>
      <w:r>
        <w:rPr>
          <w:rFonts w:ascii="Tahoma" w:eastAsia="Tahoma" w:hAnsi="Tahoma" w:cs="Tahoma"/>
          <w:color w:val="000000"/>
          <w:spacing w:val="0"/>
          <w:w w:val="100"/>
          <w:position w:val="0"/>
          <w:sz w:val="19"/>
          <w:szCs w:val="19"/>
        </w:rPr>
        <w:t>1,812,908.70</w:t>
      </w:r>
      <w:r>
        <w:rPr>
          <w:color w:val="000000"/>
          <w:spacing w:val="0"/>
          <w:w w:val="100"/>
          <w:position w:val="0"/>
        </w:rPr>
        <w:t>元，均使用受限。</w:t>
      </w:r>
    </w:p>
    <w:p>
      <w:pPr>
        <w:pStyle w:val="Style30"/>
        <w:keepNext/>
        <w:keepLines/>
        <w:widowControl w:val="0"/>
        <w:shd w:val="clear" w:color="auto" w:fill="auto"/>
        <w:bidi w:val="0"/>
        <w:spacing w:before="0" w:line="240" w:lineRule="auto"/>
        <w:ind w:left="0" w:right="0" w:firstLine="0"/>
        <w:jc w:val="both"/>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2</w:t>
      </w:r>
      <w:bookmarkEnd w:id="1049"/>
      <w:r>
        <w:rPr>
          <w:color w:val="000000"/>
          <w:spacing w:val="0"/>
          <w:w w:val="100"/>
          <w:position w:val="0"/>
        </w:rPr>
        <w:t>、交易性金融资产</w:t>
      </w:r>
      <w:bookmarkEnd w:id="1047"/>
      <w:bookmarkEnd w:id="1048"/>
      <w:bookmarkEnd w:id="1050"/>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372,380,000.00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329,000,000.00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372,380,000.00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3</w:t>
      </w:r>
      <w:bookmarkEnd w:id="1053"/>
      <w:r>
        <w:rPr>
          <w:color w:val="000000"/>
          <w:spacing w:val="0"/>
          <w:w w:val="100"/>
          <w:position w:val="0"/>
        </w:rPr>
        <w:t>、应收票据</w:t>
      </w:r>
      <w:bookmarkEnd w:id="1051"/>
      <w:bookmarkEnd w:id="1052"/>
      <w:bookmarkEnd w:id="1054"/>
    </w:p>
    <w:p>
      <w:pPr>
        <w:pStyle w:val="Style37"/>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55"/>
      <w:bookmarkEnd w:id="1056"/>
      <w:bookmarkEnd w:id="105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471,420.00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671,420.00</w:t>
            </w:r>
          </w:p>
        </w:tc>
      </w:tr>
    </w:tbl>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931"/>
        <w:gridCol w:w="797"/>
        <w:gridCol w:w="88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671,420.0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471,420.0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671,420.0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w:t>
      </w:r>
    </w:p>
    <w:p>
      <w:pPr>
        <w:widowControl w:val="0"/>
        <w:spacing w:after="139" w:line="1" w:lineRule="exact"/>
      </w:pPr>
    </w:p>
    <w:p>
      <w:pPr>
        <w:pStyle w:val="Style26"/>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25"/>
        <w:gridCol w:w="1901"/>
        <w:gridCol w:w="20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20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如是按照预期信用损失一般模型计提应收票据坏账准备，请参照其他应收款的披露方式披露坏账准备的相关信息：</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after="600" w:line="312" w:lineRule="exact"/>
        <w:ind w:left="0" w:right="0" w:firstLine="0"/>
        <w:jc w:val="both"/>
      </w:pPr>
      <w:r>
        <w:rPr>
          <w:color w:val="000000"/>
          <w:spacing w:val="0"/>
          <w:w w:val="100"/>
          <w:position w:val="0"/>
        </w:rPr>
        <w:t>参考历史信用损失经验，结合当前状况以及对未来经济状况的预测，通过违约风险敞口和整个存续期预期 信用损失率，计算预期信用损失。本公司认为对于商业承兑汇票，相同账龄的应收商业承兑票据具有类似 的预期损失率。</w:t>
      </w:r>
    </w:p>
    <w:p>
      <w:pPr>
        <w:pStyle w:val="Style37"/>
        <w:keepNext/>
        <w:keepLines/>
        <w:widowControl w:val="0"/>
        <w:numPr>
          <w:ilvl w:val="0"/>
          <w:numId w:val="73"/>
        </w:numPr>
        <w:shd w:val="clear" w:color="auto" w:fill="auto"/>
        <w:bidi w:val="0"/>
        <w:spacing w:before="0" w:after="400" w:line="312" w:lineRule="exact"/>
        <w:ind w:left="0" w:right="0" w:firstLine="0"/>
        <w:jc w:val="both"/>
      </w:pPr>
      <w:bookmarkStart w:id="1059" w:name="bookmark1059"/>
      <w:bookmarkStart w:id="1060" w:name="bookmark1060"/>
      <w:bookmarkStart w:id="1061" w:name="bookmark1061"/>
      <w:bookmarkStart w:id="1062" w:name="bookmark1062"/>
      <w:bookmarkEnd w:id="1061"/>
      <w:r>
        <w:rPr>
          <w:color w:val="000000"/>
          <w:spacing w:val="0"/>
          <w:w w:val="100"/>
          <w:position w:val="0"/>
        </w:rPr>
        <w:t>本期计提、收回或转回的坏账准备情况</w:t>
      </w:r>
      <w:bookmarkEnd w:id="1059"/>
      <w:bookmarkEnd w:id="1060"/>
      <w:bookmarkEnd w:id="1062"/>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5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14,580.00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73"/>
        </w:numPr>
        <w:shd w:val="clear" w:color="auto" w:fill="auto"/>
        <w:bidi w:val="0"/>
        <w:spacing w:before="0" w:after="400" w:line="240" w:lineRule="auto"/>
        <w:ind w:left="0" w:right="0" w:firstLine="0"/>
        <w:jc w:val="both"/>
      </w:pPr>
      <w:bookmarkStart w:id="1063" w:name="bookmark1063"/>
      <w:bookmarkStart w:id="1064" w:name="bookmark1064"/>
      <w:bookmarkStart w:id="1065" w:name="bookmark1065"/>
      <w:bookmarkStart w:id="1066" w:name="bookmark1066"/>
      <w:bookmarkEnd w:id="1065"/>
      <w:r>
        <w:rPr>
          <w:color w:val="000000"/>
          <w:spacing w:val="0"/>
          <w:w w:val="100"/>
          <w:position w:val="0"/>
        </w:rPr>
        <w:t>期末公司已质押的应收票据</w:t>
      </w:r>
      <w:bookmarkEnd w:id="1063"/>
      <w:bookmarkEnd w:id="1064"/>
      <w:bookmarkEnd w:id="106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39" w:line="1" w:lineRule="exact"/>
      </w:pPr>
    </w:p>
    <w:p>
      <w:pPr>
        <w:pStyle w:val="Style37"/>
        <w:keepNext/>
        <w:keepLines/>
        <w:widowControl w:val="0"/>
        <w:numPr>
          <w:ilvl w:val="0"/>
          <w:numId w:val="73"/>
        </w:numPr>
        <w:shd w:val="clear" w:color="auto" w:fill="auto"/>
        <w:bidi w:val="0"/>
        <w:spacing w:before="0" w:after="400" w:line="240" w:lineRule="auto"/>
        <w:ind w:left="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期末公司已背书或贴现且在资产负债表日尚未到期的应收票据</w:t>
      </w:r>
      <w:bookmarkEnd w:id="1067"/>
      <w:bookmarkEnd w:id="1068"/>
      <w:bookmarkEnd w:id="107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spacing w:lineRule="exact" w:line="1"/>
        <w:rPr>
          <w:sz w:val="2"/>
          <w:szCs w:val="2"/>
        </w:rPr>
      </w:pPr>
      <w:r>
        <w:br w:type="page"/>
      </w:r>
    </w:p>
    <w:p>
      <w:pPr>
        <w:pStyle w:val="Style37"/>
        <w:keepNext/>
        <w:keepLines/>
        <w:widowControl w:val="0"/>
        <w:numPr>
          <w:ilvl w:val="0"/>
          <w:numId w:val="73"/>
        </w:numPr>
        <w:shd w:val="clear" w:color="auto" w:fill="auto"/>
        <w:bidi w:val="0"/>
        <w:spacing w:before="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期末公司因出票人未履约而将其转应收账款的票据</w:t>
      </w:r>
      <w:bookmarkEnd w:id="1071"/>
      <w:bookmarkEnd w:id="1072"/>
      <w:bookmarkEnd w:id="1074"/>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numPr>
          <w:ilvl w:val="0"/>
          <w:numId w:val="73"/>
        </w:numPr>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本期实际核销的应收票据情况</w:t>
      </w:r>
      <w:bookmarkEnd w:id="1075"/>
      <w:bookmarkEnd w:id="1076"/>
      <w:bookmarkEnd w:id="107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0"/>
        <w:keepNext/>
        <w:keepLines/>
        <w:widowControl w:val="0"/>
        <w:shd w:val="clear" w:color="auto" w:fill="auto"/>
        <w:bidi w:val="0"/>
        <w:spacing w:before="0" w:after="38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4</w:t>
      </w:r>
      <w:bookmarkEnd w:id="1081"/>
      <w:r>
        <w:rPr>
          <w:color w:val="000000"/>
          <w:spacing w:val="0"/>
          <w:w w:val="100"/>
          <w:position w:val="0"/>
        </w:rPr>
        <w:t>、应收账款</w:t>
      </w:r>
      <w:bookmarkEnd w:id="1079"/>
      <w:bookmarkEnd w:id="1080"/>
      <w:bookmarkEnd w:id="1082"/>
    </w:p>
    <w:p>
      <w:pPr>
        <w:pStyle w:val="Style37"/>
        <w:keepNext/>
        <w:keepLines/>
        <w:widowControl w:val="0"/>
        <w:numPr>
          <w:ilvl w:val="0"/>
          <w:numId w:val="75"/>
        </w:numPr>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应收账款分类披露</w:t>
      </w:r>
      <w:bookmarkEnd w:id="1083"/>
      <w:bookmarkEnd w:id="1084"/>
      <w:bookmarkEnd w:id="108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102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317,378,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97,355,2</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166,487,72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317,378,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97,355,2</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166,487,72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20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718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after="440"/>
        <w:ind w:left="0" w:right="0" w:firstLine="0"/>
        <w:jc w:val="left"/>
      </w:pPr>
      <w:r>
        <w:rPr>
          <w:color w:val="000000"/>
          <w:spacing w:val="0"/>
          <w:w w:val="100"/>
          <w:position w:val="0"/>
        </w:rPr>
        <w:t>参考历史信用损失经验，结合当前状况以及对未来经济状况的预测，通过违约风险敞口和整个存续期预期 信用损失率，计算预期信用损失。对于应收外部客户账款组合，本公司认为相同账龄的客户具有类似预期 损失率。</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133,828,515.22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60,311,597.57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32,103,145.85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91,135,272.74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17,225,789.37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8,168,992.85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65,740,490.52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317,378,531.38</w:t>
            </w:r>
          </w:p>
        </w:tc>
      </w:tr>
    </w:tbl>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29"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tbl>
      <w:tblPr>
        <w:tblOverlap w:val="never"/>
        <w:jc w:val="center"/>
        <w:tblLayout w:type="fixed"/>
      </w:tblPr>
      <w:tblGrid>
        <w:gridCol w:w="3082"/>
        <w:gridCol w:w="2074"/>
        <w:gridCol w:w="2702"/>
      </w:tblGrid>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55,413,205.21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项目已完工，决算审计尚未完成</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8,355,653.23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4,893,300.00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客户未付款，正在诉讼中</w:t>
            </w:r>
          </w:p>
        </w:tc>
      </w:tr>
      <w:tr>
        <w:trPr>
          <w:trHeight w:val="360" w:hRule="exact"/>
        </w:trPr>
        <w:tc>
          <w:tcPr>
            <w:tcBorders>
              <w:top w:val="single" w:sz="4"/>
              <w:bottom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bl>
    <w:p>
      <w:pPr>
        <w:widowControl w:val="0"/>
        <w:spacing w:after="639" w:line="1" w:lineRule="exact"/>
      </w:pPr>
    </w:p>
    <w:p>
      <w:pPr>
        <w:pStyle w:val="Style37"/>
        <w:keepNext/>
        <w:keepLines/>
        <w:widowControl w:val="0"/>
        <w:numPr>
          <w:ilvl w:val="0"/>
          <w:numId w:val="75"/>
        </w:numPr>
        <w:shd w:val="clear" w:color="auto" w:fill="auto"/>
        <w:bidi w:val="0"/>
        <w:spacing w:before="0" w:after="400" w:line="240" w:lineRule="auto"/>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本期计提、收回或转回的坏账准备情况</w:t>
      </w:r>
      <w:bookmarkEnd w:id="1087"/>
      <w:bookmarkEnd w:id="1088"/>
      <w:bookmarkEnd w:id="109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5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70,691,166.31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26,772,557.60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108,500.03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97,355,223.88</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70,691,166.31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26,772,557.60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97,355,223.88</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w:t>
      </w:r>
      <w:bookmarkEnd w:id="109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91"/>
      <w:bookmarkEnd w:id="1092"/>
      <w:bookmarkEnd w:id="109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重庆第四人民医院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重庆市人民医院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重庆市第四人民医 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重庆市人民医院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99,500.03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108,500.03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95"/>
      <w:bookmarkEnd w:id="1096"/>
      <w:bookmarkEnd w:id="109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56,236,620.20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53,675,543.17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45,974,050.00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1,379,221.50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43,787,340.00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2,634,310.20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22,082,224.52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6,719,140.87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16,134,613.86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1,613,461.39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184,214,848.58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58.05%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099"/>
      <w:bookmarkEnd w:id="1100"/>
      <w:bookmarkEnd w:id="110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60" w:line="240" w:lineRule="auto"/>
        <w:ind w:left="0" w:right="0" w:firstLine="14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w:t>
      </w:r>
      <w:bookmarkEnd w:id="1105"/>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103"/>
      <w:bookmarkEnd w:id="1104"/>
      <w:bookmarkEnd w:id="110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5</w:t>
      </w:r>
      <w:bookmarkEnd w:id="1109"/>
      <w:r>
        <w:rPr>
          <w:color w:val="000000"/>
          <w:spacing w:val="0"/>
          <w:w w:val="100"/>
          <w:position w:val="0"/>
        </w:rPr>
        <w:t>、预付款项</w:t>
      </w:r>
      <w:bookmarkEnd w:id="1107"/>
      <w:bookmarkEnd w:id="1108"/>
      <w:bookmarkEnd w:id="1110"/>
    </w:p>
    <w:p>
      <w:pPr>
        <w:pStyle w:val="Style37"/>
        <w:keepNext/>
        <w:keepLines/>
        <w:widowControl w:val="0"/>
        <w:shd w:val="clear" w:color="auto" w:fill="auto"/>
        <w:bidi w:val="0"/>
        <w:spacing w:before="0" w:after="360" w:line="240" w:lineRule="auto"/>
        <w:ind w:left="0" w:right="0" w:firstLine="14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11"/>
      <w:bookmarkEnd w:id="1112"/>
      <w:bookmarkEnd w:id="111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20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2,322,683.08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5,400,938.84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752,117.20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271,268.87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256,578.33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213,969.96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3,307,143.51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5,931,943.49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7"/>
        <w:keepNext/>
        <w:keepLines/>
        <w:widowControl w:val="0"/>
        <w:shd w:val="clear" w:color="auto" w:fill="auto"/>
        <w:bidi w:val="0"/>
        <w:spacing w:before="0" w:after="360" w:line="240" w:lineRule="auto"/>
        <w:ind w:left="0" w:right="0" w:firstLine="0"/>
        <w:jc w:val="both"/>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5"/>
      <w:bookmarkEnd w:id="1116"/>
      <w:bookmarkEnd w:id="1118"/>
    </w:p>
    <w:p>
      <w:pPr>
        <w:pStyle w:val="Style51"/>
        <w:keepNext w:val="0"/>
        <w:keepLines w:val="0"/>
        <w:widowControl w:val="0"/>
        <w:shd w:val="clear" w:color="auto" w:fill="auto"/>
        <w:bidi w:val="0"/>
        <w:spacing w:before="0" w:after="440" w:line="240" w:lineRule="auto"/>
        <w:ind w:left="0" w:right="0" w:firstLine="0"/>
        <w:jc w:val="both"/>
      </w:pPr>
      <w:r>
        <w:rPr>
          <w:color w:val="000000"/>
          <w:spacing w:val="0"/>
          <w:w w:val="100"/>
          <w:position w:val="0"/>
        </w:rPr>
        <w:t>期末余额前</w:t>
      </w:r>
      <w:r>
        <w:rPr>
          <w:rFonts w:ascii="Tahoma" w:eastAsia="Tahoma" w:hAnsi="Tahoma" w:cs="Tahoma"/>
          <w:color w:val="000000"/>
          <w:spacing w:val="0"/>
          <w:w w:val="100"/>
          <w:position w:val="0"/>
          <w:sz w:val="19"/>
          <w:szCs w:val="19"/>
        </w:rPr>
        <w:t>5</w:t>
      </w:r>
      <w:r>
        <w:rPr>
          <w:color w:val="000000"/>
          <w:spacing w:val="0"/>
          <w:w w:val="100"/>
          <w:position w:val="0"/>
        </w:rPr>
        <w:t>名的预付款项合计数为</w:t>
      </w:r>
      <w:r>
        <w:rPr>
          <w:rFonts w:ascii="Tahoma" w:eastAsia="Tahoma" w:hAnsi="Tahoma" w:cs="Tahoma"/>
          <w:color w:val="000000"/>
          <w:spacing w:val="0"/>
          <w:w w:val="100"/>
          <w:position w:val="0"/>
          <w:sz w:val="19"/>
          <w:szCs w:val="19"/>
        </w:rPr>
        <w:t>1,928,124.15</w:t>
      </w:r>
      <w:r>
        <w:rPr>
          <w:color w:val="000000"/>
          <w:spacing w:val="0"/>
          <w:w w:val="100"/>
          <w:position w:val="0"/>
        </w:rPr>
        <w:t>元，占预付款项期末余额合计数的比例为</w:t>
      </w:r>
      <w:r>
        <w:rPr>
          <w:rFonts w:ascii="Tahoma" w:eastAsia="Tahoma" w:hAnsi="Tahoma" w:cs="Tahoma"/>
          <w:color w:val="000000"/>
          <w:spacing w:val="0"/>
          <w:w w:val="100"/>
          <w:position w:val="0"/>
          <w:sz w:val="19"/>
          <w:szCs w:val="19"/>
        </w:rPr>
        <w:t>58.30%</w:t>
      </w:r>
      <w:r>
        <w:rPr>
          <w:color w:val="000000"/>
          <w:spacing w:val="0"/>
          <w:w w:val="100"/>
          <w:position w:val="0"/>
        </w:rPr>
        <w:t>。</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both"/>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6</w:t>
      </w:r>
      <w:bookmarkEnd w:id="1121"/>
      <w:r>
        <w:rPr>
          <w:color w:val="000000"/>
          <w:spacing w:val="0"/>
          <w:w w:val="100"/>
          <w:position w:val="0"/>
        </w:rPr>
        <w:t>、其他应收款</w:t>
      </w:r>
      <w:bookmarkEnd w:id="1119"/>
      <w:bookmarkEnd w:id="1120"/>
      <w:bookmarkEnd w:id="112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19,289,775.42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25,512,001.66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19,289,775.42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25,512,001.66</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23"/>
      <w:bookmarkEnd w:id="1124"/>
      <w:bookmarkEnd w:id="1126"/>
    </w:p>
    <w:p>
      <w:pPr>
        <w:pStyle w:val="Style77"/>
        <w:keepNext/>
        <w:keepLines/>
        <w:widowControl w:val="0"/>
        <w:shd w:val="clear" w:color="auto" w:fill="auto"/>
        <w:bidi w:val="0"/>
        <w:spacing w:before="0" w:after="36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1</w:t>
      </w:r>
      <w:bookmarkEnd w:id="1129"/>
      <w:r>
        <w:rPr>
          <w:color w:val="000000"/>
          <w:spacing w:val="0"/>
          <w:w w:val="100"/>
          <w:position w:val="0"/>
        </w:rPr>
        <w:t>）应收利息分类</w:t>
      </w:r>
      <w:bookmarkEnd w:id="1127"/>
      <w:bookmarkEnd w:id="1128"/>
      <w:bookmarkEnd w:id="1130"/>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277"/>
        <w:gridCol w:w="638"/>
        <w:gridCol w:w="1910"/>
        <w:gridCol w:w="638"/>
        <w:gridCol w:w="1277"/>
        <w:gridCol w:w="1982"/>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131" w:name="bookmark113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bookmarkEnd w:id="1131"/>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after="360" w:line="240" w:lineRule="auto"/>
        <w:ind w:left="0" w:right="0" w:firstLine="0"/>
        <w:jc w:val="left"/>
      </w:pPr>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bookmarkEnd w:id="1132"/>
      <w:bookmarkEnd w:id="1133"/>
      <w:bookmarkEnd w:id="113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35"/>
      <w:bookmarkEnd w:id="1136"/>
      <w:bookmarkEnd w:id="1138"/>
    </w:p>
    <w:p>
      <w:pPr>
        <w:pStyle w:val="Style77"/>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color w:val="000000"/>
          <w:spacing w:val="0"/>
          <w:w w:val="100"/>
          <w:position w:val="0"/>
        </w:rPr>
        <w:t>）应收股利分类</w:t>
      </w:r>
      <w:bookmarkEnd w:id="1139"/>
      <w:bookmarkEnd w:id="1140"/>
      <w:bookmarkEnd w:id="114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2</w:t>
      </w:r>
      <w:bookmarkEnd w:id="114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43"/>
      <w:bookmarkEnd w:id="1144"/>
      <w:bookmarkEnd w:id="114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3</w:t>
      </w:r>
      <w:bookmarkEnd w:id="1149"/>
      <w:r>
        <w:rPr>
          <w:color w:val="000000"/>
          <w:spacing w:val="0"/>
          <w:w w:val="100"/>
          <w:position w:val="0"/>
        </w:rPr>
        <w:t>）坏账准备计提情况</w:t>
      </w:r>
      <w:bookmarkEnd w:id="1147"/>
      <w:bookmarkEnd w:id="1148"/>
      <w:bookmarkEnd w:id="1150"/>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51"/>
      <w:bookmarkEnd w:id="1152"/>
      <w:bookmarkEnd w:id="1154"/>
    </w:p>
    <w:p>
      <w:pPr>
        <w:pStyle w:val="Style77"/>
        <w:keepNext/>
        <w:keepLines/>
        <w:widowControl w:val="0"/>
        <w:shd w:val="clear" w:color="auto" w:fill="auto"/>
        <w:bidi w:val="0"/>
        <w:spacing w:before="0" w:after="36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color w:val="000000"/>
          <w:spacing w:val="0"/>
          <w:w w:val="100"/>
          <w:position w:val="0"/>
        </w:rPr>
        <w:t>）其他应收款按款项性质分类情况</w:t>
      </w:r>
      <w:bookmarkEnd w:id="1155"/>
      <w:bookmarkEnd w:id="1156"/>
      <w:bookmarkEnd w:id="115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15,118,694.97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21,603,244.00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2,586,413.25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3,504,806.02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4,437,855.18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1,590,576.23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1,477,846.66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2,177,995.75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357,251.05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330,535.96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23,978,061.11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29,207,157.96</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w:t>
      </w:r>
      <w:bookmarkEnd w:id="1161"/>
      <w:r>
        <w:rPr>
          <w:color w:val="000000"/>
          <w:spacing w:val="0"/>
          <w:w w:val="100"/>
          <w:position w:val="0"/>
        </w:rPr>
        <w:t>）坏账准备计提情况</w:t>
      </w:r>
      <w:bookmarkEnd w:id="1159"/>
      <w:bookmarkEnd w:id="1160"/>
      <w:bookmarkEnd w:id="116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378,449.53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552,688.76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2,764,018.01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3,695,156.30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-143,158.66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143,158.66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-435,308.89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435,308.89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-20,135.99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216,657.01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800,998.04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997,519.06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221,511.21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477,195.54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3,989,578.94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4,688,285.69</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9,970,120.08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4,771,955.43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4,353,088.90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4,882,896.70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2,972,194.40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1,389,191.70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521,510.60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23,978,061.11</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3</w:t>
      </w:r>
      <w:bookmarkEnd w:id="1165"/>
      <w:r>
        <w:rPr>
          <w:color w:val="000000"/>
          <w:spacing w:val="0"/>
          <w:w w:val="100"/>
          <w:position w:val="0"/>
        </w:rPr>
        <w:t>）本期计提、收回或转回的坏账准备情况</w:t>
      </w:r>
      <w:bookmarkEnd w:id="1163"/>
      <w:bookmarkEnd w:id="1164"/>
      <w:bookmarkEnd w:id="116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5328"/>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421"/>
        <w:gridCol w:w="1099"/>
        <w:gridCol w:w="1339"/>
        <w:gridCol w:w="1330"/>
        <w:gridCol w:w="1330"/>
        <w:gridCol w:w="1330"/>
        <w:gridCol w:w="173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按组合计提坏账 准备的其他应收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3,695,156.30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997,519.06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10,746.00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6,356.33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4,688,285.69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3,695,156.30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997,519.06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10,746.00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6,356.33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4,688,285.69</w:t>
            </w:r>
          </w:p>
        </w:tc>
      </w:tr>
    </w:tbl>
    <w:p>
      <w:pPr>
        <w:pStyle w:val="Style51"/>
        <w:keepNext w:val="0"/>
        <w:keepLines w:val="0"/>
        <w:widowControl w:val="0"/>
        <w:shd w:val="clear" w:color="auto" w:fill="auto"/>
        <w:bidi w:val="0"/>
        <w:spacing w:before="0" w:after="0" w:line="341" w:lineRule="exact"/>
        <w:ind w:left="0" w:right="0" w:firstLine="0"/>
        <w:jc w:val="left"/>
      </w:pPr>
      <w:r>
        <w:rPr>
          <w:color w:val="000000"/>
          <w:spacing w:val="0"/>
          <w:w w:val="100"/>
          <w:position w:val="0"/>
          <w:shd w:val="clear" w:color="auto" w:fill="FFFFFF"/>
        </w:rPr>
        <w:t>其他变动系本期发生非同一控制下合并转入。</w:t>
      </w:r>
    </w:p>
    <w:p>
      <w:pPr>
        <w:pStyle w:val="Style2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4</w:t>
      </w:r>
      <w:bookmarkEnd w:id="1169"/>
      <w:r>
        <w:rPr>
          <w:color w:val="000000"/>
          <w:spacing w:val="0"/>
          <w:w w:val="100"/>
          <w:position w:val="0"/>
        </w:rPr>
        <w:t>）本期实际核销的其他应收款情况</w:t>
      </w:r>
      <w:bookmarkEnd w:id="1167"/>
      <w:bookmarkEnd w:id="1168"/>
      <w:bookmarkEnd w:id="1170"/>
    </w:p>
    <w:p>
      <w:pPr>
        <w:pStyle w:val="Style26"/>
        <w:keepNext w:val="0"/>
        <w:keepLines w:val="0"/>
        <w:widowControl w:val="0"/>
        <w:shd w:val="clear" w:color="auto" w:fill="auto"/>
        <w:bidi w:val="0"/>
        <w:spacing w:before="0" w:after="80" w:line="240" w:lineRule="auto"/>
        <w:ind w:left="0" w:right="0" w:firstLine="0"/>
        <w:jc w:val="right"/>
      </w:pPr>
      <w:bookmarkStart w:id="1171" w:name="bookmark1171"/>
      <w:r>
        <w:rPr>
          <w:color w:val="000000"/>
          <w:spacing w:val="0"/>
          <w:w w:val="100"/>
          <w:position w:val="0"/>
        </w:rPr>
        <w:t>单</w:t>
      </w:r>
      <w:bookmarkEnd w:id="1171"/>
      <w:r>
        <w:rPr>
          <w:color w:val="000000"/>
          <w:spacing w:val="0"/>
          <w:w w:val="100"/>
          <w:position w:val="0"/>
        </w:rPr>
        <w:t>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代扣员工社保、公积金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6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172" w:name="bookmark1172"/>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172"/>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国家税务总局杭州 市税务局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2,586,413.25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陕西中医药大学第 二附属医院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2,027,253.20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202,725.32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广西中医药大学第 一附属医院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1,894,602.90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927,461.45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广西国际壮医医院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1,614,400.00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303,347.00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1,510,012.90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1,026,675.32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9,632,682.25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2,460,209.09</w:t>
            </w:r>
          </w:p>
        </w:tc>
      </w:tr>
    </w:tbl>
    <w:p>
      <w:pPr>
        <w:pStyle w:val="Style77"/>
        <w:keepNext/>
        <w:keepLines/>
        <w:widowControl w:val="0"/>
        <w:shd w:val="clear" w:color="auto" w:fill="auto"/>
        <w:bidi w:val="0"/>
        <w:spacing w:before="0" w:after="38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6</w:t>
      </w:r>
      <w:bookmarkEnd w:id="1175"/>
      <w:r>
        <w:rPr>
          <w:color w:val="000000"/>
          <w:spacing w:val="0"/>
          <w:w w:val="100"/>
          <w:position w:val="0"/>
        </w:rPr>
        <w:t>）涉及政府补助的应收款项</w:t>
      </w:r>
      <w:bookmarkEnd w:id="1173"/>
      <w:bookmarkEnd w:id="1174"/>
      <w:bookmarkEnd w:id="117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预计收取的时间、金 额及依据</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国家税务总局杭州市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软件产品增值税超税 负退税款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2,586,413.25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到</w:t>
            </w:r>
          </w:p>
        </w:tc>
      </w:tr>
    </w:tbl>
    <w:p>
      <w:pPr>
        <w:widowControl w:val="0"/>
        <w:spacing w:after="339" w:line="1" w:lineRule="exact"/>
      </w:pPr>
    </w:p>
    <w:p>
      <w:pPr>
        <w:pStyle w:val="Style77"/>
        <w:keepNext/>
        <w:keepLines/>
        <w:widowControl w:val="0"/>
        <w:shd w:val="clear" w:color="auto" w:fill="auto"/>
        <w:tabs>
          <w:tab w:pos="392" w:val="left"/>
        </w:tabs>
        <w:bidi w:val="0"/>
        <w:spacing w:before="0" w:after="38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7</w:t>
      </w:r>
      <w:bookmarkEnd w:id="1179"/>
      <w:r>
        <w:rPr>
          <w:color w:val="000000"/>
          <w:spacing w:val="0"/>
          <w:w w:val="100"/>
          <w:position w:val="0"/>
        </w:rPr>
        <w:t>）</w:t>
        <w:tab/>
        <w:t>因金融资产转移而终止确认的其他应收款</w:t>
      </w:r>
      <w:bookmarkEnd w:id="1177"/>
      <w:bookmarkEnd w:id="1178"/>
      <w:bookmarkEnd w:id="118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7"/>
        <w:keepNext/>
        <w:keepLines/>
        <w:widowControl w:val="0"/>
        <w:shd w:val="clear" w:color="auto" w:fill="auto"/>
        <w:tabs>
          <w:tab w:pos="397" w:val="left"/>
        </w:tabs>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8</w:t>
      </w:r>
      <w:bookmarkEnd w:id="1183"/>
      <w:r>
        <w:rPr>
          <w:color w:val="000000"/>
          <w:spacing w:val="0"/>
          <w:w w:val="100"/>
          <w:position w:val="0"/>
        </w:rPr>
        <w:t>）</w:t>
        <w:tab/>
        <w:t>转移其他应收款且继续涉入形成的资产、负债金额</w:t>
      </w:r>
      <w:bookmarkEnd w:id="1181"/>
      <w:bookmarkEnd w:id="1182"/>
      <w:bookmarkEnd w:id="118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7</w:t>
      </w:r>
      <w:bookmarkEnd w:id="1187"/>
      <w:r>
        <w:rPr>
          <w:color w:val="000000"/>
          <w:spacing w:val="0"/>
          <w:w w:val="100"/>
          <w:position w:val="0"/>
        </w:rPr>
        <w:t>、存货</w:t>
      </w:r>
      <w:bookmarkEnd w:id="1185"/>
      <w:bookmarkEnd w:id="1186"/>
      <w:bookmarkEnd w:id="118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7"/>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9"/>
      <w:bookmarkEnd w:id="1190"/>
      <w:bookmarkEnd w:id="119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5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2,144,340.00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479,025.76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479,025.76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47,861,916.76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47,861,916.76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38,706,649.71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38,706,649.71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50,006,256.76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50,006,256.76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39,185,675.47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39,185,675.47</w:t>
            </w: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14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93"/>
      <w:bookmarkEnd w:id="1194"/>
      <w:bookmarkEnd w:id="119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p>
      <w:pPr>
        <w:pStyle w:val="Style37"/>
        <w:keepNext/>
        <w:keepLines/>
        <w:widowControl w:val="0"/>
        <w:numPr>
          <w:ilvl w:val="0"/>
          <w:numId w:val="75"/>
        </w:numPr>
        <w:shd w:val="clear" w:color="auto" w:fill="auto"/>
        <w:tabs>
          <w:tab w:pos="493" w:val="left"/>
        </w:tabs>
        <w:bidi w:val="0"/>
        <w:spacing w:before="0" w:after="360" w:line="240" w:lineRule="auto"/>
        <w:ind w:left="0" w:right="0" w:firstLine="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存货期末余额含有借款费用资本化金额的说明</w:t>
      </w:r>
      <w:bookmarkEnd w:id="1197"/>
      <w:bookmarkEnd w:id="1198"/>
      <w:bookmarkEnd w:id="1200"/>
    </w:p>
    <w:p>
      <w:pPr>
        <w:pStyle w:val="Style37"/>
        <w:keepNext/>
        <w:keepLines/>
        <w:widowControl w:val="0"/>
        <w:numPr>
          <w:ilvl w:val="0"/>
          <w:numId w:val="75"/>
        </w:numPr>
        <w:shd w:val="clear" w:color="auto" w:fill="auto"/>
        <w:tabs>
          <w:tab w:pos="493" w:val="left"/>
        </w:tabs>
        <w:bidi w:val="0"/>
        <w:spacing w:before="0" w:after="36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合同履约成本本期摊销金额的说明</w:t>
      </w:r>
      <w:bookmarkEnd w:id="1201"/>
      <w:bookmarkEnd w:id="1202"/>
      <w:bookmarkEnd w:id="1204"/>
    </w:p>
    <w:p>
      <w:pPr>
        <w:pStyle w:val="Style30"/>
        <w:keepNext/>
        <w:keepLines/>
        <w:widowControl w:val="0"/>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8</w:t>
      </w:r>
      <w:bookmarkEnd w:id="1207"/>
      <w:r>
        <w:rPr>
          <w:color w:val="000000"/>
          <w:spacing w:val="0"/>
          <w:w w:val="100"/>
          <w:position w:val="0"/>
        </w:rPr>
        <w:t>、合同资产</w:t>
      </w:r>
      <w:bookmarkEnd w:id="1205"/>
      <w:bookmarkEnd w:id="1206"/>
      <w:bookmarkEnd w:id="120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41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应收合同对价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208,525,856.34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12,691,649.78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195,834,206.56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113,397,203.76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6,904,892.22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106,492,311.54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208,525,856.34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12,691,649.78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195,834,206.56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113,397,203.76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6,904,892.22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106,492,311.54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参考历史信用损失经验，结合当前状况以及对未来经济状况的预测，通过违约风险敞口和整个存续期预期 信用损失率，计算预期信用损失。对于应收外部客户账款组合，本公司认为相同账龄的客户具有类似预期 损失率。</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5,786,757.56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按账龄组合计提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5,786,757.56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9</w:t>
      </w:r>
      <w:bookmarkEnd w:id="1211"/>
      <w:r>
        <w:rPr>
          <w:color w:val="000000"/>
          <w:spacing w:val="0"/>
          <w:w w:val="100"/>
          <w:position w:val="0"/>
        </w:rPr>
        <w:t>、其他流动资产</w:t>
      </w:r>
      <w:bookmarkEnd w:id="1209"/>
      <w:bookmarkEnd w:id="1210"/>
      <w:bookmarkEnd w:id="121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1,682,205.35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598,266.35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4,438,166.67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5,701,878.44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94,178.76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6,128,905.02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106,394,323.55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213"/>
      <w:bookmarkEnd w:id="1214"/>
      <w:bookmarkEnd w:id="1216"/>
    </w:p>
    <w:p>
      <w:pPr>
        <w:pStyle w:val="Style37"/>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17"/>
      <w:bookmarkEnd w:id="1218"/>
      <w:bookmarkEnd w:id="122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25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分期收款提供劳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25,732,290.53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1,019,138.72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24,713,151.81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25,668,696.23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783,038.89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24,885,657.34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其中：未实现融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-4,118,490.56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-4,118,490.56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-5,178,396.21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-5,178,396.21</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21,613,799.97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1,019,138.72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20,594,661.25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20,490,300.02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783,038.89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19,707,261.13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764,498.89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783,038.89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105,930.00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228,630.00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236,099.83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666,038.72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353,100.00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1,019,138.72</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307" w:lineRule="exact"/>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21"/>
      <w:bookmarkEnd w:id="1222"/>
      <w:bookmarkEnd w:id="1224"/>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line="307" w:lineRule="exact"/>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25"/>
      <w:bookmarkEnd w:id="1226"/>
      <w:bookmarkEnd w:id="122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1"/>
        <w:keepNext w:val="0"/>
        <w:keepLines w:val="0"/>
        <w:widowControl w:val="0"/>
        <w:shd w:val="clear" w:color="auto" w:fill="auto"/>
        <w:bidi w:val="0"/>
        <w:spacing w:before="0" w:after="220" w:line="307" w:lineRule="exact"/>
        <w:ind w:left="0" w:right="0" w:firstLine="0"/>
        <w:jc w:val="left"/>
      </w:pPr>
      <w:r>
        <w:rPr>
          <w:color w:val="000000"/>
          <w:spacing w:val="0"/>
          <w:w w:val="100"/>
          <w:position w:val="0"/>
        </w:rPr>
        <w:t>长期应收款系分期收款的医疗信息化建设项目形成的应收款项，按照实际利率法确认并摊销未确认融资收 益。</w:t>
      </w:r>
      <w:r>
        <w:br w:type="page"/>
      </w:r>
    </w:p>
    <w:p>
      <w:pPr>
        <w:pStyle w:val="Style30"/>
        <w:keepNext/>
        <w:keepLines/>
        <w:widowControl w:val="0"/>
        <w:shd w:val="clear" w:color="auto" w:fill="auto"/>
        <w:bidi w:val="0"/>
        <w:spacing w:before="0" w:after="38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229"/>
      <w:bookmarkEnd w:id="1230"/>
      <w:bookmarkEnd w:id="123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中原和仁 医疗科技 有限公司</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（以下简 称中原和 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1,798,119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-1,798,11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四川乾堂 科技有限 公司（以 下简称乾 堂科技公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703,500.0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703,500.0</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1,798,119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703,500.0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703,500.0</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-1,798,11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1,798,119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703,500.0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703,500.0</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-1,798,11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bookmarkEnd w:id="1235"/>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233"/>
      <w:bookmarkEnd w:id="1234"/>
      <w:bookmarkEnd w:id="1236"/>
    </w:p>
    <w:p>
      <w:pPr>
        <w:pStyle w:val="Style37"/>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37"/>
      <w:bookmarkEnd w:id="1238"/>
      <w:bookmarkEnd w:id="1240"/>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81,511,152.97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81,511,152.97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194,529.06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194,529.06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194,529.06</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81,705,682.03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81,705,682.03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10,950,500.75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10,950,500.75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3,872,918.16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3,872,918.16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3,872,918.16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3,872,918.16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14,823,418.91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14,823,418.91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66,882,263.12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66,882,263.12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70,560,652.22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70,560,652.22</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241"/>
      <w:bookmarkEnd w:id="1242"/>
      <w:bookmarkEnd w:id="124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7"/>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w:t>
      </w:r>
      <w:bookmarkEnd w:id="1247"/>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245"/>
      <w:bookmarkEnd w:id="1246"/>
      <w:bookmarkEnd w:id="1248"/>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1</w:t>
      </w:r>
      <w:bookmarkEnd w:id="1251"/>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249"/>
      <w:bookmarkEnd w:id="1250"/>
      <w:bookmarkEnd w:id="1252"/>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83,703,260.54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85,943,289.73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83,703,260.54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85,943,289.73</w:t>
            </w:r>
          </w:p>
        </w:tc>
      </w:tr>
    </w:tbl>
    <w:p>
      <w:pPr>
        <w:widowControl w:val="0"/>
        <w:spacing w:after="379" w:line="1" w:lineRule="exact"/>
      </w:pPr>
    </w:p>
    <w:p>
      <w:pPr>
        <w:pStyle w:val="Style37"/>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53"/>
      <w:bookmarkEnd w:id="1254"/>
      <w:bookmarkEnd w:id="1256"/>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93,919,122.36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14,109,247.74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812,882.74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108,841,252.84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418,670.15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3,707,010.10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967,941.59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5,093,621.84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3,707,010.10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967,941.59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4,674,951.69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418,670.15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418,670.15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194,529.06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988,814.51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1,183,343.57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988,814.51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988,814.51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转出至投资性房地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194,529.06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194,529.06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94,143,263.45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16,827,443.33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1,780,824.33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112,751,531.11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12,617,431.77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9,518,271.04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762,260.30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22,897,963.11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4,462,469.88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2,449,207.18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6,932,905.48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4,462,469.88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2,449,207.18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6,932,905.48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782,598.02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782,598.02</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782,598.02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782,598.02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17,079,901.65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11,184,880.20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783,488.72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29,048,270.57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77,063,361.80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5,642,563.13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997,335.61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83,703,260.54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81,301,690.59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4,590,976.70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85,943,289.73</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w:t>
      </w:r>
      <w:bookmarkEnd w:id="1259"/>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57"/>
      <w:bookmarkEnd w:id="1258"/>
      <w:bookmarkEnd w:id="1260"/>
    </w:p>
    <w:p>
      <w:pPr>
        <w:pStyle w:val="Style26"/>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w:t>
      </w:r>
      <w:bookmarkEnd w:id="1263"/>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61"/>
      <w:bookmarkEnd w:id="1262"/>
      <w:bookmarkEnd w:id="1264"/>
    </w:p>
    <w:p>
      <w:pPr>
        <w:pStyle w:val="Style26"/>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账面价值</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w:t>
      </w:r>
      <w:bookmarkEnd w:id="1267"/>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65"/>
      <w:bookmarkEnd w:id="1266"/>
      <w:bookmarkEnd w:id="1268"/>
    </w:p>
    <w:p>
      <w:pPr>
        <w:pStyle w:val="Style26"/>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269"/>
      <w:bookmarkEnd w:id="1270"/>
      <w:bookmarkEnd w:id="1272"/>
    </w:p>
    <w:p>
      <w:pPr>
        <w:pStyle w:val="Style26"/>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numPr>
          <w:ilvl w:val="0"/>
          <w:numId w:val="77"/>
        </w:numPr>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固定资产清理</w:t>
      </w:r>
      <w:bookmarkEnd w:id="1273"/>
      <w:bookmarkEnd w:id="1274"/>
      <w:bookmarkEnd w:id="127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bookmarkEnd w:id="1279"/>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277"/>
      <w:bookmarkEnd w:id="1278"/>
      <w:bookmarkEnd w:id="128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4,961,441.91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4,961,441.91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numPr>
          <w:ilvl w:val="0"/>
          <w:numId w:val="79"/>
        </w:numPr>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在建工程情况</w:t>
      </w:r>
      <w:bookmarkEnd w:id="1281"/>
      <w:bookmarkEnd w:id="1282"/>
      <w:bookmarkEnd w:id="128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5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办公楼改造装修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4,961,441.91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4,961,441.91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4,961,441.91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4,961,441.91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numPr>
          <w:ilvl w:val="0"/>
          <w:numId w:val="79"/>
        </w:numPr>
        <w:shd w:val="clear" w:color="auto" w:fill="auto"/>
        <w:bidi w:val="0"/>
        <w:spacing w:before="0" w:line="240" w:lineRule="auto"/>
        <w:ind w:left="0" w:right="0" w:firstLine="0"/>
        <w:jc w:val="left"/>
      </w:pPr>
      <w:bookmarkStart w:id="1285" w:name="bookmark1285"/>
      <w:bookmarkStart w:id="1286" w:name="bookmark1286"/>
      <w:bookmarkStart w:id="1287" w:name="bookmark1287"/>
      <w:bookmarkStart w:id="1288" w:name="bookmark1288"/>
      <w:bookmarkEnd w:id="1287"/>
      <w:r>
        <w:rPr>
          <w:color w:val="000000"/>
          <w:spacing w:val="0"/>
          <w:w w:val="100"/>
          <w:position w:val="0"/>
        </w:rPr>
        <w:t>重要在建工程项目本期变动情况</w:t>
      </w:r>
      <w:bookmarkEnd w:id="1285"/>
      <w:bookmarkEnd w:id="1286"/>
      <w:bookmarkEnd w:id="128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办公楼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改造装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27,778,0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FF0000"/>
                <w:spacing w:val="0"/>
                <w:w w:val="100"/>
                <w:position w:val="0"/>
                <w:sz w:val="18"/>
                <w:szCs w:val="18"/>
              </w:rPr>
              <w:t>4,961,44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FF0000"/>
                <w:spacing w:val="0"/>
                <w:w w:val="100"/>
                <w:position w:val="0"/>
                <w:sz w:val="18"/>
                <w:szCs w:val="18"/>
              </w:rPr>
              <w:t>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FF0000"/>
                <w:spacing w:val="0"/>
                <w:w w:val="100"/>
                <w:position w:val="0"/>
                <w:sz w:val="18"/>
                <w:szCs w:val="18"/>
              </w:rPr>
              <w:t>4,961,44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FF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FF0000"/>
                <w:spacing w:val="0"/>
                <w:w w:val="100"/>
                <w:position w:val="0"/>
                <w:sz w:val="18"/>
                <w:szCs w:val="18"/>
              </w:rPr>
              <w:t>19.46%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FF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27,778,0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4,961,44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numPr>
          <w:ilvl w:val="0"/>
          <w:numId w:val="79"/>
        </w:numPr>
        <w:shd w:val="clear" w:color="auto" w:fill="auto"/>
        <w:bidi w:val="0"/>
        <w:spacing w:before="0" w:line="240" w:lineRule="auto"/>
        <w:ind w:left="0" w:right="0" w:firstLine="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本期计提在建工程减值准备情况</w:t>
      </w:r>
      <w:bookmarkEnd w:id="1289"/>
      <w:bookmarkEnd w:id="1290"/>
      <w:bookmarkEnd w:id="129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w:t>
      </w:r>
      <w:bookmarkEnd w:id="1295"/>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293"/>
      <w:bookmarkEnd w:id="1294"/>
      <w:bookmarkEnd w:id="129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bookmarkEnd w:id="1299"/>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97"/>
      <w:bookmarkEnd w:id="1298"/>
      <w:bookmarkEnd w:id="1300"/>
    </w:p>
    <w:p>
      <w:pPr>
        <w:pStyle w:val="Style37"/>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w:t>
      </w:r>
      <w:bookmarkEnd w:id="130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01"/>
      <w:bookmarkEnd w:id="1302"/>
      <w:bookmarkEnd w:id="130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598"/>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10,858,929.58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15,823,529.58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178,042.94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178,042.94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178,042.94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178,042.94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11,036,972.52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16,001,572.52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728,141.04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4,602,316.00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5,330,457.04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99,291.96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2,361,755.93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2,461,047.89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99,291.96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2,361,755.93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2,461,047.89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6,964,071.93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7,791,504.93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4,137,167.00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4,072,900.59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8,210,067.59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4,236,458.96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6,256,613.58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10,493,072.54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46.35%</w:t>
      </w:r>
      <w:r>
        <w:rPr>
          <w:color w:val="000000"/>
          <w:spacing w:val="0"/>
          <w:w w:val="100"/>
          <w:position w:val="0"/>
        </w:rPr>
        <w:t>。</w:t>
      </w:r>
    </w:p>
    <w:p>
      <w:pPr>
        <w:pStyle w:val="Style37"/>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05"/>
      <w:bookmarkEnd w:id="1306"/>
      <w:bookmarkEnd w:id="130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09"/>
      <w:bookmarkEnd w:id="1310"/>
      <w:bookmarkEnd w:id="131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6"/>
        <w:gridCol w:w="1061"/>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内部开发支</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20,502,928.6</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20,502,928.6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11,090,082.8</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11,090,082.8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31,593,011.5</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31,593,011.5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line="1" w:lineRule="exact"/>
      </w:pPr>
      <w:r>
        <w:br w:type="page"/>
      </w:r>
    </w:p>
    <w:tbl>
      <w:tblPr>
        <w:tblOverlap w:val="never"/>
        <w:jc w:val="center"/>
        <w:tblLayout w:type="fixed"/>
      </w:tblPr>
      <w:tblGrid>
        <w:gridCol w:w="3413"/>
        <w:gridCol w:w="1699"/>
        <w:gridCol w:w="1987"/>
        <w:gridCol w:w="247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资本化开始时点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截至期末的研发进度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资本化具体依据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ahoma" w:eastAsia="Tahoma" w:hAnsi="Tahoma" w:cs="Tahoma"/>
                <w:color w:val="000000"/>
                <w:spacing w:val="0"/>
                <w:w w:val="100"/>
                <w:position w:val="0"/>
                <w:sz w:val="19"/>
                <w:szCs w:val="19"/>
              </w:rPr>
              <w:t>2020</w:t>
            </w:r>
            <w:r>
              <w:rPr>
                <w:color w:val="000000"/>
                <w:spacing w:val="0"/>
                <w:w w:val="100"/>
                <w:position w:val="0"/>
                <w:sz w:val="20"/>
                <w:szCs w:val="20"/>
              </w:rPr>
              <w:t>年</w:t>
            </w:r>
            <w:r>
              <w:rPr>
                <w:rFonts w:ascii="Tahoma" w:eastAsia="Tahoma" w:hAnsi="Tahoma" w:cs="Tahoma"/>
                <w:color w:val="000000"/>
                <w:spacing w:val="0"/>
                <w:w w:val="100"/>
                <w:position w:val="0"/>
                <w:sz w:val="19"/>
                <w:szCs w:val="19"/>
              </w:rPr>
              <w:t>1</w:t>
            </w:r>
            <w:r>
              <w:rPr>
                <w:color w:val="000000"/>
                <w:spacing w:val="0"/>
                <w:w w:val="100"/>
                <w:position w:val="0"/>
                <w:sz w:val="20"/>
                <w:szCs w:val="20"/>
              </w:rPr>
              <w:t>月</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进行中</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完成项目设计方案达到预 期要求，通过评审立项开始 资本化。</w:t>
            </w:r>
          </w:p>
        </w:tc>
      </w:tr>
      <w:tr>
        <w:trPr>
          <w:trHeight w:val="63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ahoma" w:eastAsia="Tahoma" w:hAnsi="Tahoma" w:cs="Tahoma"/>
                <w:color w:val="000000"/>
                <w:spacing w:val="0"/>
                <w:w w:val="100"/>
                <w:position w:val="0"/>
                <w:sz w:val="19"/>
                <w:szCs w:val="19"/>
              </w:rPr>
              <w:t>2020</w:t>
            </w:r>
            <w:r>
              <w:rPr>
                <w:color w:val="000000"/>
                <w:spacing w:val="0"/>
                <w:w w:val="100"/>
                <w:position w:val="0"/>
                <w:sz w:val="20"/>
                <w:szCs w:val="20"/>
              </w:rPr>
              <w:t>年</w:t>
            </w:r>
            <w:r>
              <w:rPr>
                <w:rFonts w:ascii="Tahoma" w:eastAsia="Tahoma" w:hAnsi="Tahoma" w:cs="Tahoma"/>
                <w:color w:val="000000"/>
                <w:spacing w:val="0"/>
                <w:w w:val="100"/>
                <w:position w:val="0"/>
                <w:sz w:val="19"/>
                <w:szCs w:val="19"/>
              </w:rPr>
              <w:t>1</w:t>
            </w:r>
            <w:r>
              <w:rPr>
                <w:color w:val="000000"/>
                <w:spacing w:val="0"/>
                <w:w w:val="100"/>
                <w:position w:val="0"/>
                <w:sz w:val="20"/>
                <w:szCs w:val="20"/>
              </w:rPr>
              <w:t>月</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17</w:t>
      </w:r>
      <w:r>
        <w:rPr>
          <w:color w:val="000000"/>
          <w:spacing w:val="0"/>
          <w:w w:val="100"/>
          <w:position w:val="0"/>
        </w:rPr>
        <w:t>、商誉</w:t>
      </w:r>
      <w:bookmarkEnd w:id="1313"/>
      <w:bookmarkEnd w:id="1314"/>
      <w:bookmarkEnd w:id="1315"/>
    </w:p>
    <w:p>
      <w:pPr>
        <w:pStyle w:val="Style37"/>
        <w:keepNext/>
        <w:keepLines/>
        <w:widowControl w:val="0"/>
        <w:numPr>
          <w:ilvl w:val="0"/>
          <w:numId w:val="81"/>
        </w:numPr>
        <w:shd w:val="clear" w:color="auto" w:fill="auto"/>
        <w:bidi w:val="0"/>
        <w:spacing w:before="0" w:line="240" w:lineRule="auto"/>
        <w:ind w:left="0" w:right="0" w:firstLine="0"/>
        <w:jc w:val="both"/>
      </w:pPr>
      <w:bookmarkStart w:id="1316" w:name="bookmark1316"/>
      <w:bookmarkStart w:id="1317" w:name="bookmark1317"/>
      <w:bookmarkStart w:id="1318" w:name="bookmark1318"/>
      <w:bookmarkStart w:id="1319" w:name="bookmark1319"/>
      <w:bookmarkEnd w:id="1318"/>
      <w:r>
        <w:rPr>
          <w:color w:val="000000"/>
          <w:spacing w:val="0"/>
          <w:w w:val="100"/>
          <w:position w:val="0"/>
        </w:rPr>
        <w:t>商誉账面原值</w:t>
      </w:r>
      <w:bookmarkEnd w:id="1316"/>
      <w:bookmarkEnd w:id="1317"/>
      <w:bookmarkEnd w:id="13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926,638.80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926,638.80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926,638.80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926,638.80</w:t>
            </w:r>
          </w:p>
        </w:tc>
      </w:tr>
    </w:tbl>
    <w:p>
      <w:pPr>
        <w:pStyle w:val="Style24"/>
        <w:keepNext w:val="0"/>
        <w:keepLines w:val="0"/>
        <w:widowControl w:val="0"/>
        <w:shd w:val="clear" w:color="auto" w:fill="auto"/>
        <w:bidi w:val="0"/>
        <w:spacing w:before="0" w:after="0" w:line="240" w:lineRule="auto"/>
        <w:ind w:left="96" w:right="0" w:firstLine="0"/>
        <w:jc w:val="left"/>
        <w:rPr>
          <w:sz w:val="20"/>
          <w:szCs w:val="20"/>
        </w:rPr>
      </w:pPr>
      <w:bookmarkStart w:id="1320" w:name="bookmark132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bookmarkEnd w:id="1320"/>
    </w:p>
    <w:p>
      <w:pPr>
        <w:widowControl w:val="0"/>
        <w:spacing w:after="3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商誉所在资产组或资产组组合的相关信息</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期末，公司对杭州云医公司的商誉进行了减值测试。商誉的可收回金额按照杭州云医公司的预计未来 现金流量的现值计算，其预计现金流量根据公司</w:t>
      </w:r>
      <w:r>
        <w:rPr>
          <w:rFonts w:ascii="Tahoma" w:eastAsia="Tahoma" w:hAnsi="Tahoma" w:cs="Tahoma"/>
          <w:color w:val="000000"/>
          <w:spacing w:val="0"/>
          <w:w w:val="100"/>
          <w:position w:val="0"/>
          <w:sz w:val="19"/>
          <w:szCs w:val="19"/>
        </w:rPr>
        <w:t>5</w:t>
      </w:r>
      <w:r>
        <w:rPr>
          <w:color w:val="000000"/>
          <w:spacing w:val="0"/>
          <w:w w:val="100"/>
          <w:position w:val="0"/>
        </w:rPr>
        <w:t>年期现金流量预测为基础，现金流量预测使用的折现率 为</w:t>
      </w:r>
      <w:r>
        <w:rPr>
          <w:rFonts w:ascii="Tahoma" w:eastAsia="Tahoma" w:hAnsi="Tahoma" w:cs="Tahoma"/>
          <w:color w:val="000000"/>
          <w:spacing w:val="0"/>
          <w:w w:val="100"/>
          <w:position w:val="0"/>
          <w:sz w:val="19"/>
          <w:szCs w:val="19"/>
        </w:rPr>
        <w:t>12%,</w:t>
      </w:r>
      <w:r>
        <w:rPr>
          <w:color w:val="000000"/>
          <w:spacing w:val="0"/>
          <w:w w:val="100"/>
          <w:position w:val="0"/>
        </w:rPr>
        <w:t>根据历史实际经营数据、行业发展趋势、预期收入增长率、毛利率等指标编制预测未来</w:t>
      </w:r>
      <w:r>
        <w:rPr>
          <w:rFonts w:ascii="Tahoma" w:eastAsia="Tahoma" w:hAnsi="Tahoma" w:cs="Tahoma"/>
          <w:color w:val="000000"/>
          <w:spacing w:val="0"/>
          <w:w w:val="100"/>
          <w:position w:val="0"/>
          <w:sz w:val="19"/>
          <w:szCs w:val="19"/>
        </w:rPr>
        <w:t>5</w:t>
      </w:r>
      <w:r>
        <w:rPr>
          <w:color w:val="000000"/>
          <w:spacing w:val="0"/>
          <w:w w:val="100"/>
          <w:position w:val="0"/>
        </w:rPr>
        <w:t>年现金 流量，预测期以后的现金流量维持不变。</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减值测试中采用的其他关键数据还包括期间费用。公司根据历史经验及对市场发展的预测确定上述关 键数据。公司采用的折现率是反映当前市场货币时间价值和相关资产组特定风险的税前利率。</w:t>
      </w:r>
    </w:p>
    <w:p>
      <w:pPr>
        <w:pStyle w:val="Style51"/>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上述对可收回金额的预计表明商誉并未出现减值损失。</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商誉减值测试的影响</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20" w:line="326" w:lineRule="auto"/>
        <w:ind w:left="0" w:right="0" w:firstLine="0"/>
        <w:jc w:val="both"/>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21"/>
      <w:bookmarkEnd w:id="1322"/>
      <w:bookmarkEnd w:id="1324"/>
    </w:p>
    <w:p>
      <w:pPr>
        <w:pStyle w:val="Style26"/>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4,010,324.92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1,504,497.72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2,371,501.64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3,143,321.00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4,010,324.92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1,504,497.72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2,371,501.64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3,143,321.00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1</w:t>
      </w:r>
      <w:bookmarkEnd w:id="1327"/>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25"/>
      <w:bookmarkEnd w:id="1326"/>
      <w:bookmarkEnd w:id="1328"/>
    </w:p>
    <w:p>
      <w:pPr>
        <w:pStyle w:val="Style37"/>
        <w:keepNext/>
        <w:keepLines/>
        <w:widowControl w:val="0"/>
        <w:numPr>
          <w:ilvl w:val="0"/>
          <w:numId w:val="83"/>
        </w:numPr>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未经抵销的递延所得税资产</w:t>
      </w:r>
      <w:bookmarkEnd w:id="1329"/>
      <w:bookmarkEnd w:id="1330"/>
      <w:bookmarkEnd w:id="133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20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110,818,549.55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11,164,867.72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78,021,054.77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11,689,420.01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2,976,495.41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297,649.54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3,024,420.08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453,663.01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工会经费及职工教育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5,275,635.04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527,563.50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3,773,721.80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566,058.27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2,363,931.96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241,099.57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2,144,280.27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311,160.15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17,598,458.33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1,759,845.83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25,239,583.33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3,785,937.50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414,192.09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82,838.41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12,425.76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139,447,262.38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14,032,445.37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112,285,898.66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16,818,664.70</w:t>
            </w:r>
          </w:p>
        </w:tc>
      </w:tr>
    </w:tbl>
    <w:p>
      <w:pPr>
        <w:widowControl w:val="0"/>
        <w:spacing w:after="319" w:line="1" w:lineRule="exact"/>
      </w:pPr>
    </w:p>
    <w:p>
      <w:pPr>
        <w:pStyle w:val="Style37"/>
        <w:keepNext/>
        <w:keepLines/>
        <w:widowControl w:val="0"/>
        <w:numPr>
          <w:ilvl w:val="0"/>
          <w:numId w:val="83"/>
        </w:numPr>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未经抵销的递延所得税负债</w:t>
      </w:r>
      <w:bookmarkEnd w:id="1333"/>
      <w:bookmarkEnd w:id="1334"/>
      <w:bookmarkEnd w:id="13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20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37"/>
        <w:keepNext/>
        <w:keepLines/>
        <w:widowControl w:val="0"/>
        <w:numPr>
          <w:ilvl w:val="0"/>
          <w:numId w:val="83"/>
        </w:numPr>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以抵销后净额列示的递延所得税资产或负债</w:t>
      </w:r>
      <w:bookmarkEnd w:id="1337"/>
      <w:bookmarkEnd w:id="1338"/>
      <w:bookmarkEnd w:id="1340"/>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14,032,445.37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16,818,664.70</w:t>
            </w:r>
          </w:p>
        </w:tc>
      </w:tr>
    </w:tbl>
    <w:p>
      <w:pPr>
        <w:widowControl w:val="0"/>
        <w:spacing w:after="319" w:line="1" w:lineRule="exact"/>
      </w:pPr>
    </w:p>
    <w:p>
      <w:pPr>
        <w:pStyle w:val="Style37"/>
        <w:keepNext/>
        <w:keepLines/>
        <w:widowControl w:val="0"/>
        <w:numPr>
          <w:ilvl w:val="0"/>
          <w:numId w:val="83"/>
        </w:numPr>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未确认递延所得税资产明细</w:t>
      </w:r>
      <w:bookmarkEnd w:id="1341"/>
      <w:bookmarkEnd w:id="1342"/>
      <w:bookmarkEnd w:id="1344"/>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247,462.83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258,691.82</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35,593,197.68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28,074,779.68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35,840,660.51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28,333,471.50</w:t>
            </w:r>
          </w:p>
        </w:tc>
      </w:tr>
    </w:tbl>
    <w:p>
      <w:pPr>
        <w:widowControl w:val="0"/>
        <w:spacing w:after="299" w:line="1" w:lineRule="exact"/>
      </w:pPr>
    </w:p>
    <w:p>
      <w:pPr>
        <w:pStyle w:val="Style37"/>
        <w:keepNext/>
        <w:keepLines/>
        <w:widowControl w:val="0"/>
        <w:numPr>
          <w:ilvl w:val="0"/>
          <w:numId w:val="83"/>
        </w:numPr>
        <w:shd w:val="clear" w:color="auto" w:fill="auto"/>
        <w:bidi w:val="0"/>
        <w:spacing w:before="0" w:line="240" w:lineRule="auto"/>
        <w:ind w:left="0" w:right="0" w:firstLine="14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未确认递延所得税资产的可抵扣亏损将于以下年度到期</w:t>
      </w:r>
      <w:bookmarkEnd w:id="1345"/>
      <w:bookmarkEnd w:id="1346"/>
      <w:bookmarkEnd w:id="134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1,201,658.44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2,563,597.65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4,595,375.63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5,157,524.81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5,637,110.69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9,355,262.41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10,167,877.09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5,938,921.86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6,472,757.83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12,577,890.95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35,593,197.68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28,074,779.68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49"/>
      <w:bookmarkEnd w:id="1350"/>
      <w:bookmarkEnd w:id="135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15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1"/>
        <w:keepNext w:val="0"/>
        <w:keepLines w:val="0"/>
        <w:widowControl w:val="0"/>
        <w:shd w:val="clear" w:color="auto" w:fill="auto"/>
        <w:bidi w:val="0"/>
        <w:spacing w:before="0" w:after="920" w:line="310" w:lineRule="exact"/>
        <w:ind w:left="0" w:right="0" w:firstLine="440"/>
        <w:jc w:val="both"/>
      </w:pP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4</w:t>
      </w:r>
      <w:r>
        <w:rPr>
          <w:color w:val="000000"/>
          <w:spacing w:val="0"/>
          <w:w w:val="100"/>
          <w:position w:val="0"/>
        </w:rPr>
        <w:t>月</w:t>
      </w:r>
      <w:r>
        <w:rPr>
          <w:rFonts w:ascii="Tahoma" w:eastAsia="Tahoma" w:hAnsi="Tahoma" w:cs="Tahoma"/>
          <w:color w:val="000000"/>
          <w:spacing w:val="0"/>
          <w:w w:val="100"/>
          <w:position w:val="0"/>
          <w:sz w:val="19"/>
          <w:szCs w:val="19"/>
        </w:rPr>
        <w:t>14</w:t>
      </w:r>
      <w:r>
        <w:rPr>
          <w:color w:val="000000"/>
          <w:spacing w:val="0"/>
          <w:w w:val="100"/>
          <w:position w:val="0"/>
        </w:rPr>
        <w:t>日本公司与杭州瑞印实业有限公司签订《杭州市房屋转让合同》</w:t>
      </w:r>
      <w:r>
        <w:rPr>
          <w:color w:val="000000"/>
          <w:spacing w:val="0"/>
          <w:w w:val="100"/>
          <w:position w:val="0"/>
          <w:sz w:val="24"/>
          <w:szCs w:val="24"/>
        </w:rPr>
        <w:t>，</w:t>
      </w:r>
      <w:r>
        <w:rPr>
          <w:color w:val="000000"/>
          <w:spacing w:val="0"/>
          <w:w w:val="100"/>
          <w:position w:val="0"/>
        </w:rPr>
        <w:t>公司拟向其购买</w:t>
      </w:r>
      <w:r>
        <w:rPr>
          <w:rFonts w:ascii="Tahoma" w:eastAsia="Tahoma" w:hAnsi="Tahoma" w:cs="Tahoma"/>
          <w:color w:val="000000"/>
          <w:spacing w:val="0"/>
          <w:w w:val="100"/>
          <w:position w:val="0"/>
          <w:sz w:val="19"/>
          <w:szCs w:val="19"/>
        </w:rPr>
        <w:t xml:space="preserve">845.97 </w:t>
      </w:r>
      <w:r>
        <w:rPr>
          <w:color w:val="000000"/>
          <w:spacing w:val="0"/>
          <w:w w:val="100"/>
          <w:position w:val="0"/>
        </w:rPr>
        <w:t>平方米的商铺并支付首付款</w:t>
      </w:r>
      <w:r>
        <w:rPr>
          <w:rFonts w:ascii="Tahoma" w:eastAsia="Tahoma" w:hAnsi="Tahoma" w:cs="Tahoma"/>
          <w:color w:val="000000"/>
          <w:spacing w:val="0"/>
          <w:w w:val="100"/>
          <w:position w:val="0"/>
          <w:sz w:val="19"/>
          <w:szCs w:val="19"/>
        </w:rPr>
        <w:t>2,110.00</w:t>
      </w:r>
      <w:r>
        <w:rPr>
          <w:color w:val="000000"/>
          <w:spacing w:val="0"/>
          <w:w w:val="100"/>
          <w:position w:val="0"/>
        </w:rPr>
        <w:t>万元，因无法如期办理产权变更手续，经协商，双方已于</w:t>
      </w:r>
      <w:r>
        <w:rPr>
          <w:rFonts w:ascii="Tahoma" w:eastAsia="Tahoma" w:hAnsi="Tahoma" w:cs="Tahoma"/>
          <w:color w:val="000000"/>
          <w:spacing w:val="0"/>
          <w:w w:val="100"/>
          <w:position w:val="0"/>
          <w:sz w:val="19"/>
          <w:szCs w:val="19"/>
        </w:rPr>
        <w:t>2021</w:t>
      </w:r>
      <w:r>
        <w:rPr>
          <w:color w:val="000000"/>
          <w:spacing w:val="0"/>
          <w:w w:val="100"/>
          <w:position w:val="0"/>
        </w:rPr>
        <w:t>年</w:t>
      </w:r>
      <w:r>
        <w:rPr>
          <w:rFonts w:ascii="Tahoma" w:eastAsia="Tahoma" w:hAnsi="Tahoma" w:cs="Tahoma"/>
          <w:color w:val="000000"/>
          <w:spacing w:val="0"/>
          <w:w w:val="100"/>
          <w:position w:val="0"/>
          <w:sz w:val="19"/>
          <w:szCs w:val="19"/>
        </w:rPr>
        <w:t>4</w:t>
      </w:r>
      <w:r>
        <w:rPr>
          <w:color w:val="000000"/>
          <w:spacing w:val="0"/>
          <w:w w:val="100"/>
          <w:position w:val="0"/>
        </w:rPr>
        <w:t>月 解除上述协议并于</w:t>
      </w:r>
      <w:r>
        <w:rPr>
          <w:rFonts w:ascii="Tahoma" w:eastAsia="Tahoma" w:hAnsi="Tahoma" w:cs="Tahoma"/>
          <w:color w:val="000000"/>
          <w:spacing w:val="0"/>
          <w:w w:val="100"/>
          <w:position w:val="0"/>
          <w:sz w:val="19"/>
          <w:szCs w:val="19"/>
        </w:rPr>
        <w:t>2021</w:t>
      </w:r>
      <w:r>
        <w:rPr>
          <w:color w:val="000000"/>
          <w:spacing w:val="0"/>
          <w:w w:val="100"/>
          <w:position w:val="0"/>
        </w:rPr>
        <w:t>年</w:t>
      </w:r>
      <w:r>
        <w:rPr>
          <w:rFonts w:ascii="Tahoma" w:eastAsia="Tahoma" w:hAnsi="Tahoma" w:cs="Tahoma"/>
          <w:color w:val="000000"/>
          <w:spacing w:val="0"/>
          <w:w w:val="100"/>
          <w:position w:val="0"/>
          <w:sz w:val="19"/>
          <w:szCs w:val="19"/>
        </w:rPr>
        <w:t>4</w:t>
      </w:r>
      <w:r>
        <w:rPr>
          <w:color w:val="000000"/>
          <w:spacing w:val="0"/>
          <w:w w:val="100"/>
          <w:position w:val="0"/>
        </w:rPr>
        <w:t>月</w:t>
      </w:r>
      <w:r>
        <w:rPr>
          <w:rFonts w:ascii="Tahoma" w:eastAsia="Tahoma" w:hAnsi="Tahoma" w:cs="Tahoma"/>
          <w:color w:val="000000"/>
          <w:spacing w:val="0"/>
          <w:w w:val="100"/>
          <w:position w:val="0"/>
          <w:sz w:val="19"/>
          <w:szCs w:val="19"/>
        </w:rPr>
        <w:t>23</w:t>
      </w:r>
      <w:r>
        <w:rPr>
          <w:color w:val="000000"/>
          <w:spacing w:val="0"/>
          <w:w w:val="100"/>
          <w:position w:val="0"/>
        </w:rPr>
        <w:t>日收到退款</w:t>
      </w:r>
      <w:r>
        <w:rPr>
          <w:rFonts w:ascii="Tahoma" w:eastAsia="Tahoma" w:hAnsi="Tahoma" w:cs="Tahoma"/>
          <w:color w:val="000000"/>
          <w:spacing w:val="0"/>
          <w:w w:val="100"/>
          <w:position w:val="0"/>
          <w:sz w:val="19"/>
          <w:szCs w:val="19"/>
        </w:rPr>
        <w:t>2,110.00</w:t>
      </w:r>
      <w:r>
        <w:rPr>
          <w:color w:val="000000"/>
          <w:spacing w:val="0"/>
          <w:w w:val="100"/>
          <w:position w:val="0"/>
        </w:rPr>
        <w:t>万元。</w:t>
      </w:r>
    </w:p>
    <w:p>
      <w:pPr>
        <w:pStyle w:val="Style30"/>
        <w:keepNext/>
        <w:keepLines/>
        <w:widowControl w:val="0"/>
        <w:shd w:val="clear" w:color="auto" w:fill="auto"/>
        <w:bidi w:val="0"/>
        <w:spacing w:before="0" w:after="300" w:line="310" w:lineRule="exact"/>
        <w:ind w:left="0" w:right="0" w:firstLine="0"/>
        <w:jc w:val="both"/>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bookmarkEnd w:id="1355"/>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53"/>
      <w:bookmarkEnd w:id="1354"/>
      <w:bookmarkEnd w:id="1356"/>
    </w:p>
    <w:p>
      <w:pPr>
        <w:pStyle w:val="Style37"/>
        <w:keepNext/>
        <w:keepLines/>
        <w:widowControl w:val="0"/>
        <w:numPr>
          <w:ilvl w:val="0"/>
          <w:numId w:val="85"/>
        </w:numPr>
        <w:shd w:val="clear" w:color="auto" w:fill="auto"/>
        <w:bidi w:val="0"/>
        <w:spacing w:before="0" w:line="310" w:lineRule="exact"/>
        <w:ind w:left="0" w:right="0" w:firstLine="0"/>
        <w:jc w:val="both"/>
      </w:pPr>
      <w:bookmarkStart w:id="1357" w:name="bookmark1357"/>
      <w:bookmarkStart w:id="1358" w:name="bookmark1358"/>
      <w:bookmarkStart w:id="1359" w:name="bookmark1359"/>
      <w:bookmarkStart w:id="1360" w:name="bookmark1360"/>
      <w:bookmarkEnd w:id="1359"/>
      <w:r>
        <w:rPr>
          <w:color w:val="000000"/>
          <w:spacing w:val="0"/>
          <w:w w:val="100"/>
          <w:position w:val="0"/>
        </w:rPr>
        <w:t>短期借款分类</w:t>
      </w:r>
      <w:bookmarkEnd w:id="1357"/>
      <w:bookmarkEnd w:id="1358"/>
      <w:bookmarkEnd w:id="136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120,103,430.56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80,752,591.67</w:t>
            </w:r>
          </w:p>
        </w:tc>
      </w:tr>
    </w:tbl>
    <w:p>
      <w:pPr>
        <w:widowControl w:val="0"/>
        <w:spacing w:line="1" w:lineRule="exact"/>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10,006,263.88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130,109,694.44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80,752,591.67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7"/>
        <w:keepNext/>
        <w:keepLines/>
        <w:widowControl w:val="0"/>
        <w:numPr>
          <w:ilvl w:val="0"/>
          <w:numId w:val="85"/>
        </w:numPr>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bookmarkEnd w:id="1363"/>
      <w:r>
        <w:rPr>
          <w:color w:val="000000"/>
          <w:spacing w:val="0"/>
          <w:w w:val="100"/>
          <w:position w:val="0"/>
        </w:rPr>
        <w:t>已逾期未偿还的短期借款情况</w:t>
      </w:r>
      <w:bookmarkEnd w:id="1361"/>
      <w:bookmarkEnd w:id="1362"/>
      <w:bookmarkEnd w:id="136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bookmarkEnd w:id="1367"/>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365"/>
      <w:bookmarkEnd w:id="1366"/>
      <w:bookmarkEnd w:id="136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16,974,086.04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10,455,952.40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16,974,086.04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10,455,952.40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0"/>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bookmarkEnd w:id="1371"/>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369"/>
      <w:bookmarkEnd w:id="1370"/>
      <w:bookmarkEnd w:id="1372"/>
    </w:p>
    <w:p>
      <w:pPr>
        <w:pStyle w:val="Style37"/>
        <w:keepNext/>
        <w:keepLines/>
        <w:widowControl w:val="0"/>
        <w:numPr>
          <w:ilvl w:val="0"/>
          <w:numId w:val="87"/>
        </w:numPr>
        <w:shd w:val="clear" w:color="auto" w:fill="auto"/>
        <w:bidi w:val="0"/>
        <w:spacing w:before="0" w:line="240" w:lineRule="auto"/>
        <w:ind w:left="0" w:right="0" w:firstLine="140"/>
        <w:jc w:val="both"/>
      </w:pPr>
      <w:bookmarkStart w:id="1373" w:name="bookmark1373"/>
      <w:bookmarkStart w:id="1374" w:name="bookmark1374"/>
      <w:bookmarkStart w:id="1375" w:name="bookmark1375"/>
      <w:bookmarkStart w:id="1376" w:name="bookmark1376"/>
      <w:bookmarkEnd w:id="1375"/>
      <w:r>
        <w:rPr>
          <w:color w:val="000000"/>
          <w:spacing w:val="0"/>
          <w:w w:val="100"/>
          <w:position w:val="0"/>
        </w:rPr>
        <w:t>应付账款列示</w:t>
      </w:r>
      <w:bookmarkEnd w:id="1373"/>
      <w:bookmarkEnd w:id="1374"/>
      <w:bookmarkEnd w:id="137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128,760,476.93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117,064,747.93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应付长期资产购置款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2,431,344.47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2,472,004.35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1,595,542.26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1,802,955.06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132,787,363.66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121,339,707.34</w:t>
            </w:r>
          </w:p>
        </w:tc>
      </w:tr>
    </w:tbl>
    <w:p>
      <w:pPr>
        <w:widowControl w:val="0"/>
        <w:spacing w:after="319" w:line="1" w:lineRule="exact"/>
      </w:pPr>
    </w:p>
    <w:p>
      <w:pPr>
        <w:pStyle w:val="Style37"/>
        <w:keepNext/>
        <w:keepLines/>
        <w:widowControl w:val="0"/>
        <w:numPr>
          <w:ilvl w:val="0"/>
          <w:numId w:val="87"/>
        </w:numPr>
        <w:shd w:val="clear" w:color="auto" w:fill="auto"/>
        <w:bidi w:val="0"/>
        <w:spacing w:before="0" w:line="240" w:lineRule="auto"/>
        <w:ind w:left="0" w:right="0" w:firstLine="14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77"/>
      <w:bookmarkEnd w:id="1378"/>
      <w:bookmarkEnd w:id="138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期初数与上年年末数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日)差异详见第十二节、五、</w:t>
      </w:r>
      <w:r>
        <w:rPr>
          <w:color w:val="000000"/>
          <w:spacing w:val="0"/>
          <w:w w:val="100"/>
          <w:position w:val="0"/>
          <w:sz w:val="18"/>
          <w:szCs w:val="18"/>
        </w:rPr>
        <w:t>30</w:t>
      </w:r>
      <w:r>
        <w:rPr>
          <w:color w:val="000000"/>
          <w:spacing w:val="0"/>
          <w:w w:val="100"/>
          <w:position w:val="0"/>
        </w:rPr>
        <w:t>之说明。</w:t>
      </w:r>
      <w:r>
        <w:br w:type="page"/>
      </w:r>
    </w:p>
    <w:p>
      <w:pPr>
        <w:pStyle w:val="Style30"/>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bookmarkEnd w:id="1383"/>
      <w:r>
        <w:rPr>
          <w:rFonts w:ascii="Times New Roman" w:eastAsia="Times New Roman" w:hAnsi="Times New Roman" w:cs="Times New Roman"/>
          <w:color w:val="000000"/>
          <w:spacing w:val="0"/>
          <w:w w:val="100"/>
          <w:position w:val="0"/>
        </w:rPr>
        <w:t>4</w:t>
      </w:r>
      <w:r>
        <w:rPr>
          <w:color w:val="000000"/>
          <w:spacing w:val="0"/>
          <w:w w:val="100"/>
          <w:position w:val="0"/>
        </w:rPr>
        <w:t>、预收款项</w:t>
      </w:r>
      <w:bookmarkEnd w:id="1381"/>
      <w:bookmarkEnd w:id="1382"/>
      <w:bookmarkEnd w:id="1384"/>
    </w:p>
    <w:p>
      <w:pPr>
        <w:pStyle w:val="Style37"/>
        <w:keepNext/>
        <w:keepLines/>
        <w:widowControl w:val="0"/>
        <w:numPr>
          <w:ilvl w:val="0"/>
          <w:numId w:val="89"/>
        </w:numPr>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bookmarkEnd w:id="1387"/>
      <w:r>
        <w:rPr>
          <w:color w:val="000000"/>
          <w:spacing w:val="0"/>
          <w:w w:val="100"/>
          <w:position w:val="0"/>
        </w:rPr>
        <w:t>预收款项列示</w:t>
      </w:r>
      <w:bookmarkEnd w:id="1385"/>
      <w:bookmarkEnd w:id="1386"/>
      <w:bookmarkEnd w:id="138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331,561.47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931,029.15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331,561.47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931,029.15</w:t>
            </w:r>
          </w:p>
        </w:tc>
      </w:tr>
    </w:tbl>
    <w:p>
      <w:pPr>
        <w:widowControl w:val="0"/>
        <w:spacing w:after="319" w:line="1" w:lineRule="exact"/>
      </w:pPr>
    </w:p>
    <w:p>
      <w:pPr>
        <w:pStyle w:val="Style37"/>
        <w:keepNext/>
        <w:keepLines/>
        <w:widowControl w:val="0"/>
        <w:numPr>
          <w:ilvl w:val="0"/>
          <w:numId w:val="89"/>
        </w:numPr>
        <w:shd w:val="clear" w:color="auto" w:fill="auto"/>
        <w:bidi w:val="0"/>
        <w:spacing w:before="0" w:line="240" w:lineRule="auto"/>
        <w:ind w:left="0" w:right="0" w:firstLine="14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89"/>
      <w:bookmarkEnd w:id="1390"/>
      <w:bookmarkEnd w:id="139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bookmarkEnd w:id="1395"/>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393"/>
      <w:bookmarkEnd w:id="1394"/>
      <w:bookmarkEnd w:id="139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69,855,618.15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90,729,700.12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69,855,618.15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90,729,700.12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bookmarkEnd w:id="1399"/>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397"/>
      <w:bookmarkEnd w:id="1398"/>
      <w:bookmarkEnd w:id="1400"/>
    </w:p>
    <w:p>
      <w:pPr>
        <w:pStyle w:val="Style37"/>
        <w:keepNext/>
        <w:keepLines/>
        <w:widowControl w:val="0"/>
        <w:numPr>
          <w:ilvl w:val="0"/>
          <w:numId w:val="91"/>
        </w:numPr>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bookmarkEnd w:id="1403"/>
      <w:r>
        <w:rPr>
          <w:color w:val="000000"/>
          <w:spacing w:val="0"/>
          <w:w w:val="100"/>
          <w:position w:val="0"/>
        </w:rPr>
        <w:t>应付职工薪酬列示</w:t>
      </w:r>
      <w:bookmarkEnd w:id="1401"/>
      <w:bookmarkEnd w:id="1402"/>
      <w:bookmarkEnd w:id="14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27,055,888.20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151,555,180.63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152,118,768.93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26,492,299.90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562,078.96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6,661,855.76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6,498,038.22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725,896.50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27,617,967.16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158,217,036.39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158,616,807.15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27,218,196.40</w:t>
            </w:r>
          </w:p>
        </w:tc>
      </w:tr>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405" w:name="bookmark140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)短期薪酬列示</w:t>
            </w:r>
            <w:bookmarkEnd w:id="140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22,826,193.32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131,055,801.20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133,324,461.03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20,557,533.49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657,087.38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657,087.38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450,090.35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7,123,868.03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6,922,015.05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651,943.33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398,513.46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6,785,375.55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6,546,066.12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637,822.89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94,268.18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10,012.36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244,224.30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283,995.39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9,727,165.18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9,727,165.18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3,779,604.53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2,991,258.84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1,488,040.29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5,282,823.08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27,055,888.20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151,555,180.63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152,118,768.93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26,492,299.90</w:t>
            </w:r>
          </w:p>
        </w:tc>
      </w:tr>
    </w:tbl>
    <w:p>
      <w:pPr>
        <w:widowControl w:val="0"/>
        <w:spacing w:after="319" w:line="1" w:lineRule="exact"/>
      </w:pPr>
    </w:p>
    <w:p>
      <w:pPr>
        <w:pStyle w:val="Style37"/>
        <w:keepNext/>
        <w:keepLines/>
        <w:widowControl w:val="0"/>
        <w:numPr>
          <w:ilvl w:val="0"/>
          <w:numId w:val="89"/>
        </w:numPr>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设定提存计划列示</w:t>
      </w:r>
      <w:bookmarkEnd w:id="1406"/>
      <w:bookmarkEnd w:id="1407"/>
      <w:bookmarkEnd w:id="140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541,661.46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6,430,640.22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6,271,436.09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700,865.59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231,215.54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226,602.13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25,030.91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562,078.96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6,661,855.76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6,498,038.22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725,896.50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410"/>
      <w:bookmarkEnd w:id="1411"/>
      <w:bookmarkEnd w:id="141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7,021,348.60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6,955,764.33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32,039.26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380,432.90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598,691.69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1,441,449.76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450,486.15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486,269.75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1,307,418.18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193,065.51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208,401.33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126,660.16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137,991.18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37,700.61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31,939.63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20,030.00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9,544,736.53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10,950,201.10</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期初数与上年年末数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日）差异详见第十二节、五、</w:t>
      </w:r>
      <w:r>
        <w:rPr>
          <w:color w:val="000000"/>
          <w:spacing w:val="0"/>
          <w:w w:val="100"/>
          <w:position w:val="0"/>
          <w:sz w:val="18"/>
          <w:szCs w:val="18"/>
        </w:rPr>
        <w:t>30</w:t>
      </w:r>
      <w:r>
        <w:rPr>
          <w:color w:val="000000"/>
          <w:spacing w:val="0"/>
          <w:w w:val="100"/>
          <w:position w:val="0"/>
        </w:rPr>
        <w:t>之说明。</w:t>
      </w:r>
    </w:p>
    <w:p>
      <w:pPr>
        <w:pStyle w:val="Style30"/>
        <w:keepNext/>
        <w:keepLines/>
        <w:widowControl w:val="0"/>
        <w:shd w:val="clear" w:color="auto" w:fill="auto"/>
        <w:bidi w:val="0"/>
        <w:spacing w:before="0" w:after="400" w:line="240" w:lineRule="auto"/>
        <w:ind w:left="0" w:right="0" w:firstLine="0"/>
        <w:jc w:val="both"/>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bookmarkEnd w:id="1416"/>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414"/>
      <w:bookmarkEnd w:id="1415"/>
      <w:bookmarkEnd w:id="1417"/>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397,800.00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367,387.50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43,444,852.23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59,690,718.83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43,842,652.23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60,058,106.33</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18"/>
      <w:bookmarkEnd w:id="1419"/>
      <w:bookmarkEnd w:id="142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40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22"/>
      <w:bookmarkEnd w:id="1423"/>
      <w:bookmarkEnd w:id="1425"/>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397,800.00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367,387.50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397,800.00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367,387.50</w:t>
            </w:r>
          </w:p>
        </w:tc>
      </w:tr>
    </w:tbl>
    <w:p>
      <w:pPr>
        <w:pStyle w:val="Style26"/>
        <w:keepNext w:val="0"/>
        <w:keepLines w:val="0"/>
        <w:widowControl w:val="0"/>
        <w:shd w:val="clear" w:color="auto" w:fill="auto"/>
        <w:bidi w:val="0"/>
        <w:spacing w:before="0" w:after="0" w:line="365" w:lineRule="exact"/>
        <w:ind w:left="0" w:right="0" w:firstLine="0"/>
        <w:jc w:val="both"/>
      </w:pPr>
      <w:r>
        <w:rPr>
          <w:color w:val="000000"/>
          <w:spacing w:val="0"/>
          <w:w w:val="100"/>
          <w:position w:val="0"/>
          <w:shd w:val="clear" w:color="auto" w:fill="FFFFFF"/>
        </w:rPr>
        <w:t>其他说明，包括重要的超过</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年未支付的应付股利，应披露未支付原因:</w:t>
      </w:r>
    </w:p>
    <w:p>
      <w:pPr>
        <w:pStyle w:val="Style51"/>
        <w:keepNext w:val="0"/>
        <w:keepLines w:val="0"/>
        <w:widowControl w:val="0"/>
        <w:shd w:val="clear" w:color="auto" w:fill="auto"/>
        <w:bidi w:val="0"/>
        <w:spacing w:before="0" w:line="365" w:lineRule="exact"/>
        <w:ind w:left="0" w:right="0" w:firstLine="0"/>
        <w:jc w:val="both"/>
      </w:pPr>
      <w:r>
        <w:rPr>
          <w:color w:val="000000"/>
          <w:spacing w:val="0"/>
          <w:w w:val="100"/>
          <w:position w:val="0"/>
        </w:rPr>
        <w:t>上述应付股利系尚未解锁的限制性股票的未付股利。</w:t>
      </w:r>
    </w:p>
    <w:p>
      <w:pPr>
        <w:pStyle w:val="Style37"/>
        <w:keepNext/>
        <w:keepLines/>
        <w:widowControl w:val="0"/>
        <w:shd w:val="clear" w:color="auto" w:fill="auto"/>
        <w:bidi w:val="0"/>
        <w:spacing w:before="0" w:after="400" w:line="240" w:lineRule="auto"/>
        <w:ind w:left="0" w:right="0" w:firstLine="0"/>
        <w:jc w:val="both"/>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26"/>
      <w:bookmarkEnd w:id="1427"/>
      <w:bookmarkEnd w:id="1429"/>
    </w:p>
    <w:p>
      <w:pPr>
        <w:pStyle w:val="Style77"/>
        <w:keepNext/>
        <w:keepLines/>
        <w:widowControl w:val="0"/>
        <w:shd w:val="clear" w:color="auto" w:fill="auto"/>
        <w:bidi w:val="0"/>
        <w:spacing w:before="0" w:after="360" w:line="240" w:lineRule="auto"/>
        <w:ind w:left="0" w:right="0" w:firstLine="0"/>
        <w:jc w:val="both"/>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1</w:t>
      </w:r>
      <w:bookmarkEnd w:id="1432"/>
      <w:r>
        <w:rPr>
          <w:color w:val="000000"/>
          <w:spacing w:val="0"/>
          <w:w w:val="100"/>
          <w:position w:val="0"/>
        </w:rPr>
        <w:t>）按款项性质列示其他应付款</w:t>
      </w:r>
      <w:bookmarkEnd w:id="1430"/>
      <w:bookmarkEnd w:id="1431"/>
      <w:bookmarkEnd w:id="1433"/>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36,729,000.00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53,750,136.45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预提及代垫费用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2,535,281.87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2,313,739.20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2,941,861.69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2,502,472.21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1,238,708.67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1,124,370.97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43,444,852.23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59,690,718.83</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both"/>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34"/>
      <w:bookmarkEnd w:id="1435"/>
      <w:bookmarkEnd w:id="1437"/>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bookmarkEnd w:id="1440"/>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1438"/>
      <w:bookmarkEnd w:id="1439"/>
      <w:bookmarkEnd w:id="1441"/>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4,138,949.77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4,100,309.45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融资保理风险准备金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4,258,949.77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4,100,309.45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3</w:t>
      </w:r>
      <w:bookmarkEnd w:id="1444"/>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42"/>
      <w:bookmarkEnd w:id="1443"/>
      <w:bookmarkEnd w:id="1445"/>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2,363,931.96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项目免费运维期预计发生的 维保支出，按照收入的</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计提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2,363,931.96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2,144,280.27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0"/>
        <w:keepNext/>
        <w:keepLines/>
        <w:widowControl w:val="0"/>
        <w:shd w:val="clear" w:color="auto" w:fill="auto"/>
        <w:bidi w:val="0"/>
        <w:spacing w:before="0" w:after="380" w:line="240" w:lineRule="auto"/>
        <w:ind w:left="0" w:right="0" w:firstLine="0"/>
        <w:jc w:val="both"/>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、其他非流动负债</w:t>
      </w:r>
      <w:bookmarkEnd w:id="1446"/>
      <w:bookmarkEnd w:id="1447"/>
      <w:bookmarkEnd w:id="1449"/>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32</w:t>
      </w:r>
      <w:r>
        <w:rPr>
          <w:color w:val="000000"/>
          <w:spacing w:val="0"/>
          <w:w w:val="100"/>
          <w:position w:val="0"/>
        </w:rPr>
        <w:t>、股本</w:t>
      </w:r>
      <w:bookmarkEnd w:id="1450"/>
      <w:bookmarkEnd w:id="1451"/>
      <w:bookmarkEnd w:id="145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8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117,306,000.00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25,862,558.00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46,876,200.00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72,623,258.00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189,929,258.00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1"/>
        <w:keepNext w:val="0"/>
        <w:keepLines w:val="0"/>
        <w:widowControl w:val="0"/>
        <w:shd w:val="clear" w:color="auto" w:fill="auto"/>
        <w:tabs>
          <w:tab w:pos="752" w:val="left"/>
        </w:tabs>
        <w:bidi w:val="0"/>
        <w:spacing w:before="0" w:after="0" w:line="310" w:lineRule="exact"/>
        <w:ind w:left="0" w:right="0" w:firstLine="440"/>
        <w:jc w:val="both"/>
      </w:pPr>
      <w:bookmarkStart w:id="1453" w:name="bookmark1453"/>
      <w:r>
        <w:rPr>
          <w:rFonts w:ascii="Tahoma" w:eastAsia="Tahoma" w:hAnsi="Tahoma" w:cs="Tahoma"/>
          <w:color w:val="000000"/>
          <w:spacing w:val="0"/>
          <w:w w:val="100"/>
          <w:position w:val="0"/>
          <w:sz w:val="19"/>
          <w:szCs w:val="19"/>
        </w:rPr>
        <w:t>1</w:t>
      </w:r>
      <w:bookmarkEnd w:id="1453"/>
      <w:r>
        <w:rPr>
          <w:rFonts w:ascii="Tahoma" w:eastAsia="Tahoma" w:hAnsi="Tahoma" w:cs="Tahoma"/>
          <w:color w:val="000000"/>
          <w:spacing w:val="0"/>
          <w:w w:val="100"/>
          <w:position w:val="0"/>
          <w:sz w:val="19"/>
          <w:szCs w:val="19"/>
        </w:rPr>
        <w:t>）</w:t>
        <w:tab/>
      </w:r>
      <w:r>
        <w:rPr>
          <w:color w:val="000000"/>
          <w:spacing w:val="0"/>
          <w:w w:val="100"/>
          <w:position w:val="0"/>
        </w:rPr>
        <w:t>经中国证券监督管理委员会证监许可〔</w:t>
      </w:r>
      <w:r>
        <w:rPr>
          <w:rFonts w:ascii="Tahoma" w:eastAsia="Tahoma" w:hAnsi="Tahoma" w:cs="Tahoma"/>
          <w:color w:val="000000"/>
          <w:spacing w:val="0"/>
          <w:w w:val="100"/>
          <w:position w:val="0"/>
          <w:sz w:val="19"/>
          <w:szCs w:val="19"/>
        </w:rPr>
        <w:t>2020） 1243</w:t>
      </w:r>
      <w:r>
        <w:rPr>
          <w:color w:val="000000"/>
          <w:spacing w:val="0"/>
          <w:w w:val="100"/>
          <w:position w:val="0"/>
        </w:rPr>
        <w:t>号文核准，并经深圳证券交易所同意，</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 xml:space="preserve">9 </w:t>
      </w:r>
      <w:r>
        <w:rPr>
          <w:color w:val="000000"/>
          <w:spacing w:val="0"/>
          <w:w w:val="100"/>
          <w:position w:val="0"/>
        </w:rPr>
        <w:t>月公司向特定对象非公开发行人民币普通股</w:t>
      </w:r>
      <w:r>
        <w:rPr>
          <w:color w:val="000000"/>
          <w:spacing w:val="0"/>
          <w:w w:val="100"/>
          <w:position w:val="0"/>
          <w:sz w:val="24"/>
          <w:szCs w:val="24"/>
        </w:rPr>
        <w:t>（</w:t>
      </w:r>
      <w:r>
        <w:rPr>
          <w:rFonts w:ascii="Tahoma" w:eastAsia="Tahoma" w:hAnsi="Tahoma" w:cs="Tahoma"/>
          <w:color w:val="000000"/>
          <w:spacing w:val="0"/>
          <w:w w:val="100"/>
          <w:position w:val="0"/>
          <w:sz w:val="19"/>
          <w:szCs w:val="19"/>
        </w:rPr>
        <w:t>A</w:t>
      </w:r>
      <w:r>
        <w:rPr>
          <w:color w:val="000000"/>
          <w:spacing w:val="0"/>
          <w:w w:val="100"/>
          <w:position w:val="0"/>
        </w:rPr>
        <w:t>股）股票</w:t>
      </w:r>
      <w:r>
        <w:rPr>
          <w:rFonts w:ascii="Tahoma" w:eastAsia="Tahoma" w:hAnsi="Tahoma" w:cs="Tahoma"/>
          <w:color w:val="000000"/>
          <w:spacing w:val="0"/>
          <w:w w:val="100"/>
          <w:position w:val="0"/>
          <w:sz w:val="19"/>
          <w:szCs w:val="19"/>
        </w:rPr>
        <w:t>25,862,558</w:t>
      </w:r>
      <w:r>
        <w:rPr>
          <w:color w:val="000000"/>
          <w:spacing w:val="0"/>
          <w:w w:val="100"/>
          <w:position w:val="0"/>
        </w:rPr>
        <w:t>股，每股面值</w:t>
      </w:r>
      <w:r>
        <w:rPr>
          <w:rFonts w:ascii="Tahoma" w:eastAsia="Tahoma" w:hAnsi="Tahoma" w:cs="Tahoma"/>
          <w:color w:val="000000"/>
          <w:spacing w:val="0"/>
          <w:w w:val="100"/>
          <w:position w:val="0"/>
          <w:sz w:val="19"/>
          <w:szCs w:val="19"/>
        </w:rPr>
        <w:t>1</w:t>
      </w:r>
      <w:r>
        <w:rPr>
          <w:color w:val="000000"/>
          <w:spacing w:val="0"/>
          <w:w w:val="100"/>
          <w:position w:val="0"/>
        </w:rPr>
        <w:t>元，每股发行价格</w:t>
      </w:r>
      <w:r>
        <w:rPr>
          <w:rFonts w:ascii="Tahoma" w:eastAsia="Tahoma" w:hAnsi="Tahoma" w:cs="Tahoma"/>
          <w:color w:val="000000"/>
          <w:spacing w:val="0"/>
          <w:w w:val="100"/>
          <w:position w:val="0"/>
          <w:sz w:val="19"/>
          <w:szCs w:val="19"/>
        </w:rPr>
        <w:t xml:space="preserve">19.61 </w:t>
      </w:r>
      <w:r>
        <w:rPr>
          <w:color w:val="000000"/>
          <w:spacing w:val="0"/>
          <w:w w:val="100"/>
          <w:position w:val="0"/>
        </w:rPr>
        <w:t>元，募集资金总额</w:t>
      </w:r>
      <w:r>
        <w:rPr>
          <w:rFonts w:ascii="Tahoma" w:eastAsia="Tahoma" w:hAnsi="Tahoma" w:cs="Tahoma"/>
          <w:color w:val="000000"/>
          <w:spacing w:val="0"/>
          <w:w w:val="100"/>
          <w:position w:val="0"/>
          <w:sz w:val="19"/>
          <w:szCs w:val="19"/>
        </w:rPr>
        <w:t xml:space="preserve">507, </w:t>
      </w:r>
      <w:r>
        <w:rPr>
          <w:rFonts w:ascii="Tahoma" w:eastAsia="Tahoma" w:hAnsi="Tahoma" w:cs="Tahoma"/>
          <w:color w:val="000000"/>
          <w:spacing w:val="0"/>
          <w:w w:val="100"/>
          <w:position w:val="0"/>
          <w:sz w:val="19"/>
          <w:szCs w:val="19"/>
        </w:rPr>
        <w:t xml:space="preserve">164,762. </w:t>
      </w:r>
      <w:r>
        <w:rPr>
          <w:rFonts w:ascii="Tahoma" w:eastAsia="Tahoma" w:hAnsi="Tahoma" w:cs="Tahoma"/>
          <w:color w:val="000000"/>
          <w:spacing w:val="0"/>
          <w:w w:val="100"/>
          <w:position w:val="0"/>
          <w:sz w:val="19"/>
          <w:szCs w:val="19"/>
        </w:rPr>
        <w:t>38</w:t>
      </w:r>
      <w:r>
        <w:rPr>
          <w:color w:val="000000"/>
          <w:spacing w:val="0"/>
          <w:w w:val="100"/>
          <w:position w:val="0"/>
        </w:rPr>
        <w:t>元，其中计入股本</w:t>
      </w:r>
      <w:r>
        <w:rPr>
          <w:rFonts w:ascii="Tahoma" w:eastAsia="Tahoma" w:hAnsi="Tahoma" w:cs="Tahoma"/>
          <w:color w:val="000000"/>
          <w:spacing w:val="0"/>
          <w:w w:val="100"/>
          <w:position w:val="0"/>
          <w:sz w:val="19"/>
          <w:szCs w:val="19"/>
        </w:rPr>
        <w:t>25,862,558.0</w:t>
      </w:r>
      <w:r>
        <w:rPr>
          <w:rFonts w:ascii="Tahoma" w:eastAsia="Tahoma" w:hAnsi="Tahoma" w:cs="Tahoma"/>
          <w:color w:val="000000"/>
          <w:spacing w:val="0"/>
          <w:w w:val="100"/>
          <w:position w:val="0"/>
          <w:sz w:val="19"/>
          <w:szCs w:val="19"/>
        </w:rPr>
        <w:t>0</w:t>
      </w:r>
      <w:r>
        <w:rPr>
          <w:color w:val="000000"/>
          <w:spacing w:val="0"/>
          <w:w w:val="100"/>
          <w:position w:val="0"/>
        </w:rPr>
        <w:t>元，另扣除发行费用后计入资本公积</w:t>
      </w:r>
    </w:p>
    <w:p>
      <w:pPr>
        <w:pStyle w:val="Style51"/>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（股本溢价）</w:t>
      </w:r>
      <w:r>
        <w:rPr>
          <w:rFonts w:ascii="Tahoma" w:eastAsia="Tahoma" w:hAnsi="Tahoma" w:cs="Tahoma"/>
          <w:color w:val="000000"/>
          <w:spacing w:val="0"/>
          <w:w w:val="100"/>
          <w:position w:val="0"/>
          <w:sz w:val="19"/>
          <w:szCs w:val="19"/>
        </w:rPr>
        <w:t xml:space="preserve">470,457, </w:t>
      </w:r>
      <w:r>
        <w:rPr>
          <w:rFonts w:ascii="Tahoma" w:eastAsia="Tahoma" w:hAnsi="Tahoma" w:cs="Tahoma"/>
          <w:color w:val="000000"/>
          <w:spacing w:val="0"/>
          <w:w w:val="100"/>
          <w:position w:val="0"/>
          <w:sz w:val="19"/>
          <w:szCs w:val="19"/>
        </w:rPr>
        <w:t>051.10</w:t>
      </w:r>
      <w:r>
        <w:rPr>
          <w:color w:val="000000"/>
          <w:spacing w:val="0"/>
          <w:w w:val="100"/>
          <w:position w:val="0"/>
        </w:rPr>
        <w:t>元。上述股本变动业经天健会计师事务所（特殊普通合伙）审验，并由其出 具《验资报告》（天健验〔</w:t>
      </w:r>
      <w:r>
        <w:rPr>
          <w:rFonts w:ascii="Tahoma" w:eastAsia="Tahoma" w:hAnsi="Tahoma" w:cs="Tahoma"/>
          <w:color w:val="000000"/>
          <w:spacing w:val="0"/>
          <w:w w:val="100"/>
          <w:position w:val="0"/>
          <w:sz w:val="19"/>
          <w:szCs w:val="19"/>
        </w:rPr>
        <w:t>2020） 415</w:t>
      </w:r>
      <w:r>
        <w:rPr>
          <w:color w:val="000000"/>
          <w:spacing w:val="0"/>
          <w:w w:val="100"/>
          <w:position w:val="0"/>
        </w:rPr>
        <w:t>号）。公司已于</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12</w:t>
      </w:r>
      <w:r>
        <w:rPr>
          <w:color w:val="000000"/>
          <w:spacing w:val="0"/>
          <w:w w:val="100"/>
          <w:position w:val="0"/>
        </w:rPr>
        <w:t>月</w:t>
      </w:r>
      <w:r>
        <w:rPr>
          <w:rFonts w:ascii="Tahoma" w:eastAsia="Tahoma" w:hAnsi="Tahoma" w:cs="Tahoma"/>
          <w:color w:val="000000"/>
          <w:spacing w:val="0"/>
          <w:w w:val="100"/>
          <w:position w:val="0"/>
          <w:sz w:val="19"/>
          <w:szCs w:val="19"/>
        </w:rPr>
        <w:t>3</w:t>
      </w:r>
      <w:r>
        <w:rPr>
          <w:color w:val="000000"/>
          <w:spacing w:val="0"/>
          <w:w w:val="100"/>
          <w:position w:val="0"/>
        </w:rPr>
        <w:t>日办妥工商变更登记。</w:t>
      </w:r>
    </w:p>
    <w:p>
      <w:pPr>
        <w:pStyle w:val="Style51"/>
        <w:keepNext w:val="0"/>
        <w:keepLines w:val="0"/>
        <w:widowControl w:val="0"/>
        <w:shd w:val="clear" w:color="auto" w:fill="auto"/>
        <w:tabs>
          <w:tab w:pos="754" w:val="left"/>
        </w:tabs>
        <w:bidi w:val="0"/>
        <w:spacing w:before="0" w:after="0" w:line="310" w:lineRule="exact"/>
        <w:ind w:left="0" w:right="0" w:firstLine="440"/>
        <w:jc w:val="both"/>
        <w:rPr>
          <w:sz w:val="19"/>
          <w:szCs w:val="19"/>
        </w:rPr>
      </w:pPr>
      <w:bookmarkStart w:id="1454" w:name="bookmark1454"/>
      <w:r>
        <w:rPr>
          <w:rFonts w:ascii="Tahoma" w:eastAsia="Tahoma" w:hAnsi="Tahoma" w:cs="Tahoma"/>
          <w:color w:val="000000"/>
          <w:spacing w:val="0"/>
          <w:w w:val="100"/>
          <w:position w:val="0"/>
          <w:sz w:val="19"/>
          <w:szCs w:val="19"/>
        </w:rPr>
        <w:t>2</w:t>
      </w:r>
      <w:bookmarkEnd w:id="1454"/>
      <w:r>
        <w:rPr>
          <w:rFonts w:ascii="Tahoma" w:eastAsia="Tahoma" w:hAnsi="Tahoma" w:cs="Tahoma"/>
          <w:color w:val="000000"/>
          <w:spacing w:val="0"/>
          <w:w w:val="100"/>
          <w:position w:val="0"/>
          <w:sz w:val="19"/>
          <w:szCs w:val="19"/>
        </w:rPr>
        <w:t>）</w:t>
        <w:tab/>
      </w:r>
      <w:r>
        <w:rPr>
          <w:color w:val="000000"/>
          <w:spacing w:val="0"/>
          <w:w w:val="100"/>
          <w:position w:val="0"/>
          <w:sz w:val="20"/>
          <w:szCs w:val="20"/>
        </w:rPr>
        <w:t>根据</w:t>
      </w:r>
      <w:r>
        <w:rPr>
          <w:rFonts w:ascii="Tahoma" w:eastAsia="Tahoma" w:hAnsi="Tahoma" w:cs="Tahoma"/>
          <w:color w:val="000000"/>
          <w:spacing w:val="0"/>
          <w:w w:val="100"/>
          <w:position w:val="0"/>
          <w:sz w:val="19"/>
          <w:szCs w:val="19"/>
        </w:rPr>
        <w:t>2019</w:t>
      </w:r>
      <w:r>
        <w:rPr>
          <w:color w:val="000000"/>
          <w:spacing w:val="0"/>
          <w:w w:val="100"/>
          <w:position w:val="0"/>
          <w:sz w:val="20"/>
          <w:szCs w:val="20"/>
        </w:rPr>
        <w:t>年度股东大会决议和修改后章程规定，本公司申请增加注册资本人民币</w:t>
      </w:r>
      <w:r>
        <w:rPr>
          <w:rFonts w:ascii="Tahoma" w:eastAsia="Tahoma" w:hAnsi="Tahoma" w:cs="Tahoma"/>
          <w:color w:val="000000"/>
          <w:spacing w:val="0"/>
          <w:w w:val="100"/>
          <w:position w:val="0"/>
          <w:sz w:val="19"/>
          <w:szCs w:val="19"/>
        </w:rPr>
        <w:t>46,876,200.00</w:t>
      </w:r>
    </w:p>
    <w:p>
      <w:pPr>
        <w:pStyle w:val="Style51"/>
        <w:keepNext w:val="0"/>
        <w:keepLines w:val="0"/>
        <w:widowControl w:val="0"/>
        <w:shd w:val="clear" w:color="auto" w:fill="auto"/>
        <w:tabs>
          <w:tab w:pos="2109" w:val="left"/>
        </w:tabs>
        <w:bidi w:val="0"/>
        <w:spacing w:before="0" w:after="0" w:line="310" w:lineRule="exact"/>
        <w:ind w:left="0" w:right="0" w:firstLine="0"/>
        <w:jc w:val="both"/>
      </w:pPr>
      <w:bookmarkStart w:id="1455" w:name="bookmark1455"/>
      <w:r>
        <w:rPr>
          <w:color w:val="000000"/>
          <w:spacing w:val="0"/>
          <w:w w:val="100"/>
          <w:position w:val="0"/>
        </w:rPr>
        <w:t>元</w:t>
      </w:r>
      <w:bookmarkEnd w:id="1455"/>
      <w:r>
        <w:rPr>
          <w:color w:val="000000"/>
          <w:spacing w:val="0"/>
          <w:w w:val="100"/>
          <w:position w:val="0"/>
        </w:rPr>
        <w:t>，由资本公积转增。上述股本变动业经天健会计师事务所（特殊普通合伙）审验，并由其出具《验资报 告》（天健验〔</w:t>
      </w:r>
      <w:r>
        <w:rPr>
          <w:rFonts w:ascii="Tahoma" w:eastAsia="Tahoma" w:hAnsi="Tahoma" w:cs="Tahoma"/>
          <w:color w:val="000000"/>
          <w:spacing w:val="0"/>
          <w:w w:val="100"/>
          <w:position w:val="0"/>
          <w:sz w:val="19"/>
          <w:szCs w:val="19"/>
        </w:rPr>
        <w:t>2020）</w:t>
        <w:tab/>
        <w:t>322</w:t>
      </w:r>
      <w:r>
        <w:rPr>
          <w:color w:val="000000"/>
          <w:spacing w:val="0"/>
          <w:w w:val="100"/>
          <w:position w:val="0"/>
        </w:rPr>
        <w:t>号）。公司已于</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9</w:t>
      </w:r>
      <w:r>
        <w:rPr>
          <w:color w:val="000000"/>
          <w:spacing w:val="0"/>
          <w:w w:val="100"/>
          <w:position w:val="0"/>
        </w:rPr>
        <w:t>月</w:t>
      </w:r>
      <w:r>
        <w:rPr>
          <w:rFonts w:ascii="Tahoma" w:eastAsia="Tahoma" w:hAnsi="Tahoma" w:cs="Tahoma"/>
          <w:color w:val="000000"/>
          <w:spacing w:val="0"/>
          <w:w w:val="100"/>
          <w:position w:val="0"/>
          <w:sz w:val="19"/>
          <w:szCs w:val="19"/>
        </w:rPr>
        <w:t>1</w:t>
      </w:r>
      <w:r>
        <w:rPr>
          <w:color w:val="000000"/>
          <w:spacing w:val="0"/>
          <w:w w:val="100"/>
          <w:position w:val="0"/>
        </w:rPr>
        <w:t>日办妥工商变更登记。</w:t>
      </w:r>
    </w:p>
    <w:p>
      <w:pPr>
        <w:pStyle w:val="Style51"/>
        <w:keepNext w:val="0"/>
        <w:keepLines w:val="0"/>
        <w:widowControl w:val="0"/>
        <w:shd w:val="clear" w:color="auto" w:fill="auto"/>
        <w:tabs>
          <w:tab w:pos="752" w:val="left"/>
        </w:tabs>
        <w:bidi w:val="0"/>
        <w:spacing w:before="0" w:after="300" w:line="310" w:lineRule="exact"/>
        <w:ind w:left="0" w:right="0" w:firstLine="440"/>
        <w:jc w:val="both"/>
      </w:pPr>
      <w:bookmarkStart w:id="1456" w:name="bookmark1456"/>
      <w:r>
        <w:rPr>
          <w:rFonts w:ascii="Tahoma" w:eastAsia="Tahoma" w:hAnsi="Tahoma" w:cs="Tahoma"/>
          <w:color w:val="000000"/>
          <w:spacing w:val="0"/>
          <w:w w:val="100"/>
          <w:position w:val="0"/>
          <w:sz w:val="19"/>
          <w:szCs w:val="19"/>
        </w:rPr>
        <w:t>3</w:t>
      </w:r>
      <w:bookmarkEnd w:id="1456"/>
      <w:r>
        <w:rPr>
          <w:rFonts w:ascii="Tahoma" w:eastAsia="Tahoma" w:hAnsi="Tahoma" w:cs="Tahoma"/>
          <w:color w:val="000000"/>
          <w:spacing w:val="0"/>
          <w:w w:val="100"/>
          <w:position w:val="0"/>
          <w:sz w:val="19"/>
          <w:szCs w:val="19"/>
        </w:rPr>
        <w:t>）</w:t>
        <w:tab/>
      </w:r>
      <w:r>
        <w:rPr>
          <w:color w:val="000000"/>
          <w:spacing w:val="0"/>
          <w:w w:val="100"/>
          <w:position w:val="0"/>
        </w:rPr>
        <w:t>根据</w:t>
      </w:r>
      <w:r>
        <w:rPr>
          <w:rFonts w:ascii="Tahoma" w:eastAsia="Tahoma" w:hAnsi="Tahoma" w:cs="Tahoma"/>
          <w:color w:val="000000"/>
          <w:spacing w:val="0"/>
          <w:w w:val="100"/>
          <w:position w:val="0"/>
          <w:sz w:val="19"/>
          <w:szCs w:val="19"/>
        </w:rPr>
        <w:t>2019</w:t>
      </w:r>
      <w:r>
        <w:rPr>
          <w:color w:val="000000"/>
          <w:spacing w:val="0"/>
          <w:w w:val="100"/>
          <w:position w:val="0"/>
        </w:rPr>
        <w:t>年第一次和第五次临时股东大会决议，因部分授予对象不再符合激励条件，对尚未解锁 的</w:t>
      </w:r>
      <w:r>
        <w:rPr>
          <w:rFonts w:ascii="Tahoma" w:eastAsia="Tahoma" w:hAnsi="Tahoma" w:cs="Tahoma"/>
          <w:color w:val="000000"/>
          <w:spacing w:val="0"/>
          <w:w w:val="100"/>
          <w:position w:val="0"/>
          <w:sz w:val="19"/>
          <w:szCs w:val="19"/>
        </w:rPr>
        <w:t>115,500</w:t>
      </w:r>
      <w:r>
        <w:rPr>
          <w:color w:val="000000"/>
          <w:spacing w:val="0"/>
          <w:w w:val="100"/>
          <w:position w:val="0"/>
        </w:rPr>
        <w:t>股限制性股票进行回购注销，减少注册资本</w:t>
      </w:r>
      <w:r>
        <w:rPr>
          <w:rFonts w:ascii="Tahoma" w:eastAsia="Tahoma" w:hAnsi="Tahoma" w:cs="Tahoma"/>
          <w:color w:val="000000"/>
          <w:spacing w:val="0"/>
          <w:w w:val="100"/>
          <w:position w:val="0"/>
          <w:sz w:val="19"/>
          <w:szCs w:val="19"/>
        </w:rPr>
        <w:t>115,500.00</w:t>
      </w:r>
      <w:r>
        <w:rPr>
          <w:color w:val="000000"/>
          <w:spacing w:val="0"/>
          <w:w w:val="100"/>
          <w:position w:val="0"/>
        </w:rPr>
        <w:t>元,实收股本</w:t>
      </w:r>
      <w:r>
        <w:rPr>
          <w:rFonts w:ascii="Tahoma" w:eastAsia="Tahoma" w:hAnsi="Tahoma" w:cs="Tahoma"/>
          <w:color w:val="000000"/>
          <w:spacing w:val="0"/>
          <w:w w:val="100"/>
          <w:position w:val="0"/>
          <w:sz w:val="19"/>
          <w:szCs w:val="19"/>
        </w:rPr>
        <w:t xml:space="preserve">115, </w:t>
      </w:r>
      <w:r>
        <w:rPr>
          <w:rFonts w:ascii="Tahoma" w:eastAsia="Tahoma" w:hAnsi="Tahoma" w:cs="Tahoma"/>
          <w:color w:val="000000"/>
          <w:spacing w:val="0"/>
          <w:w w:val="100"/>
          <w:position w:val="0"/>
          <w:sz w:val="19"/>
          <w:szCs w:val="19"/>
        </w:rPr>
        <w:t>500.00</w:t>
      </w:r>
      <w:r>
        <w:rPr>
          <w:color w:val="000000"/>
          <w:spacing w:val="0"/>
          <w:w w:val="100"/>
          <w:position w:val="0"/>
        </w:rPr>
        <w:t>元。上述股本变 动业经天健会计师事务所（特殊普通合伙）审验，并由其出具《验资报告》（天健验〔</w:t>
      </w:r>
      <w:r>
        <w:rPr>
          <w:rFonts w:ascii="Tahoma" w:eastAsia="Tahoma" w:hAnsi="Tahoma" w:cs="Tahoma"/>
          <w:color w:val="000000"/>
          <w:spacing w:val="0"/>
          <w:w w:val="100"/>
          <w:position w:val="0"/>
          <w:sz w:val="19"/>
          <w:szCs w:val="19"/>
        </w:rPr>
        <w:t>2020） 24</w:t>
      </w:r>
      <w:r>
        <w:rPr>
          <w:color w:val="000000"/>
          <w:spacing w:val="0"/>
          <w:w w:val="100"/>
          <w:position w:val="0"/>
        </w:rPr>
        <w:t>号）。公 司已于</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3</w:t>
      </w:r>
      <w:r>
        <w:rPr>
          <w:color w:val="000000"/>
          <w:spacing w:val="0"/>
          <w:w w:val="100"/>
          <w:position w:val="0"/>
        </w:rPr>
        <w:t>月</w:t>
      </w:r>
      <w:r>
        <w:rPr>
          <w:rFonts w:ascii="Tahoma" w:eastAsia="Tahoma" w:hAnsi="Tahoma" w:cs="Tahoma"/>
          <w:color w:val="000000"/>
          <w:spacing w:val="0"/>
          <w:w w:val="100"/>
          <w:position w:val="0"/>
          <w:sz w:val="19"/>
          <w:szCs w:val="19"/>
        </w:rPr>
        <w:t>6</w:t>
      </w:r>
      <w:r>
        <w:rPr>
          <w:color w:val="000000"/>
          <w:spacing w:val="0"/>
          <w:w w:val="100"/>
          <w:position w:val="0"/>
        </w:rPr>
        <w:t>日办妥工商变更登记。</w:t>
      </w:r>
    </w:p>
    <w:p>
      <w:pPr>
        <w:pStyle w:val="Style30"/>
        <w:keepNext/>
        <w:keepLines/>
        <w:widowControl w:val="0"/>
        <w:shd w:val="clear" w:color="auto" w:fill="auto"/>
        <w:bidi w:val="0"/>
        <w:spacing w:before="0" w:after="380" w:line="310" w:lineRule="exact"/>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1457"/>
      <w:bookmarkEnd w:id="1458"/>
      <w:bookmarkEnd w:id="14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260,464,447.94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493,411,331.00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47,484,118.39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706,391,660.55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27,155,807.08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24,389,598.75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8,591,358.33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287,620,255.02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499,236,481.00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71,873,717.14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714,983,018.88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51"/>
        <w:keepNext w:val="0"/>
        <w:keepLines w:val="0"/>
        <w:widowControl w:val="0"/>
        <w:shd w:val="clear" w:color="auto" w:fill="auto"/>
        <w:tabs>
          <w:tab w:pos="752" w:val="left"/>
        </w:tabs>
        <w:bidi w:val="0"/>
        <w:spacing w:before="0" w:after="0" w:line="311" w:lineRule="exact"/>
        <w:ind w:left="0" w:right="0" w:firstLine="440"/>
        <w:jc w:val="both"/>
      </w:pPr>
      <w:bookmarkStart w:id="1461" w:name="bookmark1461"/>
      <w:r>
        <w:rPr>
          <w:rFonts w:ascii="Tahoma" w:eastAsia="Tahoma" w:hAnsi="Tahoma" w:cs="Tahoma"/>
          <w:color w:val="000000"/>
          <w:spacing w:val="0"/>
          <w:w w:val="100"/>
          <w:position w:val="0"/>
          <w:sz w:val="19"/>
          <w:szCs w:val="19"/>
        </w:rPr>
        <w:t>1</w:t>
      </w:r>
      <w:bookmarkEnd w:id="1461"/>
      <w:r>
        <w:rPr>
          <w:rFonts w:ascii="Tahoma" w:eastAsia="Tahoma" w:hAnsi="Tahoma" w:cs="Tahoma"/>
          <w:color w:val="000000"/>
          <w:spacing w:val="0"/>
          <w:w w:val="100"/>
          <w:position w:val="0"/>
          <w:sz w:val="19"/>
          <w:szCs w:val="19"/>
        </w:rPr>
        <w:t>）</w:t>
        <w:tab/>
      </w:r>
      <w:r>
        <w:rPr>
          <w:color w:val="000000"/>
          <w:spacing w:val="0"/>
          <w:w w:val="100"/>
          <w:position w:val="0"/>
        </w:rPr>
        <w:t>本期资本公积</w:t>
      </w:r>
      <w:r>
        <w:rPr>
          <w:rFonts w:ascii="Tahoma" w:eastAsia="Tahoma" w:hAnsi="Tahoma" w:cs="Tahoma"/>
          <w:color w:val="000000"/>
          <w:spacing w:val="0"/>
          <w:w w:val="100"/>
          <w:position w:val="0"/>
          <w:sz w:val="19"/>
          <w:szCs w:val="19"/>
        </w:rPr>
        <w:t>（</w:t>
      </w:r>
      <w:r>
        <w:rPr>
          <w:color w:val="000000"/>
          <w:spacing w:val="0"/>
          <w:w w:val="100"/>
          <w:position w:val="0"/>
        </w:rPr>
        <w:t>股本溢价</w:t>
      </w:r>
      <w:r>
        <w:rPr>
          <w:rFonts w:ascii="Tahoma" w:eastAsia="Tahoma" w:hAnsi="Tahoma" w:cs="Tahoma"/>
          <w:color w:val="000000"/>
          <w:spacing w:val="0"/>
          <w:w w:val="100"/>
          <w:position w:val="0"/>
          <w:sz w:val="19"/>
          <w:szCs w:val="19"/>
        </w:rPr>
        <w:t>）</w:t>
      </w:r>
      <w:r>
        <w:rPr>
          <w:color w:val="000000"/>
          <w:spacing w:val="0"/>
          <w:w w:val="100"/>
          <w:position w:val="0"/>
        </w:rPr>
        <w:t>增加</w:t>
      </w:r>
      <w:r>
        <w:rPr>
          <w:rFonts w:ascii="Tahoma" w:eastAsia="Tahoma" w:hAnsi="Tahoma" w:cs="Tahoma"/>
          <w:color w:val="000000"/>
          <w:spacing w:val="0"/>
          <w:w w:val="100"/>
          <w:position w:val="0"/>
          <w:sz w:val="19"/>
          <w:szCs w:val="19"/>
        </w:rPr>
        <w:t>493,411,331.00</w:t>
      </w:r>
      <w:r>
        <w:rPr>
          <w:color w:val="000000"/>
          <w:spacing w:val="0"/>
          <w:w w:val="100"/>
          <w:position w:val="0"/>
        </w:rPr>
        <w:t xml:space="preserve">元，其中，非公开发行股票形成股本溢价 </w:t>
      </w:r>
      <w:r>
        <w:rPr>
          <w:rFonts w:ascii="Tahoma" w:eastAsia="Tahoma" w:hAnsi="Tahoma" w:cs="Tahoma"/>
          <w:color w:val="000000"/>
          <w:spacing w:val="0"/>
          <w:w w:val="100"/>
          <w:position w:val="0"/>
          <w:sz w:val="19"/>
          <w:szCs w:val="19"/>
        </w:rPr>
        <w:t>470,457,051.10</w:t>
      </w:r>
      <w:r>
        <w:rPr>
          <w:color w:val="000000"/>
          <w:spacing w:val="0"/>
          <w:w w:val="100"/>
          <w:position w:val="0"/>
        </w:rPr>
        <w:t>元；本期部分限制性股票已解锁，相应将原确认的对应股份的股份支付费用</w:t>
      </w:r>
      <w:r>
        <w:rPr>
          <w:rFonts w:ascii="Tahoma" w:eastAsia="Tahoma" w:hAnsi="Tahoma" w:cs="Tahoma"/>
          <w:color w:val="000000"/>
          <w:spacing w:val="0"/>
          <w:w w:val="100"/>
          <w:position w:val="0"/>
          <w:sz w:val="19"/>
          <w:szCs w:val="19"/>
        </w:rPr>
        <w:t xml:space="preserve">22, </w:t>
      </w:r>
      <w:r>
        <w:rPr>
          <w:rFonts w:ascii="Tahoma" w:eastAsia="Tahoma" w:hAnsi="Tahoma" w:cs="Tahoma"/>
          <w:color w:val="000000"/>
          <w:spacing w:val="0"/>
          <w:w w:val="100"/>
          <w:position w:val="0"/>
          <w:sz w:val="19"/>
          <w:szCs w:val="19"/>
        </w:rPr>
        <w:t xml:space="preserve">893,775.00 </w:t>
      </w:r>
      <w:r>
        <w:rPr>
          <w:color w:val="000000"/>
          <w:spacing w:val="0"/>
          <w:w w:val="100"/>
          <w:position w:val="0"/>
        </w:rPr>
        <w:t>元由资本公积（其他资本公积）转入资本公积（股本溢价）；本公司收购天津和仁公司</w:t>
      </w:r>
      <w:r>
        <w:rPr>
          <w:rFonts w:ascii="Tahoma" w:eastAsia="Tahoma" w:hAnsi="Tahoma" w:cs="Tahoma"/>
          <w:color w:val="000000"/>
          <w:spacing w:val="0"/>
          <w:w w:val="100"/>
          <w:position w:val="0"/>
          <w:sz w:val="19"/>
          <w:szCs w:val="19"/>
        </w:rPr>
        <w:t>20%</w:t>
      </w:r>
      <w:r>
        <w:rPr>
          <w:color w:val="000000"/>
          <w:spacing w:val="0"/>
          <w:w w:val="100"/>
          <w:position w:val="0"/>
        </w:rPr>
        <w:t>少数股权，支付的 价款与收购时所享有的净资产份额之间的差额增加股本溢价</w:t>
      </w:r>
      <w:r>
        <w:rPr>
          <w:rFonts w:ascii="Tahoma" w:eastAsia="Tahoma" w:hAnsi="Tahoma" w:cs="Tahoma"/>
          <w:color w:val="000000"/>
          <w:spacing w:val="0"/>
          <w:w w:val="100"/>
          <w:position w:val="0"/>
          <w:sz w:val="19"/>
          <w:szCs w:val="19"/>
        </w:rPr>
        <w:t>60,504.9</w:t>
      </w:r>
      <w:r>
        <w:rPr>
          <w:rFonts w:ascii="Tahoma" w:eastAsia="Tahoma" w:hAnsi="Tahoma" w:cs="Tahoma"/>
          <w:color w:val="000000"/>
          <w:spacing w:val="0"/>
          <w:w w:val="100"/>
          <w:position w:val="0"/>
          <w:sz w:val="19"/>
          <w:szCs w:val="19"/>
        </w:rPr>
        <w:t>0</w:t>
      </w:r>
      <w:r>
        <w:rPr>
          <w:color w:val="000000"/>
          <w:spacing w:val="0"/>
          <w:w w:val="100"/>
          <w:position w:val="0"/>
        </w:rPr>
        <w:t>元。</w:t>
      </w:r>
    </w:p>
    <w:p>
      <w:pPr>
        <w:pStyle w:val="Style51"/>
        <w:keepNext w:val="0"/>
        <w:keepLines w:val="0"/>
        <w:widowControl w:val="0"/>
        <w:shd w:val="clear" w:color="auto" w:fill="auto"/>
        <w:tabs>
          <w:tab w:pos="752" w:val="left"/>
        </w:tabs>
        <w:bidi w:val="0"/>
        <w:spacing w:before="0" w:after="0" w:line="311" w:lineRule="exact"/>
        <w:ind w:left="0" w:right="0" w:firstLine="440"/>
        <w:jc w:val="both"/>
      </w:pPr>
      <w:bookmarkStart w:id="1462" w:name="bookmark1462"/>
      <w:r>
        <w:rPr>
          <w:rFonts w:ascii="Tahoma" w:eastAsia="Tahoma" w:hAnsi="Tahoma" w:cs="Tahoma"/>
          <w:color w:val="000000"/>
          <w:spacing w:val="0"/>
          <w:w w:val="100"/>
          <w:position w:val="0"/>
          <w:sz w:val="19"/>
          <w:szCs w:val="19"/>
        </w:rPr>
        <w:t>2</w:t>
      </w:r>
      <w:bookmarkEnd w:id="1462"/>
      <w:r>
        <w:rPr>
          <w:rFonts w:ascii="Tahoma" w:eastAsia="Tahoma" w:hAnsi="Tahoma" w:cs="Tahoma"/>
          <w:color w:val="000000"/>
          <w:spacing w:val="0"/>
          <w:w w:val="100"/>
          <w:position w:val="0"/>
          <w:sz w:val="19"/>
          <w:szCs w:val="19"/>
        </w:rPr>
        <w:t>）</w:t>
        <w:tab/>
      </w:r>
      <w:r>
        <w:rPr>
          <w:color w:val="000000"/>
          <w:spacing w:val="0"/>
          <w:w w:val="100"/>
          <w:position w:val="0"/>
        </w:rPr>
        <w:t>本期资本公积</w:t>
      </w:r>
      <w:r>
        <w:rPr>
          <w:rFonts w:ascii="Tahoma" w:eastAsia="Tahoma" w:hAnsi="Tahoma" w:cs="Tahoma"/>
          <w:color w:val="000000"/>
          <w:spacing w:val="0"/>
          <w:w w:val="100"/>
          <w:position w:val="0"/>
          <w:sz w:val="19"/>
          <w:szCs w:val="19"/>
        </w:rPr>
        <w:t>（</w:t>
      </w:r>
      <w:r>
        <w:rPr>
          <w:color w:val="000000"/>
          <w:spacing w:val="0"/>
          <w:w w:val="100"/>
          <w:position w:val="0"/>
        </w:rPr>
        <w:t>股本溢价</w:t>
      </w:r>
      <w:r>
        <w:rPr>
          <w:rFonts w:ascii="Tahoma" w:eastAsia="Tahoma" w:hAnsi="Tahoma" w:cs="Tahoma"/>
          <w:color w:val="000000"/>
          <w:spacing w:val="0"/>
          <w:w w:val="100"/>
          <w:position w:val="0"/>
          <w:sz w:val="19"/>
          <w:szCs w:val="19"/>
        </w:rPr>
        <w:t>）</w:t>
      </w:r>
      <w:r>
        <w:rPr>
          <w:color w:val="000000"/>
          <w:spacing w:val="0"/>
          <w:w w:val="100"/>
          <w:position w:val="0"/>
        </w:rPr>
        <w:t>减少</w:t>
      </w:r>
      <w:r>
        <w:rPr>
          <w:rFonts w:ascii="Tahoma" w:eastAsia="Tahoma" w:hAnsi="Tahoma" w:cs="Tahoma"/>
          <w:color w:val="000000"/>
          <w:spacing w:val="0"/>
          <w:w w:val="100"/>
          <w:position w:val="0"/>
          <w:sz w:val="19"/>
          <w:szCs w:val="19"/>
        </w:rPr>
        <w:t>47,484,118.39</w:t>
      </w:r>
      <w:r>
        <w:rPr>
          <w:color w:val="000000"/>
          <w:spacing w:val="0"/>
          <w:w w:val="100"/>
          <w:position w:val="0"/>
        </w:rPr>
        <w:t xml:space="preserve">元，其中本期资本公积转增股本减少股本溢价 </w:t>
      </w:r>
      <w:r>
        <w:rPr>
          <w:rFonts w:ascii="Tahoma" w:eastAsia="Tahoma" w:hAnsi="Tahoma" w:cs="Tahoma"/>
          <w:color w:val="000000"/>
          <w:spacing w:val="0"/>
          <w:w w:val="100"/>
          <w:position w:val="0"/>
          <w:sz w:val="19"/>
          <w:szCs w:val="19"/>
        </w:rPr>
        <w:t xml:space="preserve">46,876,200. </w:t>
      </w:r>
      <w:r>
        <w:rPr>
          <w:rFonts w:ascii="Tahoma" w:eastAsia="Tahoma" w:hAnsi="Tahoma" w:cs="Tahoma"/>
          <w:color w:val="000000"/>
          <w:spacing w:val="0"/>
          <w:w w:val="100"/>
          <w:position w:val="0"/>
          <w:sz w:val="19"/>
          <w:szCs w:val="19"/>
        </w:rPr>
        <w:t>00</w:t>
      </w:r>
      <w:r>
        <w:rPr>
          <w:color w:val="000000"/>
          <w:spacing w:val="0"/>
          <w:w w:val="100"/>
          <w:position w:val="0"/>
        </w:rPr>
        <w:t>元；向和仁湘雅公司增资导致少数股东权益变动减少股本溢价</w:t>
      </w:r>
      <w:r>
        <w:rPr>
          <w:rFonts w:ascii="Tahoma" w:eastAsia="Tahoma" w:hAnsi="Tahoma" w:cs="Tahoma"/>
          <w:color w:val="000000"/>
          <w:spacing w:val="0"/>
          <w:w w:val="100"/>
          <w:position w:val="0"/>
          <w:sz w:val="19"/>
          <w:szCs w:val="19"/>
        </w:rPr>
        <w:t>607,918.39</w:t>
      </w:r>
      <w:r>
        <w:rPr>
          <w:color w:val="000000"/>
          <w:spacing w:val="0"/>
          <w:w w:val="100"/>
          <w:position w:val="0"/>
        </w:rPr>
        <w:t>元。</w:t>
      </w:r>
    </w:p>
    <w:p>
      <w:pPr>
        <w:pStyle w:val="Style51"/>
        <w:keepNext w:val="0"/>
        <w:keepLines w:val="0"/>
        <w:widowControl w:val="0"/>
        <w:shd w:val="clear" w:color="auto" w:fill="auto"/>
        <w:tabs>
          <w:tab w:pos="752" w:val="left"/>
        </w:tabs>
        <w:bidi w:val="0"/>
        <w:spacing w:before="0" w:after="0" w:line="311" w:lineRule="exact"/>
        <w:ind w:left="0" w:right="0" w:firstLine="440"/>
        <w:jc w:val="both"/>
      </w:pPr>
      <w:bookmarkStart w:id="1463" w:name="bookmark1463"/>
      <w:r>
        <w:rPr>
          <w:rFonts w:ascii="Tahoma" w:eastAsia="Tahoma" w:hAnsi="Tahoma" w:cs="Tahoma"/>
          <w:color w:val="000000"/>
          <w:spacing w:val="0"/>
          <w:w w:val="100"/>
          <w:position w:val="0"/>
          <w:sz w:val="19"/>
          <w:szCs w:val="19"/>
        </w:rPr>
        <w:t>3</w:t>
      </w:r>
      <w:bookmarkEnd w:id="1463"/>
      <w:r>
        <w:rPr>
          <w:rFonts w:ascii="Tahoma" w:eastAsia="Tahoma" w:hAnsi="Tahoma" w:cs="Tahoma"/>
          <w:color w:val="000000"/>
          <w:spacing w:val="0"/>
          <w:w w:val="100"/>
          <w:position w:val="0"/>
          <w:sz w:val="19"/>
          <w:szCs w:val="19"/>
        </w:rPr>
        <w:t>）</w:t>
        <w:tab/>
      </w:r>
      <w:r>
        <w:rPr>
          <w:color w:val="000000"/>
          <w:spacing w:val="0"/>
          <w:w w:val="100"/>
          <w:position w:val="0"/>
        </w:rPr>
        <w:t>本期资本公积（其他资本公积）增加</w:t>
      </w:r>
      <w:r>
        <w:rPr>
          <w:rFonts w:ascii="Tahoma" w:eastAsia="Tahoma" w:hAnsi="Tahoma" w:cs="Tahoma"/>
          <w:color w:val="000000"/>
          <w:spacing w:val="0"/>
          <w:w w:val="100"/>
          <w:position w:val="0"/>
          <w:sz w:val="19"/>
          <w:szCs w:val="19"/>
        </w:rPr>
        <w:t>5,825,150.00</w:t>
      </w:r>
      <w:r>
        <w:rPr>
          <w:color w:val="000000"/>
          <w:spacing w:val="0"/>
          <w:w w:val="100"/>
          <w:position w:val="0"/>
        </w:rPr>
        <w:t>元，系根据股权激励授予日公司股票收盘价计算 确认本期应摊销的股份支付费用，计入其他资本公积</w:t>
      </w:r>
      <w:r>
        <w:rPr>
          <w:rFonts w:ascii="Tahoma" w:eastAsia="Tahoma" w:hAnsi="Tahoma" w:cs="Tahoma"/>
          <w:color w:val="000000"/>
          <w:spacing w:val="0"/>
          <w:w w:val="100"/>
          <w:position w:val="0"/>
          <w:sz w:val="19"/>
          <w:szCs w:val="19"/>
        </w:rPr>
        <w:t>5,825,150.00</w:t>
      </w:r>
      <w:r>
        <w:rPr>
          <w:color w:val="000000"/>
          <w:spacing w:val="0"/>
          <w:w w:val="100"/>
          <w:position w:val="0"/>
        </w:rPr>
        <w:t>元。</w:t>
      </w:r>
    </w:p>
    <w:p>
      <w:pPr>
        <w:pStyle w:val="Style51"/>
        <w:keepNext w:val="0"/>
        <w:keepLines w:val="0"/>
        <w:widowControl w:val="0"/>
        <w:shd w:val="clear" w:color="auto" w:fill="auto"/>
        <w:tabs>
          <w:tab w:pos="752" w:val="left"/>
        </w:tabs>
        <w:bidi w:val="0"/>
        <w:spacing w:before="0" w:after="0" w:line="311" w:lineRule="exact"/>
        <w:ind w:left="0" w:right="0" w:firstLine="440"/>
        <w:jc w:val="both"/>
      </w:pPr>
      <w:bookmarkStart w:id="1464" w:name="bookmark1464"/>
      <w:r>
        <w:rPr>
          <w:rFonts w:ascii="Tahoma" w:eastAsia="Tahoma" w:hAnsi="Tahoma" w:cs="Tahoma"/>
          <w:color w:val="000000"/>
          <w:spacing w:val="0"/>
          <w:w w:val="100"/>
          <w:position w:val="0"/>
          <w:sz w:val="19"/>
          <w:szCs w:val="19"/>
        </w:rPr>
        <w:t>4</w:t>
      </w:r>
      <w:bookmarkEnd w:id="1464"/>
      <w:r>
        <w:rPr>
          <w:rFonts w:ascii="Tahoma" w:eastAsia="Tahoma" w:hAnsi="Tahoma" w:cs="Tahoma"/>
          <w:color w:val="000000"/>
          <w:spacing w:val="0"/>
          <w:w w:val="100"/>
          <w:position w:val="0"/>
          <w:sz w:val="19"/>
          <w:szCs w:val="19"/>
        </w:rPr>
        <w:t>）</w:t>
        <w:tab/>
      </w:r>
      <w:r>
        <w:rPr>
          <w:color w:val="000000"/>
          <w:spacing w:val="0"/>
          <w:w w:val="100"/>
          <w:position w:val="0"/>
        </w:rPr>
        <w:t>本期资本公积</w:t>
      </w:r>
      <w:r>
        <w:rPr>
          <w:rFonts w:ascii="Tahoma" w:eastAsia="Tahoma" w:hAnsi="Tahoma" w:cs="Tahoma"/>
          <w:color w:val="000000"/>
          <w:spacing w:val="0"/>
          <w:w w:val="100"/>
          <w:position w:val="0"/>
          <w:sz w:val="19"/>
          <w:szCs w:val="19"/>
        </w:rPr>
        <w:t>（</w:t>
      </w:r>
      <w:r>
        <w:rPr>
          <w:color w:val="000000"/>
          <w:spacing w:val="0"/>
          <w:w w:val="100"/>
          <w:position w:val="0"/>
        </w:rPr>
        <w:t>其他资本公积</w:t>
      </w:r>
      <w:r>
        <w:rPr>
          <w:rFonts w:ascii="Tahoma" w:eastAsia="Tahoma" w:hAnsi="Tahoma" w:cs="Tahoma"/>
          <w:color w:val="000000"/>
          <w:spacing w:val="0"/>
          <w:w w:val="100"/>
          <w:position w:val="0"/>
          <w:sz w:val="19"/>
          <w:szCs w:val="19"/>
        </w:rPr>
        <w:t>）</w:t>
      </w:r>
      <w:r>
        <w:rPr>
          <w:color w:val="000000"/>
          <w:spacing w:val="0"/>
          <w:w w:val="100"/>
          <w:position w:val="0"/>
        </w:rPr>
        <w:t>减少</w:t>
      </w:r>
      <w:r>
        <w:rPr>
          <w:rFonts w:ascii="Tahoma" w:eastAsia="Tahoma" w:hAnsi="Tahoma" w:cs="Tahoma"/>
          <w:color w:val="000000"/>
          <w:spacing w:val="0"/>
          <w:w w:val="100"/>
          <w:position w:val="0"/>
          <w:sz w:val="19"/>
          <w:szCs w:val="19"/>
        </w:rPr>
        <w:t xml:space="preserve">24, </w:t>
      </w:r>
      <w:r>
        <w:rPr>
          <w:rFonts w:ascii="Tahoma" w:eastAsia="Tahoma" w:hAnsi="Tahoma" w:cs="Tahoma"/>
          <w:color w:val="000000"/>
          <w:spacing w:val="0"/>
          <w:w w:val="100"/>
          <w:position w:val="0"/>
          <w:sz w:val="19"/>
          <w:szCs w:val="19"/>
        </w:rPr>
        <w:t>389,598.75</w:t>
      </w:r>
      <w:r>
        <w:rPr>
          <w:color w:val="000000"/>
          <w:spacing w:val="0"/>
          <w:w w:val="100"/>
          <w:position w:val="0"/>
        </w:rPr>
        <w:t xml:space="preserve">元，其中限制性股票解锁转入股本溢价 </w:t>
      </w:r>
      <w:r>
        <w:rPr>
          <w:rFonts w:ascii="Tahoma" w:eastAsia="Tahoma" w:hAnsi="Tahoma" w:cs="Tahoma"/>
          <w:color w:val="000000"/>
          <w:spacing w:val="0"/>
          <w:w w:val="100"/>
          <w:position w:val="0"/>
          <w:sz w:val="19"/>
          <w:szCs w:val="19"/>
        </w:rPr>
        <w:t xml:space="preserve">22,893,775. </w:t>
      </w:r>
      <w:r>
        <w:rPr>
          <w:rFonts w:ascii="Tahoma" w:eastAsia="Tahoma" w:hAnsi="Tahoma" w:cs="Tahoma"/>
          <w:color w:val="000000"/>
          <w:spacing w:val="0"/>
          <w:w w:val="100"/>
          <w:position w:val="0"/>
          <w:sz w:val="19"/>
          <w:szCs w:val="19"/>
        </w:rPr>
        <w:t>00</w:t>
      </w:r>
      <w:r>
        <w:rPr>
          <w:color w:val="000000"/>
          <w:spacing w:val="0"/>
          <w:w w:val="100"/>
          <w:position w:val="0"/>
        </w:rPr>
        <w:t>元；本期回购部分已授予未解锁的限制性股票减少股本溢价</w:t>
      </w:r>
      <w:r>
        <w:rPr>
          <w:rFonts w:ascii="Tahoma" w:eastAsia="Tahoma" w:hAnsi="Tahoma" w:cs="Tahoma"/>
          <w:color w:val="000000"/>
          <w:spacing w:val="0"/>
          <w:w w:val="100"/>
          <w:position w:val="0"/>
          <w:sz w:val="19"/>
          <w:szCs w:val="19"/>
        </w:rPr>
        <w:t>1,248,225.00</w:t>
      </w:r>
      <w:r>
        <w:rPr>
          <w:color w:val="000000"/>
          <w:spacing w:val="0"/>
          <w:w w:val="100"/>
          <w:position w:val="0"/>
        </w:rPr>
        <w:t>元；本期部分限 制性股票已解锁，所得税税前扣除金额超过会计上确认股份支付费用金额的所得税影响，累计调整减少其 他资本公积</w:t>
      </w:r>
      <w:r>
        <w:rPr>
          <w:rFonts w:ascii="Tahoma" w:eastAsia="Tahoma" w:hAnsi="Tahoma" w:cs="Tahoma"/>
          <w:color w:val="000000"/>
          <w:spacing w:val="0"/>
          <w:w w:val="100"/>
          <w:position w:val="0"/>
          <w:sz w:val="19"/>
          <w:szCs w:val="19"/>
        </w:rPr>
        <w:t>247,598.75</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3</w:t>
      </w:r>
      <w:bookmarkEnd w:id="1467"/>
      <w:r>
        <w:rPr>
          <w:rFonts w:ascii="Times New Roman" w:eastAsia="Times New Roman" w:hAnsi="Times New Roman" w:cs="Times New Roman"/>
          <w:color w:val="000000"/>
          <w:spacing w:val="0"/>
          <w:w w:val="100"/>
          <w:position w:val="0"/>
        </w:rPr>
        <w:t>4</w:t>
      </w:r>
      <w:r>
        <w:rPr>
          <w:color w:val="000000"/>
          <w:spacing w:val="0"/>
          <w:w w:val="100"/>
          <w:position w:val="0"/>
        </w:rPr>
        <w:t>、库存股</w:t>
      </w:r>
      <w:bookmarkEnd w:id="1465"/>
      <w:bookmarkEnd w:id="1466"/>
      <w:bookmarkEnd w:id="1468"/>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未解锁限制性股票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55,114,837.50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18,034,275.00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37,080,562.50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55,114,837.50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18,034,275.00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37,080,562.50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51"/>
        <w:keepNext w:val="0"/>
        <w:keepLines w:val="0"/>
        <w:widowControl w:val="0"/>
        <w:shd w:val="clear" w:color="auto" w:fill="auto"/>
        <w:tabs>
          <w:tab w:pos="781" w:val="left"/>
        </w:tabs>
        <w:bidi w:val="0"/>
        <w:spacing w:before="0" w:after="0" w:line="317" w:lineRule="exact"/>
        <w:ind w:left="0" w:right="0" w:firstLine="440"/>
        <w:jc w:val="both"/>
      </w:pPr>
      <w:bookmarkStart w:id="1469" w:name="bookmark1469"/>
      <w:r>
        <w:rPr>
          <w:rFonts w:ascii="Tahoma" w:eastAsia="Tahoma" w:hAnsi="Tahoma" w:cs="Tahoma"/>
          <w:color w:val="000000"/>
          <w:spacing w:val="0"/>
          <w:w w:val="100"/>
          <w:position w:val="0"/>
          <w:sz w:val="19"/>
          <w:szCs w:val="19"/>
        </w:rPr>
        <w:t>1</w:t>
      </w:r>
      <w:bookmarkEnd w:id="1469"/>
      <w:r>
        <w:rPr>
          <w:rFonts w:ascii="Tahoma" w:eastAsia="Tahoma" w:hAnsi="Tahoma" w:cs="Tahoma"/>
          <w:color w:val="000000"/>
          <w:spacing w:val="0"/>
          <w:w w:val="100"/>
          <w:position w:val="0"/>
          <w:sz w:val="19"/>
          <w:szCs w:val="19"/>
        </w:rPr>
        <w:t>）</w:t>
        <w:tab/>
      </w:r>
      <w:r>
        <w:rPr>
          <w:color w:val="000000"/>
          <w:spacing w:val="0"/>
          <w:w w:val="100"/>
          <w:position w:val="0"/>
        </w:rPr>
        <w:t>根据</w:t>
      </w:r>
      <w:r>
        <w:rPr>
          <w:rFonts w:ascii="Tahoma" w:eastAsia="Tahoma" w:hAnsi="Tahoma" w:cs="Tahoma"/>
          <w:color w:val="000000"/>
          <w:spacing w:val="0"/>
          <w:w w:val="100"/>
          <w:position w:val="0"/>
          <w:sz w:val="19"/>
          <w:szCs w:val="19"/>
        </w:rPr>
        <w:t>2018</w:t>
      </w:r>
      <w:r>
        <w:rPr>
          <w:color w:val="000000"/>
          <w:spacing w:val="0"/>
          <w:w w:val="100"/>
          <w:position w:val="0"/>
        </w:rPr>
        <w:t>年度利润分配方案，确认限制性股票可撤销现金股利义务减少库存股</w:t>
      </w:r>
      <w:r>
        <w:rPr>
          <w:rFonts w:ascii="Tahoma" w:eastAsia="Tahoma" w:hAnsi="Tahoma" w:cs="Tahoma"/>
          <w:color w:val="000000"/>
          <w:spacing w:val="0"/>
          <w:w w:val="100"/>
          <w:position w:val="0"/>
          <w:sz w:val="19"/>
          <w:szCs w:val="19"/>
        </w:rPr>
        <w:t>155,925.00</w:t>
      </w:r>
      <w:r>
        <w:rPr>
          <w:color w:val="000000"/>
          <w:spacing w:val="0"/>
          <w:w w:val="100"/>
          <w:position w:val="0"/>
        </w:rPr>
        <w:t>元；限 制性股票激励计划本期解锁股份</w:t>
      </w:r>
      <w:r>
        <w:rPr>
          <w:rFonts w:ascii="Tahoma" w:eastAsia="Tahoma" w:hAnsi="Tahoma" w:cs="Tahoma"/>
          <w:color w:val="000000"/>
          <w:spacing w:val="0"/>
          <w:w w:val="100"/>
          <w:position w:val="0"/>
          <w:sz w:val="19"/>
          <w:szCs w:val="19"/>
        </w:rPr>
        <w:t>1,295,000</w:t>
      </w:r>
      <w:r>
        <w:rPr>
          <w:color w:val="000000"/>
          <w:spacing w:val="0"/>
          <w:w w:val="100"/>
          <w:position w:val="0"/>
        </w:rPr>
        <w:t>股，对应减少库存股</w:t>
      </w:r>
      <w:r>
        <w:rPr>
          <w:rFonts w:ascii="Tahoma" w:eastAsia="Tahoma" w:hAnsi="Tahoma" w:cs="Tahoma"/>
          <w:color w:val="000000"/>
          <w:spacing w:val="0"/>
          <w:w w:val="100"/>
          <w:position w:val="0"/>
          <w:sz w:val="19"/>
          <w:szCs w:val="19"/>
        </w:rPr>
        <w:t>16,514,625.0</w:t>
      </w:r>
      <w:r>
        <w:rPr>
          <w:rFonts w:ascii="Tahoma" w:eastAsia="Tahoma" w:hAnsi="Tahoma" w:cs="Tahoma"/>
          <w:color w:val="000000"/>
          <w:spacing w:val="0"/>
          <w:w w:val="100"/>
          <w:position w:val="0"/>
          <w:sz w:val="19"/>
          <w:szCs w:val="19"/>
        </w:rPr>
        <w:t>0</w:t>
      </w:r>
      <w:r>
        <w:rPr>
          <w:color w:val="000000"/>
          <w:spacing w:val="0"/>
          <w:w w:val="100"/>
          <w:position w:val="0"/>
        </w:rPr>
        <w:t>元。</w:t>
      </w:r>
    </w:p>
    <w:p>
      <w:pPr>
        <w:pStyle w:val="Style51"/>
        <w:keepNext w:val="0"/>
        <w:keepLines w:val="0"/>
        <w:widowControl w:val="0"/>
        <w:shd w:val="clear" w:color="auto" w:fill="auto"/>
        <w:tabs>
          <w:tab w:pos="781" w:val="left"/>
        </w:tabs>
        <w:bidi w:val="0"/>
        <w:spacing w:before="0" w:after="300" w:line="317" w:lineRule="exact"/>
        <w:ind w:left="0" w:right="0" w:firstLine="440"/>
        <w:jc w:val="both"/>
      </w:pPr>
      <w:bookmarkStart w:id="1470" w:name="bookmark1470"/>
      <w:r>
        <w:rPr>
          <w:rFonts w:ascii="Tahoma" w:eastAsia="Tahoma" w:hAnsi="Tahoma" w:cs="Tahoma"/>
          <w:color w:val="000000"/>
          <w:spacing w:val="0"/>
          <w:w w:val="100"/>
          <w:position w:val="0"/>
          <w:sz w:val="19"/>
          <w:szCs w:val="19"/>
        </w:rPr>
        <w:t>2</w:t>
      </w:r>
      <w:bookmarkEnd w:id="1470"/>
      <w:r>
        <w:rPr>
          <w:rFonts w:ascii="Tahoma" w:eastAsia="Tahoma" w:hAnsi="Tahoma" w:cs="Tahoma"/>
          <w:color w:val="000000"/>
          <w:spacing w:val="0"/>
          <w:w w:val="100"/>
          <w:position w:val="0"/>
          <w:sz w:val="19"/>
          <w:szCs w:val="19"/>
        </w:rPr>
        <w:t>）</w:t>
        <w:tab/>
      </w:r>
      <w:r>
        <w:rPr>
          <w:color w:val="000000"/>
          <w:spacing w:val="0"/>
          <w:w w:val="100"/>
          <w:position w:val="0"/>
        </w:rPr>
        <w:t>本期回购</w:t>
      </w:r>
      <w:r>
        <w:rPr>
          <w:rFonts w:ascii="Tahoma" w:eastAsia="Tahoma" w:hAnsi="Tahoma" w:cs="Tahoma"/>
          <w:color w:val="000000"/>
          <w:spacing w:val="0"/>
          <w:w w:val="100"/>
          <w:position w:val="0"/>
          <w:sz w:val="19"/>
          <w:szCs w:val="19"/>
        </w:rPr>
        <w:t>3</w:t>
      </w:r>
      <w:r>
        <w:rPr>
          <w:color w:val="000000"/>
          <w:spacing w:val="0"/>
          <w:w w:val="100"/>
          <w:position w:val="0"/>
        </w:rPr>
        <w:t>名激励对象已授予未解锁的限制性人民币普通股</w:t>
      </w:r>
      <w:r>
        <w:rPr>
          <w:color w:val="000000"/>
          <w:spacing w:val="0"/>
          <w:w w:val="100"/>
          <w:position w:val="0"/>
          <w:sz w:val="24"/>
          <w:szCs w:val="24"/>
        </w:rPr>
        <w:t>（</w:t>
      </w:r>
      <w:r>
        <w:rPr>
          <w:rFonts w:ascii="Tahoma" w:eastAsia="Tahoma" w:hAnsi="Tahoma" w:cs="Tahoma"/>
          <w:color w:val="000000"/>
          <w:spacing w:val="0"/>
          <w:w w:val="100"/>
          <w:position w:val="0"/>
          <w:sz w:val="19"/>
          <w:szCs w:val="19"/>
        </w:rPr>
        <w:t>A</w:t>
      </w:r>
      <w:r>
        <w:rPr>
          <w:color w:val="000000"/>
          <w:spacing w:val="0"/>
          <w:w w:val="100"/>
          <w:position w:val="0"/>
        </w:rPr>
        <w:t>股）股票</w:t>
      </w:r>
      <w:r>
        <w:rPr>
          <w:rFonts w:ascii="Tahoma" w:eastAsia="Tahoma" w:hAnsi="Tahoma" w:cs="Tahoma"/>
          <w:color w:val="000000"/>
          <w:spacing w:val="0"/>
          <w:w w:val="100"/>
          <w:position w:val="0"/>
          <w:sz w:val="19"/>
          <w:szCs w:val="19"/>
        </w:rPr>
        <w:t>115,500</w:t>
      </w:r>
      <w:r>
        <w:rPr>
          <w:color w:val="000000"/>
          <w:spacing w:val="0"/>
          <w:w w:val="100"/>
          <w:position w:val="0"/>
        </w:rPr>
        <w:t>股，按照发行限制 性股票的数量及相应的回购价格计算减少库存股</w:t>
      </w:r>
      <w:r>
        <w:rPr>
          <w:rFonts w:ascii="Tahoma" w:eastAsia="Tahoma" w:hAnsi="Tahoma" w:cs="Tahoma"/>
          <w:color w:val="000000"/>
          <w:spacing w:val="0"/>
          <w:w w:val="100"/>
          <w:position w:val="0"/>
          <w:sz w:val="19"/>
          <w:szCs w:val="19"/>
        </w:rPr>
        <w:t>1,363,725.00</w:t>
      </w:r>
      <w:r>
        <w:rPr>
          <w:color w:val="000000"/>
          <w:spacing w:val="0"/>
          <w:w w:val="100"/>
          <w:position w:val="0"/>
        </w:rPr>
        <w:t>元。</w:t>
      </w:r>
    </w:p>
    <w:p>
      <w:pPr>
        <w:pStyle w:val="Style30"/>
        <w:keepNext/>
        <w:keepLines/>
        <w:widowControl w:val="0"/>
        <w:shd w:val="clear" w:color="auto" w:fill="auto"/>
        <w:bidi w:val="0"/>
        <w:spacing w:before="0" w:after="380" w:line="317" w:lineRule="exact"/>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3</w:t>
      </w:r>
      <w:bookmarkEnd w:id="1473"/>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471"/>
      <w:bookmarkEnd w:id="1472"/>
      <w:bookmarkEnd w:id="1474"/>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21,835,293.49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5,519,440.13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27,354,733.62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21,835,293.49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5,519,440.13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27,354,733.62</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5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本期增加系根据母公司实现的净利润提取</w:t>
      </w:r>
      <w:r>
        <w:rPr>
          <w:rFonts w:ascii="Tahoma" w:eastAsia="Tahoma" w:hAnsi="Tahoma" w:cs="Tahoma"/>
          <w:color w:val="000000"/>
          <w:spacing w:val="0"/>
          <w:w w:val="100"/>
          <w:position w:val="0"/>
          <w:sz w:val="19"/>
          <w:szCs w:val="19"/>
        </w:rPr>
        <w:t>10%</w:t>
      </w:r>
      <w:r>
        <w:rPr>
          <w:color w:val="000000"/>
          <w:spacing w:val="0"/>
          <w:w w:val="100"/>
          <w:position w:val="0"/>
        </w:rPr>
        <w:t>法定盈余公积。</w:t>
      </w:r>
    </w:p>
    <w:p>
      <w:pPr>
        <w:pStyle w:val="Style30"/>
        <w:keepNext/>
        <w:keepLines/>
        <w:widowControl w:val="0"/>
        <w:shd w:val="clear" w:color="auto" w:fill="auto"/>
        <w:bidi w:val="0"/>
        <w:spacing w:before="0" w:after="38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3</w:t>
      </w:r>
      <w:bookmarkEnd w:id="1477"/>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475"/>
      <w:bookmarkEnd w:id="1476"/>
      <w:bookmarkEnd w:id="1478"/>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239,036,210.26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208,451,416.62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-70,317,800.52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168,718,409.74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208,451,416.62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43,142,792.75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41,234,827.65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5,519,440.13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4,365,784.21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6,445,477.30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6,284,249.80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199,896,285.06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239,036,210.26</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after="140" w:line="240" w:lineRule="auto"/>
        <w:ind w:left="0" w:right="0" w:firstLine="0"/>
        <w:jc w:val="left"/>
      </w:pPr>
      <w:bookmarkStart w:id="1479" w:name="bookmark1479"/>
      <w:r>
        <w:rPr>
          <w:rFonts w:ascii="Times New Roman" w:eastAsia="Times New Roman" w:hAnsi="Times New Roman" w:cs="Times New Roman"/>
          <w:color w:val="000000"/>
          <w:spacing w:val="0"/>
          <w:w w:val="100"/>
          <w:position w:val="0"/>
          <w:sz w:val="18"/>
          <w:szCs w:val="18"/>
        </w:rPr>
        <w:t>1</w:t>
      </w:r>
      <w:bookmarkEnd w:id="14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40" w:line="240" w:lineRule="auto"/>
        <w:ind w:left="0" w:right="0" w:firstLine="0"/>
        <w:jc w:val="left"/>
      </w:pPr>
      <w:bookmarkStart w:id="1480" w:name="bookmark1480"/>
      <w:r>
        <w:rPr>
          <w:rFonts w:ascii="Times New Roman" w:eastAsia="Times New Roman" w:hAnsi="Times New Roman" w:cs="Times New Roman"/>
          <w:color w:val="000000"/>
          <w:spacing w:val="0"/>
          <w:w w:val="100"/>
          <w:position w:val="0"/>
          <w:sz w:val="18"/>
          <w:szCs w:val="18"/>
        </w:rPr>
        <w:t>2</w:t>
      </w:r>
      <w:bookmarkEnd w:id="148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-70,317,800.52</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40" w:line="240" w:lineRule="auto"/>
        <w:ind w:left="0" w:right="0" w:firstLine="0"/>
        <w:jc w:val="left"/>
      </w:pPr>
      <w:bookmarkStart w:id="1481" w:name="bookmark1481"/>
      <w:r>
        <w:rPr>
          <w:rFonts w:ascii="Times New Roman" w:eastAsia="Times New Roman" w:hAnsi="Times New Roman" w:cs="Times New Roman"/>
          <w:color w:val="000000"/>
          <w:spacing w:val="0"/>
          <w:w w:val="100"/>
          <w:position w:val="0"/>
          <w:sz w:val="18"/>
          <w:szCs w:val="18"/>
        </w:rPr>
        <w:t>3</w:t>
      </w:r>
      <w:bookmarkEnd w:id="148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40" w:line="240" w:lineRule="auto"/>
        <w:ind w:left="0" w:right="0" w:firstLine="0"/>
        <w:jc w:val="left"/>
      </w:pPr>
      <w:bookmarkStart w:id="1482" w:name="bookmark1482"/>
      <w:r>
        <w:rPr>
          <w:rFonts w:ascii="Times New Roman" w:eastAsia="Times New Roman" w:hAnsi="Times New Roman" w:cs="Times New Roman"/>
          <w:color w:val="000000"/>
          <w:spacing w:val="0"/>
          <w:w w:val="100"/>
          <w:position w:val="0"/>
          <w:sz w:val="18"/>
          <w:szCs w:val="18"/>
        </w:rPr>
        <w:t>4</w:t>
      </w:r>
      <w:bookmarkEnd w:id="148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40" w:line="240" w:lineRule="auto"/>
        <w:ind w:left="0" w:right="0" w:firstLine="0"/>
        <w:jc w:val="left"/>
      </w:pPr>
      <w:bookmarkStart w:id="1483" w:name="bookmark1483"/>
      <w:r>
        <w:rPr>
          <w:rFonts w:ascii="Times New Roman" w:eastAsia="Times New Roman" w:hAnsi="Times New Roman" w:cs="Times New Roman"/>
          <w:color w:val="000000"/>
          <w:spacing w:val="0"/>
          <w:w w:val="100"/>
          <w:position w:val="0"/>
          <w:sz w:val="18"/>
          <w:szCs w:val="18"/>
        </w:rPr>
        <w:t>5</w:t>
      </w:r>
      <w:bookmarkEnd w:id="148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0"/>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3</w:t>
      </w:r>
      <w:bookmarkEnd w:id="1486"/>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484"/>
      <w:bookmarkEnd w:id="1485"/>
      <w:bookmarkEnd w:id="148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20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442,395,215.08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253,308,502.87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430,733,381.02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235,256,828.59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12,343,050.07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5,604,476.92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10,226,453.76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4,868,298.32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454,738,265.15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258,912,979.79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440,959,834.78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240,125,126.91</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医疗信息化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282,690,979.05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282,690,979.05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数字化场景应用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124,530,332.35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2,984,552.68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127,514,885.03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32,189,351.00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12,343,050.07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44,532,401.07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242,156,262.39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15,327,602.75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257,483,865.14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116,912,998.75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116,912,998.75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32,640,201.98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32,640,201.98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21,185,509.70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21,185,509.70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26,515,689.58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26,515,689.58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439,410,662.40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15,327,602.75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454,738,265.15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119" w:line="1" w:lineRule="exact"/>
      </w:pPr>
    </w:p>
    <w:p>
      <w:pPr>
        <w:pStyle w:val="Style51"/>
        <w:keepNext w:val="0"/>
        <w:keepLines w:val="0"/>
        <w:widowControl w:val="0"/>
        <w:shd w:val="clear" w:color="auto" w:fill="auto"/>
        <w:bidi w:val="0"/>
        <w:spacing w:before="0" w:after="120" w:line="240" w:lineRule="auto"/>
        <w:ind w:left="0" w:right="0" w:firstLine="440"/>
        <w:jc w:val="left"/>
        <w:rPr>
          <w:sz w:val="19"/>
          <w:szCs w:val="19"/>
        </w:rPr>
      </w:pPr>
      <w:r>
        <w:rPr>
          <w:color w:val="000000"/>
          <w:spacing w:val="0"/>
          <w:w w:val="100"/>
          <w:position w:val="0"/>
          <w:sz w:val="20"/>
          <w:szCs w:val="20"/>
        </w:rPr>
        <w:t>详见第十二节、附注五、</w:t>
      </w:r>
      <w:r>
        <w:rPr>
          <w:rFonts w:ascii="Tahoma" w:eastAsia="Tahoma" w:hAnsi="Tahoma" w:cs="Tahoma"/>
          <w:color w:val="000000"/>
          <w:spacing w:val="0"/>
          <w:w w:val="100"/>
          <w:position w:val="0"/>
          <w:sz w:val="19"/>
          <w:szCs w:val="19"/>
        </w:rPr>
        <w:t>25</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597,705,032.13</w:t>
      </w:r>
      <w:r>
        <w:rPr>
          <w:color w:val="000000"/>
          <w:spacing w:val="0"/>
          <w:w w:val="100"/>
          <w:position w:val="0"/>
        </w:rPr>
        <w:t>元。</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3</w:t>
      </w:r>
      <w:bookmarkEnd w:id="1490"/>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488"/>
      <w:bookmarkEnd w:id="1489"/>
      <w:bookmarkEnd w:id="1491"/>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2,253,156.54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2,285,056.35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965,623.14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979,309.85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2,171,863.70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1,967,647.48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381,730.48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289,020.62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642,641.62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651,948.38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6,441,334.12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6,175,982.68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3</w:t>
      </w:r>
      <w:bookmarkEnd w:id="1494"/>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492"/>
      <w:bookmarkEnd w:id="1493"/>
      <w:bookmarkEnd w:id="149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17,590,754.54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18,073,906.18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2,641,263.45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4,750,396.12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2,327,675.06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3,631,078.47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2,029,658.95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2,222,344.62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2,666,858.97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2,659,680.80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2,571,426.98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2,805,827.41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2,129,691.37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32,633,465.36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33,537,624.47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496"/>
      <w:bookmarkEnd w:id="1497"/>
      <w:bookmarkEnd w:id="149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26,190,900.04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24,321,157.97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5,825,150.00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21,516,199.47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4,478,668.46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4,220,430.32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756,478.61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1,421,444.89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9,693,286.53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3,825,153.55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1,722,668.80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3,075,190.00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1,204,365.04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1,289,695.21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529,781.66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1,089,494.28</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2,521,880.05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2,666,177.45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52,923,179.19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63,424,943.14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500"/>
      <w:bookmarkEnd w:id="1501"/>
      <w:bookmarkEnd w:id="150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37,183,657.72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36,764,485.60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1,538,240.84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2,606,613.43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5,475,615.14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5,470,361.94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1,521,177.30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2,514,092.93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45,718,691.00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47,355,553.90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4</w:t>
      </w:r>
      <w:bookmarkEnd w:id="1506"/>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504"/>
      <w:bookmarkEnd w:id="1505"/>
      <w:bookmarkEnd w:id="150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2,774,922.24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5,140,040.31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-3,547,686.95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-2,355,535.58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198,640.87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274,938.71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-574,123.84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3,059,443.44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508"/>
      <w:bookmarkEnd w:id="1509"/>
      <w:bookmarkEnd w:id="151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与收益相关的政府补助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19,680,128.40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19,505,244.51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142,335.61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39,432.31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4</w:t>
      </w:r>
      <w:bookmarkEnd w:id="1514"/>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512"/>
      <w:bookmarkEnd w:id="1513"/>
      <w:bookmarkEnd w:id="151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-1,798,119.70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-1,701,880.30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459,053.33</w:t>
            </w:r>
          </w:p>
        </w:tc>
      </w:tr>
    </w:tbl>
    <w:p>
      <w:pPr>
        <w:widowControl w:val="0"/>
        <w:spacing w:line="1" w:lineRule="exact"/>
      </w:pPr>
      <w:r>
        <w:br w:type="page"/>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5,363,380.89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7,286,027.70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3,145,253.84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6,043,200.73</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4</w:t>
      </w:r>
      <w:bookmarkEnd w:id="1518"/>
      <w:r>
        <w:rPr>
          <w:rFonts w:ascii="Times New Roman" w:eastAsia="Times New Roman" w:hAnsi="Times New Roman" w:cs="Times New Roman"/>
          <w:color w:val="000000"/>
          <w:spacing w:val="0"/>
          <w:w w:val="100"/>
          <w:position w:val="0"/>
        </w:rPr>
        <w:t>5</w:t>
      </w:r>
      <w:r>
        <w:rPr>
          <w:color w:val="000000"/>
          <w:spacing w:val="0"/>
          <w:w w:val="100"/>
          <w:position w:val="0"/>
        </w:rPr>
        <w:t>、信用减值损失</w:t>
      </w:r>
      <w:bookmarkEnd w:id="1516"/>
      <w:bookmarkEnd w:id="1517"/>
      <w:bookmarkEnd w:id="1519"/>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-27,991,596.49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-27,566,413.83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-27,991,596.49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-27,566,413.83</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4</w:t>
      </w:r>
      <w:bookmarkEnd w:id="1522"/>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20"/>
      <w:bookmarkEnd w:id="1521"/>
      <w:bookmarkEnd w:id="1523"/>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-5,786,757.56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-5,786,757.56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4</w:t>
      </w:r>
      <w:bookmarkEnd w:id="1526"/>
      <w:r>
        <w:rPr>
          <w:rFonts w:ascii="Times New Roman" w:eastAsia="Times New Roman" w:hAnsi="Times New Roman" w:cs="Times New Roman"/>
          <w:color w:val="000000"/>
          <w:spacing w:val="0"/>
          <w:w w:val="100"/>
          <w:position w:val="0"/>
        </w:rPr>
        <w:t>7</w:t>
      </w:r>
      <w:r>
        <w:rPr>
          <w:color w:val="000000"/>
          <w:spacing w:val="0"/>
          <w:w w:val="100"/>
          <w:position w:val="0"/>
        </w:rPr>
        <w:t>、资产处置收益</w:t>
      </w:r>
      <w:bookmarkEnd w:id="1524"/>
      <w:bookmarkEnd w:id="1525"/>
      <w:bookmarkEnd w:id="1527"/>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-22,750.16</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4</w:t>
      </w:r>
      <w:bookmarkEnd w:id="1530"/>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528"/>
      <w:bookmarkEnd w:id="1529"/>
      <w:bookmarkEnd w:id="1531"/>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497,021.51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282,458.21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497,021.51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合并成本小于取得的可辨认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净资产公允价值份额的金额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421,613.16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421,613.16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918,634.67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283,128.81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918,634.67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6"/>
        <w:keepNext w:val="0"/>
        <w:keepLines w:val="0"/>
        <w:widowControl w:val="0"/>
        <w:shd w:val="clear" w:color="auto" w:fill="auto"/>
        <w:bidi w:val="0"/>
        <w:spacing w:before="0" w:after="2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4</w:t>
      </w:r>
      <w:bookmarkEnd w:id="1534"/>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532"/>
      <w:bookmarkEnd w:id="1533"/>
      <w:bookmarkEnd w:id="153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32,642.26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86,774.00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105,597.77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1,119,416.26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1,507,583.77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1,119,416.26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5</w:t>
      </w:r>
      <w:bookmarkEnd w:id="1538"/>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536"/>
      <w:bookmarkEnd w:id="1537"/>
      <w:bookmarkEnd w:id="1539"/>
    </w:p>
    <w:p>
      <w:pPr>
        <w:pStyle w:val="Style37"/>
        <w:keepNext/>
        <w:keepLines/>
        <w:widowControl w:val="0"/>
        <w:shd w:val="clear" w:color="auto" w:fill="auto"/>
        <w:bidi w:val="0"/>
        <w:spacing w:before="0" w:line="240" w:lineRule="auto"/>
        <w:ind w:left="0" w:right="0" w:firstLine="140"/>
        <w:jc w:val="both"/>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40"/>
      <w:bookmarkEnd w:id="1541"/>
      <w:bookmarkEnd w:id="154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2,813,111.36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7,691,466.22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2,787,769.99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-4,994,746.07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5,600,881.35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2,696,720.15</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544" w:name="bookmark1544"/>
      <w:bookmarkStart w:id="1545" w:name="bookmark1545"/>
      <w:bookmarkStart w:id="1546" w:name="bookmark1546"/>
      <w:bookmarkStart w:id="1547" w:name="bookmark1547"/>
      <w:r>
        <w:rPr>
          <w:color w:val="000000"/>
          <w:spacing w:val="0"/>
          <w:w w:val="100"/>
          <w:position w:val="0"/>
        </w:rPr>
        <w:t>（</w:t>
      </w:r>
      <w:bookmarkEnd w:id="1546"/>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44"/>
      <w:bookmarkEnd w:id="1545"/>
      <w:bookmarkEnd w:id="154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47,647,131.37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4,764,713.14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-121,396.42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2,554,246.48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-625,168.73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597,244.13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-490,139.99</w:t>
            </w:r>
          </w:p>
        </w:tc>
      </w:tr>
    </w:tbl>
    <w:p>
      <w:pPr>
        <w:widowControl w:val="0"/>
        <w:spacing w:line="1" w:lineRule="exact"/>
      </w:pPr>
      <w:r>
        <w:br w:type="page"/>
      </w:r>
    </w:p>
    <w:tbl>
      <w:tblPr>
        <w:tblOverlap w:val="never"/>
        <w:jc w:val="center"/>
        <w:tblLayout w:type="fixed"/>
      </w:tblPr>
      <w:tblGrid>
        <w:gridCol w:w="4786"/>
        <w:gridCol w:w="479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2,106,877.00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-3,022,936.25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-162,558.01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5,600,881.35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1</w:t>
      </w:r>
      <w:r>
        <w:rPr>
          <w:color w:val="000000"/>
          <w:spacing w:val="0"/>
          <w:w w:val="100"/>
          <w:position w:val="0"/>
        </w:rPr>
        <w:t>、现金流量表项目</w:t>
      </w:r>
      <w:bookmarkEnd w:id="1548"/>
      <w:bookmarkEnd w:id="1549"/>
      <w:bookmarkEnd w:id="1551"/>
    </w:p>
    <w:p>
      <w:pPr>
        <w:pStyle w:val="Style37"/>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52"/>
      <w:bookmarkEnd w:id="1553"/>
      <w:bookmarkEnd w:id="155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收回各类经营性保证金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17,575,768.13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8,710,628.75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8,503,947.16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4,989,150.77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2,467,781.30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1,174,497.83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969,909.55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1,342,167.52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29,517,406.14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16,216,444.87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7"/>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55"/>
      <w:bookmarkEnd w:id="1556"/>
      <w:bookmarkEnd w:id="155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支付各类经营性保证金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9,201,708.09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15,019,669.09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1,049,152.01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5,120,706.36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3,509,705.14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5,052,523.36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4,363,932.25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7,825,586.12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2,605,914.43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3,311,838.90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7,713,088.51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3,825,153.55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4,059,428.72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1,426,553.29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2,571,426.98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2,216,186.71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2,512,320.08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垫付赔偿款支出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4,247,069.75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3,790,204.05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41,537,612.59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51,038,601.71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37"/>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w:t>
      </w:r>
      <w:bookmarkEnd w:id="156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59"/>
      <w:bookmarkEnd w:id="1560"/>
      <w:bookmarkEnd w:id="1562"/>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收回杭州中锦金融控股有限公司拆借 款及利息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收到杭州中锦金融控股有限公司股权 转让款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28,808,000.00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58,828,000.00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p>
    <w:p>
      <w:pPr>
        <w:pStyle w:val="Style5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［注</w:t>
      </w:r>
      <w:r>
        <w:rPr>
          <w:rFonts w:ascii="Tahoma" w:eastAsia="Tahoma" w:hAnsi="Tahoma" w:cs="Tahoma"/>
          <w:color w:val="000000"/>
          <w:spacing w:val="0"/>
          <w:w w:val="100"/>
          <w:position w:val="0"/>
          <w:sz w:val="19"/>
          <w:szCs w:val="19"/>
        </w:rPr>
        <w:t>1］2020</w:t>
      </w:r>
      <w:r>
        <w:rPr>
          <w:color w:val="000000"/>
          <w:spacing w:val="0"/>
          <w:w w:val="100"/>
          <w:position w:val="0"/>
        </w:rPr>
        <w:t>年</w:t>
      </w:r>
      <w:r>
        <w:rPr>
          <w:rFonts w:ascii="Tahoma" w:eastAsia="Tahoma" w:hAnsi="Tahoma" w:cs="Tahoma"/>
          <w:color w:val="000000"/>
          <w:spacing w:val="0"/>
          <w:w w:val="100"/>
          <w:position w:val="0"/>
          <w:sz w:val="19"/>
          <w:szCs w:val="19"/>
        </w:rPr>
        <w:t>3</w:t>
      </w:r>
      <w:r>
        <w:rPr>
          <w:color w:val="000000"/>
          <w:spacing w:val="0"/>
          <w:w w:val="100"/>
          <w:position w:val="0"/>
        </w:rPr>
        <w:t>月</w:t>
      </w:r>
      <w:r>
        <w:rPr>
          <w:rFonts w:ascii="Tahoma" w:eastAsia="Tahoma" w:hAnsi="Tahoma" w:cs="Tahoma"/>
          <w:color w:val="000000"/>
          <w:spacing w:val="0"/>
          <w:w w:val="100"/>
          <w:position w:val="0"/>
          <w:sz w:val="19"/>
          <w:szCs w:val="19"/>
        </w:rPr>
        <w:t>30</w:t>
      </w:r>
      <w:r>
        <w:rPr>
          <w:color w:val="000000"/>
          <w:spacing w:val="0"/>
          <w:w w:val="100"/>
          <w:position w:val="0"/>
        </w:rPr>
        <w:t>日，公司向杭州中锦金融控股有限公司拆出资金</w:t>
      </w:r>
      <w:r>
        <w:rPr>
          <w:rFonts w:ascii="Tahoma" w:eastAsia="Tahoma" w:hAnsi="Tahoma" w:cs="Tahoma"/>
          <w:color w:val="000000"/>
          <w:spacing w:val="0"/>
          <w:w w:val="100"/>
          <w:position w:val="0"/>
          <w:sz w:val="19"/>
          <w:szCs w:val="19"/>
        </w:rPr>
        <w:t xml:space="preserve">30,000, </w:t>
      </w:r>
      <w:r>
        <w:rPr>
          <w:rFonts w:ascii="Tahoma" w:eastAsia="Tahoma" w:hAnsi="Tahoma" w:cs="Tahoma"/>
          <w:color w:val="000000"/>
          <w:spacing w:val="0"/>
          <w:w w:val="100"/>
          <w:position w:val="0"/>
          <w:sz w:val="19"/>
          <w:szCs w:val="19"/>
        </w:rPr>
        <w:t>000.00</w:t>
      </w:r>
      <w:r>
        <w:rPr>
          <w:color w:val="000000"/>
          <w:spacing w:val="0"/>
          <w:w w:val="100"/>
          <w:position w:val="0"/>
        </w:rPr>
        <w:t>元，拆借款已于</w:t>
      </w:r>
      <w:r>
        <w:rPr>
          <w:rFonts w:ascii="Tahoma" w:eastAsia="Tahoma" w:hAnsi="Tahoma" w:cs="Tahoma"/>
          <w:color w:val="000000"/>
          <w:spacing w:val="0"/>
          <w:w w:val="100"/>
          <w:position w:val="0"/>
          <w:sz w:val="19"/>
          <w:szCs w:val="19"/>
        </w:rPr>
        <w:t xml:space="preserve">2020 </w:t>
      </w:r>
      <w:r>
        <w:rPr>
          <w:color w:val="000000"/>
          <w:spacing w:val="0"/>
          <w:w w:val="100"/>
          <w:position w:val="0"/>
        </w:rPr>
        <w:t>年</w:t>
      </w:r>
      <w:r>
        <w:rPr>
          <w:rFonts w:ascii="Tahoma" w:eastAsia="Tahoma" w:hAnsi="Tahoma" w:cs="Tahoma"/>
          <w:color w:val="000000"/>
          <w:spacing w:val="0"/>
          <w:w w:val="100"/>
          <w:position w:val="0"/>
          <w:sz w:val="19"/>
          <w:szCs w:val="19"/>
        </w:rPr>
        <w:t>3</w:t>
      </w:r>
      <w:r>
        <w:rPr>
          <w:color w:val="000000"/>
          <w:spacing w:val="0"/>
          <w:w w:val="100"/>
          <w:position w:val="0"/>
        </w:rPr>
        <w:t>月</w:t>
      </w:r>
      <w:r>
        <w:rPr>
          <w:rFonts w:ascii="Tahoma" w:eastAsia="Tahoma" w:hAnsi="Tahoma" w:cs="Tahoma"/>
          <w:color w:val="000000"/>
          <w:spacing w:val="0"/>
          <w:w w:val="100"/>
          <w:position w:val="0"/>
          <w:sz w:val="19"/>
          <w:szCs w:val="19"/>
        </w:rPr>
        <w:t>31</w:t>
      </w:r>
      <w:r>
        <w:rPr>
          <w:color w:val="000000"/>
          <w:spacing w:val="0"/>
          <w:w w:val="100"/>
          <w:position w:val="0"/>
        </w:rPr>
        <w:t>日收回，并根据占用天数按照年化</w:t>
      </w:r>
      <w:r>
        <w:rPr>
          <w:rFonts w:ascii="Tahoma" w:eastAsia="Tahoma" w:hAnsi="Tahoma" w:cs="Tahoma"/>
          <w:color w:val="000000"/>
          <w:spacing w:val="0"/>
          <w:w w:val="100"/>
          <w:position w:val="0"/>
          <w:sz w:val="19"/>
          <w:szCs w:val="19"/>
        </w:rPr>
        <w:t>12%</w:t>
      </w:r>
      <w:r>
        <w:rPr>
          <w:color w:val="000000"/>
          <w:spacing w:val="0"/>
          <w:w w:val="100"/>
          <w:position w:val="0"/>
        </w:rPr>
        <w:t>的利率结算资金占用费</w:t>
      </w:r>
      <w:r>
        <w:rPr>
          <w:rFonts w:ascii="Tahoma" w:eastAsia="Tahoma" w:hAnsi="Tahoma" w:cs="Tahoma"/>
          <w:color w:val="000000"/>
          <w:spacing w:val="0"/>
          <w:w w:val="100"/>
          <w:position w:val="0"/>
          <w:sz w:val="19"/>
          <w:szCs w:val="19"/>
        </w:rPr>
        <w:t>20,000.0</w:t>
      </w:r>
      <w:r>
        <w:rPr>
          <w:rFonts w:ascii="Tahoma" w:eastAsia="Tahoma" w:hAnsi="Tahoma" w:cs="Tahoma"/>
          <w:color w:val="000000"/>
          <w:spacing w:val="0"/>
          <w:w w:val="100"/>
          <w:position w:val="0"/>
          <w:sz w:val="19"/>
          <w:szCs w:val="19"/>
        </w:rPr>
        <w:t>0</w:t>
      </w:r>
      <w:r>
        <w:rPr>
          <w:color w:val="000000"/>
          <w:spacing w:val="0"/>
          <w:w w:val="100"/>
          <w:position w:val="0"/>
        </w:rPr>
        <w:t>元</w:t>
      </w:r>
    </w:p>
    <w:p>
      <w:pPr>
        <w:pStyle w:val="Style51"/>
        <w:keepNext w:val="0"/>
        <w:keepLines w:val="0"/>
        <w:widowControl w:val="0"/>
        <w:shd w:val="clear" w:color="auto" w:fill="auto"/>
        <w:bidi w:val="0"/>
        <w:spacing w:before="0" w:after="680" w:line="318" w:lineRule="exact"/>
        <w:ind w:left="0" w:right="0" w:firstLine="440"/>
        <w:jc w:val="both"/>
      </w:pPr>
      <w:r>
        <w:rPr>
          <w:color w:val="000000"/>
          <w:spacing w:val="0"/>
          <w:w w:val="100"/>
          <w:position w:val="0"/>
        </w:rPr>
        <w:t>［注</w:t>
      </w:r>
      <w:r>
        <w:rPr>
          <w:rFonts w:ascii="Tahoma" w:eastAsia="Tahoma" w:hAnsi="Tahoma" w:cs="Tahoma"/>
          <w:color w:val="000000"/>
          <w:spacing w:val="0"/>
          <w:w w:val="100"/>
          <w:position w:val="0"/>
          <w:sz w:val="19"/>
          <w:szCs w:val="19"/>
        </w:rPr>
        <w:t xml:space="preserve">2］ </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11</w:t>
      </w:r>
      <w:r>
        <w:rPr>
          <w:color w:val="000000"/>
          <w:spacing w:val="0"/>
          <w:w w:val="100"/>
          <w:position w:val="0"/>
        </w:rPr>
        <w:t>月公司拟向杭州中锦金融控股有限公司转让公司持有的中锦保理公司全部股权，并向 其收取转让价款</w:t>
      </w:r>
      <w:r>
        <w:rPr>
          <w:rFonts w:ascii="Tahoma" w:eastAsia="Tahoma" w:hAnsi="Tahoma" w:cs="Tahoma"/>
          <w:color w:val="000000"/>
          <w:spacing w:val="0"/>
          <w:w w:val="100"/>
          <w:position w:val="0"/>
          <w:sz w:val="19"/>
          <w:szCs w:val="19"/>
        </w:rPr>
        <w:t>28,808,000.0</w:t>
      </w:r>
      <w:r>
        <w:rPr>
          <w:rFonts w:ascii="Tahoma" w:eastAsia="Tahoma" w:hAnsi="Tahoma" w:cs="Tahoma"/>
          <w:color w:val="000000"/>
          <w:spacing w:val="0"/>
          <w:w w:val="100"/>
          <w:position w:val="0"/>
          <w:sz w:val="19"/>
          <w:szCs w:val="19"/>
        </w:rPr>
        <w:t>0</w:t>
      </w:r>
      <w:r>
        <w:rPr>
          <w:color w:val="000000"/>
          <w:spacing w:val="0"/>
          <w:w w:val="100"/>
          <w:position w:val="0"/>
        </w:rPr>
        <w:t>元，因未能成功办理股权转让手续，终止转让，公司于</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11</w:t>
      </w:r>
      <w:r>
        <w:rPr>
          <w:color w:val="000000"/>
          <w:spacing w:val="0"/>
          <w:w w:val="100"/>
          <w:position w:val="0"/>
        </w:rPr>
        <w:t>月向杭州 中锦金融控股有限公司退回全部股权转让款</w:t>
      </w:r>
    </w:p>
    <w:p>
      <w:pPr>
        <w:pStyle w:val="Style37"/>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w:t>
      </w:r>
      <w:bookmarkEnd w:id="156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63"/>
      <w:bookmarkEnd w:id="1564"/>
      <w:bookmarkEnd w:id="1566"/>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杭州中锦金融控股有限公司拆借款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退回杭州中锦金融控股有限公司股权 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28,808,000.00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保理融资款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70,808,000.00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支付的其他与投资活动有关的现金说明：</w:t>
      </w:r>
    </w:p>
    <w:p>
      <w:pPr>
        <w:pStyle w:val="Style5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［注］保理融资款系本期中锦保理公司开展的应收账款保理业务向融资方支付的保理款</w:t>
      </w:r>
    </w:p>
    <w:p>
      <w:pPr>
        <w:pStyle w:val="Style37"/>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w:t>
      </w:r>
      <w:bookmarkEnd w:id="156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67"/>
      <w:bookmarkEnd w:id="1568"/>
      <w:bookmarkEnd w:id="1570"/>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7"/>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71"/>
      <w:bookmarkEnd w:id="1572"/>
      <w:bookmarkEnd w:id="1574"/>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3,495,862.48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收购少数股权支付的现金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2,570,922.00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1,364,701.05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子公司注销返还少数股东款项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142,036.14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6,571,520.62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1,364,701.05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0"/>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5</w:t>
      </w:r>
      <w:bookmarkEnd w:id="1577"/>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575"/>
      <w:bookmarkEnd w:id="1576"/>
      <w:bookmarkEnd w:id="1578"/>
    </w:p>
    <w:p>
      <w:pPr>
        <w:pStyle w:val="Style37"/>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79"/>
      <w:bookmarkEnd w:id="1580"/>
      <w:bookmarkEnd w:id="158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42,046,250.02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41,358,698.69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33,778,354.05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27,566,413.83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10,805,823.64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11,326,195.60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2,461,047.89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1,918,079.37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2,371,501.64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1,658,028.32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处置固定资产、无形资产和其 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22,750.16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820"/>
              <w:jc w:val="left"/>
            </w:pPr>
            <w:r>
              <w:rPr>
                <w:color w:val="000000"/>
                <w:spacing w:val="0"/>
                <w:w w:val="100"/>
                <w:position w:val="0"/>
              </w:rPr>
              <w:t>固定资产报废损失（收益以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30,828.74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820"/>
              <w:jc w:val="left"/>
            </w:pPr>
            <w:r>
              <w:rPr>
                <w:color w:val="000000"/>
                <w:spacing w:val="0"/>
                <w:w w:val="100"/>
                <w:position w:val="0"/>
              </w:rPr>
              <w:t xml:space="preserve">公允价值变动损失（收益以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2,494,216.59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3,959,002.56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-3,145,253.84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-6,043,200.73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82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3,004,850.03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-4,994,746.07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82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-50,217,947.36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-787,068.82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820"/>
              <w:jc w:val="left"/>
            </w:pPr>
            <w:r>
              <w:rPr>
                <w:color w:val="000000"/>
                <w:spacing w:val="0"/>
                <w:w w:val="100"/>
                <w:position w:val="0"/>
              </w:rPr>
              <w:t>经营性应收项目的减少（增加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-234,304,266.89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-31,401,232.77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820"/>
              <w:jc w:val="left"/>
            </w:pPr>
            <w:r>
              <w:rPr>
                <w:color w:val="000000"/>
                <w:spacing w:val="0"/>
                <w:w w:val="100"/>
                <w:position w:val="0"/>
              </w:rPr>
              <w:t>经营性应付项目的增加（减少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117,930,173.87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-26,630,533.77</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5,155,938.09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23,432,423.22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-67,562,479.64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41,415,638.33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431,447,035.91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217,718,253.56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217,718,253.56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356,480,701.01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213,728,782.35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-138,762,447.45</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82"/>
      <w:bookmarkEnd w:id="1583"/>
      <w:bookmarkEnd w:id="158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28,166,600.00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中锦保理公司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28,166,600.00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303,775.14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中锦保理公司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303,775.14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27,862,824.86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86"/>
      <w:bookmarkEnd w:id="1587"/>
      <w:bookmarkEnd w:id="158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numPr>
          <w:ilvl w:val="0"/>
          <w:numId w:val="89"/>
        </w:numPr>
        <w:shd w:val="clear" w:color="auto" w:fill="auto"/>
        <w:bidi w:val="0"/>
        <w:spacing w:before="0" w:line="240" w:lineRule="auto"/>
        <w:ind w:left="0" w:right="0" w:firstLine="140"/>
        <w:jc w:val="left"/>
      </w:pPr>
      <w:bookmarkStart w:id="1590" w:name="bookmark1590"/>
      <w:bookmarkStart w:id="1591" w:name="bookmark1591"/>
      <w:bookmarkStart w:id="1592" w:name="bookmark1592"/>
      <w:bookmarkStart w:id="1593" w:name="bookmark1593"/>
      <w:bookmarkEnd w:id="1592"/>
      <w:r>
        <w:rPr>
          <w:color w:val="000000"/>
          <w:spacing w:val="0"/>
          <w:w w:val="100"/>
          <w:position w:val="0"/>
        </w:rPr>
        <w:t>现金和现金等价物的构成</w:t>
      </w:r>
      <w:bookmarkEnd w:id="1590"/>
      <w:bookmarkEnd w:id="1591"/>
      <w:bookmarkEnd w:id="159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431,447,035.91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217,718,253.56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430,472,130.26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216,762,330.70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974,632.27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951,585.08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431,447,035.91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217,718,253.56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5</w:t>
      </w:r>
      <w:bookmarkEnd w:id="1596"/>
      <w:r>
        <w:rPr>
          <w:rFonts w:ascii="Times New Roman" w:eastAsia="Times New Roman" w:hAnsi="Times New Roman" w:cs="Times New Roman"/>
          <w:color w:val="000000"/>
          <w:spacing w:val="0"/>
          <w:w w:val="100"/>
          <w:position w:val="0"/>
        </w:rPr>
        <w:t>3</w:t>
      </w:r>
      <w:r>
        <w:rPr>
          <w:color w:val="000000"/>
          <w:spacing w:val="0"/>
          <w:w w:val="100"/>
          <w:position w:val="0"/>
        </w:rPr>
        <w:t>、</w:t>
        <w:tab/>
        <w:t>所有者权益变动表项目注释</w:t>
      </w:r>
      <w:bookmarkEnd w:id="1594"/>
      <w:bookmarkEnd w:id="1595"/>
      <w:bookmarkEnd w:id="159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5</w:t>
      </w:r>
      <w:bookmarkEnd w:id="1600"/>
      <w:r>
        <w:rPr>
          <w:rFonts w:ascii="Times New Roman" w:eastAsia="Times New Roman" w:hAnsi="Times New Roman" w:cs="Times New Roman"/>
          <w:color w:val="000000"/>
          <w:spacing w:val="0"/>
          <w:w w:val="100"/>
          <w:position w:val="0"/>
        </w:rPr>
        <w:t>4</w:t>
      </w:r>
      <w:r>
        <w:rPr>
          <w:color w:val="000000"/>
          <w:spacing w:val="0"/>
          <w:w w:val="100"/>
          <w:position w:val="0"/>
        </w:rPr>
        <w:t>、</w:t>
        <w:tab/>
        <w:t>所有权或使用权受到限制的资产</w:t>
      </w:r>
      <w:bookmarkEnd w:id="1598"/>
      <w:bookmarkEnd w:id="1599"/>
      <w:bookmarkEnd w:id="160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8,762,318.61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各类保证金存款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8,762,318.61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rFonts w:ascii="Times New Roman" w:eastAsia="Times New Roman" w:hAnsi="Times New Roman" w:cs="Times New Roman"/>
          <w:color w:val="000000"/>
          <w:spacing w:val="0"/>
          <w:w w:val="100"/>
          <w:position w:val="0"/>
        </w:rPr>
        <w:t>5</w:t>
      </w:r>
      <w:r>
        <w:rPr>
          <w:color w:val="000000"/>
          <w:spacing w:val="0"/>
          <w:w w:val="100"/>
          <w:position w:val="0"/>
        </w:rPr>
        <w:t>、政府补助</w:t>
      </w:r>
      <w:bookmarkEnd w:id="1602"/>
      <w:bookmarkEnd w:id="1603"/>
      <w:bookmarkEnd w:id="1605"/>
    </w:p>
    <w:p>
      <w:pPr>
        <w:pStyle w:val="Style37"/>
        <w:keepNext/>
        <w:keepLines/>
        <w:widowControl w:val="0"/>
        <w:shd w:val="clear" w:color="auto" w:fill="auto"/>
        <w:bidi w:val="0"/>
        <w:spacing w:before="0" w:line="240" w:lineRule="auto"/>
        <w:ind w:left="0" w:right="0" w:firstLine="140"/>
        <w:jc w:val="left"/>
      </w:pPr>
      <w:bookmarkStart w:id="1606" w:name="bookmark1606"/>
      <w:bookmarkStart w:id="1607" w:name="bookmark1607"/>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06"/>
      <w:bookmarkEnd w:id="1607"/>
      <w:bookmarkEnd w:id="160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增值税超税负退税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11,975,381.24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11,975,381.24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瞪羚企业补助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5,507,700.00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研发专项补助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279,500.00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省级重点企业研究院重点研 发项目地方配套资助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526,285.41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526,285.41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人才激励产业专项资金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203,116.00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203,116.00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238,145.75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238,145.75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重点保障企业优惠贷款贴息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799,200.00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799,200.00</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140"/>
        <w:jc w:val="left"/>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09"/>
      <w:bookmarkEnd w:id="1610"/>
      <w:bookmarkEnd w:id="1611"/>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tbl>
      <w:tblPr>
        <w:tblOverlap w:val="never"/>
        <w:jc w:val="center"/>
        <w:tblLayout w:type="fixed"/>
      </w:tblPr>
      <w:tblGrid>
        <w:gridCol w:w="1507"/>
        <w:gridCol w:w="1056"/>
        <w:gridCol w:w="1267"/>
        <w:gridCol w:w="1262"/>
        <w:gridCol w:w="1061"/>
        <w:gridCol w:w="1085"/>
        <w:gridCol w:w="2587"/>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本期结转 列报项目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说明</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重点保障企业优惠 贷款贴息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799,200.00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《关于下达疫情防控重点保障企 业优惠贷款贴息资金的通知》（浙 财金〔</w:t>
            </w:r>
            <w:r>
              <w:rPr>
                <w:color w:val="000000"/>
                <w:spacing w:val="0"/>
                <w:w w:val="100"/>
                <w:position w:val="0"/>
                <w:sz w:val="18"/>
                <w:szCs w:val="18"/>
              </w:rPr>
              <w:t>2020</w:t>
            </w:r>
            <w:r>
              <w:rPr>
                <w:color w:val="000000"/>
                <w:spacing w:val="0"/>
                <w:w w:val="100"/>
                <w:position w:val="0"/>
              </w:rPr>
              <w:t xml:space="preserve">〕 </w:t>
            </w:r>
            <w:r>
              <w:rPr>
                <w:color w:val="000000"/>
                <w:spacing w:val="0"/>
                <w:w w:val="100"/>
                <w:position w:val="0"/>
                <w:sz w:val="18"/>
                <w:szCs w:val="18"/>
              </w:rPr>
              <w:t>32</w:t>
            </w:r>
            <w:r>
              <w:rPr>
                <w:color w:val="000000"/>
                <w:spacing w:val="0"/>
                <w:w w:val="100"/>
                <w:position w:val="0"/>
              </w:rPr>
              <w:t>号）</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799,200.00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799,200.00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0"/>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56</w:t>
      </w:r>
      <w:r>
        <w:rPr>
          <w:color w:val="000000"/>
          <w:spacing w:val="0"/>
          <w:w w:val="100"/>
          <w:position w:val="0"/>
        </w:rPr>
        <w:t>、其他</w:t>
      </w:r>
      <w:bookmarkEnd w:id="1612"/>
      <w:bookmarkEnd w:id="1613"/>
      <w:bookmarkEnd w:id="1614"/>
    </w:p>
    <w:p>
      <w:pPr>
        <w:pStyle w:val="Style22"/>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sz w:val="24"/>
          <w:szCs w:val="24"/>
        </w:rPr>
        <w:t>八</w:t>
      </w:r>
      <w:bookmarkEnd w:id="1617"/>
      <w:r>
        <w:rPr>
          <w:color w:val="000000"/>
          <w:spacing w:val="0"/>
          <w:w w:val="100"/>
          <w:position w:val="0"/>
          <w:sz w:val="24"/>
          <w:szCs w:val="24"/>
        </w:rPr>
        <w:t>、合并范围的变更</w:t>
      </w:r>
      <w:bookmarkEnd w:id="1615"/>
      <w:bookmarkEnd w:id="1616"/>
      <w:bookmarkEnd w:id="1618"/>
    </w:p>
    <w:p>
      <w:pPr>
        <w:pStyle w:val="Style30"/>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1</w:t>
      </w:r>
      <w:bookmarkEnd w:id="1621"/>
      <w:r>
        <w:rPr>
          <w:color w:val="000000"/>
          <w:spacing w:val="0"/>
          <w:w w:val="100"/>
          <w:position w:val="0"/>
        </w:rPr>
        <w:t>、非同一控制下企业合并</w:t>
      </w:r>
      <w:bookmarkEnd w:id="1619"/>
      <w:bookmarkEnd w:id="1620"/>
      <w:bookmarkEnd w:id="1622"/>
    </w:p>
    <w:p>
      <w:pPr>
        <w:pStyle w:val="Style37"/>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23"/>
      <w:bookmarkEnd w:id="1624"/>
      <w:bookmarkEnd w:id="1625"/>
    </w:p>
    <w:p>
      <w:pPr>
        <w:pStyle w:val="Style26"/>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 末被购买方 的净利润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中锦保理公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28,166,600.0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完成工商变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360,188.67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-284,463.14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1"/>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经杭州产权交易所招拍挂流程，本公司与杭州市居住区发展中心有限公司于</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7</w:t>
      </w:r>
      <w:r>
        <w:rPr>
          <w:color w:val="000000"/>
          <w:spacing w:val="0"/>
          <w:w w:val="100"/>
          <w:position w:val="0"/>
        </w:rPr>
        <w:t>月</w:t>
      </w:r>
      <w:r>
        <w:rPr>
          <w:rFonts w:ascii="Tahoma" w:eastAsia="Tahoma" w:hAnsi="Tahoma" w:cs="Tahoma"/>
          <w:color w:val="000000"/>
          <w:spacing w:val="0"/>
          <w:w w:val="100"/>
          <w:position w:val="0"/>
          <w:sz w:val="19"/>
          <w:szCs w:val="19"/>
        </w:rPr>
        <w:t>6</w:t>
      </w:r>
      <w:r>
        <w:rPr>
          <w:color w:val="000000"/>
          <w:spacing w:val="0"/>
          <w:w w:val="100"/>
          <w:position w:val="0"/>
        </w:rPr>
        <w:t>日签订《股权转让 协议》</w:t>
      </w:r>
      <w:r>
        <w:rPr>
          <w:color w:val="000000"/>
          <w:spacing w:val="0"/>
          <w:w w:val="100"/>
          <w:position w:val="0"/>
          <w:sz w:val="24"/>
          <w:szCs w:val="24"/>
        </w:rPr>
        <w:t>，</w:t>
      </w:r>
      <w:r>
        <w:rPr>
          <w:color w:val="000000"/>
          <w:spacing w:val="0"/>
          <w:w w:val="100"/>
          <w:position w:val="0"/>
        </w:rPr>
        <w:t>本公司以</w:t>
      </w:r>
      <w:r>
        <w:rPr>
          <w:rFonts w:ascii="Tahoma" w:eastAsia="Tahoma" w:hAnsi="Tahoma" w:cs="Tahoma"/>
          <w:color w:val="000000"/>
          <w:spacing w:val="0"/>
          <w:w w:val="100"/>
          <w:position w:val="0"/>
          <w:sz w:val="19"/>
          <w:szCs w:val="19"/>
        </w:rPr>
        <w:t>28,166,600.00</w:t>
      </w:r>
      <w:r>
        <w:rPr>
          <w:color w:val="000000"/>
          <w:spacing w:val="0"/>
          <w:w w:val="100"/>
          <w:position w:val="0"/>
        </w:rPr>
        <w:t>元受让杭州市居住区发展中心有限公司持有的中锦保理公司</w:t>
      </w:r>
      <w:r>
        <w:rPr>
          <w:rFonts w:ascii="Tahoma" w:eastAsia="Tahoma" w:hAnsi="Tahoma" w:cs="Tahoma"/>
          <w:color w:val="000000"/>
          <w:spacing w:val="0"/>
          <w:w w:val="100"/>
          <w:position w:val="0"/>
          <w:sz w:val="19"/>
          <w:szCs w:val="19"/>
        </w:rPr>
        <w:t>51.00%</w:t>
      </w:r>
      <w:r>
        <w:rPr>
          <w:color w:val="000000"/>
          <w:spacing w:val="0"/>
          <w:w w:val="100"/>
          <w:position w:val="0"/>
        </w:rPr>
        <w:t>股权。</w:t>
      </w:r>
    </w:p>
    <w:p>
      <w:pPr>
        <w:pStyle w:val="Style51"/>
        <w:keepNext w:val="0"/>
        <w:keepLines w:val="0"/>
        <w:widowControl w:val="0"/>
        <w:shd w:val="clear" w:color="auto" w:fill="auto"/>
        <w:bidi w:val="0"/>
        <w:spacing w:before="0" w:after="300" w:line="307" w:lineRule="exact"/>
        <w:ind w:left="0" w:right="0" w:firstLine="0"/>
        <w:jc w:val="left"/>
      </w:pP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9</w:t>
      </w:r>
      <w:r>
        <w:rPr>
          <w:color w:val="000000"/>
          <w:spacing w:val="0"/>
          <w:w w:val="100"/>
          <w:position w:val="0"/>
        </w:rPr>
        <w:t>月，本公司已支付全部股权转让款并完成股权交割手续，中锦保理公司已完成工商变更登记，本 公司实质控制了该公司，故自</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10</w:t>
      </w:r>
      <w:r>
        <w:rPr>
          <w:color w:val="000000"/>
          <w:spacing w:val="0"/>
          <w:w w:val="100"/>
          <w:position w:val="0"/>
        </w:rPr>
        <w:t>月起将其纳入合并财务报表范围。</w:t>
      </w:r>
    </w:p>
    <w:p>
      <w:pPr>
        <w:pStyle w:val="Style37"/>
        <w:keepNext/>
        <w:keepLines/>
        <w:widowControl w:val="0"/>
        <w:shd w:val="clear" w:color="auto" w:fill="auto"/>
        <w:bidi w:val="0"/>
        <w:spacing w:before="0" w:line="307" w:lineRule="exact"/>
        <w:ind w:left="0" w:right="0" w:firstLine="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26"/>
      <w:bookmarkEnd w:id="1627"/>
      <w:bookmarkEnd w:id="1628"/>
    </w:p>
    <w:p>
      <w:pPr>
        <w:pStyle w:val="Style26"/>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中锦保理公司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28,166,600.00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28,166,600.00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28,588,213.16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421,613.16</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7"/>
        <w:keepNext/>
        <w:keepLines/>
        <w:widowControl w:val="0"/>
        <w:numPr>
          <w:ilvl w:val="0"/>
          <w:numId w:val="87"/>
        </w:numPr>
        <w:shd w:val="clear" w:color="auto" w:fill="auto"/>
        <w:bidi w:val="0"/>
        <w:spacing w:before="0" w:line="240" w:lineRule="auto"/>
        <w:ind w:left="0" w:right="0" w:firstLine="0"/>
        <w:jc w:val="left"/>
      </w:pPr>
      <w:bookmarkStart w:id="1629" w:name="bookmark1629"/>
      <w:bookmarkStart w:id="1630" w:name="bookmark1630"/>
      <w:bookmarkStart w:id="1631" w:name="bookmark1631"/>
      <w:bookmarkStart w:id="1632" w:name="bookmark1632"/>
      <w:bookmarkEnd w:id="1631"/>
      <w:r>
        <w:rPr>
          <w:color w:val="000000"/>
          <w:spacing w:val="0"/>
          <w:w w:val="100"/>
          <w:position w:val="0"/>
        </w:rPr>
        <w:t>被购买方于购买日可辨认资产、负债</w:t>
      </w:r>
      <w:bookmarkEnd w:id="1629"/>
      <w:bookmarkEnd w:id="1630"/>
      <w:bookmarkEnd w:id="163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中锦(天津)商业保理有限公司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56,058,283.40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56,058,283.40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303,775.14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55,650,000.00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45,750.60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1,550.66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1,550.66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2,963.48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2,963.48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2,963.48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2,963.48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56,055,319.92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56,055,319.92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27,467,106.76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27,467,106.76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28,588,213.16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28,588,213.16</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numPr>
          <w:ilvl w:val="0"/>
          <w:numId w:val="87"/>
        </w:numPr>
        <w:shd w:val="clear" w:color="auto" w:fill="auto"/>
        <w:tabs>
          <w:tab w:pos="493" w:val="left"/>
        </w:tabs>
        <w:bidi w:val="0"/>
        <w:spacing w:before="0" w:line="240" w:lineRule="auto"/>
        <w:ind w:left="0" w:right="0" w:firstLine="0"/>
        <w:jc w:val="left"/>
      </w:pPr>
      <w:bookmarkStart w:id="1633" w:name="bookmark1633"/>
      <w:bookmarkStart w:id="1634" w:name="bookmark1634"/>
      <w:bookmarkStart w:id="1635" w:name="bookmark1635"/>
      <w:bookmarkStart w:id="1636" w:name="bookmark1636"/>
      <w:bookmarkEnd w:id="1635"/>
      <w:r>
        <w:rPr>
          <w:color w:val="000000"/>
          <w:spacing w:val="0"/>
          <w:w w:val="100"/>
          <w:position w:val="0"/>
        </w:rPr>
        <w:t>购买日之前持有的股权按照公允价值重新计量产生的利得或损失</w:t>
      </w:r>
      <w:bookmarkEnd w:id="1633"/>
      <w:bookmarkEnd w:id="1634"/>
      <w:bookmarkEnd w:id="163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numPr>
          <w:ilvl w:val="0"/>
          <w:numId w:val="87"/>
        </w:numPr>
        <w:shd w:val="clear" w:color="auto" w:fill="auto"/>
        <w:tabs>
          <w:tab w:pos="493" w:val="left"/>
        </w:tabs>
        <w:bidi w:val="0"/>
        <w:spacing w:before="0" w:line="240" w:lineRule="auto"/>
        <w:ind w:left="0" w:right="0" w:firstLine="0"/>
        <w:jc w:val="left"/>
      </w:pPr>
      <w:bookmarkStart w:id="1637" w:name="bookmark1637"/>
      <w:bookmarkStart w:id="1638" w:name="bookmark1638"/>
      <w:bookmarkStart w:id="1639" w:name="bookmark1639"/>
      <w:bookmarkStart w:id="1640" w:name="bookmark1640"/>
      <w:bookmarkEnd w:id="1639"/>
      <w:r>
        <w:rPr>
          <w:color w:val="000000"/>
          <w:spacing w:val="0"/>
          <w:w w:val="100"/>
          <w:position w:val="0"/>
        </w:rPr>
        <w:t>购买日或合并当期期末无法合理确定合并对价或被购买方可辨认资产、负债公允价值的相关说明</w:t>
      </w:r>
      <w:bookmarkEnd w:id="1637"/>
      <w:bookmarkEnd w:id="1638"/>
      <w:bookmarkEnd w:id="1640"/>
    </w:p>
    <w:p>
      <w:pPr>
        <w:pStyle w:val="Style37"/>
        <w:keepNext/>
        <w:keepLines/>
        <w:widowControl w:val="0"/>
        <w:numPr>
          <w:ilvl w:val="0"/>
          <w:numId w:val="87"/>
        </w:numPr>
        <w:shd w:val="clear" w:color="auto" w:fill="auto"/>
        <w:tabs>
          <w:tab w:pos="493" w:val="left"/>
        </w:tabs>
        <w:bidi w:val="0"/>
        <w:spacing w:before="0" w:line="240" w:lineRule="auto"/>
        <w:ind w:left="0" w:right="0" w:firstLine="0"/>
        <w:jc w:val="left"/>
      </w:pPr>
      <w:bookmarkStart w:id="1637" w:name="bookmark1637"/>
      <w:bookmarkStart w:id="1638" w:name="bookmark1638"/>
      <w:bookmarkStart w:id="1641" w:name="bookmark1641"/>
      <w:bookmarkStart w:id="1642" w:name="bookmark1642"/>
      <w:bookmarkEnd w:id="1641"/>
      <w:r>
        <w:rPr>
          <w:color w:val="000000"/>
          <w:spacing w:val="0"/>
          <w:w w:val="100"/>
          <w:position w:val="0"/>
        </w:rPr>
        <w:t>其他说明</w:t>
      </w:r>
      <w:bookmarkEnd w:id="1637"/>
      <w:bookmarkEnd w:id="1638"/>
      <w:bookmarkEnd w:id="1642"/>
    </w:p>
    <w:p>
      <w:pPr>
        <w:pStyle w:val="Style30"/>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2</w:t>
      </w:r>
      <w:bookmarkEnd w:id="1645"/>
      <w:r>
        <w:rPr>
          <w:color w:val="000000"/>
          <w:spacing w:val="0"/>
          <w:w w:val="100"/>
          <w:position w:val="0"/>
        </w:rPr>
        <w:t>、其他原因的合并范围变动</w:t>
      </w:r>
      <w:bookmarkEnd w:id="1643"/>
      <w:bookmarkEnd w:id="1644"/>
      <w:bookmarkEnd w:id="164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合并范围减少</w:t>
      </w:r>
    </w:p>
    <w:tbl>
      <w:tblPr>
        <w:tblOverlap w:val="never"/>
        <w:jc w:val="center"/>
        <w:tblLayout w:type="fixed"/>
      </w:tblPr>
      <w:tblGrid>
        <w:gridCol w:w="2246"/>
        <w:gridCol w:w="1555"/>
        <w:gridCol w:w="1560"/>
        <w:gridCol w:w="1464"/>
        <w:gridCol w:w="1714"/>
      </w:tblGrid>
      <w:tr>
        <w:trPr>
          <w:trHeight w:val="67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公司名称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股权处置方式</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股权处置时点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处置日净资产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期初至处置日 净利润</w:t>
            </w:r>
          </w:p>
        </w:tc>
      </w:tr>
    </w:tbl>
    <w:p>
      <w:pPr>
        <w:widowControl w:val="0"/>
        <w:spacing w:line="1" w:lineRule="exact"/>
      </w:pPr>
      <w:r>
        <w:br w:type="page"/>
      </w:r>
    </w:p>
    <w:tbl>
      <w:tblPr>
        <w:tblOverlap w:val="never"/>
        <w:jc w:val="left"/>
        <w:tblLayout w:type="fixed"/>
      </w:tblPr>
      <w:tblGrid>
        <w:gridCol w:w="2246"/>
        <w:gridCol w:w="1555"/>
        <w:gridCol w:w="1560"/>
        <w:gridCol w:w="1464"/>
        <w:gridCol w:w="1714"/>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广西和仁医铭科技有限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清算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ahoma" w:eastAsia="Tahoma" w:hAnsi="Tahoma" w:cs="Tahoma"/>
                <w:color w:val="000000"/>
                <w:spacing w:val="0"/>
                <w:w w:val="100"/>
                <w:position w:val="0"/>
                <w:sz w:val="19"/>
                <w:szCs w:val="19"/>
              </w:rPr>
              <w:t>2020.8.12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ahoma" w:eastAsia="Tahoma" w:hAnsi="Tahoma" w:cs="Tahoma"/>
                <w:color w:val="000000"/>
                <w:spacing w:val="0"/>
                <w:w w:val="100"/>
                <w:position w:val="0"/>
                <w:sz w:val="19"/>
                <w:szCs w:val="19"/>
              </w:rPr>
              <w:t>1,827,518.00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和仁数字科技(北京)有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清算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ahoma" w:eastAsia="Tahoma" w:hAnsi="Tahoma" w:cs="Tahoma"/>
                <w:color w:val="000000"/>
                <w:spacing w:val="0"/>
                <w:w w:val="100"/>
                <w:position w:val="0"/>
                <w:sz w:val="19"/>
                <w:szCs w:val="19"/>
              </w:rPr>
              <w:t>2020.8.10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ahoma" w:eastAsia="Tahoma" w:hAnsi="Tahoma" w:cs="Tahoma"/>
                <w:color w:val="000000"/>
                <w:spacing w:val="0"/>
                <w:w w:val="100"/>
                <w:position w:val="0"/>
                <w:sz w:val="19"/>
                <w:szCs w:val="19"/>
              </w:rPr>
              <w:t>289,854.68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ahoma" w:eastAsia="Tahoma" w:hAnsi="Tahoma" w:cs="Tahoma"/>
                <w:color w:val="000000"/>
                <w:spacing w:val="0"/>
                <w:w w:val="100"/>
                <w:position w:val="0"/>
                <w:sz w:val="19"/>
                <w:szCs w:val="19"/>
              </w:rPr>
              <w:t>-518,136.38</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重庆和仁同创科技有限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清算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ahoma" w:eastAsia="Tahoma" w:hAnsi="Tahoma" w:cs="Tahoma"/>
                <w:color w:val="000000"/>
                <w:spacing w:val="0"/>
                <w:w w:val="100"/>
                <w:position w:val="0"/>
                <w:sz w:val="19"/>
                <w:szCs w:val="19"/>
              </w:rPr>
              <w:t>2020.11.16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ahoma" w:eastAsia="Tahoma" w:hAnsi="Tahoma" w:cs="Tahoma"/>
                <w:color w:val="000000"/>
                <w:spacing w:val="0"/>
                <w:w w:val="100"/>
                <w:position w:val="0"/>
                <w:sz w:val="19"/>
                <w:szCs w:val="19"/>
              </w:rPr>
              <w:t>24,693.18</w:t>
            </w:r>
          </w:p>
        </w:tc>
      </w:tr>
    </w:tbl>
    <w:p>
      <w:pPr>
        <w:widowControl w:val="0"/>
        <w:spacing w:after="639" w:line="1" w:lineRule="exact"/>
      </w:pPr>
    </w:p>
    <w:p>
      <w:pPr>
        <w:pStyle w:val="Style30"/>
        <w:keepNext/>
        <w:keepLines/>
        <w:widowControl w:val="0"/>
        <w:shd w:val="clear" w:color="auto" w:fill="auto"/>
        <w:bidi w:val="0"/>
        <w:spacing w:before="0" w:after="34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3</w:t>
      </w:r>
      <w:bookmarkEnd w:id="1649"/>
      <w:r>
        <w:rPr>
          <w:color w:val="000000"/>
          <w:spacing w:val="0"/>
          <w:w w:val="100"/>
          <w:position w:val="0"/>
        </w:rPr>
        <w:t>、其他</w:t>
      </w:r>
      <w:bookmarkEnd w:id="1647"/>
      <w:bookmarkEnd w:id="1648"/>
      <w:bookmarkEnd w:id="1650"/>
    </w:p>
    <w:p>
      <w:pPr>
        <w:pStyle w:val="Style22"/>
        <w:keepNext/>
        <w:keepLines/>
        <w:widowControl w:val="0"/>
        <w:shd w:val="clear" w:color="auto" w:fill="auto"/>
        <w:bidi w:val="0"/>
        <w:spacing w:before="0" w:after="340" w:line="240" w:lineRule="auto"/>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sz w:val="24"/>
          <w:szCs w:val="24"/>
        </w:rPr>
        <w:t>九</w:t>
      </w:r>
      <w:bookmarkEnd w:id="1653"/>
      <w:r>
        <w:rPr>
          <w:color w:val="000000"/>
          <w:spacing w:val="0"/>
          <w:w w:val="100"/>
          <w:position w:val="0"/>
          <w:sz w:val="24"/>
          <w:szCs w:val="24"/>
        </w:rPr>
        <w:t>、在其他主体中的权益</w:t>
      </w:r>
      <w:bookmarkEnd w:id="1651"/>
      <w:bookmarkEnd w:id="1652"/>
      <w:bookmarkEnd w:id="1654"/>
    </w:p>
    <w:p>
      <w:pPr>
        <w:pStyle w:val="Style30"/>
        <w:keepNext/>
        <w:keepLines/>
        <w:widowControl w:val="0"/>
        <w:shd w:val="clear" w:color="auto" w:fill="auto"/>
        <w:bidi w:val="0"/>
        <w:spacing w:before="0" w:after="340" w:line="240" w:lineRule="auto"/>
        <w:ind w:left="0" w:right="0" w:firstLine="0"/>
        <w:jc w:val="left"/>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55"/>
      <w:bookmarkEnd w:id="1656"/>
      <w:bookmarkEnd w:id="1657"/>
    </w:p>
    <w:p>
      <w:pPr>
        <w:pStyle w:val="Style37"/>
        <w:keepNext/>
        <w:keepLines/>
        <w:widowControl w:val="0"/>
        <w:shd w:val="clear" w:color="auto" w:fill="auto"/>
        <w:bidi w:val="0"/>
        <w:spacing w:before="0" w:after="340" w:line="240" w:lineRule="auto"/>
        <w:ind w:left="0" w:right="0" w:firstLine="140"/>
        <w:jc w:val="left"/>
      </w:pPr>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58"/>
      <w:bookmarkEnd w:id="1659"/>
      <w:bookmarkEnd w:id="1660"/>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和仁湘雅公司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江西赣州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江西赣州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中锦保理公司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420" w:line="240" w:lineRule="auto"/>
        <w:ind w:left="0" w:right="0" w:firstLine="0"/>
        <w:jc w:val="left"/>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61"/>
      <w:bookmarkEnd w:id="1662"/>
      <w:bookmarkEnd w:id="166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6"/>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-1,869,197.07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-5,366,538.00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2,301,298.43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中锦保理公司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27,327,719.82</w:t>
            </w:r>
          </w:p>
        </w:tc>
      </w:tr>
    </w:tbl>
    <w:p>
      <w:pPr>
        <w:spacing w:lineRule="exact" w:line="1"/>
        <w:rPr>
          <w:sz w:val="2"/>
          <w:szCs w:val="2"/>
        </w:rPr>
      </w:pPr>
      <w:r>
        <w:br w:type="page"/>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w:t>
      </w:r>
      <w:bookmarkEnd w:id="166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64"/>
      <w:bookmarkEnd w:id="1665"/>
      <w:bookmarkEnd w:id="166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39"/>
        <w:gridCol w:w="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负债合</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资产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计</w:t>
            </w:r>
          </w:p>
        </w:tc>
        <w:tc>
          <w:tcPr>
            <w:tcBorders>
              <w:lef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6,279,04</w:t>
            </w:r>
          </w:p>
        </w:tc>
        <w:tc>
          <w:tcPr>
            <w:tcBorders>
              <w:lef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52.81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82.59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lef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中锦保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55,973,9</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56,064,1</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66"/>
        <w:gridCol w:w="1061"/>
        <w:gridCol w:w="1061"/>
        <w:gridCol w:w="1066"/>
        <w:gridCol w:w="1066"/>
        <w:gridCol w:w="1066"/>
        <w:gridCol w:w="1061"/>
        <w:gridCol w:w="1061"/>
        <w:gridCol w:w="115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金流量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天津和仁公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16,574,302.7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-5,498,313.86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-5,498,313.86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1,668,460.28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28,780,823.7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7,220,421.14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7,220,421.14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-186,453.19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中锦保理公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360,188.67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-174,588.97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-174,588.97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-1,491,347.97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7"/>
        <w:keepNext/>
        <w:keepLines/>
        <w:widowControl w:val="0"/>
        <w:shd w:val="clear" w:color="auto" w:fill="auto"/>
        <w:tabs>
          <w:tab w:pos="493" w:val="left"/>
        </w:tabs>
        <w:bidi w:val="0"/>
        <w:spacing w:before="0" w:after="36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w:t>
      </w:r>
      <w:bookmarkEnd w:id="167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68"/>
      <w:bookmarkEnd w:id="1669"/>
      <w:bookmarkEnd w:id="1671"/>
    </w:p>
    <w:p>
      <w:pPr>
        <w:pStyle w:val="Style37"/>
        <w:keepNext/>
        <w:keepLines/>
        <w:widowControl w:val="0"/>
        <w:shd w:val="clear" w:color="auto" w:fill="auto"/>
        <w:tabs>
          <w:tab w:pos="493" w:val="left"/>
        </w:tabs>
        <w:bidi w:val="0"/>
        <w:spacing w:before="0" w:after="36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72"/>
      <w:bookmarkEnd w:id="1673"/>
      <w:bookmarkEnd w:id="1675"/>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2</w:t>
      </w:r>
      <w:bookmarkEnd w:id="1678"/>
      <w:r>
        <w:rPr>
          <w:color w:val="000000"/>
          <w:spacing w:val="0"/>
          <w:w w:val="100"/>
          <w:position w:val="0"/>
        </w:rPr>
        <w:t>、在子公司的所有者权益份额发生变化且仍控制子公司的交易</w:t>
      </w:r>
      <w:bookmarkEnd w:id="1676"/>
      <w:bookmarkEnd w:id="1677"/>
      <w:bookmarkEnd w:id="1679"/>
    </w:p>
    <w:p>
      <w:pPr>
        <w:pStyle w:val="Style37"/>
        <w:keepNext/>
        <w:keepLines/>
        <w:widowControl w:val="0"/>
        <w:shd w:val="clear" w:color="auto" w:fill="auto"/>
        <w:bidi w:val="0"/>
        <w:spacing w:before="0" w:after="360" w:line="240" w:lineRule="auto"/>
        <w:ind w:left="0" w:right="0" w:firstLine="140"/>
        <w:jc w:val="left"/>
      </w:pPr>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680"/>
      <w:bookmarkEnd w:id="1681"/>
      <w:bookmarkEnd w:id="1682"/>
    </w:p>
    <w:tbl>
      <w:tblPr>
        <w:tblOverlap w:val="never"/>
        <w:jc w:val="left"/>
        <w:tblLayout w:type="fixed"/>
      </w:tblPr>
      <w:tblGrid>
        <w:gridCol w:w="2141"/>
        <w:gridCol w:w="2131"/>
        <w:gridCol w:w="2126"/>
        <w:gridCol w:w="216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变动前持股比例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变动后持股比例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color w:val="000000"/>
                <w:spacing w:val="0"/>
                <w:w w:val="100"/>
                <w:position w:val="0"/>
                <w:sz w:val="19"/>
                <w:szCs w:val="19"/>
              </w:rPr>
              <w:t>2020</w:t>
            </w:r>
            <w:r>
              <w:rPr>
                <w:color w:val="000000"/>
                <w:spacing w:val="0"/>
                <w:w w:val="100"/>
                <w:position w:val="0"/>
                <w:sz w:val="20"/>
                <w:szCs w:val="20"/>
              </w:rPr>
              <w:t>年</w:t>
            </w:r>
            <w:r>
              <w:rPr>
                <w:rFonts w:ascii="Tahoma" w:eastAsia="Tahoma" w:hAnsi="Tahoma" w:cs="Tahoma"/>
                <w:color w:val="000000"/>
                <w:spacing w:val="0"/>
                <w:w w:val="100"/>
                <w:position w:val="0"/>
                <w:sz w:val="19"/>
                <w:szCs w:val="19"/>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ahoma" w:eastAsia="Tahoma" w:hAnsi="Tahoma" w:cs="Tahoma"/>
                <w:color w:val="000000"/>
                <w:spacing w:val="0"/>
                <w:w w:val="100"/>
                <w:position w:val="0"/>
                <w:sz w:val="19"/>
                <w:szCs w:val="19"/>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ahoma" w:eastAsia="Tahoma" w:hAnsi="Tahoma" w:cs="Tahoma"/>
                <w:color w:val="000000"/>
                <w:spacing w:val="0"/>
                <w:w w:val="100"/>
                <w:position w:val="0"/>
                <w:sz w:val="19"/>
                <w:szCs w:val="19"/>
              </w:rPr>
              <w:t>80.00%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和仁湘雅公司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color w:val="000000"/>
                <w:spacing w:val="0"/>
                <w:w w:val="100"/>
                <w:position w:val="0"/>
                <w:sz w:val="19"/>
                <w:szCs w:val="19"/>
              </w:rPr>
              <w:t>2020</w:t>
            </w:r>
            <w:r>
              <w:rPr>
                <w:color w:val="000000"/>
                <w:spacing w:val="0"/>
                <w:w w:val="100"/>
                <w:position w:val="0"/>
                <w:sz w:val="20"/>
                <w:szCs w:val="20"/>
              </w:rPr>
              <w:t>年</w:t>
            </w:r>
            <w:r>
              <w:rPr>
                <w:rFonts w:ascii="Tahoma" w:eastAsia="Tahoma" w:hAnsi="Tahoma" w:cs="Tahoma"/>
                <w:color w:val="000000"/>
                <w:spacing w:val="0"/>
                <w:w w:val="100"/>
                <w:position w:val="0"/>
                <w:sz w:val="19"/>
                <w:szCs w:val="19"/>
              </w:rPr>
              <w:t>12</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ahoma" w:eastAsia="Tahoma" w:hAnsi="Tahoma" w:cs="Tahoma"/>
                <w:color w:val="000000"/>
                <w:spacing w:val="0"/>
                <w:w w:val="100"/>
                <w:position w:val="0"/>
                <w:sz w:val="19"/>
                <w:szCs w:val="19"/>
              </w:rPr>
              <w:t>68.50%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ahoma" w:eastAsia="Tahoma" w:hAnsi="Tahoma" w:cs="Tahoma"/>
                <w:color w:val="000000"/>
                <w:spacing w:val="0"/>
                <w:w w:val="100"/>
                <w:position w:val="0"/>
                <w:sz w:val="19"/>
                <w:szCs w:val="19"/>
              </w:rPr>
              <w:t>81.98%</w:t>
            </w:r>
          </w:p>
        </w:tc>
      </w:tr>
    </w:tbl>
    <w:p>
      <w:pPr>
        <w:widowControl w:val="0"/>
        <w:spacing w:after="639" w:line="1" w:lineRule="exact"/>
      </w:pPr>
    </w:p>
    <w:p>
      <w:pPr>
        <w:pStyle w:val="Style37"/>
        <w:keepNext/>
        <w:keepLines/>
        <w:widowControl w:val="0"/>
        <w:shd w:val="clear" w:color="auto" w:fill="auto"/>
        <w:bidi w:val="0"/>
        <w:spacing w:before="0" w:after="360" w:line="240" w:lineRule="auto"/>
        <w:ind w:left="0" w:right="0" w:firstLine="140"/>
        <w:jc w:val="left"/>
      </w:pPr>
      <w:bookmarkStart w:id="1683" w:name="bookmark1683"/>
      <w:bookmarkStart w:id="1684" w:name="bookmark1684"/>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683"/>
      <w:bookmarkEnd w:id="1684"/>
      <w:bookmarkEnd w:id="1685"/>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天津和仁公司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和仁湘雅公司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2,570,922.00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1,936,875.00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2,570,922.00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1,936,875.00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 公司净资产份额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2,631,426.90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1,328,956.61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607,918.39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60,504.90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-607,918.39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0"/>
        <w:keepNext/>
        <w:keepLines/>
        <w:widowControl w:val="0"/>
        <w:shd w:val="clear" w:color="auto" w:fill="auto"/>
        <w:tabs>
          <w:tab w:pos="378" w:val="left"/>
        </w:tabs>
        <w:bidi w:val="0"/>
        <w:spacing w:before="0" w:after="400" w:line="315" w:lineRule="exact"/>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3</w:t>
      </w:r>
      <w:bookmarkEnd w:id="1688"/>
      <w:r>
        <w:rPr>
          <w:color w:val="000000"/>
          <w:spacing w:val="0"/>
          <w:w w:val="100"/>
          <w:position w:val="0"/>
        </w:rPr>
        <w:t>、</w:t>
        <w:tab/>
        <w:t>在未纳入合并财务报表范围的结构化主体中的权益</w:t>
      </w:r>
      <w:bookmarkEnd w:id="1686"/>
      <w:bookmarkEnd w:id="1687"/>
      <w:bookmarkEnd w:id="1689"/>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未纳入合并财务报表范围的结构化主体的相关说明：</w:t>
      </w:r>
    </w:p>
    <w:p>
      <w:pPr>
        <w:pStyle w:val="Style30"/>
        <w:keepNext/>
        <w:keepLines/>
        <w:widowControl w:val="0"/>
        <w:shd w:val="clear" w:color="auto" w:fill="auto"/>
        <w:tabs>
          <w:tab w:pos="378" w:val="left"/>
        </w:tabs>
        <w:bidi w:val="0"/>
        <w:spacing w:before="0" w:after="340" w:line="315" w:lineRule="exact"/>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4</w:t>
      </w:r>
      <w:bookmarkEnd w:id="1692"/>
      <w:r>
        <w:rPr>
          <w:color w:val="000000"/>
          <w:spacing w:val="0"/>
          <w:w w:val="100"/>
          <w:position w:val="0"/>
        </w:rPr>
        <w:t>、</w:t>
        <w:tab/>
        <w:t>其他</w:t>
      </w:r>
      <w:bookmarkEnd w:id="1690"/>
      <w:bookmarkEnd w:id="1691"/>
      <w:bookmarkEnd w:id="1693"/>
    </w:p>
    <w:p>
      <w:pPr>
        <w:pStyle w:val="Style22"/>
        <w:keepNext/>
        <w:keepLines/>
        <w:widowControl w:val="0"/>
        <w:shd w:val="clear" w:color="auto" w:fill="auto"/>
        <w:bidi w:val="0"/>
        <w:spacing w:before="0" w:after="280" w:line="240" w:lineRule="auto"/>
        <w:ind w:left="0" w:right="0" w:firstLine="0"/>
        <w:jc w:val="left"/>
      </w:pPr>
      <w:bookmarkStart w:id="1694" w:name="bookmark1694"/>
      <w:bookmarkStart w:id="1695" w:name="bookmark1695"/>
      <w:bookmarkStart w:id="1696" w:name="bookmark1696"/>
      <w:r>
        <w:rPr>
          <w:color w:val="000000"/>
          <w:spacing w:val="0"/>
          <w:w w:val="100"/>
          <w:position w:val="0"/>
          <w:sz w:val="24"/>
          <w:szCs w:val="24"/>
        </w:rPr>
        <w:t>十、与金融工具相关的风险</w:t>
      </w:r>
      <w:bookmarkEnd w:id="1694"/>
      <w:bookmarkEnd w:id="1695"/>
      <w:bookmarkEnd w:id="1696"/>
    </w:p>
    <w:p>
      <w:pPr>
        <w:pStyle w:val="Style61"/>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61"/>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本公司在日常活动中面临各种与金融工具相关的风险，主要包括信用风险、流动性风险及市场风险。 管理层已审议并批准管理这些风险的政策，概括如下。</w:t>
      </w:r>
    </w:p>
    <w:p>
      <w:pPr>
        <w:pStyle w:val="Style61"/>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（一）信用风险</w:t>
      </w:r>
    </w:p>
    <w:p>
      <w:pPr>
        <w:pStyle w:val="Style61"/>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信用风险，是指金融工具的一方不能履行义务，造成另一方发生财务损失的风险。</w:t>
      </w:r>
    </w:p>
    <w:p>
      <w:pPr>
        <w:pStyle w:val="Style61"/>
        <w:keepNext w:val="0"/>
        <w:keepLines w:val="0"/>
        <w:widowControl w:val="0"/>
        <w:numPr>
          <w:ilvl w:val="0"/>
          <w:numId w:val="93"/>
        </w:numPr>
        <w:shd w:val="clear" w:color="auto" w:fill="auto"/>
        <w:bidi w:val="0"/>
        <w:spacing w:before="0" w:after="60" w:line="315" w:lineRule="exact"/>
        <w:ind w:left="0" w:right="0" w:firstLine="440"/>
        <w:jc w:val="both"/>
        <w:rPr>
          <w:sz w:val="20"/>
          <w:szCs w:val="20"/>
        </w:rPr>
      </w:pPr>
      <w:bookmarkStart w:id="1697" w:name="bookmark1697"/>
      <w:bookmarkEnd w:id="1697"/>
      <w:r>
        <w:rPr>
          <w:color w:val="000000"/>
          <w:spacing w:val="0"/>
          <w:w w:val="100"/>
          <w:position w:val="0"/>
          <w:sz w:val="20"/>
          <w:szCs w:val="20"/>
        </w:rPr>
        <w:t>信用风险管理实务</w:t>
      </w:r>
    </w:p>
    <w:p>
      <w:pPr>
        <w:pStyle w:val="Style61"/>
        <w:keepNext w:val="0"/>
        <w:keepLines w:val="0"/>
        <w:widowControl w:val="0"/>
        <w:shd w:val="clear" w:color="auto" w:fill="auto"/>
        <w:tabs>
          <w:tab w:pos="870" w:val="left"/>
        </w:tabs>
        <w:bidi w:val="0"/>
        <w:spacing w:before="0" w:after="0" w:line="329" w:lineRule="auto"/>
        <w:ind w:left="0" w:right="0" w:firstLine="440"/>
        <w:jc w:val="both"/>
        <w:rPr>
          <w:sz w:val="20"/>
          <w:szCs w:val="20"/>
        </w:rPr>
      </w:pPr>
      <w:bookmarkStart w:id="1698" w:name="bookmark1698"/>
      <w:r>
        <w:rPr>
          <w:rFonts w:ascii="Tahoma" w:eastAsia="Tahoma" w:hAnsi="Tahoma" w:cs="Tahoma"/>
          <w:color w:val="000000"/>
          <w:spacing w:val="0"/>
          <w:w w:val="100"/>
          <w:position w:val="0"/>
          <w:sz w:val="19"/>
          <w:szCs w:val="19"/>
        </w:rPr>
        <w:t>（</w:t>
      </w:r>
      <w:bookmarkEnd w:id="1698"/>
      <w:r>
        <w:rPr>
          <w:rFonts w:ascii="Tahoma" w:eastAsia="Tahoma" w:hAnsi="Tahoma" w:cs="Tahoma"/>
          <w:color w:val="000000"/>
          <w:spacing w:val="0"/>
          <w:w w:val="100"/>
          <w:position w:val="0"/>
          <w:sz w:val="19"/>
          <w:szCs w:val="19"/>
        </w:rPr>
        <w:t>1）</w:t>
        <w:tab/>
      </w:r>
      <w:r>
        <w:rPr>
          <w:color w:val="000000"/>
          <w:spacing w:val="0"/>
          <w:w w:val="100"/>
          <w:position w:val="0"/>
          <w:sz w:val="20"/>
          <w:szCs w:val="20"/>
        </w:rPr>
        <w:t>信用风险的评价方法</w:t>
      </w:r>
    </w:p>
    <w:p>
      <w:pPr>
        <w:pStyle w:val="Style61"/>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公司在每个资产负债表日评估相关金融工具的信用风险自初始确认后是否已显著增加。在确定信用风 险自初始确认后是否显著增加时，公司考虑在无须付出不必要的额外成本或努力即可获得合理且有依据的 信息，包括基于历史数据的定性和定量分析、外部信用风险评级以及前瞻性信息。公司以单项金融工具或 者具有相似信用风险特征的金融工具组合为基础，通过比较金融工具在资产负债表日发生违约的风险与在 初始确认日发生违约的风险，以确定金融工具预计存续期内发生违约风险的变化情况。</w:t>
      </w:r>
    </w:p>
    <w:p>
      <w:pPr>
        <w:pStyle w:val="Style61"/>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当触发以下一个或多个定量、定性标准时，公司认为金融工具的信用风险已发生显著增加：</w:t>
      </w:r>
    </w:p>
    <w:p>
      <w:pPr>
        <w:pStyle w:val="Style61"/>
        <w:keepNext w:val="0"/>
        <w:keepLines w:val="0"/>
        <w:widowControl w:val="0"/>
        <w:shd w:val="clear" w:color="auto" w:fill="auto"/>
        <w:tabs>
          <w:tab w:pos="784" w:val="left"/>
        </w:tabs>
        <w:bidi w:val="0"/>
        <w:spacing w:before="0" w:after="0" w:line="315" w:lineRule="exact"/>
        <w:ind w:left="0" w:right="0" w:firstLine="440"/>
        <w:jc w:val="both"/>
        <w:rPr>
          <w:sz w:val="20"/>
          <w:szCs w:val="20"/>
        </w:rPr>
      </w:pPr>
      <w:bookmarkStart w:id="1699" w:name="bookmark1699"/>
      <w:r>
        <w:rPr>
          <w:rFonts w:ascii="Tahoma" w:eastAsia="Tahoma" w:hAnsi="Tahoma" w:cs="Tahoma"/>
          <w:color w:val="000000"/>
          <w:spacing w:val="0"/>
          <w:w w:val="100"/>
          <w:position w:val="0"/>
          <w:sz w:val="19"/>
          <w:szCs w:val="19"/>
        </w:rPr>
        <w:t>1</w:t>
      </w:r>
      <w:bookmarkEnd w:id="1699"/>
      <w:r>
        <w:rPr>
          <w:rFonts w:ascii="Tahoma" w:eastAsia="Tahoma" w:hAnsi="Tahoma" w:cs="Tahoma"/>
          <w:color w:val="000000"/>
          <w:spacing w:val="0"/>
          <w:w w:val="100"/>
          <w:position w:val="0"/>
          <w:sz w:val="19"/>
          <w:szCs w:val="19"/>
        </w:rPr>
        <w:t>）</w:t>
        <w:tab/>
      </w:r>
      <w:r>
        <w:rPr>
          <w:color w:val="000000"/>
          <w:spacing w:val="0"/>
          <w:w w:val="100"/>
          <w:position w:val="0"/>
          <w:sz w:val="20"/>
          <w:szCs w:val="20"/>
        </w:rPr>
        <w:t>定量标准主要为资产负债表日剩余存续期违约概率较初始确认时上升超过一定比例；</w:t>
      </w:r>
    </w:p>
    <w:p>
      <w:pPr>
        <w:pStyle w:val="Style61"/>
        <w:keepNext w:val="0"/>
        <w:keepLines w:val="0"/>
        <w:widowControl w:val="0"/>
        <w:shd w:val="clear" w:color="auto" w:fill="auto"/>
        <w:tabs>
          <w:tab w:pos="781" w:val="left"/>
        </w:tabs>
        <w:bidi w:val="0"/>
        <w:spacing w:before="0" w:after="60" w:line="315" w:lineRule="exact"/>
        <w:ind w:left="0" w:right="0" w:firstLine="440"/>
        <w:jc w:val="both"/>
        <w:rPr>
          <w:sz w:val="20"/>
          <w:szCs w:val="20"/>
        </w:rPr>
      </w:pPr>
      <w:bookmarkStart w:id="1700" w:name="bookmark1700"/>
      <w:r>
        <w:rPr>
          <w:rFonts w:ascii="Tahoma" w:eastAsia="Tahoma" w:hAnsi="Tahoma" w:cs="Tahoma"/>
          <w:color w:val="000000"/>
          <w:spacing w:val="0"/>
          <w:w w:val="100"/>
          <w:position w:val="0"/>
          <w:sz w:val="19"/>
          <w:szCs w:val="19"/>
        </w:rPr>
        <w:t>2</w:t>
      </w:r>
      <w:bookmarkEnd w:id="1700"/>
      <w:r>
        <w:rPr>
          <w:rFonts w:ascii="Tahoma" w:eastAsia="Tahoma" w:hAnsi="Tahoma" w:cs="Tahoma"/>
          <w:color w:val="000000"/>
          <w:spacing w:val="0"/>
          <w:w w:val="100"/>
          <w:position w:val="0"/>
          <w:sz w:val="19"/>
          <w:szCs w:val="19"/>
        </w:rPr>
        <w:t>）</w:t>
        <w:tab/>
      </w:r>
      <w:r>
        <w:rPr>
          <w:color w:val="000000"/>
          <w:spacing w:val="0"/>
          <w:w w:val="100"/>
          <w:position w:val="0"/>
          <w:sz w:val="20"/>
          <w:szCs w:val="20"/>
        </w:rPr>
        <w:t>定性标准主要为债务人经营或财务情况出现重大不利变化、现存的或预期的技术、市场、经济或 法律环境变化并将对债务人对公司的还款能力产生重大不利影响等。</w:t>
      </w:r>
    </w:p>
    <w:p>
      <w:pPr>
        <w:pStyle w:val="Style61"/>
        <w:keepNext w:val="0"/>
        <w:keepLines w:val="0"/>
        <w:widowControl w:val="0"/>
        <w:shd w:val="clear" w:color="auto" w:fill="auto"/>
        <w:tabs>
          <w:tab w:pos="870" w:val="left"/>
        </w:tabs>
        <w:bidi w:val="0"/>
        <w:spacing w:before="0" w:after="0" w:line="329" w:lineRule="auto"/>
        <w:ind w:left="0" w:right="0" w:firstLine="440"/>
        <w:jc w:val="both"/>
        <w:rPr>
          <w:sz w:val="20"/>
          <w:szCs w:val="20"/>
        </w:rPr>
      </w:pPr>
      <w:bookmarkStart w:id="1701" w:name="bookmark1701"/>
      <w:r>
        <w:rPr>
          <w:rFonts w:ascii="Tahoma" w:eastAsia="Tahoma" w:hAnsi="Tahoma" w:cs="Tahoma"/>
          <w:color w:val="000000"/>
          <w:spacing w:val="0"/>
          <w:w w:val="100"/>
          <w:position w:val="0"/>
          <w:sz w:val="19"/>
          <w:szCs w:val="19"/>
        </w:rPr>
        <w:t>（</w:t>
      </w:r>
      <w:bookmarkEnd w:id="1701"/>
      <w:r>
        <w:rPr>
          <w:rFonts w:ascii="Tahoma" w:eastAsia="Tahoma" w:hAnsi="Tahoma" w:cs="Tahoma"/>
          <w:color w:val="000000"/>
          <w:spacing w:val="0"/>
          <w:w w:val="100"/>
          <w:position w:val="0"/>
          <w:sz w:val="19"/>
          <w:szCs w:val="19"/>
        </w:rPr>
        <w:t>2）</w:t>
        <w:tab/>
      </w:r>
      <w:r>
        <w:rPr>
          <w:color w:val="000000"/>
          <w:spacing w:val="0"/>
          <w:w w:val="100"/>
          <w:position w:val="0"/>
          <w:sz w:val="20"/>
          <w:szCs w:val="20"/>
        </w:rPr>
        <w:t>违约和已发生信用减值资产的定义</w:t>
      </w:r>
    </w:p>
    <w:p>
      <w:pPr>
        <w:pStyle w:val="Style61"/>
        <w:keepNext w:val="0"/>
        <w:keepLines w:val="0"/>
        <w:widowControl w:val="0"/>
        <w:shd w:val="clear" w:color="auto" w:fill="auto"/>
        <w:bidi w:val="0"/>
        <w:spacing w:before="0" w:after="60" w:line="315" w:lineRule="exact"/>
        <w:ind w:left="0" w:right="0" w:firstLine="440"/>
        <w:jc w:val="both"/>
        <w:rPr>
          <w:sz w:val="20"/>
          <w:szCs w:val="20"/>
        </w:rPr>
      </w:pPr>
      <w:r>
        <w:rPr>
          <w:color w:val="000000"/>
          <w:spacing w:val="0"/>
          <w:w w:val="100"/>
          <w:position w:val="0"/>
          <w:sz w:val="20"/>
          <w:szCs w:val="20"/>
        </w:rPr>
        <w:t>当金融工具符合以下一项或多项条件时，公司将该金融资产界定为已发生违约，其标准与已发生信用 减值的定义一致：</w:t>
      </w:r>
    </w:p>
    <w:p>
      <w:pPr>
        <w:pStyle w:val="Style61"/>
        <w:keepNext w:val="0"/>
        <w:keepLines w:val="0"/>
        <w:widowControl w:val="0"/>
        <w:shd w:val="clear" w:color="auto" w:fill="auto"/>
        <w:tabs>
          <w:tab w:pos="784" w:val="left"/>
        </w:tabs>
        <w:bidi w:val="0"/>
        <w:spacing w:before="0" w:after="0" w:line="329" w:lineRule="auto"/>
        <w:ind w:left="0" w:right="0" w:firstLine="440"/>
        <w:jc w:val="both"/>
        <w:rPr>
          <w:sz w:val="20"/>
          <w:szCs w:val="20"/>
        </w:rPr>
      </w:pPr>
      <w:bookmarkStart w:id="1702" w:name="bookmark1702"/>
      <w:r>
        <w:rPr>
          <w:rFonts w:ascii="Tahoma" w:eastAsia="Tahoma" w:hAnsi="Tahoma" w:cs="Tahoma"/>
          <w:color w:val="000000"/>
          <w:spacing w:val="0"/>
          <w:w w:val="100"/>
          <w:position w:val="0"/>
          <w:sz w:val="19"/>
          <w:szCs w:val="19"/>
        </w:rPr>
        <w:t>1</w:t>
      </w:r>
      <w:bookmarkEnd w:id="1702"/>
      <w:r>
        <w:rPr>
          <w:rFonts w:ascii="Tahoma" w:eastAsia="Tahoma" w:hAnsi="Tahoma" w:cs="Tahoma"/>
          <w:color w:val="000000"/>
          <w:spacing w:val="0"/>
          <w:w w:val="100"/>
          <w:position w:val="0"/>
          <w:sz w:val="19"/>
          <w:szCs w:val="19"/>
        </w:rPr>
        <w:t>）</w:t>
        <w:tab/>
      </w:r>
      <w:r>
        <w:rPr>
          <w:color w:val="000000"/>
          <w:spacing w:val="0"/>
          <w:w w:val="100"/>
          <w:position w:val="0"/>
          <w:sz w:val="20"/>
          <w:szCs w:val="20"/>
        </w:rPr>
        <w:t>债务人发生重大财务困难；</w:t>
      </w:r>
    </w:p>
    <w:p>
      <w:pPr>
        <w:pStyle w:val="Style61"/>
        <w:keepNext w:val="0"/>
        <w:keepLines w:val="0"/>
        <w:widowControl w:val="0"/>
        <w:shd w:val="clear" w:color="auto" w:fill="auto"/>
        <w:tabs>
          <w:tab w:pos="798" w:val="left"/>
        </w:tabs>
        <w:bidi w:val="0"/>
        <w:spacing w:before="0" w:after="0" w:line="329" w:lineRule="auto"/>
        <w:ind w:left="0" w:right="0" w:firstLine="440"/>
        <w:jc w:val="both"/>
        <w:rPr>
          <w:sz w:val="20"/>
          <w:szCs w:val="20"/>
        </w:rPr>
      </w:pPr>
      <w:bookmarkStart w:id="1703" w:name="bookmark1703"/>
      <w:r>
        <w:rPr>
          <w:rFonts w:ascii="Tahoma" w:eastAsia="Tahoma" w:hAnsi="Tahoma" w:cs="Tahoma"/>
          <w:color w:val="000000"/>
          <w:spacing w:val="0"/>
          <w:w w:val="100"/>
          <w:position w:val="0"/>
          <w:sz w:val="19"/>
          <w:szCs w:val="19"/>
        </w:rPr>
        <w:t>2</w:t>
      </w:r>
      <w:bookmarkEnd w:id="1703"/>
      <w:r>
        <w:rPr>
          <w:rFonts w:ascii="Tahoma" w:eastAsia="Tahoma" w:hAnsi="Tahoma" w:cs="Tahoma"/>
          <w:color w:val="000000"/>
          <w:spacing w:val="0"/>
          <w:w w:val="100"/>
          <w:position w:val="0"/>
          <w:sz w:val="19"/>
          <w:szCs w:val="19"/>
        </w:rPr>
        <w:t>）</w:t>
        <w:tab/>
      </w:r>
      <w:r>
        <w:rPr>
          <w:color w:val="000000"/>
          <w:spacing w:val="0"/>
          <w:w w:val="100"/>
          <w:position w:val="0"/>
          <w:sz w:val="20"/>
          <w:szCs w:val="20"/>
        </w:rPr>
        <w:t>债务人违反合同中对债务人的约束条款；</w:t>
      </w:r>
    </w:p>
    <w:p>
      <w:pPr>
        <w:pStyle w:val="Style61"/>
        <w:keepNext w:val="0"/>
        <w:keepLines w:val="0"/>
        <w:widowControl w:val="0"/>
        <w:shd w:val="clear" w:color="auto" w:fill="auto"/>
        <w:tabs>
          <w:tab w:pos="798" w:val="left"/>
        </w:tabs>
        <w:bidi w:val="0"/>
        <w:spacing w:before="0" w:after="0" w:line="329" w:lineRule="auto"/>
        <w:ind w:left="0" w:right="0" w:firstLine="440"/>
        <w:jc w:val="both"/>
        <w:rPr>
          <w:sz w:val="20"/>
          <w:szCs w:val="20"/>
        </w:rPr>
      </w:pPr>
      <w:bookmarkStart w:id="1704" w:name="bookmark1704"/>
      <w:r>
        <w:rPr>
          <w:rFonts w:ascii="Tahoma" w:eastAsia="Tahoma" w:hAnsi="Tahoma" w:cs="Tahoma"/>
          <w:color w:val="000000"/>
          <w:spacing w:val="0"/>
          <w:w w:val="100"/>
          <w:position w:val="0"/>
          <w:sz w:val="19"/>
          <w:szCs w:val="19"/>
        </w:rPr>
        <w:t>3</w:t>
      </w:r>
      <w:bookmarkEnd w:id="1704"/>
      <w:r>
        <w:rPr>
          <w:rFonts w:ascii="Tahoma" w:eastAsia="Tahoma" w:hAnsi="Tahoma" w:cs="Tahoma"/>
          <w:color w:val="000000"/>
          <w:spacing w:val="0"/>
          <w:w w:val="100"/>
          <w:position w:val="0"/>
          <w:sz w:val="19"/>
          <w:szCs w:val="19"/>
        </w:rPr>
        <w:t>）</w:t>
        <w:tab/>
      </w:r>
      <w:r>
        <w:rPr>
          <w:color w:val="000000"/>
          <w:spacing w:val="0"/>
          <w:w w:val="100"/>
          <w:position w:val="0"/>
          <w:sz w:val="20"/>
          <w:szCs w:val="20"/>
        </w:rPr>
        <w:t>债务人很可能破产或进行其他财务重组；</w:t>
      </w:r>
    </w:p>
    <w:p>
      <w:pPr>
        <w:pStyle w:val="Style61"/>
        <w:keepNext w:val="0"/>
        <w:keepLines w:val="0"/>
        <w:widowControl w:val="0"/>
        <w:shd w:val="clear" w:color="auto" w:fill="auto"/>
        <w:tabs>
          <w:tab w:pos="358" w:val="left"/>
        </w:tabs>
        <w:bidi w:val="0"/>
        <w:spacing w:before="0" w:after="0" w:line="315" w:lineRule="exact"/>
        <w:ind w:left="0" w:right="0" w:firstLine="440"/>
        <w:jc w:val="both"/>
        <w:rPr>
          <w:sz w:val="20"/>
          <w:szCs w:val="20"/>
        </w:rPr>
      </w:pPr>
      <w:bookmarkStart w:id="1705" w:name="bookmark1705"/>
      <w:r>
        <w:rPr>
          <w:rFonts w:ascii="Tahoma" w:eastAsia="Tahoma" w:hAnsi="Tahoma" w:cs="Tahoma"/>
          <w:color w:val="000000"/>
          <w:spacing w:val="0"/>
          <w:w w:val="100"/>
          <w:position w:val="0"/>
          <w:sz w:val="19"/>
          <w:szCs w:val="19"/>
        </w:rPr>
        <w:t>4</w:t>
      </w:r>
      <w:bookmarkEnd w:id="1705"/>
      <w:r>
        <w:rPr>
          <w:rFonts w:ascii="Tahoma" w:eastAsia="Tahoma" w:hAnsi="Tahoma" w:cs="Tahoma"/>
          <w:color w:val="000000"/>
          <w:spacing w:val="0"/>
          <w:w w:val="100"/>
          <w:position w:val="0"/>
          <w:sz w:val="19"/>
          <w:szCs w:val="19"/>
        </w:rPr>
        <w:t>）</w:t>
        <w:tab/>
      </w:r>
      <w:r>
        <w:rPr>
          <w:color w:val="000000"/>
          <w:spacing w:val="0"/>
          <w:w w:val="100"/>
          <w:position w:val="0"/>
          <w:sz w:val="20"/>
          <w:szCs w:val="20"/>
        </w:rPr>
        <w:t xml:space="preserve">债权人出于与债务人财务困难有关的经济或合同考虑，给予债务人在任何其他情况下都不会做出 </w:t>
      </w:r>
      <w:r>
        <w:rPr>
          <w:color w:val="000000"/>
          <w:spacing w:val="0"/>
          <w:w w:val="100"/>
          <w:position w:val="0"/>
          <w:sz w:val="20"/>
          <w:szCs w:val="20"/>
        </w:rPr>
        <w:t>的让步。</w:t>
      </w:r>
    </w:p>
    <w:p>
      <w:pPr>
        <w:pStyle w:val="Style61"/>
        <w:keepNext w:val="0"/>
        <w:keepLines w:val="0"/>
        <w:widowControl w:val="0"/>
        <w:numPr>
          <w:ilvl w:val="0"/>
          <w:numId w:val="93"/>
        </w:numPr>
        <w:shd w:val="clear" w:color="auto" w:fill="auto"/>
        <w:tabs>
          <w:tab w:pos="793" w:val="left"/>
        </w:tabs>
        <w:bidi w:val="0"/>
        <w:spacing w:before="0" w:after="0" w:line="312" w:lineRule="exact"/>
        <w:ind w:left="0" w:right="0" w:firstLine="440"/>
        <w:jc w:val="both"/>
        <w:rPr>
          <w:sz w:val="20"/>
          <w:szCs w:val="20"/>
        </w:rPr>
      </w:pPr>
      <w:bookmarkStart w:id="1706" w:name="bookmark1706"/>
      <w:bookmarkEnd w:id="1706"/>
      <w:r>
        <w:rPr>
          <w:color w:val="000000"/>
          <w:spacing w:val="0"/>
          <w:w w:val="100"/>
          <w:position w:val="0"/>
          <w:sz w:val="20"/>
          <w:szCs w:val="20"/>
        </w:rPr>
        <w:t>预期信用损失的计量</w:t>
      </w:r>
    </w:p>
    <w:p>
      <w:pPr>
        <w:pStyle w:val="Style6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预期信用损失计量的关键参数包括违约概率、违约损失率和违约风险敞口。公司考虑历史统计数据（如 交易对手评级、担保方式及抵质押物类别、还款方式等）的定量分析及前瞻性信息，建立违约概率、违约 损失率及违约风险敞口模型。</w:t>
      </w:r>
    </w:p>
    <w:p>
      <w:pPr>
        <w:pStyle w:val="Style61"/>
        <w:keepNext w:val="0"/>
        <w:keepLines w:val="0"/>
        <w:widowControl w:val="0"/>
        <w:numPr>
          <w:ilvl w:val="0"/>
          <w:numId w:val="93"/>
        </w:numPr>
        <w:shd w:val="clear" w:color="auto" w:fill="auto"/>
        <w:tabs>
          <w:tab w:pos="793" w:val="left"/>
        </w:tabs>
        <w:bidi w:val="0"/>
        <w:spacing w:before="0" w:after="0" w:line="312" w:lineRule="exact"/>
        <w:ind w:left="0" w:right="0" w:firstLine="440"/>
        <w:jc w:val="both"/>
        <w:rPr>
          <w:sz w:val="20"/>
          <w:szCs w:val="20"/>
        </w:rPr>
      </w:pPr>
      <w:bookmarkStart w:id="1707" w:name="bookmark1707"/>
      <w:bookmarkEnd w:id="1707"/>
      <w:r>
        <w:rPr>
          <w:color w:val="000000"/>
          <w:spacing w:val="0"/>
          <w:w w:val="100"/>
          <w:position w:val="0"/>
          <w:sz w:val="20"/>
          <w:szCs w:val="20"/>
        </w:rPr>
        <w:t>信用风险敞口及信用风险集中度</w:t>
      </w:r>
    </w:p>
    <w:p>
      <w:pPr>
        <w:pStyle w:val="Style6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本公司的信用风险主要来自货币资金和应收款项。为控制上述相关风险，本公司分别采取了以下措施。</w:t>
      </w:r>
    </w:p>
    <w:p>
      <w:pPr>
        <w:pStyle w:val="Style61"/>
        <w:keepNext w:val="0"/>
        <w:keepLines w:val="0"/>
        <w:widowControl w:val="0"/>
        <w:shd w:val="clear" w:color="auto" w:fill="auto"/>
        <w:tabs>
          <w:tab w:pos="870" w:val="left"/>
        </w:tabs>
        <w:bidi w:val="0"/>
        <w:spacing w:before="0" w:after="0" w:line="312" w:lineRule="exact"/>
        <w:ind w:left="0" w:right="0" w:firstLine="440"/>
        <w:jc w:val="both"/>
        <w:rPr>
          <w:sz w:val="20"/>
          <w:szCs w:val="20"/>
        </w:rPr>
      </w:pPr>
      <w:bookmarkStart w:id="1708" w:name="bookmark1708"/>
      <w:r>
        <w:rPr>
          <w:rFonts w:ascii="Tahoma" w:eastAsia="Tahoma" w:hAnsi="Tahoma" w:cs="Tahoma"/>
          <w:color w:val="000000"/>
          <w:spacing w:val="0"/>
          <w:w w:val="100"/>
          <w:position w:val="0"/>
          <w:sz w:val="19"/>
          <w:szCs w:val="19"/>
        </w:rPr>
        <w:t>（</w:t>
      </w:r>
      <w:bookmarkEnd w:id="1708"/>
      <w:r>
        <w:rPr>
          <w:rFonts w:ascii="Tahoma" w:eastAsia="Tahoma" w:hAnsi="Tahoma" w:cs="Tahoma"/>
          <w:color w:val="000000"/>
          <w:spacing w:val="0"/>
          <w:w w:val="100"/>
          <w:position w:val="0"/>
          <w:sz w:val="19"/>
          <w:szCs w:val="19"/>
        </w:rPr>
        <w:t>1）</w:t>
        <w:tab/>
      </w:r>
      <w:r>
        <w:rPr>
          <w:color w:val="000000"/>
          <w:spacing w:val="0"/>
          <w:w w:val="100"/>
          <w:position w:val="0"/>
          <w:sz w:val="20"/>
          <w:szCs w:val="20"/>
        </w:rPr>
        <w:t>货币资金</w:t>
      </w:r>
    </w:p>
    <w:p>
      <w:pPr>
        <w:pStyle w:val="Style6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本公司将银行存款和其他货币资金存放于信用评级较高的金融机构，故其信用风险较低。</w:t>
      </w:r>
    </w:p>
    <w:p>
      <w:pPr>
        <w:pStyle w:val="Style61"/>
        <w:keepNext w:val="0"/>
        <w:keepLines w:val="0"/>
        <w:widowControl w:val="0"/>
        <w:shd w:val="clear" w:color="auto" w:fill="auto"/>
        <w:tabs>
          <w:tab w:pos="870" w:val="left"/>
        </w:tabs>
        <w:bidi w:val="0"/>
        <w:spacing w:before="0" w:after="0" w:line="312" w:lineRule="exact"/>
        <w:ind w:left="0" w:right="0" w:firstLine="440"/>
        <w:jc w:val="both"/>
        <w:rPr>
          <w:sz w:val="20"/>
          <w:szCs w:val="20"/>
        </w:rPr>
      </w:pPr>
      <w:bookmarkStart w:id="1709" w:name="bookmark1709"/>
      <w:r>
        <w:rPr>
          <w:rFonts w:ascii="Tahoma" w:eastAsia="Tahoma" w:hAnsi="Tahoma" w:cs="Tahoma"/>
          <w:color w:val="000000"/>
          <w:spacing w:val="0"/>
          <w:w w:val="100"/>
          <w:position w:val="0"/>
          <w:sz w:val="19"/>
          <w:szCs w:val="19"/>
        </w:rPr>
        <w:t>（</w:t>
      </w:r>
      <w:bookmarkEnd w:id="1709"/>
      <w:r>
        <w:rPr>
          <w:rFonts w:ascii="Tahoma" w:eastAsia="Tahoma" w:hAnsi="Tahoma" w:cs="Tahoma"/>
          <w:color w:val="000000"/>
          <w:spacing w:val="0"/>
          <w:w w:val="100"/>
          <w:position w:val="0"/>
          <w:sz w:val="19"/>
          <w:szCs w:val="19"/>
        </w:rPr>
        <w:t>2）</w:t>
        <w:tab/>
      </w:r>
      <w:r>
        <w:rPr>
          <w:color w:val="000000"/>
          <w:spacing w:val="0"/>
          <w:w w:val="100"/>
          <w:position w:val="0"/>
          <w:sz w:val="20"/>
          <w:szCs w:val="20"/>
        </w:rPr>
        <w:t>应收款项</w:t>
      </w:r>
    </w:p>
    <w:p>
      <w:pPr>
        <w:pStyle w:val="Style6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本公司持续对采用信用方式交易的客户进行信用评估。根据信用评估结果，本公司选择与经认可的且 信用良好的客户进行交易，并对其应收款项余额进行监控，以确保本公司不会面临重大坏账风险。</w:t>
      </w:r>
    </w:p>
    <w:p>
      <w:pPr>
        <w:pStyle w:val="Style6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由于本公司仅与经认可的且信用良好的第三方进行交易，所以无需担保物。信用风险集中按照客户进 行管理。截至</w:t>
      </w:r>
      <w:r>
        <w:rPr>
          <w:rFonts w:ascii="Tahoma" w:eastAsia="Tahoma" w:hAnsi="Tahoma" w:cs="Tahoma"/>
          <w:color w:val="000000"/>
          <w:spacing w:val="0"/>
          <w:w w:val="100"/>
          <w:position w:val="0"/>
          <w:sz w:val="19"/>
          <w:szCs w:val="19"/>
        </w:rPr>
        <w:t>2020</w:t>
      </w:r>
      <w:r>
        <w:rPr>
          <w:color w:val="000000"/>
          <w:spacing w:val="0"/>
          <w:w w:val="100"/>
          <w:position w:val="0"/>
          <w:sz w:val="20"/>
          <w:szCs w:val="20"/>
        </w:rPr>
        <w:t>年</w:t>
      </w:r>
      <w:r>
        <w:rPr>
          <w:rFonts w:ascii="Tahoma" w:eastAsia="Tahoma" w:hAnsi="Tahoma" w:cs="Tahoma"/>
          <w:color w:val="000000"/>
          <w:spacing w:val="0"/>
          <w:w w:val="100"/>
          <w:position w:val="0"/>
          <w:sz w:val="19"/>
          <w:szCs w:val="19"/>
        </w:rPr>
        <w:t>12</w:t>
      </w:r>
      <w:r>
        <w:rPr>
          <w:color w:val="000000"/>
          <w:spacing w:val="0"/>
          <w:w w:val="100"/>
          <w:position w:val="0"/>
          <w:sz w:val="20"/>
          <w:szCs w:val="20"/>
        </w:rPr>
        <w:t>月</w:t>
      </w:r>
      <w:r>
        <w:rPr>
          <w:rFonts w:ascii="Tahoma" w:eastAsia="Tahoma" w:hAnsi="Tahoma" w:cs="Tahoma"/>
          <w:color w:val="000000"/>
          <w:spacing w:val="0"/>
          <w:w w:val="100"/>
          <w:position w:val="0"/>
          <w:sz w:val="19"/>
          <w:szCs w:val="19"/>
        </w:rPr>
        <w:t>31</w:t>
      </w:r>
      <w:r>
        <w:rPr>
          <w:color w:val="000000"/>
          <w:spacing w:val="0"/>
          <w:w w:val="100"/>
          <w:position w:val="0"/>
          <w:sz w:val="20"/>
          <w:szCs w:val="20"/>
        </w:rPr>
        <w:t>日，本公司存在一定的信用集中风险，本公司应收账款的</w:t>
      </w:r>
      <w:r>
        <w:rPr>
          <w:rFonts w:ascii="Tahoma" w:eastAsia="Tahoma" w:hAnsi="Tahoma" w:cs="Tahoma"/>
          <w:color w:val="000000"/>
          <w:spacing w:val="0"/>
          <w:w w:val="100"/>
          <w:position w:val="0"/>
          <w:sz w:val="19"/>
          <w:szCs w:val="19"/>
        </w:rPr>
        <w:t xml:space="preserve">58. </w:t>
      </w:r>
      <w:r>
        <w:rPr>
          <w:rFonts w:ascii="Tahoma" w:eastAsia="Tahoma" w:hAnsi="Tahoma" w:cs="Tahoma"/>
          <w:color w:val="000000"/>
          <w:spacing w:val="0"/>
          <w:w w:val="100"/>
          <w:position w:val="0"/>
          <w:sz w:val="19"/>
          <w:szCs w:val="19"/>
        </w:rPr>
        <w:t>05% （2019</w:t>
      </w:r>
      <w:r>
        <w:rPr>
          <w:color w:val="000000"/>
          <w:spacing w:val="0"/>
          <w:w w:val="100"/>
          <w:position w:val="0"/>
          <w:sz w:val="20"/>
          <w:szCs w:val="20"/>
        </w:rPr>
        <w:t>年</w:t>
      </w:r>
      <w:r>
        <w:rPr>
          <w:rFonts w:ascii="Tahoma" w:eastAsia="Tahoma" w:hAnsi="Tahoma" w:cs="Tahoma"/>
          <w:color w:val="000000"/>
          <w:spacing w:val="0"/>
          <w:w w:val="100"/>
          <w:position w:val="0"/>
          <w:sz w:val="19"/>
          <w:szCs w:val="19"/>
        </w:rPr>
        <w:t>12</w:t>
      </w:r>
      <w:r>
        <w:rPr>
          <w:color w:val="000000"/>
          <w:spacing w:val="0"/>
          <w:w w:val="100"/>
          <w:position w:val="0"/>
          <w:sz w:val="20"/>
          <w:szCs w:val="20"/>
        </w:rPr>
        <w:t xml:space="preserve">月 </w:t>
      </w:r>
      <w:r>
        <w:rPr>
          <w:rFonts w:ascii="Tahoma" w:eastAsia="Tahoma" w:hAnsi="Tahoma" w:cs="Tahoma"/>
          <w:color w:val="000000"/>
          <w:spacing w:val="0"/>
          <w:w w:val="100"/>
          <w:position w:val="0"/>
          <w:sz w:val="19"/>
          <w:szCs w:val="19"/>
        </w:rPr>
        <w:t>31</w:t>
      </w:r>
      <w:r>
        <w:rPr>
          <w:color w:val="000000"/>
          <w:spacing w:val="0"/>
          <w:w w:val="100"/>
          <w:position w:val="0"/>
          <w:sz w:val="20"/>
          <w:szCs w:val="20"/>
        </w:rPr>
        <w:t>日：</w:t>
      </w:r>
      <w:r>
        <w:rPr>
          <w:rFonts w:ascii="Tahoma" w:eastAsia="Tahoma" w:hAnsi="Tahoma" w:cs="Tahoma"/>
          <w:color w:val="000000"/>
          <w:spacing w:val="0"/>
          <w:w w:val="100"/>
          <w:position w:val="0"/>
          <w:sz w:val="19"/>
          <w:szCs w:val="19"/>
        </w:rPr>
        <w:t>38.37%）</w:t>
      </w:r>
      <w:r>
        <w:rPr>
          <w:color w:val="000000"/>
          <w:spacing w:val="0"/>
          <w:w w:val="100"/>
          <w:position w:val="0"/>
          <w:sz w:val="20"/>
          <w:szCs w:val="20"/>
        </w:rPr>
        <w:t>源于余额前五名客户。本公司对应收账款余额未持有任何担保物或其他信用增级。</w:t>
      </w:r>
    </w:p>
    <w:p>
      <w:pPr>
        <w:pStyle w:val="Style6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本公司所承受的最大信用风险敞口为资产负债表中每项金融资产的账面价值。</w:t>
      </w:r>
    </w:p>
    <w:p>
      <w:pPr>
        <w:pStyle w:val="Style6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（二）流动性风险</w:t>
      </w:r>
    </w:p>
    <w:p>
      <w:pPr>
        <w:pStyle w:val="Style6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流动性风险，是指本公司在履行以交付现金或其他金融资产的方式结算的义务时发生资金短缺的风 险。流动性风险可能源于无法尽快以公允价值售出金融资产；或者源于对方无法偿还其合同债务；或者源 于提前到期的债务；或者源于无法产生预期的现金流量。</w:t>
      </w:r>
    </w:p>
    <w:p>
      <w:pPr>
        <w:pStyle w:val="Style61"/>
        <w:keepNext w:val="0"/>
        <w:keepLines w:val="0"/>
        <w:widowControl w:val="0"/>
        <w:shd w:val="clear" w:color="auto" w:fill="auto"/>
        <w:bidi w:val="0"/>
        <w:spacing w:before="0" w:after="360" w:line="312" w:lineRule="exact"/>
        <w:ind w:left="0" w:right="0" w:firstLine="440"/>
        <w:jc w:val="both"/>
        <w:rPr>
          <w:sz w:val="20"/>
          <w:szCs w:val="20"/>
        </w:rPr>
      </w:pPr>
      <w:r>
        <w:rPr>
          <w:color w:val="000000"/>
          <w:spacing w:val="0"/>
          <w:w w:val="100"/>
          <w:position w:val="0"/>
          <w:sz w:val="20"/>
          <w:szCs w:val="20"/>
        </w:rPr>
        <w:t>为控制该项风险，本公司综合运用票据结算、银行借款等多种融资手段，并采取长、短期融资方式适 当结合，优化融资结构的方法，保持融资持续性与灵活性之间的平衡。本公司已从多家商业银行取得银行 授信额度以满足营运资金需求和资本开支。</w:t>
      </w:r>
    </w:p>
    <w:p>
      <w:pPr>
        <w:pStyle w:val="Style22"/>
        <w:keepNext/>
        <w:keepLines/>
        <w:widowControl w:val="0"/>
        <w:shd w:val="clear" w:color="auto" w:fill="auto"/>
        <w:bidi w:val="0"/>
        <w:spacing w:before="0" w:after="300" w:line="240" w:lineRule="auto"/>
        <w:ind w:left="0" w:right="0" w:firstLine="0"/>
        <w:jc w:val="left"/>
      </w:pPr>
      <w:bookmarkStart w:id="1710" w:name="bookmark1710"/>
      <w:bookmarkStart w:id="1711" w:name="bookmark1711"/>
      <w:bookmarkStart w:id="1712" w:name="bookmark1712"/>
      <w:r>
        <w:rPr>
          <w:color w:val="000000"/>
          <w:spacing w:val="0"/>
          <w:w w:val="100"/>
          <w:position w:val="0"/>
          <w:sz w:val="24"/>
          <w:szCs w:val="24"/>
        </w:rPr>
        <w:t>十^一、公允价值的披露</w:t>
      </w:r>
      <w:bookmarkEnd w:id="1710"/>
      <w:bookmarkEnd w:id="1711"/>
      <w:bookmarkEnd w:id="1712"/>
    </w:p>
    <w:p>
      <w:pPr>
        <w:pStyle w:val="Style30"/>
        <w:keepNext/>
        <w:keepLines/>
        <w:widowControl w:val="0"/>
        <w:shd w:val="clear" w:color="auto" w:fill="auto"/>
        <w:bidi w:val="0"/>
        <w:spacing w:before="0" w:line="312" w:lineRule="exact"/>
        <w:ind w:left="0" w:right="0" w:firstLine="0"/>
        <w:jc w:val="left"/>
      </w:pPr>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13"/>
      <w:bookmarkEnd w:id="1714"/>
      <w:bookmarkEnd w:id="17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20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372,380,000.00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372,380,000.00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372,380,000.00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372,380,000.00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372,380,000.00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372,380,000.00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keepLines/>
        <w:widowControl w:val="0"/>
        <w:shd w:val="clear" w:color="auto" w:fill="auto"/>
        <w:tabs>
          <w:tab w:pos="378" w:val="left"/>
        </w:tabs>
        <w:bidi w:val="0"/>
        <w:spacing w:before="0" w:after="0" w:line="624" w:lineRule="exact"/>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2</w:t>
      </w:r>
      <w:bookmarkEnd w:id="1718"/>
      <w:r>
        <w:rPr>
          <w:color w:val="000000"/>
          <w:spacing w:val="0"/>
          <w:w w:val="100"/>
          <w:position w:val="0"/>
        </w:rPr>
        <w:t>、</w:t>
        <w:tab/>
        <w:t>持续和非持续第一层次公允价值计量项目市价的确定依据</w:t>
      </w:r>
      <w:bookmarkEnd w:id="1716"/>
      <w:bookmarkEnd w:id="1717"/>
      <w:bookmarkEnd w:id="1719"/>
    </w:p>
    <w:p>
      <w:pPr>
        <w:pStyle w:val="Style30"/>
        <w:keepNext/>
        <w:keepLines/>
        <w:widowControl w:val="0"/>
        <w:shd w:val="clear" w:color="auto" w:fill="auto"/>
        <w:tabs>
          <w:tab w:pos="378" w:val="left"/>
        </w:tabs>
        <w:bidi w:val="0"/>
        <w:spacing w:before="0" w:after="0" w:line="624" w:lineRule="exact"/>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3</w:t>
      </w:r>
      <w:bookmarkEnd w:id="1722"/>
      <w:r>
        <w:rPr>
          <w:color w:val="000000"/>
          <w:spacing w:val="0"/>
          <w:w w:val="100"/>
          <w:position w:val="0"/>
        </w:rPr>
        <w:t>、</w:t>
        <w:tab/>
        <w:t>持续和非持续第二层次公允价值计量项目，采用的估值技术和重要参数的定性及定量信息</w:t>
      </w:r>
      <w:bookmarkEnd w:id="1720"/>
      <w:bookmarkEnd w:id="1721"/>
      <w:bookmarkEnd w:id="1723"/>
    </w:p>
    <w:p>
      <w:pPr>
        <w:pStyle w:val="Style30"/>
        <w:keepNext/>
        <w:keepLines/>
        <w:widowControl w:val="0"/>
        <w:shd w:val="clear" w:color="auto" w:fill="auto"/>
        <w:tabs>
          <w:tab w:pos="378" w:val="left"/>
        </w:tabs>
        <w:bidi w:val="0"/>
        <w:spacing w:before="0" w:after="0" w:line="624" w:lineRule="exact"/>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4</w:t>
      </w:r>
      <w:bookmarkEnd w:id="1726"/>
      <w:r>
        <w:rPr>
          <w:color w:val="000000"/>
          <w:spacing w:val="0"/>
          <w:w w:val="100"/>
          <w:position w:val="0"/>
        </w:rPr>
        <w:t>、</w:t>
        <w:tab/>
        <w:t>持续和非持续第三层次公允价值计量项目，采用的估值技术和重要参数的定性及定量信息</w:t>
      </w:r>
      <w:bookmarkEnd w:id="1724"/>
      <w:bookmarkEnd w:id="1725"/>
      <w:bookmarkEnd w:id="1727"/>
    </w:p>
    <w:p>
      <w:pPr>
        <w:pStyle w:val="Style30"/>
        <w:keepNext/>
        <w:keepLines/>
        <w:widowControl w:val="0"/>
        <w:shd w:val="clear" w:color="auto" w:fill="auto"/>
        <w:tabs>
          <w:tab w:pos="378" w:val="left"/>
        </w:tabs>
        <w:bidi w:val="0"/>
        <w:spacing w:before="0" w:after="320" w:line="624" w:lineRule="exact"/>
        <w:ind w:left="0" w:right="0" w:firstLine="0"/>
        <w:jc w:val="left"/>
      </w:pPr>
      <w:bookmarkStart w:id="1724" w:name="bookmark1724"/>
      <w:bookmarkStart w:id="1725" w:name="bookmark1725"/>
      <w:bookmarkStart w:id="1728" w:name="bookmark1728"/>
      <w:bookmarkStart w:id="1729" w:name="bookmark1729"/>
      <w:r>
        <w:rPr>
          <w:rFonts w:ascii="Times New Roman" w:eastAsia="Times New Roman" w:hAnsi="Times New Roman" w:cs="Times New Roman"/>
          <w:color w:val="000000"/>
          <w:spacing w:val="0"/>
          <w:w w:val="100"/>
          <w:position w:val="0"/>
        </w:rPr>
        <w:t>5</w:t>
      </w:r>
      <w:bookmarkEnd w:id="1728"/>
      <w:r>
        <w:rPr>
          <w:color w:val="000000"/>
          <w:spacing w:val="0"/>
          <w:w w:val="100"/>
          <w:position w:val="0"/>
        </w:rPr>
        <w:t>、</w:t>
        <w:tab/>
        <w:t xml:space="preserve">持续的第三层次公允价值计量项目，期初与期末账面价值间的调节信息及不可观察参数敏感性分析 </w:t>
      </w:r>
      <w:r>
        <w:rPr>
          <w:b w:val="0"/>
          <w:bCs w:val="0"/>
          <w:color w:val="000000"/>
          <w:spacing w:val="0"/>
          <w:w w:val="100"/>
          <w:position w:val="0"/>
        </w:rPr>
        <w:t>对购买的银行理财产品，采用本金确定其公允价值。</w:t>
      </w:r>
      <w:bookmarkEnd w:id="1724"/>
      <w:bookmarkEnd w:id="1725"/>
      <w:bookmarkEnd w:id="1729"/>
    </w:p>
    <w:p>
      <w:pPr>
        <w:pStyle w:val="Style30"/>
        <w:keepNext/>
        <w:keepLines/>
        <w:widowControl w:val="0"/>
        <w:shd w:val="clear" w:color="auto" w:fill="auto"/>
        <w:tabs>
          <w:tab w:pos="378" w:val="left"/>
        </w:tabs>
        <w:bidi w:val="0"/>
        <w:spacing w:before="0" w:after="0" w:line="624" w:lineRule="exact"/>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6</w:t>
      </w:r>
      <w:bookmarkEnd w:id="1732"/>
      <w:r>
        <w:rPr>
          <w:color w:val="000000"/>
          <w:spacing w:val="0"/>
          <w:w w:val="100"/>
          <w:position w:val="0"/>
        </w:rPr>
        <w:t>、</w:t>
        <w:tab/>
        <w:t>持续的公允价值计量项目，本期内发生各层级之间转换的，转换的原因及确定转换时点的政策</w:t>
      </w:r>
      <w:bookmarkEnd w:id="1730"/>
      <w:bookmarkEnd w:id="1731"/>
      <w:bookmarkEnd w:id="1733"/>
    </w:p>
    <w:p>
      <w:pPr>
        <w:pStyle w:val="Style30"/>
        <w:keepNext/>
        <w:keepLines/>
        <w:widowControl w:val="0"/>
        <w:shd w:val="clear" w:color="auto" w:fill="auto"/>
        <w:tabs>
          <w:tab w:pos="378" w:val="left"/>
        </w:tabs>
        <w:bidi w:val="0"/>
        <w:spacing w:before="0" w:after="0" w:line="624" w:lineRule="exact"/>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7</w:t>
      </w:r>
      <w:bookmarkEnd w:id="1736"/>
      <w:r>
        <w:rPr>
          <w:color w:val="000000"/>
          <w:spacing w:val="0"/>
          <w:w w:val="100"/>
          <w:position w:val="0"/>
        </w:rPr>
        <w:t>、</w:t>
        <w:tab/>
        <w:t>本期内发生的估值技术变更及变更原因</w:t>
      </w:r>
      <w:bookmarkEnd w:id="1734"/>
      <w:bookmarkEnd w:id="1735"/>
      <w:bookmarkEnd w:id="1737"/>
    </w:p>
    <w:p>
      <w:pPr>
        <w:pStyle w:val="Style30"/>
        <w:keepNext/>
        <w:keepLines/>
        <w:widowControl w:val="0"/>
        <w:shd w:val="clear" w:color="auto" w:fill="auto"/>
        <w:tabs>
          <w:tab w:pos="378" w:val="left"/>
        </w:tabs>
        <w:bidi w:val="0"/>
        <w:spacing w:before="0" w:after="0" w:line="624" w:lineRule="exact"/>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8</w:t>
      </w:r>
      <w:bookmarkEnd w:id="1740"/>
      <w:r>
        <w:rPr>
          <w:color w:val="000000"/>
          <w:spacing w:val="0"/>
          <w:w w:val="100"/>
          <w:position w:val="0"/>
        </w:rPr>
        <w:t>、</w:t>
        <w:tab/>
        <w:t>不以公允价值计量的金融资产和金融负债的公允价值情况</w:t>
      </w:r>
      <w:bookmarkEnd w:id="1738"/>
      <w:bookmarkEnd w:id="1739"/>
      <w:bookmarkEnd w:id="1741"/>
    </w:p>
    <w:p>
      <w:pPr>
        <w:pStyle w:val="Style30"/>
        <w:keepNext/>
        <w:keepLines/>
        <w:widowControl w:val="0"/>
        <w:shd w:val="clear" w:color="auto" w:fill="auto"/>
        <w:tabs>
          <w:tab w:pos="378" w:val="left"/>
        </w:tabs>
        <w:bidi w:val="0"/>
        <w:spacing w:before="0" w:after="320" w:line="624" w:lineRule="exact"/>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9</w:t>
      </w:r>
      <w:bookmarkEnd w:id="1744"/>
      <w:r>
        <w:rPr>
          <w:color w:val="000000"/>
          <w:spacing w:val="0"/>
          <w:w w:val="100"/>
          <w:position w:val="0"/>
        </w:rPr>
        <w:t>、</w:t>
        <w:tab/>
        <w:t>其他</w:t>
      </w:r>
      <w:bookmarkEnd w:id="1742"/>
      <w:bookmarkEnd w:id="1743"/>
      <w:bookmarkEnd w:id="1745"/>
    </w:p>
    <w:p>
      <w:pPr>
        <w:pStyle w:val="Style22"/>
        <w:keepNext/>
        <w:keepLines/>
        <w:widowControl w:val="0"/>
        <w:shd w:val="clear" w:color="auto" w:fill="auto"/>
        <w:bidi w:val="0"/>
        <w:spacing w:before="0" w:after="0" w:line="240" w:lineRule="auto"/>
        <w:ind w:left="0" w:right="0" w:firstLine="0"/>
        <w:jc w:val="left"/>
      </w:pPr>
      <w:bookmarkStart w:id="1746" w:name="bookmark1746"/>
      <w:bookmarkStart w:id="1747" w:name="bookmark1747"/>
      <w:bookmarkStart w:id="1748" w:name="bookmark1748"/>
      <w:r>
        <w:rPr>
          <w:color w:val="000000"/>
          <w:spacing w:val="0"/>
          <w:w w:val="100"/>
          <w:position w:val="0"/>
          <w:sz w:val="24"/>
          <w:szCs w:val="24"/>
        </w:rPr>
        <w:t>十二、关联方及关联交易</w:t>
      </w:r>
      <w:bookmarkEnd w:id="1746"/>
      <w:bookmarkEnd w:id="1747"/>
      <w:bookmarkEnd w:id="1748"/>
    </w:p>
    <w:p>
      <w:pPr>
        <w:pStyle w:val="Style30"/>
        <w:keepNext/>
        <w:keepLines/>
        <w:widowControl w:val="0"/>
        <w:shd w:val="clear" w:color="auto" w:fill="auto"/>
        <w:bidi w:val="0"/>
        <w:spacing w:before="0" w:after="320" w:line="624" w:lineRule="exact"/>
        <w:ind w:left="0" w:right="0" w:firstLine="0"/>
        <w:jc w:val="left"/>
      </w:pPr>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49"/>
      <w:bookmarkEnd w:id="1750"/>
      <w:bookmarkEnd w:id="1751"/>
    </w:p>
    <w:tbl>
      <w:tblPr>
        <w:tblOverlap w:val="never"/>
        <w:jc w:val="center"/>
        <w:tblLayout w:type="fixed"/>
      </w:tblPr>
      <w:tblGrid>
        <w:gridCol w:w="1598"/>
        <w:gridCol w:w="1594"/>
        <w:gridCol w:w="1589"/>
        <w:gridCol w:w="1603"/>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杭州磐源投资有限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本企业最终控制方是杨一兵、杨波。</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61"/>
        <w:keepNext w:val="0"/>
        <w:keepLines w:val="0"/>
        <w:widowControl w:val="0"/>
        <w:shd w:val="clear" w:color="auto" w:fill="auto"/>
        <w:bidi w:val="0"/>
        <w:spacing w:before="0" w:after="380" w:line="307" w:lineRule="exact"/>
        <w:ind w:left="0" w:right="0" w:firstLine="0"/>
        <w:jc w:val="left"/>
        <w:rPr>
          <w:sz w:val="20"/>
          <w:szCs w:val="20"/>
        </w:rPr>
      </w:pPr>
      <w:r>
        <w:rPr>
          <w:color w:val="000000"/>
          <w:spacing w:val="0"/>
          <w:w w:val="100"/>
          <w:position w:val="0"/>
          <w:sz w:val="20"/>
          <w:szCs w:val="20"/>
        </w:rPr>
        <w:t>本公司实际控制人为杨一兵、杨波兄弟，其通过杭州磐源投资有限公司、杭州磐鸿投资管理合伙企业（有 限合伙）分别间接持有本公司</w:t>
      </w:r>
      <w:r>
        <w:rPr>
          <w:rFonts w:ascii="Tahoma" w:eastAsia="Tahoma" w:hAnsi="Tahoma" w:cs="Tahoma"/>
          <w:color w:val="000000"/>
          <w:spacing w:val="0"/>
          <w:w w:val="100"/>
          <w:position w:val="0"/>
          <w:sz w:val="19"/>
          <w:szCs w:val="19"/>
        </w:rPr>
        <w:t>65,905,493</w:t>
      </w:r>
      <w:r>
        <w:rPr>
          <w:color w:val="000000"/>
          <w:spacing w:val="0"/>
          <w:w w:val="100"/>
          <w:position w:val="0"/>
          <w:sz w:val="20"/>
          <w:szCs w:val="20"/>
        </w:rPr>
        <w:t>股、</w:t>
      </w:r>
      <w:r>
        <w:rPr>
          <w:rFonts w:ascii="Tahoma" w:eastAsia="Tahoma" w:hAnsi="Tahoma" w:cs="Tahoma"/>
          <w:color w:val="000000"/>
          <w:spacing w:val="0"/>
          <w:w w:val="100"/>
          <w:position w:val="0"/>
          <w:sz w:val="19"/>
          <w:szCs w:val="19"/>
        </w:rPr>
        <w:t>10,969,446</w:t>
      </w:r>
      <w:r>
        <w:rPr>
          <w:color w:val="000000"/>
          <w:spacing w:val="0"/>
          <w:w w:val="100"/>
          <w:position w:val="0"/>
          <w:sz w:val="20"/>
          <w:szCs w:val="20"/>
        </w:rPr>
        <w:t>股，合计持有本公司</w:t>
      </w:r>
      <w:r>
        <w:rPr>
          <w:rFonts w:ascii="Tahoma" w:eastAsia="Tahoma" w:hAnsi="Tahoma" w:cs="Tahoma"/>
          <w:color w:val="000000"/>
          <w:spacing w:val="0"/>
          <w:w w:val="100"/>
          <w:position w:val="0"/>
          <w:sz w:val="19"/>
          <w:szCs w:val="19"/>
        </w:rPr>
        <w:t>76,874,939</w:t>
      </w:r>
      <w:r>
        <w:rPr>
          <w:color w:val="000000"/>
          <w:spacing w:val="0"/>
          <w:w w:val="100"/>
          <w:position w:val="0"/>
          <w:sz w:val="20"/>
          <w:szCs w:val="20"/>
        </w:rPr>
        <w:t>股的股权，占本 公司注册资本的</w:t>
      </w:r>
      <w:r>
        <w:rPr>
          <w:rFonts w:ascii="Tahoma" w:eastAsia="Tahoma" w:hAnsi="Tahoma" w:cs="Tahoma"/>
          <w:color w:val="000000"/>
          <w:spacing w:val="0"/>
          <w:w w:val="100"/>
          <w:position w:val="0"/>
          <w:sz w:val="19"/>
          <w:szCs w:val="19"/>
        </w:rPr>
        <w:t>40.48%</w:t>
      </w:r>
      <w:r>
        <w:rPr>
          <w:color w:val="000000"/>
          <w:spacing w:val="0"/>
          <w:w w:val="100"/>
          <w:position w:val="0"/>
          <w:sz w:val="20"/>
          <w:szCs w:val="20"/>
        </w:rPr>
        <w:t>。</w:t>
      </w:r>
    </w:p>
    <w:p>
      <w:pPr>
        <w:pStyle w:val="Style30"/>
        <w:keepNext/>
        <w:keepLines/>
        <w:widowControl w:val="0"/>
        <w:shd w:val="clear" w:color="auto" w:fill="auto"/>
        <w:tabs>
          <w:tab w:pos="378" w:val="left"/>
        </w:tabs>
        <w:bidi w:val="0"/>
        <w:spacing w:before="0" w:after="320" w:line="322"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2</w:t>
      </w:r>
      <w:bookmarkEnd w:id="1754"/>
      <w:r>
        <w:rPr>
          <w:color w:val="000000"/>
          <w:spacing w:val="0"/>
          <w:w w:val="100"/>
          <w:position w:val="0"/>
        </w:rPr>
        <w:t>、</w:t>
        <w:tab/>
        <w:t>本企业的子公司情况</w:t>
      </w:r>
      <w:bookmarkEnd w:id="1752"/>
      <w:bookmarkEnd w:id="1753"/>
      <w:bookmarkEnd w:id="175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p>
    <w:p>
      <w:pPr>
        <w:pStyle w:val="Style30"/>
        <w:keepNext/>
        <w:keepLines/>
        <w:widowControl w:val="0"/>
        <w:shd w:val="clear" w:color="auto" w:fill="auto"/>
        <w:tabs>
          <w:tab w:pos="378" w:val="left"/>
        </w:tabs>
        <w:bidi w:val="0"/>
        <w:spacing w:before="0" w:after="320" w:line="322"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3</w:t>
      </w:r>
      <w:bookmarkEnd w:id="1758"/>
      <w:r>
        <w:rPr>
          <w:color w:val="000000"/>
          <w:spacing w:val="0"/>
          <w:w w:val="100"/>
          <w:position w:val="0"/>
        </w:rPr>
        <w:t>、</w:t>
        <w:tab/>
        <w:t>本企业合营和联营企业情况</w:t>
      </w:r>
      <w:bookmarkEnd w:id="1756"/>
      <w:bookmarkEnd w:id="1757"/>
      <w:bookmarkEnd w:id="175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spacing w:lineRule="exact" w:line="1"/>
        <w:rPr>
          <w:sz w:val="2"/>
          <w:szCs w:val="2"/>
        </w:rPr>
      </w:pPr>
      <w:r>
        <w:br w:type="page"/>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4</w:t>
      </w:r>
      <w:bookmarkEnd w:id="1762"/>
      <w:r>
        <w:rPr>
          <w:color w:val="000000"/>
          <w:spacing w:val="0"/>
          <w:w w:val="100"/>
          <w:position w:val="0"/>
        </w:rPr>
        <w:t>、其他关联方情况</w:t>
      </w:r>
      <w:bookmarkEnd w:id="1760"/>
      <w:bookmarkEnd w:id="1761"/>
      <w:bookmarkEnd w:id="1763"/>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5</w:t>
      </w:r>
      <w:bookmarkEnd w:id="1766"/>
      <w:r>
        <w:rPr>
          <w:color w:val="000000"/>
          <w:spacing w:val="0"/>
          <w:w w:val="100"/>
          <w:position w:val="0"/>
        </w:rPr>
        <w:t>、关联交易情况</w:t>
      </w:r>
      <w:bookmarkEnd w:id="1764"/>
      <w:bookmarkEnd w:id="1765"/>
      <w:bookmarkEnd w:id="1767"/>
    </w:p>
    <w:p>
      <w:pPr>
        <w:pStyle w:val="Style37"/>
        <w:keepNext/>
        <w:keepLines/>
        <w:widowControl w:val="0"/>
        <w:shd w:val="clear" w:color="auto" w:fill="auto"/>
        <w:bidi w:val="0"/>
        <w:spacing w:before="0" w:after="400" w:line="240" w:lineRule="auto"/>
        <w:ind w:left="0" w:right="0" w:firstLine="140"/>
        <w:jc w:val="left"/>
      </w:pPr>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68"/>
      <w:bookmarkEnd w:id="1769"/>
      <w:bookmarkEnd w:id="177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37"/>
        <w:keepNext/>
        <w:keepLines/>
        <w:widowControl w:val="0"/>
        <w:shd w:val="clear" w:color="auto" w:fill="auto"/>
        <w:bidi w:val="0"/>
        <w:spacing w:before="0" w:after="400" w:line="240" w:lineRule="auto"/>
        <w:ind w:left="0" w:right="0" w:firstLine="140"/>
        <w:jc w:val="left"/>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71"/>
      <w:bookmarkEnd w:id="1772"/>
      <w:bookmarkEnd w:id="177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59" w:line="1" w:lineRule="exact"/>
      </w:pPr>
    </w:p>
    <w:p>
      <w:pPr>
        <w:pStyle w:val="Style37"/>
        <w:keepNext/>
        <w:keepLines/>
        <w:widowControl w:val="0"/>
        <w:numPr>
          <w:ilvl w:val="0"/>
          <w:numId w:val="95"/>
        </w:numPr>
        <w:shd w:val="clear" w:color="auto" w:fill="auto"/>
        <w:bidi w:val="0"/>
        <w:spacing w:before="0" w:after="400" w:line="240" w:lineRule="auto"/>
        <w:ind w:left="0" w:right="0" w:firstLine="140"/>
        <w:jc w:val="left"/>
      </w:pPr>
      <w:bookmarkStart w:id="1774" w:name="bookmark1774"/>
      <w:bookmarkStart w:id="1775" w:name="bookmark1775"/>
      <w:bookmarkStart w:id="1776" w:name="bookmark1776"/>
      <w:bookmarkStart w:id="1777" w:name="bookmark1777"/>
      <w:bookmarkEnd w:id="1776"/>
      <w:r>
        <w:rPr>
          <w:color w:val="000000"/>
          <w:spacing w:val="0"/>
          <w:w w:val="100"/>
          <w:position w:val="0"/>
        </w:rPr>
        <w:t>关联租赁情况</w:t>
      </w:r>
      <w:bookmarkEnd w:id="1774"/>
      <w:bookmarkEnd w:id="1775"/>
      <w:bookmarkEnd w:id="177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杭州磐源投资有限公司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67,959.61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6"/>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关联租赁情况说明</w:t>
      </w:r>
    </w:p>
    <w:p>
      <w:pPr>
        <w:pStyle w:val="Style37"/>
        <w:keepNext/>
        <w:keepLines/>
        <w:widowControl w:val="0"/>
        <w:numPr>
          <w:ilvl w:val="0"/>
          <w:numId w:val="95"/>
        </w:numPr>
        <w:shd w:val="clear" w:color="auto" w:fill="auto"/>
        <w:bidi w:val="0"/>
        <w:spacing w:before="0" w:after="420" w:line="240" w:lineRule="auto"/>
        <w:ind w:left="0" w:right="0" w:firstLine="0"/>
        <w:jc w:val="both"/>
      </w:pPr>
      <w:bookmarkStart w:id="1778" w:name="bookmark1778"/>
      <w:bookmarkStart w:id="1779" w:name="bookmark1779"/>
      <w:bookmarkStart w:id="1780" w:name="bookmark1780"/>
      <w:bookmarkStart w:id="1781" w:name="bookmark1781"/>
      <w:bookmarkEnd w:id="1780"/>
      <w:r>
        <w:rPr>
          <w:color w:val="000000"/>
          <w:spacing w:val="0"/>
          <w:w w:val="100"/>
          <w:position w:val="0"/>
        </w:rPr>
        <w:t>关联担保情况</w:t>
      </w:r>
      <w:bookmarkEnd w:id="1778"/>
      <w:bookmarkEnd w:id="1779"/>
      <w:bookmarkEnd w:id="1781"/>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本公司作为担保方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8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杭州磐源投资有限公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6"/>
        <w:keepNext w:val="0"/>
        <w:keepLines w:val="0"/>
        <w:widowControl w:val="0"/>
        <w:numPr>
          <w:ilvl w:val="0"/>
          <w:numId w:val="97"/>
        </w:numPr>
        <w:shd w:val="clear" w:color="auto" w:fill="auto"/>
        <w:tabs>
          <w:tab w:pos="788" w:val="left"/>
        </w:tabs>
        <w:bidi w:val="0"/>
        <w:spacing w:before="0" w:after="0" w:line="313" w:lineRule="exact"/>
        <w:ind w:left="0" w:right="0" w:firstLine="440"/>
        <w:jc w:val="both"/>
      </w:pPr>
      <w:bookmarkStart w:id="1782" w:name="bookmark1782"/>
      <w:bookmarkEnd w:id="1782"/>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月杭州磐源投资有限公司与中国银行股份有限公司杭州滨江支行签订的《最高额保证合同》，杭州磐源 投资有限公司为本公司与该银行签订的期间为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日的合同提供最高额</w:t>
      </w:r>
      <w:r>
        <w:rPr>
          <w:rFonts w:ascii="Times New Roman" w:eastAsia="Times New Roman" w:hAnsi="Times New Roman" w:cs="Times New Roman"/>
          <w:color w:val="000000"/>
          <w:spacing w:val="0"/>
          <w:w w:val="100"/>
          <w:position w:val="0"/>
          <w:sz w:val="18"/>
          <w:szCs w:val="18"/>
        </w:rPr>
        <w:t>17,000</w:t>
      </w:r>
      <w:r>
        <w:rPr>
          <w:color w:val="000000"/>
          <w:spacing w:val="0"/>
          <w:w w:val="100"/>
          <w:position w:val="0"/>
        </w:rPr>
        <w:t>万元的担保。截至</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 xml:space="preserve">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日，本公司在该担保项下尚未到期的保函金额</w:t>
      </w:r>
      <w:r>
        <w:rPr>
          <w:color w:val="000000"/>
          <w:spacing w:val="0"/>
          <w:w w:val="100"/>
          <w:position w:val="0"/>
          <w:sz w:val="18"/>
          <w:szCs w:val="18"/>
        </w:rPr>
        <w:t>2106.7</w:t>
      </w:r>
      <w:r>
        <w:rPr>
          <w:color w:val="000000"/>
          <w:spacing w:val="0"/>
          <w:w w:val="100"/>
          <w:position w:val="0"/>
          <w:sz w:val="18"/>
          <w:szCs w:val="18"/>
        </w:rPr>
        <w:t>7</w:t>
      </w:r>
      <w:r>
        <w:rPr>
          <w:color w:val="000000"/>
          <w:spacing w:val="0"/>
          <w:w w:val="100"/>
          <w:position w:val="0"/>
        </w:rPr>
        <w:t>万元，已到期未退回的保函</w:t>
      </w:r>
      <w:r>
        <w:rPr>
          <w:color w:val="000000"/>
          <w:spacing w:val="0"/>
          <w:w w:val="100"/>
          <w:position w:val="0"/>
          <w:sz w:val="18"/>
          <w:szCs w:val="18"/>
        </w:rPr>
        <w:t>50</w:t>
      </w:r>
      <w:r>
        <w:rPr>
          <w:color w:val="000000"/>
          <w:spacing w:val="0"/>
          <w:w w:val="100"/>
          <w:position w:val="0"/>
        </w:rPr>
        <w:t>万元，该等保函同时由本公司 在该银行缴存</w:t>
      </w:r>
      <w:r>
        <w:rPr>
          <w:color w:val="000000"/>
          <w:spacing w:val="0"/>
          <w:w w:val="100"/>
          <w:position w:val="0"/>
          <w:sz w:val="18"/>
          <w:szCs w:val="18"/>
        </w:rPr>
        <w:t>210.68</w:t>
      </w:r>
      <w:r>
        <w:rPr>
          <w:color w:val="000000"/>
          <w:spacing w:val="0"/>
          <w:w w:val="100"/>
          <w:position w:val="0"/>
        </w:rPr>
        <w:t>万元保函保证金存款。本公司在该担保项下尚未到期的流动资金借款</w:t>
      </w:r>
      <w:r>
        <w:rPr>
          <w:color w:val="000000"/>
          <w:spacing w:val="0"/>
          <w:w w:val="100"/>
          <w:position w:val="0"/>
          <w:sz w:val="18"/>
          <w:szCs w:val="18"/>
        </w:rPr>
        <w:t>5</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w:t>
      </w:r>
    </w:p>
    <w:p>
      <w:pPr>
        <w:pStyle w:val="Style26"/>
        <w:keepNext w:val="0"/>
        <w:keepLines w:val="0"/>
        <w:widowControl w:val="0"/>
        <w:numPr>
          <w:ilvl w:val="0"/>
          <w:numId w:val="97"/>
        </w:numPr>
        <w:shd w:val="clear" w:color="auto" w:fill="auto"/>
        <w:tabs>
          <w:tab w:pos="783" w:val="left"/>
        </w:tabs>
        <w:bidi w:val="0"/>
        <w:spacing w:before="0" w:after="0" w:line="313" w:lineRule="exact"/>
        <w:ind w:left="0" w:right="0" w:firstLine="440"/>
        <w:jc w:val="both"/>
      </w:pPr>
      <w:bookmarkStart w:id="1783" w:name="bookmark1783"/>
      <w:bookmarkEnd w:id="1783"/>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月杨一兵与招商银行股份有限公司保俶支行签订的《最高额不可撤销担保书》，杨一兵为本公司与该银 行签订的期间为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w:t>
      </w:r>
      <w:r>
        <w:rPr>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5</w:t>
      </w:r>
      <w:r>
        <w:rPr>
          <w:color w:val="000000"/>
          <w:spacing w:val="0"/>
          <w:w w:val="100"/>
          <w:position w:val="0"/>
        </w:rPr>
        <w:t>日的合同提供最高额</w:t>
      </w:r>
      <w:r>
        <w:rPr>
          <w:color w:val="000000"/>
          <w:spacing w:val="0"/>
          <w:w w:val="100"/>
          <w:position w:val="0"/>
          <w:sz w:val="18"/>
          <w:szCs w:val="18"/>
        </w:rPr>
        <w:t>10</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万元的担保。截至</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日，本公司在该担 保项下尚未到期的应付票据余额</w:t>
      </w:r>
      <w:r>
        <w:rPr>
          <w:color w:val="000000"/>
          <w:spacing w:val="0"/>
          <w:w w:val="100"/>
          <w:position w:val="0"/>
          <w:sz w:val="18"/>
          <w:szCs w:val="18"/>
        </w:rPr>
        <w:t xml:space="preserve">1316. </w:t>
      </w:r>
      <w:r>
        <w:rPr>
          <w:color w:val="000000"/>
          <w:spacing w:val="0"/>
          <w:w w:val="100"/>
          <w:position w:val="0"/>
          <w:sz w:val="18"/>
          <w:szCs w:val="18"/>
        </w:rPr>
        <w:t>76</w:t>
      </w:r>
      <w:r>
        <w:rPr>
          <w:color w:val="000000"/>
          <w:spacing w:val="0"/>
          <w:w w:val="100"/>
          <w:position w:val="0"/>
        </w:rPr>
        <w:t>万元，该等票据同时由本公司在该银行缴存</w:t>
      </w:r>
      <w:r>
        <w:rPr>
          <w:color w:val="000000"/>
          <w:spacing w:val="0"/>
          <w:w w:val="100"/>
          <w:position w:val="0"/>
          <w:sz w:val="18"/>
          <w:szCs w:val="18"/>
        </w:rPr>
        <w:t>395.03</w:t>
      </w:r>
      <w:r>
        <w:rPr>
          <w:color w:val="000000"/>
          <w:spacing w:val="0"/>
          <w:w w:val="100"/>
          <w:position w:val="0"/>
        </w:rPr>
        <w:t>万元保证金存款。</w:t>
      </w:r>
    </w:p>
    <w:p>
      <w:pPr>
        <w:pStyle w:val="Style26"/>
        <w:keepNext w:val="0"/>
        <w:keepLines w:val="0"/>
        <w:widowControl w:val="0"/>
        <w:numPr>
          <w:ilvl w:val="0"/>
          <w:numId w:val="97"/>
        </w:numPr>
        <w:shd w:val="clear" w:color="auto" w:fill="auto"/>
        <w:tabs>
          <w:tab w:pos="783" w:val="left"/>
        </w:tabs>
        <w:bidi w:val="0"/>
        <w:spacing w:before="0" w:after="0" w:line="313" w:lineRule="exact"/>
        <w:ind w:left="0" w:right="0" w:firstLine="440"/>
        <w:jc w:val="both"/>
      </w:pPr>
      <w:bookmarkStart w:id="1784" w:name="bookmark1784"/>
      <w:bookmarkEnd w:id="1784"/>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w:t>
      </w:r>
      <w:r>
        <w:rPr>
          <w:color w:val="000000"/>
          <w:spacing w:val="0"/>
          <w:w w:val="100"/>
          <w:position w:val="0"/>
          <w:sz w:val="18"/>
          <w:szCs w:val="18"/>
        </w:rPr>
        <w:t>1</w:t>
      </w:r>
      <w:r>
        <w:rPr>
          <w:color w:val="000000"/>
          <w:spacing w:val="0"/>
          <w:w w:val="100"/>
          <w:position w:val="0"/>
        </w:rPr>
        <w:t>月杨一兵与中国工商银行股份有限公司杭州钱江支行签订的《最高额保证合同》，杨一兵为本公司与该 银行签订的期间为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日的合同提供最高额</w:t>
      </w:r>
      <w:r>
        <w:rPr>
          <w:color w:val="000000"/>
          <w:spacing w:val="0"/>
          <w:w w:val="100"/>
          <w:position w:val="0"/>
          <w:sz w:val="18"/>
          <w:szCs w:val="18"/>
        </w:rPr>
        <w:t>5</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9</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万元的担保。截至</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日，本公司在该 担保项下尚未到期的流动资金借款</w:t>
      </w:r>
      <w:r>
        <w:rPr>
          <w:color w:val="000000"/>
          <w:spacing w:val="0"/>
          <w:w w:val="100"/>
          <w:position w:val="0"/>
          <w:sz w:val="18"/>
          <w:szCs w:val="18"/>
        </w:rPr>
        <w:t>5</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w:t>
      </w:r>
    </w:p>
    <w:p>
      <w:pPr>
        <w:pStyle w:val="Style26"/>
        <w:keepNext w:val="0"/>
        <w:keepLines w:val="0"/>
        <w:widowControl w:val="0"/>
        <w:numPr>
          <w:ilvl w:val="0"/>
          <w:numId w:val="97"/>
        </w:numPr>
        <w:shd w:val="clear" w:color="auto" w:fill="auto"/>
        <w:tabs>
          <w:tab w:pos="783" w:val="left"/>
        </w:tabs>
        <w:bidi w:val="0"/>
        <w:spacing w:before="0" w:after="40" w:line="313" w:lineRule="exact"/>
        <w:ind w:left="0" w:right="0" w:firstLine="440"/>
        <w:jc w:val="both"/>
      </w:pPr>
      <w:bookmarkStart w:id="1785" w:name="bookmark1785"/>
      <w:bookmarkEnd w:id="1785"/>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w:t>
      </w:r>
      <w:r>
        <w:rPr>
          <w:color w:val="000000"/>
          <w:spacing w:val="0"/>
          <w:w w:val="100"/>
          <w:position w:val="0"/>
          <w:sz w:val="18"/>
          <w:szCs w:val="18"/>
        </w:rPr>
        <w:t>3</w:t>
      </w:r>
      <w:r>
        <w:rPr>
          <w:color w:val="000000"/>
          <w:spacing w:val="0"/>
          <w:w w:val="100"/>
          <w:position w:val="0"/>
        </w:rPr>
        <w:t>月杨一兵与中国工商银行股份有限公司杭州钱江支行签订的《最高额保证合同》，杨一兵为本公司与该 银行签订的期间为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日的合同提供最高额</w:t>
      </w:r>
      <w:r>
        <w:rPr>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万元的担保。截至</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日，本公司在该 担保项下尚未到期的流动资金借款</w:t>
      </w:r>
      <w:r>
        <w:rPr>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w:t>
      </w:r>
    </w:p>
    <w:p>
      <w:pPr>
        <w:pStyle w:val="Style26"/>
        <w:keepNext w:val="0"/>
        <w:keepLines w:val="0"/>
        <w:widowControl w:val="0"/>
        <w:numPr>
          <w:ilvl w:val="0"/>
          <w:numId w:val="97"/>
        </w:numPr>
        <w:shd w:val="clear" w:color="auto" w:fill="auto"/>
        <w:tabs>
          <w:tab w:pos="812" w:val="left"/>
        </w:tabs>
        <w:bidi w:val="0"/>
        <w:spacing w:before="0" w:after="380" w:line="314" w:lineRule="exact"/>
        <w:ind w:left="0" w:right="0" w:firstLine="440"/>
        <w:jc w:val="both"/>
      </w:pPr>
      <w:bookmarkStart w:id="1786" w:name="bookmark1786"/>
      <w:bookmarkEnd w:id="1786"/>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w:t>
      </w:r>
      <w:r>
        <w:rPr>
          <w:color w:val="000000"/>
          <w:spacing w:val="0"/>
          <w:w w:val="100"/>
          <w:position w:val="0"/>
          <w:sz w:val="18"/>
          <w:szCs w:val="18"/>
        </w:rPr>
        <w:t>11</w:t>
      </w:r>
      <w:r>
        <w:rPr>
          <w:color w:val="000000"/>
          <w:spacing w:val="0"/>
          <w:w w:val="100"/>
          <w:position w:val="0"/>
        </w:rPr>
        <w:t>月杨一兵与交通银行股份有限公司杭州众安支行签订的《保证合同》，杨一兵为本公司与该银行签 订的期间为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日的合同提供最高额</w:t>
      </w:r>
      <w:r>
        <w:rPr>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万元的担保。截至</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0，</w:t>
      </w:r>
      <w:r>
        <w:rPr>
          <w:color w:val="000000"/>
          <w:spacing w:val="0"/>
          <w:w w:val="100"/>
          <w:position w:val="0"/>
        </w:rPr>
        <w:t>本公司在该担保 项下尚未到期的应付票据余额</w:t>
      </w:r>
      <w:r>
        <w:rPr>
          <w:color w:val="000000"/>
          <w:spacing w:val="0"/>
          <w:w w:val="100"/>
          <w:position w:val="0"/>
          <w:sz w:val="18"/>
          <w:szCs w:val="18"/>
        </w:rPr>
        <w:t xml:space="preserve">80. </w:t>
      </w:r>
      <w:r>
        <w:rPr>
          <w:color w:val="000000"/>
          <w:spacing w:val="0"/>
          <w:w w:val="100"/>
          <w:position w:val="0"/>
          <w:sz w:val="18"/>
          <w:szCs w:val="18"/>
        </w:rPr>
        <w:t>28</w:t>
      </w:r>
      <w:r>
        <w:rPr>
          <w:color w:val="000000"/>
          <w:spacing w:val="0"/>
          <w:w w:val="100"/>
          <w:position w:val="0"/>
        </w:rPr>
        <w:t>万元，该等票据同时由本公司在该银行缴存</w:t>
      </w:r>
      <w:r>
        <w:rPr>
          <w:color w:val="000000"/>
          <w:spacing w:val="0"/>
          <w:w w:val="100"/>
          <w:position w:val="0"/>
          <w:sz w:val="18"/>
          <w:szCs w:val="18"/>
        </w:rPr>
        <w:t>16.06</w:t>
      </w:r>
      <w:r>
        <w:rPr>
          <w:color w:val="000000"/>
          <w:spacing w:val="0"/>
          <w:w w:val="100"/>
          <w:position w:val="0"/>
        </w:rPr>
        <w:t>万元保证金存款。</w:t>
      </w:r>
    </w:p>
    <w:p>
      <w:pPr>
        <w:pStyle w:val="Style37"/>
        <w:keepNext/>
        <w:keepLines/>
        <w:widowControl w:val="0"/>
        <w:numPr>
          <w:ilvl w:val="0"/>
          <w:numId w:val="95"/>
        </w:numPr>
        <w:shd w:val="clear" w:color="auto" w:fill="auto"/>
        <w:bidi w:val="0"/>
        <w:spacing w:before="0" w:after="280" w:line="240" w:lineRule="auto"/>
        <w:ind w:left="0" w:right="0" w:firstLine="0"/>
        <w:jc w:val="left"/>
      </w:pPr>
      <w:bookmarkStart w:id="1787" w:name="bookmark1787"/>
      <w:bookmarkStart w:id="1788" w:name="bookmark1788"/>
      <w:bookmarkStart w:id="1789" w:name="bookmark1789"/>
      <w:bookmarkStart w:id="1790" w:name="bookmark1790"/>
      <w:bookmarkEnd w:id="1789"/>
      <w:r>
        <w:rPr>
          <w:color w:val="000000"/>
          <w:spacing w:val="0"/>
          <w:w w:val="100"/>
          <w:position w:val="0"/>
        </w:rPr>
        <w:t>关联方资金拆借</w:t>
      </w:r>
      <w:bookmarkEnd w:id="1787"/>
      <w:bookmarkEnd w:id="1788"/>
      <w:bookmarkEnd w:id="1790"/>
    </w:p>
    <w:p>
      <w:pPr>
        <w:pStyle w:val="Style26"/>
        <w:keepNext w:val="0"/>
        <w:keepLines w:val="0"/>
        <w:widowControl w:val="0"/>
        <w:shd w:val="clear" w:color="auto" w:fill="auto"/>
        <w:bidi w:val="0"/>
        <w:spacing w:before="0" w:after="120" w:line="313" w:lineRule="exact"/>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91"/>
      <w:bookmarkEnd w:id="1792"/>
      <w:bookmarkEnd w:id="179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w:t>
      </w:r>
      <w:bookmarkEnd w:id="1797"/>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795"/>
      <w:bookmarkEnd w:id="1796"/>
      <w:bookmarkEnd w:id="179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6,293,300.00</w:t>
            </w:r>
          </w:p>
        </w:tc>
      </w:tr>
    </w:tbl>
    <w:p>
      <w:pPr>
        <w:widowControl w:val="0"/>
        <w:spacing w:after="259" w:line="1" w:lineRule="exact"/>
      </w:pPr>
    </w:p>
    <w:p>
      <w:pPr>
        <w:pStyle w:val="Style37"/>
        <w:keepNext/>
        <w:keepLines/>
        <w:widowControl w:val="0"/>
        <w:shd w:val="clear" w:color="auto" w:fill="auto"/>
        <w:bidi w:val="0"/>
        <w:spacing w:before="0" w:after="260" w:line="314" w:lineRule="exact"/>
        <w:ind w:left="0" w:right="0" w:firstLine="0"/>
        <w:jc w:val="both"/>
      </w:pPr>
      <w:bookmarkStart w:id="1799" w:name="bookmark1799"/>
      <w:bookmarkStart w:id="1800" w:name="bookmark1800"/>
      <w:bookmarkStart w:id="1801" w:name="bookmark1801"/>
      <w:bookmarkStart w:id="1802" w:name="bookmark1802"/>
      <w:r>
        <w:rPr>
          <w:color w:val="000000"/>
          <w:spacing w:val="0"/>
          <w:w w:val="100"/>
          <w:position w:val="0"/>
        </w:rPr>
        <w:t>（</w:t>
      </w:r>
      <w:bookmarkEnd w:id="180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99"/>
      <w:bookmarkEnd w:id="1800"/>
      <w:bookmarkEnd w:id="1802"/>
    </w:p>
    <w:p>
      <w:pPr>
        <w:pStyle w:val="Style61"/>
        <w:keepNext w:val="0"/>
        <w:keepLines w:val="0"/>
        <w:widowControl w:val="0"/>
        <w:shd w:val="clear" w:color="auto" w:fill="auto"/>
        <w:bidi w:val="0"/>
        <w:spacing w:before="0" w:after="600" w:line="314" w:lineRule="exact"/>
        <w:ind w:left="0" w:right="0" w:firstLine="0"/>
        <w:jc w:val="both"/>
        <w:rPr>
          <w:sz w:val="20"/>
          <w:szCs w:val="20"/>
        </w:rPr>
      </w:pPr>
      <w:r>
        <w:rPr>
          <w:rFonts w:ascii="Tahoma" w:eastAsia="Tahoma" w:hAnsi="Tahoma" w:cs="Tahoma"/>
          <w:color w:val="000000"/>
          <w:spacing w:val="0"/>
          <w:w w:val="100"/>
          <w:position w:val="0"/>
          <w:sz w:val="19"/>
          <w:szCs w:val="19"/>
        </w:rPr>
        <w:t>2020</w:t>
      </w:r>
      <w:r>
        <w:rPr>
          <w:color w:val="000000"/>
          <w:spacing w:val="0"/>
          <w:w w:val="100"/>
          <w:position w:val="0"/>
          <w:sz w:val="20"/>
          <w:szCs w:val="20"/>
        </w:rPr>
        <w:t>年</w:t>
      </w:r>
      <w:r>
        <w:rPr>
          <w:rFonts w:ascii="Tahoma" w:eastAsia="Tahoma" w:hAnsi="Tahoma" w:cs="Tahoma"/>
          <w:color w:val="000000"/>
          <w:spacing w:val="0"/>
          <w:w w:val="100"/>
          <w:position w:val="0"/>
          <w:sz w:val="19"/>
          <w:szCs w:val="19"/>
        </w:rPr>
        <w:t>9</w:t>
      </w:r>
      <w:r>
        <w:rPr>
          <w:color w:val="000000"/>
          <w:spacing w:val="0"/>
          <w:w w:val="100"/>
          <w:position w:val="0"/>
          <w:sz w:val="20"/>
          <w:szCs w:val="20"/>
        </w:rPr>
        <w:t>月，本公司与杭州磐源投资有限公司共同出资设立和仁智慧健康科技有限公司，和仁智慧健康科 技有限公司注册资本人民币</w:t>
      </w:r>
      <w:r>
        <w:rPr>
          <w:rFonts w:ascii="Tahoma" w:eastAsia="Tahoma" w:hAnsi="Tahoma" w:cs="Tahoma"/>
          <w:color w:val="000000"/>
          <w:spacing w:val="0"/>
          <w:w w:val="100"/>
          <w:position w:val="0"/>
          <w:sz w:val="19"/>
          <w:szCs w:val="19"/>
        </w:rPr>
        <w:t>5</w:t>
      </w:r>
      <w:r>
        <w:rPr>
          <w:rFonts w:ascii="Times New Roman" w:eastAsia="Times New Roman" w:hAnsi="Times New Roman" w:cs="Times New Roman"/>
          <w:color w:val="000000"/>
          <w:spacing w:val="0"/>
          <w:w w:val="100"/>
          <w:position w:val="0"/>
          <w:sz w:val="20"/>
          <w:szCs w:val="20"/>
        </w:rPr>
        <w:t>,000.00</w:t>
      </w:r>
      <w:r>
        <w:rPr>
          <w:color w:val="000000"/>
          <w:spacing w:val="0"/>
          <w:w w:val="100"/>
          <w:position w:val="0"/>
          <w:sz w:val="20"/>
          <w:szCs w:val="20"/>
        </w:rPr>
        <w:t>万元，本公司认缴</w:t>
      </w:r>
      <w:r>
        <w:rPr>
          <w:rFonts w:ascii="Tahoma" w:eastAsia="Tahoma" w:hAnsi="Tahoma" w:cs="Tahoma"/>
          <w:color w:val="000000"/>
          <w:spacing w:val="0"/>
          <w:w w:val="100"/>
          <w:position w:val="0"/>
          <w:sz w:val="19"/>
          <w:szCs w:val="19"/>
        </w:rPr>
        <w:t>25</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万元，占注册资本的</w:t>
      </w:r>
      <w:r>
        <w:rPr>
          <w:rFonts w:ascii="Tahoma" w:eastAsia="Tahoma" w:hAnsi="Tahoma" w:cs="Tahoma"/>
          <w:color w:val="000000"/>
          <w:spacing w:val="0"/>
          <w:w w:val="100"/>
          <w:position w:val="0"/>
          <w:sz w:val="19"/>
          <w:szCs w:val="19"/>
        </w:rPr>
        <w:t>5.00%</w:t>
      </w:r>
      <w:r>
        <w:rPr>
          <w:color w:val="000000"/>
          <w:spacing w:val="0"/>
          <w:w w:val="100"/>
          <w:position w:val="0"/>
          <w:sz w:val="20"/>
          <w:szCs w:val="20"/>
        </w:rPr>
        <w:t>，杭州磐源投资有 限公司认缴</w:t>
      </w:r>
      <w:r>
        <w:rPr>
          <w:rFonts w:ascii="Tahoma" w:eastAsia="Tahoma" w:hAnsi="Tahoma" w:cs="Tahoma"/>
          <w:color w:val="000000"/>
          <w:spacing w:val="0"/>
          <w:w w:val="100"/>
          <w:position w:val="0"/>
          <w:sz w:val="19"/>
          <w:szCs w:val="19"/>
        </w:rPr>
        <w:t>4</w:t>
      </w:r>
      <w:r>
        <w:rPr>
          <w:rFonts w:ascii="Times New Roman" w:eastAsia="Times New Roman" w:hAnsi="Times New Roman" w:cs="Times New Roman"/>
          <w:color w:val="000000"/>
          <w:spacing w:val="0"/>
          <w:w w:val="100"/>
          <w:position w:val="0"/>
          <w:sz w:val="20"/>
          <w:szCs w:val="20"/>
        </w:rPr>
        <w:t>,</w:t>
      </w:r>
      <w:r>
        <w:rPr>
          <w:rFonts w:ascii="Tahoma" w:eastAsia="Tahoma" w:hAnsi="Tahoma" w:cs="Tahoma"/>
          <w:color w:val="000000"/>
          <w:spacing w:val="0"/>
          <w:w w:val="100"/>
          <w:position w:val="0"/>
          <w:sz w:val="19"/>
          <w:szCs w:val="19"/>
        </w:rPr>
        <w:t>750.00</w:t>
      </w:r>
      <w:r>
        <w:rPr>
          <w:color w:val="000000"/>
          <w:spacing w:val="0"/>
          <w:w w:val="100"/>
          <w:position w:val="0"/>
          <w:sz w:val="20"/>
          <w:szCs w:val="20"/>
        </w:rPr>
        <w:t>万元，占注册资本的</w:t>
      </w:r>
      <w:r>
        <w:rPr>
          <w:rFonts w:ascii="Tahoma" w:eastAsia="Tahoma" w:hAnsi="Tahoma" w:cs="Tahoma"/>
          <w:color w:val="000000"/>
          <w:spacing w:val="0"/>
          <w:w w:val="100"/>
          <w:position w:val="0"/>
          <w:sz w:val="19"/>
          <w:szCs w:val="19"/>
        </w:rPr>
        <w:t>95.00%</w:t>
      </w:r>
      <w:r>
        <w:rPr>
          <w:color w:val="000000"/>
          <w:spacing w:val="0"/>
          <w:w w:val="100"/>
          <w:position w:val="0"/>
          <w:sz w:val="20"/>
          <w:szCs w:val="20"/>
        </w:rPr>
        <w:t>。</w:t>
      </w:r>
    </w:p>
    <w:p>
      <w:pPr>
        <w:pStyle w:val="Style30"/>
        <w:keepNext/>
        <w:keepLines/>
        <w:widowControl w:val="0"/>
        <w:shd w:val="clear" w:color="auto" w:fill="auto"/>
        <w:bidi w:val="0"/>
        <w:spacing w:before="0" w:after="320" w:line="314" w:lineRule="exact"/>
        <w:ind w:left="0" w:right="0" w:firstLine="0"/>
        <w:jc w:val="both"/>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6</w:t>
      </w:r>
      <w:bookmarkEnd w:id="1805"/>
      <w:r>
        <w:rPr>
          <w:color w:val="000000"/>
          <w:spacing w:val="0"/>
          <w:w w:val="100"/>
          <w:position w:val="0"/>
        </w:rPr>
        <w:t>、关联方应收应付款项</w:t>
      </w:r>
      <w:bookmarkEnd w:id="1803"/>
      <w:bookmarkEnd w:id="1804"/>
      <w:bookmarkEnd w:id="1806"/>
    </w:p>
    <w:p>
      <w:pPr>
        <w:pStyle w:val="Style37"/>
        <w:keepNext/>
        <w:keepLines/>
        <w:widowControl w:val="0"/>
        <w:shd w:val="clear" w:color="auto" w:fill="auto"/>
        <w:bidi w:val="0"/>
        <w:spacing w:before="0" w:line="314" w:lineRule="exact"/>
        <w:ind w:left="0" w:right="0" w:firstLine="0"/>
        <w:jc w:val="both"/>
      </w:pPr>
      <w:bookmarkStart w:id="1807" w:name="bookmark1807"/>
      <w:bookmarkStart w:id="1808" w:name="bookmark1808"/>
      <w:bookmarkStart w:id="1809" w:name="bookmark18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07"/>
      <w:bookmarkEnd w:id="1808"/>
      <w:bookmarkEnd w:id="180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8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both"/>
      </w:pPr>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10"/>
      <w:bookmarkEnd w:id="1811"/>
      <w:bookmarkEnd w:id="181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杭州磐源投资有限公司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26,890.16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7</w:t>
      </w:r>
      <w:bookmarkEnd w:id="1815"/>
      <w:r>
        <w:rPr>
          <w:color w:val="000000"/>
          <w:spacing w:val="0"/>
          <w:w w:val="100"/>
          <w:position w:val="0"/>
        </w:rPr>
        <w:t>、关联方承诺</w:t>
      </w:r>
      <w:bookmarkEnd w:id="1813"/>
      <w:bookmarkEnd w:id="1814"/>
      <w:bookmarkEnd w:id="1816"/>
    </w:p>
    <w:p>
      <w:pPr>
        <w:pStyle w:val="Style30"/>
        <w:keepNext/>
        <w:keepLines/>
        <w:widowControl w:val="0"/>
        <w:shd w:val="clear" w:color="auto" w:fill="auto"/>
        <w:bidi w:val="0"/>
        <w:spacing w:before="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8</w:t>
      </w:r>
      <w:bookmarkEnd w:id="1819"/>
      <w:r>
        <w:rPr>
          <w:color w:val="000000"/>
          <w:spacing w:val="0"/>
          <w:w w:val="100"/>
          <w:position w:val="0"/>
        </w:rPr>
        <w:t>、其他</w:t>
      </w:r>
      <w:bookmarkEnd w:id="1817"/>
      <w:bookmarkEnd w:id="1818"/>
      <w:bookmarkEnd w:id="1820"/>
    </w:p>
    <w:p>
      <w:pPr>
        <w:pStyle w:val="Style22"/>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r>
        <w:rPr>
          <w:color w:val="000000"/>
          <w:spacing w:val="0"/>
          <w:w w:val="100"/>
          <w:position w:val="0"/>
          <w:sz w:val="24"/>
          <w:szCs w:val="24"/>
        </w:rPr>
        <w:t>十三、股份支付</w:t>
      </w:r>
      <w:bookmarkEnd w:id="1821"/>
      <w:bookmarkEnd w:id="1822"/>
      <w:bookmarkEnd w:id="1823"/>
    </w:p>
    <w:p>
      <w:pPr>
        <w:pStyle w:val="Style30"/>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24"/>
      <w:bookmarkEnd w:id="1825"/>
      <w:bookmarkEnd w:id="1826"/>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115,500.00</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年度授予的限制性股票授予价格</w:t>
            </w:r>
            <w:r>
              <w:rPr>
                <w:rFonts w:ascii="Times New Roman" w:eastAsia="Times New Roman" w:hAnsi="Times New Roman" w:cs="Times New Roman"/>
                <w:color w:val="000000"/>
                <w:spacing w:val="0"/>
                <w:w w:val="100"/>
                <w:position w:val="0"/>
                <w:sz w:val="18"/>
                <w:szCs w:val="18"/>
              </w:rPr>
              <w:t>16.53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 自授予的限制性股票登记完成之日起分四年解锁；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年度授予的限制性股票授予价格</w:t>
            </w:r>
            <w:r>
              <w:rPr>
                <w:rFonts w:ascii="Times New Roman" w:eastAsia="Times New Roman" w:hAnsi="Times New Roman" w:cs="Times New Roman"/>
                <w:color w:val="000000"/>
                <w:spacing w:val="0"/>
                <w:w w:val="100"/>
                <w:position w:val="0"/>
                <w:sz w:val="18"/>
                <w:szCs w:val="18"/>
              </w:rPr>
              <w:t>24.18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自授予的限制性股票登记完成之日起分四年解锁</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27"/>
      <w:bookmarkEnd w:id="1828"/>
      <w:bookmarkEnd w:id="182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公司采用授予日市价确定限制性股票的公允价值，限制 性股票成本由限制性股票公允价值减去限制性股票授予 价格确定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按各解锁期的业绩条件估计确定</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40,492,233.33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5,825,150.00</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3</w:t>
      </w:r>
      <w:bookmarkEnd w:id="1832"/>
      <w:r>
        <w:rPr>
          <w:color w:val="000000"/>
          <w:spacing w:val="0"/>
          <w:w w:val="100"/>
          <w:position w:val="0"/>
        </w:rPr>
        <w:t>、以现金结算的股份支付情况</w:t>
      </w:r>
      <w:bookmarkEnd w:id="1830"/>
      <w:bookmarkEnd w:id="1831"/>
      <w:bookmarkEnd w:id="183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4</w:t>
      </w:r>
      <w:bookmarkEnd w:id="1836"/>
      <w:r>
        <w:rPr>
          <w:color w:val="000000"/>
          <w:spacing w:val="0"/>
          <w:w w:val="100"/>
          <w:position w:val="0"/>
        </w:rPr>
        <w:t>、股份支付的修改、终止情况</w:t>
      </w:r>
      <w:bookmarkEnd w:id="1834"/>
      <w:bookmarkEnd w:id="1835"/>
      <w:bookmarkEnd w:id="1837"/>
    </w:p>
    <w:p>
      <w:pPr>
        <w:pStyle w:val="Style30"/>
        <w:keepNext/>
        <w:keepLines/>
        <w:widowControl w:val="0"/>
        <w:shd w:val="clear" w:color="auto" w:fill="auto"/>
        <w:bidi w:val="0"/>
        <w:spacing w:before="0" w:line="240" w:lineRule="auto"/>
        <w:ind w:left="0" w:right="0" w:firstLine="0"/>
        <w:jc w:val="both"/>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5</w:t>
      </w:r>
      <w:bookmarkEnd w:id="1840"/>
      <w:r>
        <w:rPr>
          <w:color w:val="000000"/>
          <w:spacing w:val="0"/>
          <w:w w:val="100"/>
          <w:position w:val="0"/>
        </w:rPr>
        <w:t>、其他</w:t>
      </w:r>
      <w:bookmarkEnd w:id="1838"/>
      <w:bookmarkEnd w:id="1839"/>
      <w:bookmarkEnd w:id="1841"/>
    </w:p>
    <w:p>
      <w:pPr>
        <w:pStyle w:val="Style22"/>
        <w:keepNext/>
        <w:keepLines/>
        <w:widowControl w:val="0"/>
        <w:shd w:val="clear" w:color="auto" w:fill="auto"/>
        <w:bidi w:val="0"/>
        <w:spacing w:before="0" w:line="240" w:lineRule="auto"/>
        <w:ind w:left="0" w:right="0" w:firstLine="0"/>
        <w:jc w:val="both"/>
      </w:pPr>
      <w:bookmarkStart w:id="1842" w:name="bookmark1842"/>
      <w:bookmarkStart w:id="1843" w:name="bookmark1843"/>
      <w:bookmarkStart w:id="1844" w:name="bookmark1844"/>
      <w:r>
        <w:rPr>
          <w:color w:val="000000"/>
          <w:spacing w:val="0"/>
          <w:w w:val="100"/>
          <w:position w:val="0"/>
          <w:sz w:val="24"/>
          <w:szCs w:val="24"/>
        </w:rPr>
        <w:t>十四、承诺及或有事项</w:t>
      </w:r>
      <w:bookmarkEnd w:id="1842"/>
      <w:bookmarkEnd w:id="1843"/>
      <w:bookmarkEnd w:id="1844"/>
    </w:p>
    <w:p>
      <w:pPr>
        <w:pStyle w:val="Style30"/>
        <w:keepNext/>
        <w:keepLines/>
        <w:widowControl w:val="0"/>
        <w:shd w:val="clear" w:color="auto" w:fill="auto"/>
        <w:tabs>
          <w:tab w:pos="368" w:val="left"/>
        </w:tabs>
        <w:bidi w:val="0"/>
        <w:spacing w:before="0" w:line="240" w:lineRule="auto"/>
        <w:ind w:left="0" w:right="0" w:firstLine="0"/>
        <w:jc w:val="both"/>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1</w:t>
      </w:r>
      <w:bookmarkEnd w:id="1847"/>
      <w:r>
        <w:rPr>
          <w:color w:val="000000"/>
          <w:spacing w:val="0"/>
          <w:w w:val="100"/>
          <w:position w:val="0"/>
        </w:rPr>
        <w:t>、</w:t>
        <w:tab/>
        <w:t>重要承诺事项</w:t>
      </w:r>
      <w:bookmarkEnd w:id="1845"/>
      <w:bookmarkEnd w:id="1846"/>
      <w:bookmarkEnd w:id="1848"/>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资产负债表日存在的重要承诺</w:t>
      </w:r>
    </w:p>
    <w:p>
      <w:pPr>
        <w:pStyle w:val="Style61"/>
        <w:keepNext w:val="0"/>
        <w:keepLines w:val="0"/>
        <w:widowControl w:val="0"/>
        <w:shd w:val="clear" w:color="auto" w:fill="auto"/>
        <w:bidi w:val="0"/>
        <w:spacing w:before="0" w:after="980" w:line="240" w:lineRule="auto"/>
        <w:ind w:left="0" w:right="0" w:firstLine="0"/>
        <w:jc w:val="both"/>
        <w:rPr>
          <w:sz w:val="20"/>
          <w:szCs w:val="20"/>
        </w:rPr>
      </w:pPr>
      <w:r>
        <w:rPr>
          <w:color w:val="000000"/>
          <w:spacing w:val="0"/>
          <w:w w:val="100"/>
          <w:position w:val="0"/>
          <w:sz w:val="20"/>
          <w:szCs w:val="20"/>
        </w:rPr>
        <w:t>截至资产负债表日，本公司不存在需要披露的重要承诺事项。</w:t>
      </w:r>
    </w:p>
    <w:p>
      <w:pPr>
        <w:pStyle w:val="Style30"/>
        <w:keepNext/>
        <w:keepLines/>
        <w:widowControl w:val="0"/>
        <w:shd w:val="clear" w:color="auto" w:fill="auto"/>
        <w:tabs>
          <w:tab w:pos="378" w:val="left"/>
        </w:tabs>
        <w:bidi w:val="0"/>
        <w:spacing w:before="0" w:line="240" w:lineRule="auto"/>
        <w:ind w:left="0" w:right="0" w:firstLine="0"/>
        <w:jc w:val="both"/>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2</w:t>
      </w:r>
      <w:bookmarkEnd w:id="1851"/>
      <w:r>
        <w:rPr>
          <w:color w:val="000000"/>
          <w:spacing w:val="0"/>
          <w:w w:val="100"/>
          <w:position w:val="0"/>
        </w:rPr>
        <w:t>、</w:t>
        <w:tab/>
        <w:t>或有事项</w:t>
      </w:r>
      <w:bookmarkEnd w:id="1849"/>
      <w:bookmarkEnd w:id="1850"/>
      <w:bookmarkEnd w:id="1852"/>
    </w:p>
    <w:p>
      <w:pPr>
        <w:pStyle w:val="Style37"/>
        <w:keepNext/>
        <w:keepLines/>
        <w:widowControl w:val="0"/>
        <w:shd w:val="clear" w:color="auto" w:fill="auto"/>
        <w:tabs>
          <w:tab w:pos="493" w:val="left"/>
        </w:tabs>
        <w:bidi w:val="0"/>
        <w:spacing w:before="0" w:after="360" w:line="240" w:lineRule="auto"/>
        <w:ind w:left="0" w:right="0" w:firstLine="0"/>
        <w:jc w:val="both"/>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53"/>
      <w:bookmarkEnd w:id="1854"/>
      <w:bookmarkEnd w:id="1856"/>
    </w:p>
    <w:p>
      <w:pPr>
        <w:pStyle w:val="Style61"/>
        <w:keepNext w:val="0"/>
        <w:keepLines w:val="0"/>
        <w:widowControl w:val="0"/>
        <w:shd w:val="clear" w:color="auto" w:fill="auto"/>
        <w:bidi w:val="0"/>
        <w:spacing w:before="0" w:after="680" w:line="240" w:lineRule="auto"/>
        <w:ind w:left="0" w:right="0" w:firstLine="0"/>
        <w:jc w:val="both"/>
        <w:rPr>
          <w:sz w:val="20"/>
          <w:szCs w:val="20"/>
        </w:rPr>
      </w:pPr>
      <w:r>
        <w:rPr>
          <w:color w:val="000000"/>
          <w:spacing w:val="0"/>
          <w:w w:val="100"/>
          <w:position w:val="0"/>
          <w:sz w:val="20"/>
          <w:szCs w:val="20"/>
        </w:rPr>
        <w:t>截至资产负债表日，本公司不存在需要披露的重要承诺事项。</w:t>
      </w:r>
    </w:p>
    <w:p>
      <w:pPr>
        <w:pStyle w:val="Style37"/>
        <w:keepNext/>
        <w:keepLines/>
        <w:widowControl w:val="0"/>
        <w:shd w:val="clear" w:color="auto" w:fill="auto"/>
        <w:tabs>
          <w:tab w:pos="493" w:val="left"/>
        </w:tabs>
        <w:bidi w:val="0"/>
        <w:spacing w:before="0" w:after="360" w:line="240" w:lineRule="auto"/>
        <w:ind w:left="0" w:right="0" w:firstLine="0"/>
        <w:jc w:val="both"/>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857"/>
      <w:bookmarkEnd w:id="1858"/>
      <w:bookmarkEnd w:id="1860"/>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公司不存在需要披露的重要或有事项。</w:t>
      </w:r>
    </w:p>
    <w:p>
      <w:pPr>
        <w:pStyle w:val="Style30"/>
        <w:keepNext/>
        <w:keepLines/>
        <w:widowControl w:val="0"/>
        <w:shd w:val="clear" w:color="auto" w:fill="auto"/>
        <w:tabs>
          <w:tab w:pos="378" w:val="left"/>
        </w:tabs>
        <w:bidi w:val="0"/>
        <w:spacing w:before="0" w:after="1260" w:line="240" w:lineRule="auto"/>
        <w:ind w:left="0" w:right="0" w:firstLine="0"/>
        <w:jc w:val="both"/>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3</w:t>
      </w:r>
      <w:bookmarkEnd w:id="1863"/>
      <w:r>
        <w:rPr>
          <w:color w:val="000000"/>
          <w:spacing w:val="0"/>
          <w:w w:val="100"/>
          <w:position w:val="0"/>
        </w:rPr>
        <w:t>、</w:t>
        <w:tab/>
        <w:t>其他</w:t>
      </w:r>
      <w:bookmarkEnd w:id="1861"/>
      <w:bookmarkEnd w:id="1862"/>
      <w:bookmarkEnd w:id="1864"/>
    </w:p>
    <w:p>
      <w:pPr>
        <w:pStyle w:val="Style22"/>
        <w:keepNext/>
        <w:keepLines/>
        <w:widowControl w:val="0"/>
        <w:shd w:val="clear" w:color="auto" w:fill="auto"/>
        <w:bidi w:val="0"/>
        <w:spacing w:before="0" w:line="240" w:lineRule="auto"/>
        <w:ind w:left="0" w:right="0" w:firstLine="0"/>
        <w:jc w:val="both"/>
      </w:pPr>
      <w:bookmarkStart w:id="1865" w:name="bookmark1865"/>
      <w:bookmarkStart w:id="1866" w:name="bookmark1866"/>
      <w:bookmarkStart w:id="1867" w:name="bookmark1867"/>
      <w:r>
        <w:rPr>
          <w:color w:val="000000"/>
          <w:spacing w:val="0"/>
          <w:w w:val="100"/>
          <w:position w:val="0"/>
          <w:sz w:val="24"/>
          <w:szCs w:val="24"/>
        </w:rPr>
        <w:t>十五、资产负债表日后事项</w:t>
      </w:r>
      <w:bookmarkEnd w:id="1865"/>
      <w:bookmarkEnd w:id="1866"/>
      <w:bookmarkEnd w:id="1867"/>
    </w:p>
    <w:p>
      <w:pPr>
        <w:pStyle w:val="Style30"/>
        <w:keepNext/>
        <w:keepLines/>
        <w:widowControl w:val="0"/>
        <w:shd w:val="clear" w:color="auto" w:fill="auto"/>
        <w:bidi w:val="0"/>
        <w:spacing w:before="0" w:line="240" w:lineRule="auto"/>
        <w:ind w:left="0" w:right="0" w:firstLine="0"/>
        <w:jc w:val="both"/>
      </w:pPr>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868"/>
      <w:bookmarkEnd w:id="1869"/>
      <w:bookmarkEnd w:id="187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032"/>
        <w:gridCol w:w="25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6,624,886.03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6,624,886.03</w:t>
            </w:r>
          </w:p>
        </w:tc>
      </w:tr>
    </w:tbl>
    <w:p>
      <w:pPr>
        <w:sectPr>
          <w:footnotePr>
            <w:pos w:val="pageBottom"/>
            <w:numFmt w:val="decimal"/>
            <w:numRestart w:val="continuous"/>
          </w:footnotePr>
          <w:pgSz w:w="11900" w:h="16840"/>
          <w:pgMar w:top="1190" w:right="1034" w:bottom="1413" w:left="1026" w:header="0" w:footer="3" w:gutter="0"/>
          <w:cols w:space="720"/>
          <w:noEndnote/>
          <w:rtlGutter w:val="0"/>
          <w:docGrid w:linePitch="360"/>
        </w:sectPr>
      </w:pPr>
    </w:p>
    <w:p>
      <w:pPr>
        <w:pStyle w:val="Style30"/>
        <w:keepNext/>
        <w:keepLines/>
        <w:widowControl w:val="0"/>
        <w:shd w:val="clear" w:color="auto" w:fill="auto"/>
        <w:bidi w:val="0"/>
        <w:spacing w:before="0" w:line="240" w:lineRule="auto"/>
        <w:ind w:left="0" w:right="0" w:firstLine="0"/>
        <w:jc w:val="left"/>
      </w:pPr>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871"/>
      <w:bookmarkEnd w:id="1872"/>
      <w:bookmarkEnd w:id="1873"/>
    </w:p>
    <w:p>
      <w:pPr>
        <w:pStyle w:val="Style22"/>
        <w:keepNext/>
        <w:keepLines/>
        <w:widowControl w:val="0"/>
        <w:shd w:val="clear" w:color="auto" w:fill="auto"/>
        <w:bidi w:val="0"/>
        <w:spacing w:before="0" w:line="240" w:lineRule="auto"/>
        <w:ind w:left="0" w:right="0" w:firstLine="0"/>
        <w:jc w:val="left"/>
      </w:pPr>
      <w:bookmarkStart w:id="1874" w:name="bookmark1874"/>
      <w:bookmarkStart w:id="1875" w:name="bookmark1875"/>
      <w:bookmarkStart w:id="1876" w:name="bookmark1876"/>
      <w:r>
        <w:rPr>
          <w:color w:val="000000"/>
          <w:spacing w:val="0"/>
          <w:w w:val="100"/>
          <w:position w:val="0"/>
          <w:sz w:val="24"/>
          <w:szCs w:val="24"/>
        </w:rPr>
        <w:t>十六、其他重要事项</w:t>
      </w:r>
      <w:bookmarkEnd w:id="1874"/>
      <w:bookmarkEnd w:id="1875"/>
      <w:bookmarkEnd w:id="1876"/>
    </w:p>
    <w:p>
      <w:pPr>
        <w:pStyle w:val="Style30"/>
        <w:keepNext/>
        <w:keepLines/>
        <w:widowControl w:val="0"/>
        <w:shd w:val="clear" w:color="auto" w:fill="auto"/>
        <w:bidi w:val="0"/>
        <w:spacing w:before="0" w:line="240" w:lineRule="auto"/>
        <w:ind w:left="0" w:right="0" w:firstLine="0"/>
        <w:jc w:val="left"/>
      </w:pPr>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877"/>
      <w:bookmarkEnd w:id="1878"/>
      <w:bookmarkEnd w:id="1879"/>
    </w:p>
    <w:p>
      <w:pPr>
        <w:pStyle w:val="Style37"/>
        <w:keepNext/>
        <w:keepLines/>
        <w:widowControl w:val="0"/>
        <w:shd w:val="clear" w:color="auto" w:fill="auto"/>
        <w:tabs>
          <w:tab w:pos="493" w:val="left"/>
        </w:tabs>
        <w:bidi w:val="0"/>
        <w:spacing w:before="0" w:after="36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880"/>
      <w:bookmarkEnd w:id="1881"/>
      <w:bookmarkEnd w:id="1883"/>
    </w:p>
    <w:p>
      <w:pPr>
        <w:pStyle w:val="Style37"/>
        <w:keepNext/>
        <w:keepLines/>
        <w:widowControl w:val="0"/>
        <w:shd w:val="clear" w:color="auto" w:fill="auto"/>
        <w:tabs>
          <w:tab w:pos="493" w:val="left"/>
        </w:tabs>
        <w:bidi w:val="0"/>
        <w:spacing w:before="0" w:after="42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884"/>
      <w:bookmarkEnd w:id="1885"/>
      <w:bookmarkEnd w:id="188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7"/>
        <w:keepNext/>
        <w:keepLines/>
        <w:widowControl w:val="0"/>
        <w:shd w:val="clear" w:color="auto" w:fill="auto"/>
        <w:tabs>
          <w:tab w:pos="493" w:val="left"/>
        </w:tabs>
        <w:bidi w:val="0"/>
        <w:spacing w:before="0" w:after="36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888"/>
      <w:bookmarkEnd w:id="1889"/>
      <w:bookmarkEnd w:id="1891"/>
    </w:p>
    <w:p>
      <w:pPr>
        <w:pStyle w:val="Style61"/>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本公司不存在多种经营，且于境内经营，故无报告分部。</w:t>
      </w:r>
    </w:p>
    <w:p>
      <w:pPr>
        <w:pStyle w:val="Style37"/>
        <w:keepNext/>
        <w:keepLines/>
        <w:widowControl w:val="0"/>
        <w:shd w:val="clear" w:color="auto" w:fill="auto"/>
        <w:tabs>
          <w:tab w:pos="493" w:val="left"/>
        </w:tabs>
        <w:bidi w:val="0"/>
        <w:spacing w:before="0" w:after="36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892"/>
      <w:bookmarkEnd w:id="1893"/>
      <w:bookmarkEnd w:id="1895"/>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本公司按主要业务分类的主营业务收入及主营业务成本明细如下:</w:t>
      </w:r>
    </w:p>
    <w:tbl>
      <w:tblPr>
        <w:tblOverlap w:val="never"/>
        <w:jc w:val="left"/>
        <w:tblLayout w:type="fixed"/>
      </w:tblPr>
      <w:tblGrid>
        <w:gridCol w:w="1680"/>
        <w:gridCol w:w="2102"/>
        <w:gridCol w:w="1810"/>
        <w:gridCol w:w="1656"/>
        <w:gridCol w:w="176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医疗信息系统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数字化场景应用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rFonts w:ascii="Tahoma" w:eastAsia="Tahoma" w:hAnsi="Tahoma" w:cs="Tahoma"/>
                <w:color w:val="000000"/>
                <w:spacing w:val="0"/>
                <w:w w:val="100"/>
                <w:position w:val="0"/>
                <w:sz w:val="19"/>
                <w:szCs w:val="19"/>
              </w:rPr>
              <w:t>282,690,979.05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rFonts w:ascii="Tahoma" w:eastAsia="Tahoma" w:hAnsi="Tahoma" w:cs="Tahoma"/>
                <w:color w:val="000000"/>
                <w:spacing w:val="0"/>
                <w:w w:val="100"/>
                <w:position w:val="0"/>
                <w:sz w:val="19"/>
                <w:szCs w:val="19"/>
              </w:rPr>
              <w:t>127,514,885.03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Tahoma" w:eastAsia="Tahoma" w:hAnsi="Tahoma" w:cs="Tahoma"/>
                <w:color w:val="000000"/>
                <w:spacing w:val="0"/>
                <w:w w:val="100"/>
                <w:position w:val="0"/>
                <w:sz w:val="19"/>
                <w:szCs w:val="19"/>
              </w:rPr>
              <w:t>32,189,351.00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ahoma" w:eastAsia="Tahoma" w:hAnsi="Tahoma" w:cs="Tahoma"/>
                <w:color w:val="000000"/>
                <w:spacing w:val="0"/>
                <w:w w:val="100"/>
                <w:position w:val="0"/>
                <w:sz w:val="19"/>
                <w:szCs w:val="19"/>
              </w:rPr>
              <w:t>442,395,215.08</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rFonts w:ascii="Tahoma" w:eastAsia="Tahoma" w:hAnsi="Tahoma" w:cs="Tahoma"/>
                <w:color w:val="000000"/>
                <w:spacing w:val="0"/>
                <w:w w:val="100"/>
                <w:position w:val="0"/>
                <w:sz w:val="19"/>
                <w:szCs w:val="19"/>
              </w:rPr>
              <w:t>126,837,034.94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rFonts w:ascii="Tahoma" w:eastAsia="Tahoma" w:hAnsi="Tahoma" w:cs="Tahoma"/>
                <w:color w:val="000000"/>
                <w:spacing w:val="0"/>
                <w:w w:val="100"/>
                <w:position w:val="0"/>
                <w:sz w:val="19"/>
                <w:szCs w:val="19"/>
              </w:rPr>
              <w:t>110,990,397.37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Tahoma" w:eastAsia="Tahoma" w:hAnsi="Tahoma" w:cs="Tahoma"/>
                <w:color w:val="000000"/>
                <w:spacing w:val="0"/>
                <w:w w:val="100"/>
                <w:position w:val="0"/>
                <w:sz w:val="19"/>
                <w:szCs w:val="19"/>
              </w:rPr>
              <w:t xml:space="preserve">15,481,070. </w:t>
            </w:r>
            <w:r>
              <w:rPr>
                <w:rFonts w:ascii="Tahoma" w:eastAsia="Tahoma" w:hAnsi="Tahoma" w:cs="Tahoma"/>
                <w:color w:val="000000"/>
                <w:spacing w:val="0"/>
                <w:w w:val="100"/>
                <w:position w:val="0"/>
                <w:sz w:val="19"/>
                <w:szCs w:val="19"/>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ahoma" w:eastAsia="Tahoma" w:hAnsi="Tahoma" w:cs="Tahoma"/>
                <w:color w:val="000000"/>
                <w:spacing w:val="0"/>
                <w:w w:val="100"/>
                <w:position w:val="0"/>
                <w:sz w:val="19"/>
                <w:szCs w:val="19"/>
              </w:rPr>
              <w:t>253,308,502.87</w:t>
            </w:r>
          </w:p>
        </w:tc>
      </w:tr>
    </w:tbl>
    <w:p>
      <w:pPr>
        <w:widowControl w:val="0"/>
        <w:spacing w:after="639" w:line="1" w:lineRule="exact"/>
      </w:pPr>
    </w:p>
    <w:p>
      <w:pPr>
        <w:pStyle w:val="Style30"/>
        <w:keepNext/>
        <w:keepLines/>
        <w:widowControl w:val="0"/>
        <w:shd w:val="clear" w:color="auto" w:fill="auto"/>
        <w:tabs>
          <w:tab w:pos="382" w:val="left"/>
        </w:tabs>
        <w:bidi w:val="0"/>
        <w:spacing w:before="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2</w:t>
      </w:r>
      <w:bookmarkEnd w:id="1898"/>
      <w:r>
        <w:rPr>
          <w:color w:val="000000"/>
          <w:spacing w:val="0"/>
          <w:w w:val="100"/>
          <w:position w:val="0"/>
        </w:rPr>
        <w:t>、</w:t>
        <w:tab/>
        <w:t>其他对投资者决策有影响的重要交易和事项</w:t>
      </w:r>
      <w:bookmarkEnd w:id="1896"/>
      <w:bookmarkEnd w:id="1897"/>
      <w:bookmarkEnd w:id="1899"/>
    </w:p>
    <w:p>
      <w:pPr>
        <w:pStyle w:val="Style30"/>
        <w:keepNext/>
        <w:keepLines/>
        <w:widowControl w:val="0"/>
        <w:shd w:val="clear" w:color="auto" w:fill="auto"/>
        <w:tabs>
          <w:tab w:pos="382" w:val="left"/>
        </w:tabs>
        <w:bidi w:val="0"/>
        <w:spacing w:before="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3</w:t>
      </w:r>
      <w:bookmarkEnd w:id="1902"/>
      <w:r>
        <w:rPr>
          <w:color w:val="000000"/>
          <w:spacing w:val="0"/>
          <w:w w:val="100"/>
          <w:position w:val="0"/>
        </w:rPr>
        <w:t>、</w:t>
        <w:tab/>
        <w:t>其他</w:t>
      </w:r>
      <w:bookmarkEnd w:id="1900"/>
      <w:bookmarkEnd w:id="1901"/>
      <w:bookmarkEnd w:id="1903"/>
    </w:p>
    <w:p>
      <w:pPr>
        <w:pStyle w:val="Style22"/>
        <w:keepNext/>
        <w:keepLines/>
        <w:widowControl w:val="0"/>
        <w:shd w:val="clear" w:color="auto" w:fill="auto"/>
        <w:bidi w:val="0"/>
        <w:spacing w:before="0" w:line="240" w:lineRule="auto"/>
        <w:ind w:left="0" w:right="0" w:firstLine="0"/>
        <w:jc w:val="left"/>
      </w:pPr>
      <w:bookmarkStart w:id="1904" w:name="bookmark1904"/>
      <w:bookmarkStart w:id="1905" w:name="bookmark1905"/>
      <w:bookmarkStart w:id="1906" w:name="bookmark1906"/>
      <w:r>
        <w:rPr>
          <w:color w:val="000000"/>
          <w:spacing w:val="0"/>
          <w:w w:val="100"/>
          <w:position w:val="0"/>
          <w:sz w:val="24"/>
          <w:szCs w:val="24"/>
        </w:rPr>
        <w:t>十七、母公司财务报表主要项目注释</w:t>
      </w:r>
      <w:bookmarkEnd w:id="1904"/>
      <w:bookmarkEnd w:id="1905"/>
      <w:bookmarkEnd w:id="1906"/>
    </w:p>
    <w:p>
      <w:pPr>
        <w:pStyle w:val="Style30"/>
        <w:keepNext/>
        <w:keepLines/>
        <w:widowControl w:val="0"/>
        <w:shd w:val="clear" w:color="auto" w:fill="auto"/>
        <w:bidi w:val="0"/>
        <w:spacing w:before="0" w:line="240" w:lineRule="auto"/>
        <w:ind w:left="0" w:right="0" w:firstLine="0"/>
        <w:jc w:val="left"/>
      </w:pPr>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07"/>
      <w:bookmarkEnd w:id="1908"/>
      <w:bookmarkEnd w:id="1909"/>
    </w:p>
    <w:p>
      <w:pPr>
        <w:pStyle w:val="Style37"/>
        <w:keepNext/>
        <w:keepLines/>
        <w:widowControl w:val="0"/>
        <w:shd w:val="clear" w:color="auto" w:fill="auto"/>
        <w:bidi w:val="0"/>
        <w:spacing w:before="0" w:after="360" w:line="240" w:lineRule="auto"/>
        <w:ind w:left="0" w:right="0" w:firstLine="0"/>
        <w:jc w:val="left"/>
      </w:pPr>
      <w:bookmarkStart w:id="1910" w:name="bookmark1910"/>
      <w:bookmarkStart w:id="1911" w:name="bookmark1911"/>
      <w:bookmarkStart w:id="1912" w:name="bookmark19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10"/>
      <w:bookmarkEnd w:id="1911"/>
      <w:bookmarkEnd w:id="191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102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229,737,9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69,741,06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159,996,87</w:t>
            </w: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293,816,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95,780,0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198,036,2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229,737,9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159,996,87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20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确定该组合依据的说明：</w:t>
      </w:r>
    </w:p>
    <w:p>
      <w:pPr>
        <w:pStyle w:val="Style26"/>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1"/>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参考历史信用损失经验，结合当前状况以及对未来经济状况的预测，通过违约风险敞口和整个存续期预期 信用损失率，计算预期信用损失。对于应收外部客户账款组合，本公司认为相同账龄的客户具有类似预期 损失率。</w:t>
      </w:r>
    </w:p>
    <w:p>
      <w:pPr>
        <w:pStyle w:val="Style26"/>
        <w:keepNext w:val="0"/>
        <w:keepLines w:val="0"/>
        <w:widowControl w:val="0"/>
        <w:shd w:val="clear" w:color="auto" w:fill="auto"/>
        <w:bidi w:val="0"/>
        <w:spacing w:before="0" w:after="120" w:line="317" w:lineRule="exact"/>
        <w:ind w:left="0" w:right="0" w:firstLine="0"/>
        <w:jc w:val="both"/>
      </w:pPr>
      <w:r>
        <w:rPr>
          <w:color w:val="000000"/>
          <w:spacing w:val="0"/>
          <w:w w:val="100"/>
          <w:position w:val="0"/>
        </w:rPr>
        <w:t>按账龄披露</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112,531,656.54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59,635,297.57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31,240,068.90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90,409,272.74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17,165,789.37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8,168,992.85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65,074,490.52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293,816,295.75</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913" w:name="bookmark1913"/>
      <w:bookmarkStart w:id="1914" w:name="bookmark1914"/>
      <w:bookmarkStart w:id="1915" w:name="bookmark19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13"/>
      <w:bookmarkEnd w:id="1914"/>
      <w:bookmarkEnd w:id="1915"/>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5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69,741,066.93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26,039,005.80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95,780,072.73</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69,741,066.93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26,039,005.80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95,780,072.73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7"/>
        <w:keepNext/>
        <w:keepLines/>
        <w:widowControl w:val="0"/>
        <w:numPr>
          <w:ilvl w:val="0"/>
          <w:numId w:val="99"/>
        </w:numPr>
        <w:shd w:val="clear" w:color="auto" w:fill="auto"/>
        <w:bidi w:val="0"/>
        <w:spacing w:before="0" w:line="240" w:lineRule="auto"/>
        <w:ind w:left="0" w:right="0" w:firstLine="0"/>
        <w:jc w:val="left"/>
      </w:pPr>
      <w:bookmarkStart w:id="1916" w:name="bookmark1916"/>
      <w:bookmarkStart w:id="1917" w:name="bookmark1917"/>
      <w:bookmarkStart w:id="1918" w:name="bookmark1918"/>
      <w:bookmarkStart w:id="1919" w:name="bookmark1919"/>
      <w:bookmarkEnd w:id="1918"/>
      <w:r>
        <w:rPr>
          <w:color w:val="000000"/>
          <w:spacing w:val="0"/>
          <w:w w:val="100"/>
          <w:position w:val="0"/>
        </w:rPr>
        <w:t>本期实际核销的应收账款情况</w:t>
      </w:r>
      <w:bookmarkEnd w:id="1916"/>
      <w:bookmarkEnd w:id="1917"/>
      <w:bookmarkEnd w:id="191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7"/>
        <w:keepNext/>
        <w:keepLines/>
        <w:widowControl w:val="0"/>
        <w:numPr>
          <w:ilvl w:val="0"/>
          <w:numId w:val="99"/>
        </w:numPr>
        <w:shd w:val="clear" w:color="auto" w:fill="auto"/>
        <w:bidi w:val="0"/>
        <w:spacing w:before="0" w:line="240" w:lineRule="auto"/>
        <w:ind w:left="0" w:right="0" w:firstLine="0"/>
        <w:jc w:val="left"/>
      </w:pPr>
      <w:bookmarkStart w:id="1920" w:name="bookmark1920"/>
      <w:bookmarkStart w:id="1921" w:name="bookmark1921"/>
      <w:bookmarkStart w:id="1922" w:name="bookmark1922"/>
      <w:bookmarkStart w:id="1923" w:name="bookmark1923"/>
      <w:bookmarkEnd w:id="1922"/>
      <w:r>
        <w:rPr>
          <w:color w:val="000000"/>
          <w:spacing w:val="0"/>
          <w:w w:val="100"/>
          <w:position w:val="0"/>
        </w:rPr>
        <w:t>按欠款方归集的期末余额前五名的应收账款情况</w:t>
      </w:r>
      <w:bookmarkEnd w:id="1920"/>
      <w:bookmarkEnd w:id="1921"/>
      <w:bookmarkEnd w:id="192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56,236,620.20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53,675,543.17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45,974,050.00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1,379,221.50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43,787,340.00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2,634,310.20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22,082,224.52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6,719,140.87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16,134,613.86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1,613,461.39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184,214,848.58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62.70%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7"/>
        <w:keepNext/>
        <w:keepLines/>
        <w:widowControl w:val="0"/>
        <w:numPr>
          <w:ilvl w:val="0"/>
          <w:numId w:val="99"/>
        </w:numPr>
        <w:shd w:val="clear" w:color="auto" w:fill="auto"/>
        <w:tabs>
          <w:tab w:pos="493" w:val="left"/>
        </w:tabs>
        <w:bidi w:val="0"/>
        <w:spacing w:before="0" w:line="240" w:lineRule="auto"/>
        <w:ind w:left="0" w:right="0" w:firstLine="0"/>
        <w:jc w:val="left"/>
      </w:pPr>
      <w:bookmarkStart w:id="1924" w:name="bookmark1924"/>
      <w:bookmarkStart w:id="1925" w:name="bookmark1925"/>
      <w:bookmarkStart w:id="1926" w:name="bookmark1926"/>
      <w:bookmarkStart w:id="1927" w:name="bookmark1927"/>
      <w:bookmarkEnd w:id="1926"/>
      <w:r>
        <w:rPr>
          <w:color w:val="000000"/>
          <w:spacing w:val="0"/>
          <w:w w:val="100"/>
          <w:position w:val="0"/>
        </w:rPr>
        <w:t>因金融资产转移而终止确认的应收账款</w:t>
      </w:r>
      <w:bookmarkEnd w:id="1924"/>
      <w:bookmarkEnd w:id="1925"/>
      <w:bookmarkEnd w:id="192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numPr>
          <w:ilvl w:val="0"/>
          <w:numId w:val="99"/>
        </w:numPr>
        <w:shd w:val="clear" w:color="auto" w:fill="auto"/>
        <w:tabs>
          <w:tab w:pos="493" w:val="left"/>
        </w:tabs>
        <w:bidi w:val="0"/>
        <w:spacing w:before="0" w:line="240" w:lineRule="auto"/>
        <w:ind w:left="0" w:right="0" w:firstLine="0"/>
        <w:jc w:val="left"/>
      </w:pPr>
      <w:bookmarkStart w:id="1928" w:name="bookmark1928"/>
      <w:bookmarkStart w:id="1929" w:name="bookmark1929"/>
      <w:bookmarkStart w:id="1930" w:name="bookmark1930"/>
      <w:bookmarkStart w:id="1931" w:name="bookmark1931"/>
      <w:bookmarkEnd w:id="1930"/>
      <w:r>
        <w:rPr>
          <w:color w:val="000000"/>
          <w:spacing w:val="0"/>
          <w:w w:val="100"/>
          <w:position w:val="0"/>
        </w:rPr>
        <w:t>转移应收账款且继续涉入形成的资产、负债金额</w:t>
      </w:r>
      <w:bookmarkEnd w:id="1928"/>
      <w:bookmarkEnd w:id="1929"/>
      <w:bookmarkEnd w:id="193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32"/>
      <w:bookmarkEnd w:id="1933"/>
      <w:bookmarkEnd w:id="193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19,342,157.46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29,079,204.44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19,342,157.46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29,079,204.44</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both"/>
      </w:pPr>
      <w:bookmarkStart w:id="1935" w:name="bookmark1935"/>
      <w:bookmarkStart w:id="1936" w:name="bookmark1936"/>
      <w:bookmarkStart w:id="1937" w:name="bookmark19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35"/>
      <w:bookmarkEnd w:id="1936"/>
      <w:bookmarkEnd w:id="1937"/>
    </w:p>
    <w:p>
      <w:pPr>
        <w:pStyle w:val="Style77"/>
        <w:keepNext/>
        <w:keepLines/>
        <w:widowControl w:val="0"/>
        <w:shd w:val="clear" w:color="auto" w:fill="auto"/>
        <w:bidi w:val="0"/>
        <w:spacing w:before="0" w:after="360" w:line="240" w:lineRule="auto"/>
        <w:ind w:left="0" w:right="0" w:firstLine="0"/>
        <w:jc w:val="both"/>
      </w:pPr>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938"/>
      <w:bookmarkEnd w:id="1939"/>
      <w:bookmarkEnd w:id="194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2</w:t>
      </w:r>
      <w:bookmarkEnd w:id="1943"/>
      <w:r>
        <w:rPr>
          <w:color w:val="000000"/>
          <w:spacing w:val="0"/>
          <w:w w:val="100"/>
          <w:position w:val="0"/>
        </w:rPr>
        <w:t>）重要逾期利息</w:t>
      </w:r>
      <w:bookmarkEnd w:id="1941"/>
      <w:bookmarkEnd w:id="1942"/>
      <w:bookmarkEnd w:id="1944"/>
    </w:p>
    <w:tbl>
      <w:tblPr>
        <w:tblOverlap w:val="never"/>
        <w:jc w:val="center"/>
        <w:tblLayout w:type="fixed"/>
      </w:tblPr>
      <w:tblGrid>
        <w:gridCol w:w="1920"/>
        <w:gridCol w:w="1915"/>
        <w:gridCol w:w="1910"/>
        <w:gridCol w:w="1915"/>
        <w:gridCol w:w="115"/>
        <w:gridCol w:w="1694"/>
        <w:gridCol w:w="11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c>
          <w:tcPr>
            <w:tcBorders>
              <w:top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after="360" w:line="240" w:lineRule="auto"/>
        <w:ind w:left="0" w:right="0" w:firstLine="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3</w:t>
      </w:r>
      <w:bookmarkEnd w:id="1947"/>
      <w:r>
        <w:rPr>
          <w:color w:val="000000"/>
          <w:spacing w:val="0"/>
          <w:w w:val="100"/>
          <w:position w:val="0"/>
        </w:rPr>
        <w:t>）坏账准备计提情况</w:t>
      </w:r>
      <w:bookmarkEnd w:id="1945"/>
      <w:bookmarkEnd w:id="1946"/>
      <w:bookmarkEnd w:id="1948"/>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1949" w:name="bookmark1949"/>
      <w:bookmarkStart w:id="1950" w:name="bookmark1950"/>
      <w:bookmarkStart w:id="1951" w:name="bookmark19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949"/>
      <w:bookmarkEnd w:id="1950"/>
      <w:bookmarkEnd w:id="1951"/>
    </w:p>
    <w:p>
      <w:pPr>
        <w:pStyle w:val="Style77"/>
        <w:keepNext/>
        <w:keepLines/>
        <w:widowControl w:val="0"/>
        <w:shd w:val="clear" w:color="auto" w:fill="auto"/>
        <w:bidi w:val="0"/>
        <w:spacing w:before="0" w:after="360" w:line="240" w:lineRule="auto"/>
        <w:ind w:left="0" w:right="0" w:firstLine="0"/>
        <w:jc w:val="left"/>
      </w:pPr>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952"/>
      <w:bookmarkEnd w:id="1953"/>
      <w:bookmarkEnd w:id="195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left"/>
      </w:pPr>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955"/>
      <w:bookmarkEnd w:id="1956"/>
      <w:bookmarkEnd w:id="195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spacing w:lineRule="exact" w:line="1"/>
        <w:rPr>
          <w:sz w:val="2"/>
          <w:szCs w:val="2"/>
        </w:rPr>
      </w:pPr>
      <w:r>
        <w:br w:type="page"/>
      </w:r>
    </w:p>
    <w:p>
      <w:pPr>
        <w:pStyle w:val="Style77"/>
        <w:keepNext/>
        <w:keepLines/>
        <w:widowControl w:val="0"/>
        <w:shd w:val="clear" w:color="auto" w:fill="auto"/>
        <w:bidi w:val="0"/>
        <w:spacing w:before="0" w:after="380" w:line="240" w:lineRule="auto"/>
        <w:ind w:left="0" w:right="0" w:firstLine="0"/>
        <w:jc w:val="left"/>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3</w:t>
      </w:r>
      <w:bookmarkEnd w:id="1960"/>
      <w:r>
        <w:rPr>
          <w:color w:val="000000"/>
          <w:spacing w:val="0"/>
          <w:w w:val="100"/>
          <w:position w:val="0"/>
        </w:rPr>
        <w:t>）坏账准备计提情况</w:t>
      </w:r>
      <w:bookmarkEnd w:id="1958"/>
      <w:bookmarkEnd w:id="1959"/>
      <w:bookmarkEnd w:id="1961"/>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962"/>
      <w:bookmarkEnd w:id="1963"/>
      <w:bookmarkEnd w:id="1965"/>
    </w:p>
    <w:p>
      <w:pPr>
        <w:pStyle w:val="Style77"/>
        <w:keepNext/>
        <w:keepLines/>
        <w:widowControl w:val="0"/>
        <w:shd w:val="clear" w:color="auto" w:fill="auto"/>
        <w:bidi w:val="0"/>
        <w:spacing w:before="0" w:after="380" w:line="240" w:lineRule="auto"/>
        <w:ind w:left="0" w:right="0" w:firstLine="0"/>
        <w:jc w:val="left"/>
      </w:pPr>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66"/>
      <w:bookmarkEnd w:id="1967"/>
      <w:bookmarkEnd w:id="196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14,691,366.97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21,292,676.00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5,291,875.00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2,586,413.25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3,504,806.02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4,193,455.18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1,160,071.19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1,477,846.66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2,160,070.15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86,535.36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24,025,077.70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33,496,033.72</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69"/>
      <w:bookmarkEnd w:id="1970"/>
      <w:bookmarkEnd w:id="197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429,574.79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669,020.76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3,318,233.73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4,416,829.28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158,107.84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-426,950.89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426,950.89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126,848.43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2,440,205.41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2,507,815.65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2,241,724.69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2,241,724.69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212,228.76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527,026.14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3,943,665.34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4,682,920.24</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9,660,705.27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5,270,261.43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4,269,508.90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4,824,602.10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2,914,000.40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1,389,191.70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521,410.00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24,025,077.70</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3</w:t>
      </w:r>
      <w:bookmarkEnd w:id="1974"/>
      <w:r>
        <w:rPr>
          <w:color w:val="000000"/>
          <w:spacing w:val="0"/>
          <w:w w:val="100"/>
          <w:position w:val="0"/>
        </w:rPr>
        <w:t>）本期计提、收回或转回的坏账准备情况</w:t>
      </w:r>
      <w:bookmarkEnd w:id="1972"/>
      <w:bookmarkEnd w:id="1973"/>
      <w:bookmarkEnd w:id="197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6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4,416,829.28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2,507,815.65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2,241,724.69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4,682,920.24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4,416,829.28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2,507,815.65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2,241,724.69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4,682,920.24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976" w:name="bookmark1976"/>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4</w:t>
      </w:r>
      <w:bookmarkEnd w:id="1978"/>
      <w:r>
        <w:rPr>
          <w:color w:val="000000"/>
          <w:spacing w:val="0"/>
          <w:w w:val="100"/>
          <w:position w:val="0"/>
        </w:rPr>
        <w:t>）本期实际核销的其他应收款情况</w:t>
      </w:r>
      <w:bookmarkEnd w:id="1976"/>
      <w:bookmarkEnd w:id="1977"/>
      <w:bookmarkEnd w:id="197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7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广西和仁公司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2,241,724.69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2,241,724.69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子公司注销无法 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公司内部流程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2,241,724.69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39" w:line="1" w:lineRule="exact"/>
      </w:pPr>
    </w:p>
    <w:p>
      <w:pPr>
        <w:pStyle w:val="Style26"/>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r>
        <w:br w:type="page"/>
      </w:r>
    </w:p>
    <w:p>
      <w:pPr>
        <w:pStyle w:val="Style77"/>
        <w:keepNext/>
        <w:keepLines/>
        <w:widowControl w:val="0"/>
        <w:shd w:val="clear" w:color="auto" w:fill="auto"/>
        <w:bidi w:val="0"/>
        <w:spacing w:before="0" w:after="400" w:line="240" w:lineRule="auto"/>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5</w:t>
      </w:r>
      <w:bookmarkEnd w:id="1982"/>
      <w:r>
        <w:rPr>
          <w:color w:val="000000"/>
          <w:spacing w:val="0"/>
          <w:w w:val="100"/>
          <w:position w:val="0"/>
        </w:rPr>
        <w:t>）按欠款方归集的期末余额前五名的其他应收款情况</w:t>
      </w:r>
      <w:bookmarkEnd w:id="1980"/>
      <w:bookmarkEnd w:id="1981"/>
      <w:bookmarkEnd w:id="1983"/>
    </w:p>
    <w:p>
      <w:pPr>
        <w:pStyle w:val="Style2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国家税务总局杭州市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2,586,413.25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陕西中医药大学第二 附属医院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2,027,253.20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202,725.32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广西中医药大学第一 附属医院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1,894,602.90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927,461.45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广西国际壮医医院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1,614,400.00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303,347.00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1,510,012.90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1,026,675.32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9,632,682.25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2,460,209.09</w:t>
            </w:r>
          </w:p>
        </w:tc>
      </w:tr>
    </w:tbl>
    <w:p>
      <w:pPr>
        <w:widowControl w:val="0"/>
        <w:spacing w:after="359" w:line="1" w:lineRule="exact"/>
      </w:pPr>
    </w:p>
    <w:p>
      <w:pPr>
        <w:pStyle w:val="Style77"/>
        <w:keepNext/>
        <w:keepLines/>
        <w:widowControl w:val="0"/>
        <w:shd w:val="clear" w:color="auto" w:fill="auto"/>
        <w:bidi w:val="0"/>
        <w:spacing w:before="0" w:after="400" w:line="24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6</w:t>
      </w:r>
      <w:bookmarkEnd w:id="1986"/>
      <w:r>
        <w:rPr>
          <w:color w:val="000000"/>
          <w:spacing w:val="0"/>
          <w:w w:val="100"/>
          <w:position w:val="0"/>
        </w:rPr>
        <w:t>）涉及政府补助的应收款项</w:t>
      </w:r>
      <w:bookmarkEnd w:id="1984"/>
      <w:bookmarkEnd w:id="1985"/>
      <w:bookmarkEnd w:id="1987"/>
    </w:p>
    <w:p>
      <w:pPr>
        <w:pStyle w:val="Style2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国家税务总局杭州市税 务局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软件产品增值税超税 负退税款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2,586,413.25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到</w:t>
            </w:r>
          </w:p>
        </w:tc>
      </w:tr>
    </w:tbl>
    <w:p>
      <w:pPr>
        <w:widowControl w:val="0"/>
        <w:spacing w:after="359" w:line="1" w:lineRule="exact"/>
      </w:pPr>
    </w:p>
    <w:p>
      <w:pPr>
        <w:pStyle w:val="Style77"/>
        <w:keepNext/>
        <w:keepLines/>
        <w:widowControl w:val="0"/>
        <w:shd w:val="clear" w:color="auto" w:fill="auto"/>
        <w:tabs>
          <w:tab w:pos="392" w:val="left"/>
        </w:tabs>
        <w:bidi w:val="0"/>
        <w:spacing w:before="0" w:after="360" w:line="240" w:lineRule="auto"/>
        <w:ind w:left="0" w:right="0" w:firstLine="0"/>
        <w:jc w:val="both"/>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7</w:t>
      </w:r>
      <w:bookmarkEnd w:id="1990"/>
      <w:r>
        <w:rPr>
          <w:color w:val="000000"/>
          <w:spacing w:val="0"/>
          <w:w w:val="100"/>
          <w:position w:val="0"/>
        </w:rPr>
        <w:t>）</w:t>
        <w:tab/>
        <w:t>因金融资产转移而终止确认的其他应收款</w:t>
      </w:r>
      <w:bookmarkEnd w:id="1988"/>
      <w:bookmarkEnd w:id="1989"/>
      <w:bookmarkEnd w:id="1991"/>
    </w:p>
    <w:p>
      <w:pPr>
        <w:pStyle w:val="Style77"/>
        <w:keepNext/>
        <w:keepLines/>
        <w:widowControl w:val="0"/>
        <w:shd w:val="clear" w:color="auto" w:fill="auto"/>
        <w:tabs>
          <w:tab w:pos="397" w:val="left"/>
        </w:tabs>
        <w:bidi w:val="0"/>
        <w:spacing w:before="0" w:after="400" w:line="240" w:lineRule="auto"/>
        <w:ind w:left="0" w:right="0" w:firstLine="0"/>
        <w:jc w:val="both"/>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8</w:t>
      </w:r>
      <w:bookmarkEnd w:id="1994"/>
      <w:r>
        <w:rPr>
          <w:color w:val="000000"/>
          <w:spacing w:val="0"/>
          <w:w w:val="100"/>
          <w:position w:val="0"/>
        </w:rPr>
        <w:t>）</w:t>
        <w:tab/>
        <w:t>转移其他应收款且继续涉入形成的资产、负债金额</w:t>
      </w:r>
      <w:bookmarkEnd w:id="1992"/>
      <w:bookmarkEnd w:id="1993"/>
      <w:bookmarkEnd w:id="1995"/>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400" w:line="240" w:lineRule="auto"/>
        <w:ind w:left="0" w:right="0" w:firstLine="0"/>
        <w:jc w:val="both"/>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3</w:t>
      </w:r>
      <w:bookmarkEnd w:id="1998"/>
      <w:r>
        <w:rPr>
          <w:color w:val="000000"/>
          <w:spacing w:val="0"/>
          <w:w w:val="100"/>
          <w:position w:val="0"/>
        </w:rPr>
        <w:t>、长期股权投资</w:t>
      </w:r>
      <w:bookmarkEnd w:id="1996"/>
      <w:bookmarkEnd w:id="1997"/>
      <w:bookmarkEnd w:id="199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5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70,071,190.24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70,071,190.24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40,309,793.24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40,309,793.24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1,798,119.70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1,798,119.70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70,071,190.24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70,071,190.24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42,107,912.94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42,107,912.94</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00"/>
      <w:bookmarkEnd w:id="2001"/>
      <w:bookmarkEnd w:id="2002"/>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和仁湘雅公司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3,749,682.00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1,936,875.00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5,686,557.00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2,570,922.00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8,570,922.00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9,047,111.24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9,047,111.24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中锦保理公司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28,166,600.00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28,166,600.00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40,309,793.24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32,674,397.00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2,913,000.00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70,071,190.24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03"/>
      <w:bookmarkEnd w:id="2004"/>
      <w:bookmarkEnd w:id="2005"/>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中原和仁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1,798,119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-1,798,11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乾堂科技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703,500.0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703,500.0</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1,798,119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703,500.0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703,500.0</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-1,798,11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1,798,119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703,500.0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703,500.0</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-1,798,11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numPr>
          <w:ilvl w:val="0"/>
          <w:numId w:val="101"/>
        </w:numPr>
        <w:shd w:val="clear" w:color="auto" w:fill="auto"/>
        <w:bidi w:val="0"/>
        <w:spacing w:before="0" w:line="240" w:lineRule="auto"/>
        <w:ind w:left="0" w:right="0" w:firstLine="0"/>
        <w:jc w:val="left"/>
      </w:pPr>
      <w:bookmarkStart w:id="2006" w:name="bookmark2006"/>
      <w:bookmarkStart w:id="2007" w:name="bookmark2007"/>
      <w:bookmarkStart w:id="2008" w:name="bookmark2008"/>
      <w:bookmarkStart w:id="2009" w:name="bookmark2009"/>
      <w:bookmarkEnd w:id="2008"/>
      <w:r>
        <w:rPr>
          <w:color w:val="000000"/>
          <w:spacing w:val="0"/>
          <w:w w:val="100"/>
          <w:position w:val="0"/>
        </w:rPr>
        <w:t>其他说明</w:t>
      </w:r>
      <w:bookmarkEnd w:id="2006"/>
      <w:bookmarkEnd w:id="2007"/>
      <w:bookmarkEnd w:id="2009"/>
    </w:p>
    <w:p>
      <w:pPr>
        <w:pStyle w:val="Style30"/>
        <w:keepNext/>
        <w:keepLines/>
        <w:widowControl w:val="0"/>
        <w:shd w:val="clear" w:color="auto" w:fill="auto"/>
        <w:bidi w:val="0"/>
        <w:spacing w:before="0" w:after="380" w:line="240" w:lineRule="auto"/>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4</w:t>
      </w:r>
      <w:bookmarkEnd w:id="2012"/>
      <w:r>
        <w:rPr>
          <w:color w:val="000000"/>
          <w:spacing w:val="0"/>
          <w:w w:val="100"/>
          <w:position w:val="0"/>
        </w:rPr>
        <w:t>、营业收入和营业成本</w:t>
      </w:r>
      <w:bookmarkEnd w:id="2010"/>
      <w:bookmarkEnd w:id="2011"/>
      <w:bookmarkEnd w:id="201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20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427,902,191.31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248,306,041.33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409,132,584.37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237,079,449.27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12,343,050.07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5,604,476.92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10,226,453.76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4,868,298.32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440,245,241.38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253,910,518.25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419,359,038.13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241,947,747.59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医疗信息化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270,788,279.76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270,788,279.76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数字化场景应用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124,530,332.35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2,984,552.68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127,514,885.03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29,599,026.52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12,343,050.07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41,942,076.59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240,536,951.99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15,327,602.75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255,864,554.74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117,479,036.31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117,479,036.31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32,640,201.98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32,640,201.98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34,261,448.35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34,261,448.35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424,917,638.63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15,327,602.75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440,245,241.38</w:t>
            </w:r>
          </w:p>
        </w:tc>
      </w:tr>
    </w:tbl>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与履约义务相关的信息：</w:t>
      </w:r>
    </w:p>
    <w:p>
      <w:pPr>
        <w:pStyle w:val="Style61"/>
        <w:keepNext w:val="0"/>
        <w:keepLines w:val="0"/>
        <w:widowControl w:val="0"/>
        <w:shd w:val="clear" w:color="auto" w:fill="auto"/>
        <w:bidi w:val="0"/>
        <w:spacing w:before="0" w:after="0" w:line="355" w:lineRule="exact"/>
        <w:ind w:left="0" w:right="0" w:firstLine="0"/>
        <w:jc w:val="left"/>
        <w:rPr>
          <w:sz w:val="19"/>
          <w:szCs w:val="19"/>
        </w:rPr>
      </w:pPr>
      <w:r>
        <w:rPr>
          <w:color w:val="000000"/>
          <w:spacing w:val="0"/>
          <w:w w:val="100"/>
          <w:position w:val="0"/>
          <w:sz w:val="20"/>
          <w:szCs w:val="20"/>
        </w:rPr>
        <w:t>详见第十二节、附注五、</w:t>
      </w:r>
      <w:r>
        <w:rPr>
          <w:rFonts w:ascii="Tahoma" w:eastAsia="Tahoma" w:hAnsi="Tahoma" w:cs="Tahoma"/>
          <w:color w:val="000000"/>
          <w:spacing w:val="0"/>
          <w:w w:val="100"/>
          <w:position w:val="0"/>
          <w:sz w:val="19"/>
          <w:szCs w:val="19"/>
        </w:rPr>
        <w:t>25</w:t>
      </w:r>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1040" w:line="355"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594,091,121.64</w:t>
      </w:r>
      <w:r>
        <w:rPr>
          <w:color w:val="000000"/>
          <w:spacing w:val="0"/>
          <w:w w:val="100"/>
          <w:position w:val="0"/>
        </w:rPr>
        <w:t>元。 其他说明：</w:t>
      </w:r>
    </w:p>
    <w:p>
      <w:pPr>
        <w:pStyle w:val="Style30"/>
        <w:keepNext/>
        <w:keepLines/>
        <w:widowControl w:val="0"/>
        <w:shd w:val="clear" w:color="auto" w:fill="auto"/>
        <w:bidi w:val="0"/>
        <w:spacing w:before="0" w:after="380" w:line="240" w:lineRule="auto"/>
        <w:ind w:left="0" w:right="0" w:firstLine="0"/>
        <w:jc w:val="left"/>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5</w:t>
      </w:r>
      <w:bookmarkEnd w:id="2016"/>
      <w:r>
        <w:rPr>
          <w:color w:val="000000"/>
          <w:spacing w:val="0"/>
          <w:w w:val="100"/>
          <w:position w:val="0"/>
        </w:rPr>
        <w:t>、投资收益</w:t>
      </w:r>
      <w:bookmarkEnd w:id="2014"/>
      <w:bookmarkEnd w:id="2015"/>
      <w:bookmarkEnd w:id="201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8,049,807.00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-1,798,119.70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-1,701,880.30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-3,185,181.46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5,059,229.95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7,045,870.06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8,125,735.79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6,543,989.76</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6</w:t>
      </w:r>
      <w:bookmarkEnd w:id="2020"/>
      <w:r>
        <w:rPr>
          <w:color w:val="000000"/>
          <w:spacing w:val="0"/>
          <w:w w:val="100"/>
          <w:position w:val="0"/>
        </w:rPr>
        <w:t>、其他</w:t>
      </w:r>
      <w:bookmarkEnd w:id="2018"/>
      <w:bookmarkEnd w:id="2019"/>
      <w:bookmarkEnd w:id="2021"/>
    </w:p>
    <w:p>
      <w:pPr>
        <w:pStyle w:val="Style22"/>
        <w:keepNext/>
        <w:keepLines/>
        <w:widowControl w:val="0"/>
        <w:shd w:val="clear" w:color="auto" w:fill="auto"/>
        <w:bidi w:val="0"/>
        <w:spacing w:before="0" w:after="340" w:line="240" w:lineRule="auto"/>
        <w:ind w:left="0" w:right="0" w:firstLine="0"/>
        <w:jc w:val="both"/>
      </w:pPr>
      <w:bookmarkStart w:id="2022" w:name="bookmark2022"/>
      <w:bookmarkStart w:id="2023" w:name="bookmark2023"/>
      <w:bookmarkStart w:id="2024" w:name="bookmark2024"/>
      <w:r>
        <w:rPr>
          <w:color w:val="000000"/>
          <w:spacing w:val="0"/>
          <w:w w:val="100"/>
          <w:position w:val="0"/>
          <w:sz w:val="24"/>
          <w:szCs w:val="24"/>
        </w:rPr>
        <w:t>十八、补充资料</w:t>
      </w:r>
      <w:bookmarkEnd w:id="2022"/>
      <w:bookmarkEnd w:id="2023"/>
      <w:bookmarkEnd w:id="2024"/>
    </w:p>
    <w:p>
      <w:pPr>
        <w:pStyle w:val="Style30"/>
        <w:keepNext/>
        <w:keepLines/>
        <w:widowControl w:val="0"/>
        <w:shd w:val="clear" w:color="auto" w:fill="auto"/>
        <w:bidi w:val="0"/>
        <w:spacing w:before="0" w:after="380" w:line="240" w:lineRule="auto"/>
        <w:ind w:left="0" w:right="0" w:firstLine="0"/>
        <w:jc w:val="both"/>
      </w:pPr>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25"/>
      <w:bookmarkEnd w:id="2026"/>
      <w:bookmarkEnd w:id="2027"/>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-476,839.98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8,503,947.16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企业取得子公司、联营企业及合营企业 的投资成本小于取得投资时应享有被投 资单位可辨认净资产公允价值产生的收 </w:t>
            </w:r>
            <w:r>
              <w:rPr>
                <w:color w:val="000000"/>
                <w:spacing w:val="0"/>
                <w:w w:val="100"/>
                <w:position w:val="0"/>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421,613.16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5,363,380.89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-589,752.49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142,335.61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890,189.31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1,385,893.92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11,108,601.12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3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2028" w:name="bookmark202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028"/>
    </w:p>
    <w:tbl>
      <w:tblPr>
        <w:tblOverlap w:val="never"/>
        <w:jc w:val="center"/>
        <w:tblLayout w:type="fixed"/>
      </w:tblPr>
      <w:tblGrid>
        <w:gridCol w:w="2669"/>
        <w:gridCol w:w="3077"/>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bl>
    <w:p>
      <w:pPr>
        <w:widowControl w:val="0"/>
        <w:spacing w:after="279" w:line="1" w:lineRule="exact"/>
      </w:pPr>
    </w:p>
    <w:p>
      <w:pPr>
        <w:pStyle w:val="Style30"/>
        <w:keepNext/>
        <w:keepLines/>
        <w:widowControl w:val="0"/>
        <w:shd w:val="clear" w:color="auto" w:fill="auto"/>
        <w:tabs>
          <w:tab w:pos="378" w:val="left"/>
        </w:tabs>
        <w:bidi w:val="0"/>
        <w:spacing w:before="0" w:after="280" w:line="326" w:lineRule="exact"/>
        <w:ind w:left="0" w:right="0" w:firstLine="0"/>
        <w:jc w:val="both"/>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3</w:t>
      </w:r>
      <w:bookmarkEnd w:id="2031"/>
      <w:r>
        <w:rPr>
          <w:color w:val="000000"/>
          <w:spacing w:val="0"/>
          <w:w w:val="100"/>
          <w:position w:val="0"/>
        </w:rPr>
        <w:t>、</w:t>
        <w:tab/>
        <w:t>境内外会计准则下会计数据差异</w:t>
      </w:r>
      <w:bookmarkEnd w:id="2029"/>
      <w:bookmarkEnd w:id="2030"/>
      <w:bookmarkEnd w:id="2032"/>
    </w:p>
    <w:p>
      <w:pPr>
        <w:pStyle w:val="Style37"/>
        <w:keepNext/>
        <w:keepLines/>
        <w:widowControl w:val="0"/>
        <w:shd w:val="clear" w:color="auto" w:fill="auto"/>
        <w:tabs>
          <w:tab w:pos="493" w:val="left"/>
        </w:tabs>
        <w:bidi w:val="0"/>
        <w:spacing w:before="0" w:line="326" w:lineRule="exact"/>
        <w:ind w:left="0" w:right="0" w:firstLine="0"/>
        <w:jc w:val="both"/>
      </w:pPr>
      <w:bookmarkStart w:id="2033" w:name="bookmark2033"/>
      <w:bookmarkStart w:id="2034" w:name="bookmark2034"/>
      <w:bookmarkStart w:id="2035" w:name="bookmark2035"/>
      <w:bookmarkStart w:id="2036" w:name="bookmark2036"/>
      <w:r>
        <w:rPr>
          <w:color w:val="000000"/>
          <w:spacing w:val="0"/>
          <w:w w:val="100"/>
          <w:position w:val="0"/>
        </w:rPr>
        <w:t>（</w:t>
      </w:r>
      <w:bookmarkEnd w:id="203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033"/>
      <w:bookmarkEnd w:id="2034"/>
      <w:bookmarkEnd w:id="2036"/>
    </w:p>
    <w:p>
      <w:pPr>
        <w:pStyle w:val="Style26"/>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326" w:lineRule="exact"/>
        <w:ind w:left="0" w:right="0" w:firstLine="0"/>
        <w:jc w:val="both"/>
      </w:pPr>
      <w:bookmarkStart w:id="2037" w:name="bookmark2037"/>
      <w:bookmarkStart w:id="2038" w:name="bookmark2038"/>
      <w:bookmarkStart w:id="2039" w:name="bookmark2039"/>
      <w:bookmarkStart w:id="2040" w:name="bookmark2040"/>
      <w:r>
        <w:rPr>
          <w:color w:val="000000"/>
          <w:spacing w:val="0"/>
          <w:w w:val="100"/>
          <w:position w:val="0"/>
        </w:rPr>
        <w:t>（</w:t>
      </w:r>
      <w:bookmarkEnd w:id="203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037"/>
      <w:bookmarkEnd w:id="2038"/>
      <w:bookmarkEnd w:id="2040"/>
    </w:p>
    <w:p>
      <w:pPr>
        <w:pStyle w:val="Style26"/>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280" w:line="326" w:lineRule="exact"/>
        <w:ind w:left="0" w:right="0" w:firstLine="0"/>
        <w:jc w:val="both"/>
      </w:pPr>
      <w:bookmarkStart w:id="2041" w:name="bookmark2041"/>
      <w:bookmarkStart w:id="2042" w:name="bookmark2042"/>
      <w:bookmarkStart w:id="2043" w:name="bookmark2043"/>
      <w:bookmarkStart w:id="2044" w:name="bookmark2044"/>
      <w:r>
        <w:rPr>
          <w:color w:val="000000"/>
          <w:spacing w:val="0"/>
          <w:w w:val="100"/>
          <w:position w:val="0"/>
        </w:rPr>
        <w:t>（</w:t>
      </w:r>
      <w:bookmarkEnd w:id="204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041"/>
      <w:bookmarkEnd w:id="2042"/>
      <w:bookmarkEnd w:id="2044"/>
    </w:p>
    <w:p>
      <w:pPr>
        <w:pStyle w:val="Style30"/>
        <w:keepNext/>
        <w:keepLines/>
        <w:widowControl w:val="0"/>
        <w:shd w:val="clear" w:color="auto" w:fill="auto"/>
        <w:tabs>
          <w:tab w:pos="378" w:val="left"/>
        </w:tabs>
        <w:bidi w:val="0"/>
        <w:spacing w:before="0" w:after="280" w:line="326" w:lineRule="exact"/>
        <w:ind w:left="0" w:right="0" w:firstLine="0"/>
        <w:jc w:val="both"/>
        <w:sectPr>
          <w:footnotePr>
            <w:pos w:val="pageBottom"/>
            <w:numFmt w:val="decimal"/>
            <w:numRestart w:val="continuous"/>
          </w:footnotePr>
          <w:pgSz w:w="11900" w:h="16840"/>
          <w:pgMar w:top="1441" w:right="1112" w:bottom="1551" w:left="1096" w:header="0" w:footer="3" w:gutter="0"/>
          <w:cols w:space="720"/>
          <w:noEndnote/>
          <w:rtlGutter w:val="0"/>
          <w:docGrid w:linePitch="360"/>
        </w:sectPr>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4</w:t>
      </w:r>
      <w:bookmarkEnd w:id="2047"/>
      <w:r>
        <w:rPr>
          <w:color w:val="000000"/>
          <w:spacing w:val="0"/>
          <w:w w:val="100"/>
          <w:position w:val="0"/>
        </w:rPr>
        <w:t>、</w:t>
        <w:tab/>
        <w:t>其他</w:t>
      </w:r>
      <w:bookmarkEnd w:id="2045"/>
      <w:bookmarkEnd w:id="2046"/>
      <w:bookmarkEnd w:id="2048"/>
    </w:p>
    <w:p>
      <w:pPr>
        <w:pStyle w:val="Style13"/>
        <w:keepNext/>
        <w:keepLines/>
        <w:widowControl w:val="0"/>
        <w:shd w:val="clear" w:color="auto" w:fill="auto"/>
        <w:bidi w:val="0"/>
        <w:spacing w:before="0" w:after="600" w:line="240" w:lineRule="auto"/>
        <w:ind w:left="0" w:right="0" w:firstLine="0"/>
        <w:jc w:val="center"/>
      </w:pPr>
      <w:bookmarkStart w:id="2049" w:name="bookmark2049"/>
      <w:bookmarkStart w:id="2050" w:name="bookmark2050"/>
      <w:bookmarkStart w:id="2051" w:name="bookmark2051"/>
      <w:r>
        <w:rPr>
          <w:color w:val="000000"/>
          <w:spacing w:val="0"/>
          <w:w w:val="100"/>
          <w:position w:val="0"/>
        </w:rPr>
        <w:t>第十三节备查文件目录</w:t>
      </w:r>
      <w:bookmarkEnd w:id="2049"/>
      <w:bookmarkEnd w:id="2050"/>
      <w:bookmarkEnd w:id="2051"/>
    </w:p>
    <w:p>
      <w:pPr>
        <w:pStyle w:val="Style26"/>
        <w:keepNext w:val="0"/>
        <w:keepLines w:val="0"/>
        <w:widowControl w:val="0"/>
        <w:shd w:val="clear" w:color="auto" w:fill="auto"/>
        <w:tabs>
          <w:tab w:pos="435" w:val="left"/>
        </w:tabs>
        <w:bidi w:val="0"/>
        <w:spacing w:before="0" w:after="140" w:line="240" w:lineRule="auto"/>
        <w:ind w:left="0" w:right="0" w:firstLine="0"/>
        <w:jc w:val="left"/>
      </w:pPr>
      <w:bookmarkStart w:id="2052" w:name="bookmark2052"/>
      <w:bookmarkStart w:id="2053" w:name="bookmark2053"/>
      <w:r>
        <w:rPr>
          <w:color w:val="000000"/>
          <w:spacing w:val="0"/>
          <w:w w:val="100"/>
          <w:position w:val="0"/>
        </w:rPr>
        <w:t>一</w:t>
      </w:r>
      <w:bookmarkEnd w:id="2053"/>
      <w:r>
        <w:rPr>
          <w:color w:val="000000"/>
          <w:spacing w:val="0"/>
          <w:w w:val="100"/>
          <w:position w:val="0"/>
        </w:rPr>
        <w:t>、</w:t>
        <w:tab/>
        <w:t>载有公司法定代表人签名、公司盖章的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年年度报告全文及摘要文本；</w:t>
      </w:r>
      <w:bookmarkEnd w:id="2052"/>
    </w:p>
    <w:p>
      <w:pPr>
        <w:pStyle w:val="Style26"/>
        <w:keepNext w:val="0"/>
        <w:keepLines w:val="0"/>
        <w:widowControl w:val="0"/>
        <w:shd w:val="clear" w:color="auto" w:fill="auto"/>
        <w:tabs>
          <w:tab w:pos="435" w:val="left"/>
        </w:tabs>
        <w:bidi w:val="0"/>
        <w:spacing w:before="0" w:after="140" w:line="240" w:lineRule="auto"/>
        <w:ind w:left="0" w:right="0" w:firstLine="0"/>
        <w:jc w:val="left"/>
      </w:pPr>
      <w:bookmarkStart w:id="2054" w:name="bookmark2054"/>
      <w:r>
        <w:rPr>
          <w:color w:val="000000"/>
          <w:spacing w:val="0"/>
          <w:w w:val="100"/>
          <w:position w:val="0"/>
        </w:rPr>
        <w:t>二</w:t>
      </w:r>
      <w:bookmarkEnd w:id="2054"/>
      <w:r>
        <w:rPr>
          <w:color w:val="000000"/>
          <w:spacing w:val="0"/>
          <w:w w:val="100"/>
          <w:position w:val="0"/>
        </w:rPr>
        <w:t>、</w:t>
        <w:tab/>
        <w:t>载有法定代表人、主管会计工作负责人、会计机构负责人签名、盖章的财务报表；</w:t>
      </w:r>
    </w:p>
    <w:p>
      <w:pPr>
        <w:pStyle w:val="Style26"/>
        <w:keepNext w:val="0"/>
        <w:keepLines w:val="0"/>
        <w:widowControl w:val="0"/>
        <w:shd w:val="clear" w:color="auto" w:fill="auto"/>
        <w:tabs>
          <w:tab w:pos="435" w:val="left"/>
        </w:tabs>
        <w:bidi w:val="0"/>
        <w:spacing w:before="0" w:after="140" w:line="240" w:lineRule="auto"/>
        <w:ind w:left="0" w:right="0" w:firstLine="0"/>
        <w:jc w:val="left"/>
      </w:pPr>
      <w:bookmarkStart w:id="2055" w:name="bookmark2055"/>
      <w:r>
        <w:rPr>
          <w:color w:val="000000"/>
          <w:spacing w:val="0"/>
          <w:w w:val="100"/>
          <w:position w:val="0"/>
        </w:rPr>
        <w:t>三</w:t>
      </w:r>
      <w:bookmarkEnd w:id="2055"/>
      <w:r>
        <w:rPr>
          <w:color w:val="000000"/>
          <w:spacing w:val="0"/>
          <w:w w:val="100"/>
          <w:position w:val="0"/>
        </w:rPr>
        <w:t>、</w:t>
        <w:tab/>
        <w:t>载有天健会计师事务所（特殊普通合伙）注册会计师签名、会计师事务所盖章的审计报告原件;</w:t>
      </w:r>
    </w:p>
    <w:p>
      <w:pPr>
        <w:pStyle w:val="Style26"/>
        <w:keepNext w:val="0"/>
        <w:keepLines w:val="0"/>
        <w:widowControl w:val="0"/>
        <w:shd w:val="clear" w:color="auto" w:fill="auto"/>
        <w:tabs>
          <w:tab w:pos="435" w:val="left"/>
        </w:tabs>
        <w:bidi w:val="0"/>
        <w:spacing w:before="0" w:after="140" w:line="240" w:lineRule="auto"/>
        <w:ind w:left="0" w:right="0" w:firstLine="0"/>
        <w:jc w:val="left"/>
      </w:pPr>
      <w:bookmarkStart w:id="2056" w:name="bookmark2056"/>
      <w:r>
        <w:rPr>
          <w:color w:val="000000"/>
          <w:spacing w:val="0"/>
          <w:w w:val="100"/>
          <w:position w:val="0"/>
        </w:rPr>
        <w:t>四</w:t>
      </w:r>
      <w:bookmarkEnd w:id="2056"/>
      <w:r>
        <w:rPr>
          <w:color w:val="000000"/>
          <w:spacing w:val="0"/>
          <w:w w:val="100"/>
          <w:position w:val="0"/>
        </w:rPr>
        <w:t>、</w:t>
        <w:tab/>
        <w:t>报告期内在中国证监会指定报纸上公开披露过的所有公司文件的正本及公告的原稿；</w:t>
      </w:r>
    </w:p>
    <w:p>
      <w:pPr>
        <w:pStyle w:val="Style26"/>
        <w:keepNext w:val="0"/>
        <w:keepLines w:val="0"/>
        <w:widowControl w:val="0"/>
        <w:shd w:val="clear" w:color="auto" w:fill="auto"/>
        <w:tabs>
          <w:tab w:pos="435" w:val="left"/>
        </w:tabs>
        <w:bidi w:val="0"/>
        <w:spacing w:before="0" w:after="140" w:line="240" w:lineRule="auto"/>
        <w:ind w:left="0" w:right="0" w:firstLine="0"/>
        <w:jc w:val="left"/>
      </w:pPr>
      <w:bookmarkStart w:id="2057" w:name="bookmark2057"/>
      <w:r>
        <w:rPr>
          <w:color w:val="000000"/>
          <w:spacing w:val="0"/>
          <w:w w:val="100"/>
          <w:position w:val="0"/>
        </w:rPr>
        <w:t>五</w:t>
      </w:r>
      <w:bookmarkEnd w:id="2057"/>
      <w:r>
        <w:rPr>
          <w:color w:val="000000"/>
          <w:spacing w:val="0"/>
          <w:w w:val="100"/>
          <w:position w:val="0"/>
        </w:rPr>
        <w:t>、</w:t>
        <w:tab/>
        <w:t>其他有关资料；</w:t>
      </w:r>
    </w:p>
    <w:p>
      <w:pPr>
        <w:pStyle w:val="Style26"/>
        <w:keepNext w:val="0"/>
        <w:keepLines w:val="0"/>
        <w:widowControl w:val="0"/>
        <w:shd w:val="clear" w:color="auto" w:fill="auto"/>
        <w:tabs>
          <w:tab w:pos="435" w:val="left"/>
        </w:tabs>
        <w:bidi w:val="0"/>
        <w:spacing w:before="0" w:after="500" w:line="240" w:lineRule="auto"/>
        <w:ind w:left="0" w:right="0" w:firstLine="0"/>
        <w:jc w:val="left"/>
      </w:pPr>
      <w:bookmarkStart w:id="2058" w:name="bookmark2058"/>
      <w:r>
        <w:rPr>
          <w:color w:val="000000"/>
          <w:spacing w:val="0"/>
          <w:w w:val="100"/>
          <w:position w:val="0"/>
        </w:rPr>
        <w:t>六</w:t>
      </w:r>
      <w:bookmarkEnd w:id="2058"/>
      <w:r>
        <w:rPr>
          <w:color w:val="000000"/>
          <w:spacing w:val="0"/>
          <w:w w:val="100"/>
          <w:position w:val="0"/>
        </w:rPr>
        <w:t>、</w:t>
        <w:tab/>
        <w:t>以上备查文件的备置地点：浙江和仁科技股份有限公司董事会办公室</w:t>
      </w:r>
    </w:p>
    <w:p>
      <w:pPr>
        <w:pStyle w:val="Style2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法定代表人：杨一兵</w:t>
      </w:r>
    </w:p>
    <w:p>
      <w:pPr>
        <w:pStyle w:val="Style2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浙江和仁科技股份有限公司</w:t>
      </w:r>
    </w:p>
    <w:p>
      <w:pPr>
        <w:pStyle w:val="Style89"/>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662" w:right="1102" w:bottom="1662"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6731635</wp:posOffset>
              </wp:positionH>
              <wp:positionV relativeFrom="page">
                <wp:posOffset>9945370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0.04999999999995pt;margin-top:783.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6731635</wp:posOffset>
              </wp:positionH>
              <wp:positionV relativeFrom="page">
                <wp:posOffset>9945370</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04999999999995pt;margin-top:783.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695960</wp:posOffset>
              </wp:positionH>
              <wp:positionV relativeFrom="page">
                <wp:posOffset>9733915</wp:posOffset>
              </wp:positionV>
              <wp:extent cx="853440" cy="115570"/>
              <wp:wrapNone/>
              <wp:docPr id="15" name="Shape 15"/>
              <a:graphic xmlns:a="http://schemas.openxmlformats.org/drawingml/2006/main">
                <a:graphicData uri="http://schemas.microsoft.com/office/word/2010/wordprocessingShape">
                  <wps:wsp>
                    <wps:cNvSpPr txBox="1"/>
                    <wps:spPr>
                      <a:xfrm>
                        <a:ext cx="853440" cy="11557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txbxContent>
                    </wps:txbx>
                    <wps:bodyPr wrap="none" lIns="0" tIns="0" rIns="0" bIns="0">
                      <a:spAutoFit/>
                    </wps:bodyPr>
                  </wps:wsp>
                </a:graphicData>
              </a:graphic>
            </wp:anchor>
          </w:drawing>
        </mc:Choice>
        <mc:Fallback>
          <w:pict>
            <v:shape id="_x0000_s1041" type="#_x0000_t202" style="position:absolute;margin-left:54.800000000000004pt;margin-top:766.45000000000005pt;width:67.200000000000003pt;height:9.0999999999999996pt;z-index:-18874405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6703060</wp:posOffset>
              </wp:positionH>
              <wp:positionV relativeFrom="page">
                <wp:posOffset>10111740</wp:posOffset>
              </wp:positionV>
              <wp:extent cx="100330" cy="79375"/>
              <wp:wrapNone/>
              <wp:docPr id="17" name="Shape 1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527.79999999999995pt;margin-top:796.20000000000005pt;width:7.9000000000000004pt;height:6.25pt;z-index:-18874405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4401185</wp:posOffset>
              </wp:positionH>
              <wp:positionV relativeFrom="page">
                <wp:posOffset>577850</wp:posOffset>
              </wp:positionV>
              <wp:extent cx="2450465" cy="106680"/>
              <wp:wrapNone/>
              <wp:docPr id="1" name="Shape 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6.55000000000001pt;margin-top:45.5pt;width:192.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733425</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149999999999999pt;margin-top:57.75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4401185</wp:posOffset>
              </wp:positionH>
              <wp:positionV relativeFrom="page">
                <wp:posOffset>577850</wp:posOffset>
              </wp:positionV>
              <wp:extent cx="2450465" cy="106680"/>
              <wp:wrapNone/>
              <wp:docPr id="7" name="Shape 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6.55000000000001pt;margin-top:45.5pt;width:192.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733425</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149999999999999pt;margin-top:57.75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4356100</wp:posOffset>
              </wp:positionH>
              <wp:positionV relativeFrom="page">
                <wp:posOffset>767080</wp:posOffset>
              </wp:positionV>
              <wp:extent cx="2450465" cy="106680"/>
              <wp:wrapNone/>
              <wp:docPr id="12" name="Shape 1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浙江和仁科技股份有限公司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38" type="#_x0000_t202" style="position:absolute;margin-left:343.pt;margin-top:60.399999999999999pt;width:192.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浙江和仁科技股份有限公司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914400</wp:posOffset>
              </wp:positionV>
              <wp:extent cx="6160135" cy="0"/>
              <wp:wrapNone/>
              <wp:docPr id="14" name="Shape 1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72.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正文文本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8">
    <w:name w:val="页眉或页脚_"/>
    <w:basedOn w:val="DefaultParagraphFont"/>
    <w:link w:val="Style47"/>
    <w:rPr>
      <w:rFonts w:ascii="SimSun" w:eastAsia="SimSun" w:hAnsi="SimSun" w:cs="SimSun"/>
      <w:b w:val="0"/>
      <w:bCs w:val="0"/>
      <w:i w:val="0"/>
      <w:iCs w:val="0"/>
      <w:smallCaps w:val="0"/>
      <w:strike w:val="0"/>
      <w:sz w:val="17"/>
      <w:szCs w:val="17"/>
      <w:u w:val="none"/>
      <w:shd w:val="clear" w:color="auto" w:fill="auto"/>
    </w:rPr>
  </w:style>
  <w:style w:type="character" w:customStyle="1" w:styleId="CharStyle52">
    <w:name w:val="正文文本 (5)_"/>
    <w:basedOn w:val="DefaultParagraphFont"/>
    <w:link w:val="Style51"/>
    <w:rPr>
      <w:rFonts w:ascii="SimSun" w:eastAsia="SimSun" w:hAnsi="SimSun" w:cs="SimSun"/>
      <w:b w:val="0"/>
      <w:bCs w:val="0"/>
      <w:i w:val="0"/>
      <w:iCs w:val="0"/>
      <w:smallCaps w:val="0"/>
      <w:strike w:val="0"/>
      <w:sz w:val="20"/>
      <w:szCs w:val="20"/>
      <w:u w:val="none"/>
      <w:shd w:val="clear" w:color="auto" w:fill="auto"/>
    </w:rPr>
  </w:style>
  <w:style w:type="character" w:customStyle="1" w:styleId="CharStyle62">
    <w:name w:val="正文文本 (6)_"/>
    <w:basedOn w:val="DefaultParagraphFont"/>
    <w:link w:val="Style61"/>
    <w:rPr>
      <w:rFonts w:ascii="SimSun" w:eastAsia="SimSun" w:hAnsi="SimSun" w:cs="SimSun"/>
      <w:b w:val="0"/>
      <w:bCs w:val="0"/>
      <w:i w:val="0"/>
      <w:iCs w:val="0"/>
      <w:smallCaps w:val="0"/>
      <w:strike w:val="0"/>
      <w:sz w:val="22"/>
      <w:szCs w:val="22"/>
      <w:u w:val="none"/>
      <w:shd w:val="clear" w:color="auto" w:fill="auto"/>
    </w:rPr>
  </w:style>
  <w:style w:type="character" w:customStyle="1" w:styleId="CharStyle78">
    <w:name w:val="标题 #5_"/>
    <w:basedOn w:val="DefaultParagraphFont"/>
    <w:link w:val="Style77"/>
    <w:rPr>
      <w:rFonts w:ascii="SimSun" w:eastAsia="SimSun" w:hAnsi="SimSun" w:cs="SimSun"/>
      <w:b/>
      <w:bCs/>
      <w:i w:val="0"/>
      <w:iCs w:val="0"/>
      <w:smallCaps w:val="0"/>
      <w:strike w:val="0"/>
      <w:sz w:val="20"/>
      <w:szCs w:val="20"/>
      <w:u w:val="none"/>
      <w:shd w:val="clear" w:color="auto" w:fill="auto"/>
    </w:rPr>
  </w:style>
  <w:style w:type="character" w:customStyle="1" w:styleId="CharStyle90">
    <w:name w:val="正文文本 (7)_"/>
    <w:basedOn w:val="DefaultParagraphFont"/>
    <w:link w:val="Style89"/>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before="27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2">
    <w:name w:val="标题 #2"/>
    <w:basedOn w:val="Normal"/>
    <w:link w:val="CharStyle23"/>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正文文本"/>
    <w:basedOn w:val="Normal"/>
    <w:link w:val="CharStyle27"/>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标题 #4"/>
    <w:basedOn w:val="Normal"/>
    <w:link w:val="CharStyle3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7">
    <w:name w:val="页眉或页脚"/>
    <w:basedOn w:val="Normal"/>
    <w:link w:val="CharStyle4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1">
    <w:name w:val="正文文本 (5)"/>
    <w:basedOn w:val="Normal"/>
    <w:link w:val="CharStyle52"/>
    <w:pPr>
      <w:widowControl w:val="0"/>
      <w:shd w:val="clear" w:color="auto" w:fill="auto"/>
      <w:spacing w:after="360" w:line="314"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61">
    <w:name w:val="正文文本 (6)"/>
    <w:basedOn w:val="Normal"/>
    <w:link w:val="CharStyle62"/>
    <w:pPr>
      <w:widowControl w:val="0"/>
      <w:shd w:val="clear" w:color="auto" w:fill="auto"/>
      <w:spacing w:line="316" w:lineRule="exact"/>
      <w:ind w:firstLine="480"/>
    </w:pPr>
    <w:rPr>
      <w:rFonts w:ascii="SimSun" w:eastAsia="SimSun" w:hAnsi="SimSun" w:cs="SimSun"/>
      <w:b w:val="0"/>
      <w:bCs w:val="0"/>
      <w:i w:val="0"/>
      <w:iCs w:val="0"/>
      <w:smallCaps w:val="0"/>
      <w:strike w:val="0"/>
      <w:sz w:val="22"/>
      <w:szCs w:val="22"/>
      <w:u w:val="none"/>
      <w:shd w:val="clear" w:color="auto" w:fill="auto"/>
    </w:rPr>
  </w:style>
  <w:style w:type="paragraph" w:customStyle="1" w:styleId="Style77">
    <w:name w:val="标题 #5"/>
    <w:basedOn w:val="Normal"/>
    <w:link w:val="CharStyle78"/>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9">
    <w:name w:val="正文文本 (7)"/>
    <w:basedOn w:val="Normal"/>
    <w:link w:val="CharStyle90"/>
    <w:pPr>
      <w:widowControl w:val="0"/>
      <w:shd w:val="clear" w:color="auto" w:fill="auto"/>
      <w:spacing w:after="140"/>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浙江和仁科技股份有限公司2020年年度报告全文</dc:title>
  <dc:subject/>
  <dc:creator>浙江和仁科技股份有限公司</dc:creator>
  <cp:keywords/>
</cp:coreProperties>
</file>