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61" w:right="1107" w:bottom="1023" w:left="1112" w:header="0" w:footer="3" w:gutter="0"/>
          <w:pgNumType w:start="1"/>
          <w:cols w:space="720"/>
          <w:noEndnote/>
          <w:rtlGutter w:val="0"/>
          <w:docGrid w:linePitch="360"/>
        </w:sectPr>
      </w:pPr>
    </w:p>
    <w:p>
      <w:pPr>
        <w:pStyle w:val="Style6"/>
        <w:keepNext w:val="0"/>
        <w:keepLines w:val="0"/>
        <w:framePr w:w="1435" w:h="254" w:wrap="none" w:vAnchor="text" w:hAnchor="page" w:x="1113"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证券代码：</w:t>
      </w:r>
      <w:r>
        <w:rPr>
          <w:color w:val="000000"/>
          <w:spacing w:val="0"/>
          <w:w w:val="100"/>
          <w:position w:val="0"/>
        </w:rPr>
        <w:t>300561</w:t>
      </w:r>
    </w:p>
    <w:p>
      <w:pPr>
        <w:pStyle w:val="Style9"/>
        <w:keepNext w:val="0"/>
        <w:keepLines w:val="0"/>
        <w:framePr w:w="1608" w:h="230" w:wrap="none" w:vAnchor="text" w:hAnchor="page" w:x="5293" w:y="21"/>
        <w:widowControl w:val="0"/>
        <w:shd w:val="clear" w:color="auto" w:fill="auto"/>
        <w:bidi w:val="0"/>
        <w:spacing w:before="0" w:after="0" w:line="240" w:lineRule="auto"/>
        <w:ind w:left="0" w:right="0" w:firstLine="0"/>
        <w:jc w:val="center"/>
      </w:pPr>
      <w:r>
        <w:rPr>
          <w:color w:val="000000"/>
          <w:spacing w:val="0"/>
          <w:w w:val="100"/>
          <w:position w:val="0"/>
        </w:rPr>
        <w:t>证券简称：汇金科技</w:t>
      </w:r>
    </w:p>
    <w:p>
      <w:pPr>
        <w:pStyle w:val="Style6"/>
        <w:keepNext w:val="0"/>
        <w:keepLines w:val="0"/>
        <w:framePr w:w="1574" w:h="254" w:wrap="none" w:vAnchor="text" w:hAnchor="page" w:x="921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2017-005</w:t>
      </w:r>
    </w:p>
    <w:p>
      <w:pPr>
        <w:widowControl w:val="0"/>
        <w:spacing w:line="360" w:lineRule="exact"/>
      </w:pPr>
      <w:r>
        <w:drawing>
          <wp:anchor distT="0" distB="0" distL="0" distR="0" simplePos="0" relativeHeight="62914694" behindDoc="1" locked="0" layoutInCell="1" allowOverlap="1">
            <wp:simplePos x="0" y="0"/>
            <wp:positionH relativeFrom="page">
              <wp:posOffset>3070860</wp:posOffset>
            </wp:positionH>
            <wp:positionV relativeFrom="paragraph">
              <wp:posOffset>905510</wp:posOffset>
            </wp:positionV>
            <wp:extent cx="1414145" cy="45720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414145" cy="457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1900" w:h="16840"/>
          <w:pgMar w:top="1061" w:right="1107" w:bottom="1023" w:left="1112" w:header="0" w:footer="3" w:gutter="0"/>
          <w:cols w:space="720"/>
          <w:noEndnote/>
          <w:rtlGutter w:val="0"/>
          <w:docGrid w:linePitch="360"/>
        </w:sectPr>
      </w:pPr>
    </w:p>
    <w:p>
      <w:pPr>
        <w:pStyle w:val="Style11"/>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珠海汇金科技股份有限公司</w:t>
      </w:r>
      <w:bookmarkEnd w:id="0"/>
      <w:bookmarkEnd w:id="1"/>
      <w:bookmarkEnd w:id="2"/>
    </w:p>
    <w:p>
      <w:pPr>
        <w:pStyle w:val="Style13"/>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3"/>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43" w:right="1107" w:bottom="1743" w:left="1112" w:header="0" w:footer="3" w:gutter="0"/>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bookmarkEnd w:id="6"/>
      <w:bookmarkEnd w:id="7"/>
      <w:bookmarkEnd w:id="8"/>
    </w:p>
    <w:p>
      <w:pPr>
        <w:pStyle w:val="Style13"/>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公司负责人陈喆、主管会计工作负责人马晓丽及会计机构负责人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马晓丽声明：保证年度报告中财务报告的真实、准确、完整。</w:t>
      </w:r>
    </w:p>
    <w:p>
      <w:pPr>
        <w:pStyle w:val="Style16"/>
        <w:keepNext w:val="0"/>
        <w:keepLines w:val="0"/>
        <w:widowControl w:val="0"/>
        <w:shd w:val="clear" w:color="auto" w:fill="auto"/>
        <w:bidi w:val="0"/>
        <w:spacing w:before="0" w:after="240"/>
        <w:ind w:left="0" w:right="0"/>
        <w:jc w:val="both"/>
        <w:sectPr>
          <w:headerReference w:type="default" r:id="rId9"/>
          <w:footerReference w:type="default" r:id="rId10"/>
          <w:footnotePr>
            <w:pos w:val="pageBottom"/>
            <w:numFmt w:val="decimal"/>
            <w:numRestart w:val="continuous"/>
          </w:footnotePr>
          <w:pgSz w:w="11900" w:h="16840"/>
          <w:pgMar w:top="1940" w:right="1107" w:bottom="1940" w:left="1112" w:header="0" w:footer="3" w:gutter="0"/>
          <w:cols w:space="720"/>
          <w:noEndnote/>
          <w:rtlGutter w:val="0"/>
          <w:docGrid w:linePitch="360"/>
        </w:sectPr>
      </w:pPr>
      <w:r>
        <w:rPr>
          <w:color w:val="000000"/>
          <w:spacing w:val="0"/>
          <w:w w:val="100"/>
          <w:position w:val="0"/>
        </w:rPr>
        <w:t>所有董事均已出席了审议本报告的董事会会议。</w:t>
      </w:r>
    </w:p>
    <w:p>
      <w:pPr>
        <w:pStyle w:val="Style19"/>
        <w:keepNext/>
        <w:keepLines/>
        <w:widowControl w:val="0"/>
        <w:shd w:val="clear" w:color="auto" w:fill="auto"/>
        <w:bidi w:val="0"/>
        <w:spacing w:before="280" w:after="360" w:line="240" w:lineRule="auto"/>
        <w:ind w:left="0" w:right="0" w:firstLine="0"/>
        <w:jc w:val="left"/>
      </w:pPr>
      <w:bookmarkStart w:id="12" w:name="bookmark12"/>
      <w:bookmarkStart w:id="13" w:name="bookmark13"/>
      <w:bookmarkStart w:id="14" w:name="bookmark14"/>
      <w:r>
        <w:rPr>
          <w:color w:val="000000"/>
          <w:spacing w:val="0"/>
          <w:w w:val="100"/>
          <w:position w:val="0"/>
          <w:sz w:val="24"/>
          <w:szCs w:val="24"/>
        </w:rPr>
        <w:t>本公司请投资者认真阅读本年度报告全文，并特别注意下列风险因素：</w:t>
      </w:r>
      <w:bookmarkEnd w:id="12"/>
      <w:bookmarkEnd w:id="13"/>
      <w:bookmarkEnd w:id="14"/>
    </w:p>
    <w:p>
      <w:pPr>
        <w:pStyle w:val="Style21"/>
        <w:keepNext/>
        <w:keepLines/>
        <w:widowControl w:val="0"/>
        <w:shd w:val="clear" w:color="auto" w:fill="auto"/>
        <w:tabs>
          <w:tab w:pos="328" w:val="left"/>
        </w:tabs>
        <w:bidi w:val="0"/>
        <w:spacing w:before="0" w:after="260" w:line="240" w:lineRule="auto"/>
        <w:ind w:left="0" w:right="0" w:firstLine="0"/>
        <w:jc w:val="left"/>
      </w:pPr>
      <w:bookmarkStart w:id="15" w:name="bookmark15"/>
      <w:bookmarkStart w:id="16" w:name="bookmark16"/>
      <w:bookmarkStart w:id="17" w:name="bookmark17"/>
      <w:bookmarkStart w:id="18" w:name="bookmark18"/>
      <w:r>
        <w:rPr>
          <w:rFonts w:ascii="Times New Roman" w:eastAsia="Times New Roman" w:hAnsi="Times New Roman" w:cs="Times New Roman"/>
          <w:color w:val="000000"/>
          <w:spacing w:val="0"/>
          <w:w w:val="100"/>
          <w:position w:val="0"/>
        </w:rPr>
        <w:t>1</w:t>
      </w:r>
      <w:bookmarkEnd w:id="17"/>
      <w:r>
        <w:rPr>
          <w:color w:val="000000"/>
          <w:spacing w:val="0"/>
          <w:w w:val="100"/>
          <w:position w:val="0"/>
        </w:rPr>
        <w:t>、</w:t>
        <w:tab/>
        <w:t>新产品开发风险</w:t>
      </w:r>
      <w:bookmarkEnd w:id="15"/>
      <w:bookmarkEnd w:id="16"/>
      <w:bookmarkEnd w:id="18"/>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自成立以来，公司一直专注于银行实物流转内控风险管理整体解决方案设计及相关应用产品的开发，创新推出了银行现 金流转内控解决方案、银行自助设备现金管理解决方案、银行上门服务解决方案和银行印章管理解决方案及应用系统等，并 为国内主要商业银行客户所接受、使用。公司在银行实物流转内控风险管理领域的进一步发展很大程度上取决于能否持续创 新推出符合市场需求的新产品。</w:t>
      </w:r>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随着银行业持续推进信息化、集约化建设，其在实物流转内控风险管理领域对相关产品功能需求和技术参数提升等方面 的要求不断提高；且不同银行系统由于管理制度、操作习惯等差异对于产品的具体需求往往存在一定差异，这在一定程度上 增加了新产品开发难度。</w:t>
      </w:r>
    </w:p>
    <w:p>
      <w:pPr>
        <w:pStyle w:val="Style9"/>
        <w:keepNext w:val="0"/>
        <w:keepLines w:val="0"/>
        <w:widowControl w:val="0"/>
        <w:shd w:val="clear" w:color="auto" w:fill="auto"/>
        <w:bidi w:val="0"/>
        <w:spacing w:before="0" w:after="360" w:line="312" w:lineRule="exact"/>
        <w:ind w:left="0" w:right="0"/>
        <w:jc w:val="both"/>
      </w:pPr>
      <w:r>
        <w:rPr>
          <w:color w:val="000000"/>
          <w:spacing w:val="0"/>
          <w:w w:val="100"/>
          <w:position w:val="0"/>
        </w:rPr>
        <w:t>同时，银行实物流转内控风险管理整体解决方案及相关应用产品涉及多学科、多领域的技术应用。如果公司未来不能准 确地把握行业技术的发展趋势或前瞻性地预测客户需求，在产品开发方向的决策上发生失误，或不能及时将新技术运用于产 品开发和升级，将可能使公司丧失技术优势和市场地位。</w:t>
      </w:r>
    </w:p>
    <w:p>
      <w:pPr>
        <w:pStyle w:val="Style21"/>
        <w:keepNext/>
        <w:keepLines/>
        <w:widowControl w:val="0"/>
        <w:shd w:val="clear" w:color="auto" w:fill="auto"/>
        <w:tabs>
          <w:tab w:pos="337" w:val="left"/>
        </w:tabs>
        <w:bidi w:val="0"/>
        <w:spacing w:before="0" w:after="260" w:line="240" w:lineRule="auto"/>
        <w:ind w:left="0" w:right="0" w:firstLine="0"/>
        <w:jc w:val="left"/>
      </w:pPr>
      <w:bookmarkStart w:id="19" w:name="bookmark19"/>
      <w:bookmarkStart w:id="20" w:name="bookmark20"/>
      <w:bookmarkStart w:id="21" w:name="bookmark21"/>
      <w:bookmarkStart w:id="22" w:name="bookmark22"/>
      <w:r>
        <w:rPr>
          <w:rFonts w:ascii="Times New Roman" w:eastAsia="Times New Roman" w:hAnsi="Times New Roman" w:cs="Times New Roman"/>
          <w:color w:val="000000"/>
          <w:spacing w:val="0"/>
          <w:w w:val="100"/>
          <w:position w:val="0"/>
        </w:rPr>
        <w:t>2</w:t>
      </w:r>
      <w:bookmarkEnd w:id="21"/>
      <w:r>
        <w:rPr>
          <w:color w:val="000000"/>
          <w:spacing w:val="0"/>
          <w:w w:val="100"/>
          <w:position w:val="0"/>
        </w:rPr>
        <w:t>、</w:t>
        <w:tab/>
        <w:t>新产品市场开拓风险</w:t>
      </w:r>
      <w:bookmarkEnd w:id="19"/>
      <w:bookmarkEnd w:id="20"/>
      <w:bookmarkEnd w:id="22"/>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银行实物流转内控风险管理整体解决方案及相关应用产品直接关系到银行业客户的资产安全和系统的可靠性，银行业客 户采购时对相关产品和服务的质量、性能要求很高，特别是对于新产品的应用推广，一般需要经过严格的考核：如总</w:t>
      </w:r>
      <w:r>
        <w:rPr>
          <w:rFonts w:ascii="Times New Roman" w:eastAsia="Times New Roman" w:hAnsi="Times New Roman" w:cs="Times New Roman"/>
          <w:color w:val="000000"/>
          <w:spacing w:val="0"/>
          <w:w w:val="100"/>
          <w:position w:val="0"/>
        </w:rPr>
        <w:t>/</w:t>
      </w:r>
      <w:r>
        <w:rPr>
          <w:color w:val="000000"/>
          <w:spacing w:val="0"/>
          <w:w w:val="100"/>
          <w:position w:val="0"/>
        </w:rPr>
        <w:t>分行 系统的入围评审，对产品功能、性能、标准等进行的复核性测试，以及使用前进行的试用性安全测试等。因此，公司创新产 品在市场开拓过程中面临着推广和测试周期较长的风险。</w:t>
      </w:r>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此外，银行对实物流转内控风险管理新技术和新产品的采用意味着对本行具体业务流程、制度和操作方式的改进。因此， 在正式进入采购环节之前，一般银行客户会重新梳理、制定业务流程相关管理办法以及进行员工培训，新产品上线的准备周 期也较长。</w:t>
      </w:r>
    </w:p>
    <w:p>
      <w:pPr>
        <w:pStyle w:val="Style9"/>
        <w:keepNext w:val="0"/>
        <w:keepLines w:val="0"/>
        <w:widowControl w:val="0"/>
        <w:shd w:val="clear" w:color="auto" w:fill="auto"/>
        <w:bidi w:val="0"/>
        <w:spacing w:before="0" w:after="360" w:line="307" w:lineRule="exact"/>
        <w:ind w:left="0" w:right="0"/>
        <w:jc w:val="both"/>
      </w:pPr>
      <w:r>
        <w:rPr>
          <w:color w:val="000000"/>
          <w:spacing w:val="0"/>
          <w:w w:val="100"/>
          <w:position w:val="0"/>
        </w:rPr>
        <w:t>同时，各银行客户在采购管理体制方面也存在一定差异，导致上述推广测试周期和上线准备周期的可预测性难度较高。 因此，公司新产品面临市场开拓推广过程较长、未来产生收益预期不确定性较高的风险。</w:t>
      </w:r>
    </w:p>
    <w:p>
      <w:pPr>
        <w:pStyle w:val="Style21"/>
        <w:keepNext/>
        <w:keepLines/>
        <w:widowControl w:val="0"/>
        <w:shd w:val="clear" w:color="auto" w:fill="auto"/>
        <w:tabs>
          <w:tab w:pos="337" w:val="left"/>
        </w:tabs>
        <w:bidi w:val="0"/>
        <w:spacing w:before="0" w:after="260" w:line="240" w:lineRule="auto"/>
        <w:ind w:left="0" w:right="0" w:firstLine="0"/>
        <w:jc w:val="left"/>
      </w:pPr>
      <w:bookmarkStart w:id="23" w:name="bookmark23"/>
      <w:bookmarkStart w:id="24" w:name="bookmark24"/>
      <w:bookmarkStart w:id="25" w:name="bookmark25"/>
      <w:bookmarkStart w:id="26" w:name="bookmark26"/>
      <w:r>
        <w:rPr>
          <w:rFonts w:ascii="Times New Roman" w:eastAsia="Times New Roman" w:hAnsi="Times New Roman" w:cs="Times New Roman"/>
          <w:color w:val="000000"/>
          <w:spacing w:val="0"/>
          <w:w w:val="100"/>
          <w:position w:val="0"/>
        </w:rPr>
        <w:t>3</w:t>
      </w:r>
      <w:bookmarkEnd w:id="25"/>
      <w:r>
        <w:rPr>
          <w:color w:val="000000"/>
          <w:spacing w:val="0"/>
          <w:w w:val="100"/>
          <w:position w:val="0"/>
        </w:rPr>
        <w:t>、</w:t>
        <w:tab/>
        <w:t>对银行业依赖的风险</w:t>
      </w:r>
      <w:bookmarkEnd w:id="23"/>
      <w:bookmarkEnd w:id="24"/>
      <w:bookmarkEnd w:id="26"/>
    </w:p>
    <w:p>
      <w:pPr>
        <w:pStyle w:val="Style9"/>
        <w:keepNext w:val="0"/>
        <w:keepLines w:val="0"/>
        <w:widowControl w:val="0"/>
        <w:shd w:val="clear" w:color="auto" w:fill="auto"/>
        <w:bidi w:val="0"/>
        <w:spacing w:before="0" w:after="0" w:line="312" w:lineRule="exact"/>
        <w:ind w:left="0" w:right="0"/>
        <w:jc w:val="left"/>
      </w:pPr>
      <w:r>
        <w:rPr>
          <w:color w:val="000000"/>
          <w:spacing w:val="0"/>
          <w:w w:val="100"/>
          <w:position w:val="0"/>
        </w:rPr>
        <w:t>公司主营业务是基于银行现金、票据、印章等实物流转内控风险管理整体解决方案的应用产品研发、生产和销售，主要 客户为国有商业银行和股份制商业银行等，其市场需求直接受下游银行业变化影响。银行业的经营受到国内外宏观经济形势、 货币金融政策、监管机关监管要求、产业发展模式和人们的金融消费习惯等多种因素的影响。</w:t>
      </w:r>
    </w:p>
    <w:p>
      <w:pPr>
        <w:pStyle w:val="Style9"/>
        <w:keepNext w:val="0"/>
        <w:keepLines w:val="0"/>
        <w:widowControl w:val="0"/>
        <w:shd w:val="clear" w:color="auto" w:fill="auto"/>
        <w:bidi w:val="0"/>
        <w:spacing w:before="0" w:after="360" w:line="315" w:lineRule="exact"/>
        <w:ind w:left="0" w:right="0"/>
        <w:jc w:val="left"/>
      </w:pPr>
      <w:r>
        <w:rPr>
          <w:color w:val="000000"/>
          <w:spacing w:val="0"/>
          <w:w w:val="100"/>
          <w:position w:val="0"/>
        </w:rPr>
        <w:t>报告期内，公司主营业务收入中银行业收入占比为</w:t>
      </w:r>
      <w:r>
        <w:rPr>
          <w:rFonts w:ascii="Times New Roman" w:eastAsia="Times New Roman" w:hAnsi="Times New Roman" w:cs="Times New Roman"/>
          <w:color w:val="000000"/>
          <w:spacing w:val="0"/>
          <w:w w:val="100"/>
          <w:position w:val="0"/>
        </w:rPr>
        <w:t>69.82%</w:t>
      </w:r>
      <w:r>
        <w:rPr>
          <w:color w:val="000000"/>
          <w:spacing w:val="0"/>
          <w:w w:val="100"/>
          <w:position w:val="0"/>
        </w:rPr>
        <w:t>，银行业客户的稳定和增长对公司经营的稳定性、成长性十 分重要。若未来上述因素的变化导致银行业经营状况不景气致使其信息化、集约化建设速度放缓，或银行业客户的投资和采 购方式、风险控制模式、经营情况等发生重大变化，将会对公司的经营状况和业务发展产生较大影响，因而影响公司的持续 盈利能力。</w:t>
      </w:r>
    </w:p>
    <w:p>
      <w:pPr>
        <w:pStyle w:val="Style21"/>
        <w:keepNext/>
        <w:keepLines/>
        <w:widowControl w:val="0"/>
        <w:shd w:val="clear" w:color="auto" w:fill="auto"/>
        <w:tabs>
          <w:tab w:pos="337" w:val="left"/>
        </w:tabs>
        <w:bidi w:val="0"/>
        <w:spacing w:before="0" w:after="260" w:line="240" w:lineRule="auto"/>
        <w:ind w:left="0" w:right="0" w:firstLine="0"/>
        <w:jc w:val="left"/>
      </w:pPr>
      <w:bookmarkStart w:id="27" w:name="bookmark27"/>
      <w:bookmarkStart w:id="28" w:name="bookmark28"/>
      <w:bookmarkStart w:id="29" w:name="bookmark29"/>
      <w:bookmarkStart w:id="30" w:name="bookmark30"/>
      <w:r>
        <w:rPr>
          <w:rFonts w:ascii="Times New Roman" w:eastAsia="Times New Roman" w:hAnsi="Times New Roman" w:cs="Times New Roman"/>
          <w:color w:val="000000"/>
          <w:spacing w:val="0"/>
          <w:w w:val="100"/>
          <w:position w:val="0"/>
        </w:rPr>
        <w:t>4</w:t>
      </w:r>
      <w:bookmarkEnd w:id="29"/>
      <w:r>
        <w:rPr>
          <w:color w:val="000000"/>
          <w:spacing w:val="0"/>
          <w:w w:val="100"/>
          <w:position w:val="0"/>
        </w:rPr>
        <w:t>、</w:t>
        <w:tab/>
        <w:t>市场竞争加剧导致毛利率下降的风险</w:t>
      </w:r>
      <w:bookmarkEnd w:id="27"/>
      <w:bookmarkEnd w:id="28"/>
      <w:bookmarkEnd w:id="30"/>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银行实物流转内控风险管理领域作为一个发展较快的新兴市场，随着新竞争者的进入，公司将逐渐面临国内外较强竞争 对手的竞争。目前，公司主要竞争对手包括国内外从事银行业务管理解决方案开发的一体化服务供应商、安防产品生产商、 金融机具生产商等。</w:t>
      </w:r>
    </w:p>
    <w:p>
      <w:pPr>
        <w:pStyle w:val="Style9"/>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报告期内，公司综合毛利率为</w:t>
      </w:r>
      <w:r>
        <w:rPr>
          <w:rFonts w:ascii="Times New Roman" w:eastAsia="Times New Roman" w:hAnsi="Times New Roman" w:cs="Times New Roman"/>
          <w:color w:val="000000"/>
          <w:spacing w:val="0"/>
          <w:w w:val="100"/>
          <w:position w:val="0"/>
        </w:rPr>
        <w:t>73.12%</w:t>
      </w:r>
      <w:r>
        <w:rPr>
          <w:color w:val="000000"/>
          <w:spacing w:val="0"/>
          <w:w w:val="100"/>
          <w:position w:val="0"/>
        </w:rPr>
        <w:t>，较上年同期下降</w:t>
      </w:r>
      <w:r>
        <w:rPr>
          <w:rFonts w:ascii="Times New Roman" w:eastAsia="Times New Roman" w:hAnsi="Times New Roman" w:cs="Times New Roman"/>
          <w:color w:val="000000"/>
          <w:spacing w:val="0"/>
          <w:w w:val="100"/>
          <w:position w:val="0"/>
        </w:rPr>
        <w:t>1.50%</w:t>
      </w:r>
      <w:r>
        <w:rPr>
          <w:color w:val="000000"/>
          <w:spacing w:val="0"/>
          <w:w w:val="100"/>
          <w:position w:val="0"/>
        </w:rPr>
        <w:t xml:space="preserve">。随着竞争对手的逐步加入和竞争激烈程度的增加，公 </w:t>
      </w:r>
      <w:r>
        <w:rPr>
          <w:color w:val="000000"/>
          <w:spacing w:val="0"/>
          <w:w w:val="100"/>
          <w:position w:val="0"/>
        </w:rPr>
        <w:t>司产品面临的市场竞争压力将逐步加大。未来，如果公司不能及时推出新产品和对原有产品进行升级换代以提高市场的进入 门槛、不能扩大和维持现有的市场份额和市场影响力，公司将面临因市场竞争加剧导致毛利率下降的风险。</w:t>
      </w:r>
    </w:p>
    <w:p>
      <w:pPr>
        <w:pStyle w:val="Style21"/>
        <w:keepNext/>
        <w:keepLines/>
        <w:widowControl w:val="0"/>
        <w:shd w:val="clear" w:color="auto" w:fill="auto"/>
        <w:tabs>
          <w:tab w:pos="334" w:val="left"/>
        </w:tabs>
        <w:bidi w:val="0"/>
        <w:spacing w:before="0" w:after="260" w:line="240" w:lineRule="auto"/>
        <w:ind w:left="0" w:right="0" w:firstLine="0"/>
        <w:jc w:val="left"/>
      </w:pPr>
      <w:bookmarkStart w:id="31" w:name="bookmark31"/>
      <w:bookmarkStart w:id="32" w:name="bookmark32"/>
      <w:bookmarkStart w:id="33" w:name="bookmark33"/>
      <w:bookmarkStart w:id="34" w:name="bookmark34"/>
      <w:r>
        <w:rPr>
          <w:rFonts w:ascii="Times New Roman" w:eastAsia="Times New Roman" w:hAnsi="Times New Roman" w:cs="Times New Roman"/>
          <w:color w:val="000000"/>
          <w:spacing w:val="0"/>
          <w:w w:val="100"/>
          <w:position w:val="0"/>
        </w:rPr>
        <w:t>5</w:t>
      </w:r>
      <w:bookmarkEnd w:id="33"/>
      <w:r>
        <w:rPr>
          <w:color w:val="000000"/>
          <w:spacing w:val="0"/>
          <w:w w:val="100"/>
          <w:position w:val="0"/>
        </w:rPr>
        <w:t>、</w:t>
        <w:tab/>
        <w:t>人才流失和技术泄密的风险</w:t>
      </w:r>
      <w:bookmarkEnd w:id="31"/>
      <w:bookmarkEnd w:id="32"/>
      <w:bookmarkEnd w:id="34"/>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公司主要产品均属于创新产品，从需求挖掘、方案设计至具体技术手段均系公司通过对银行实物流转相关业务流程、风 险点的深刻理解和长期技术积累得以实现。</w:t>
      </w:r>
    </w:p>
    <w:p>
      <w:pPr>
        <w:pStyle w:val="Style9"/>
        <w:keepNext w:val="0"/>
        <w:keepLines w:val="0"/>
        <w:widowControl w:val="0"/>
        <w:shd w:val="clear" w:color="auto" w:fill="auto"/>
        <w:bidi w:val="0"/>
        <w:spacing w:before="0" w:after="360" w:line="312" w:lineRule="exact"/>
        <w:ind w:left="0" w:right="0"/>
        <w:jc w:val="both"/>
      </w:pPr>
      <w:r>
        <w:rPr>
          <w:color w:val="000000"/>
          <w:spacing w:val="0"/>
          <w:w w:val="100"/>
          <w:position w:val="0"/>
        </w:rPr>
        <w:t>公司的成长和保持市场竞争优势，在较大程度上依赖于公司培养的核心技术人员和积累的核心技术。当前，公司多项产 品和技术均处于研发阶段，新客户的开拓在一定程度上也要依赖研发人员进行定制化开发，核心技术人员稳定及核心技术保 密对公司的发展尤为重要。如果在日趋激烈的技术和人才竞争中，公司出现核心技术人员流失或技术泄密等情形，会在一定 程度上影响公司的技术创新能力。</w:t>
      </w:r>
    </w:p>
    <w:p>
      <w:pPr>
        <w:pStyle w:val="Style21"/>
        <w:keepNext/>
        <w:keepLines/>
        <w:widowControl w:val="0"/>
        <w:shd w:val="clear" w:color="auto" w:fill="auto"/>
        <w:tabs>
          <w:tab w:pos="334" w:val="left"/>
        </w:tabs>
        <w:bidi w:val="0"/>
        <w:spacing w:before="0" w:after="2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6</w:t>
      </w:r>
      <w:bookmarkEnd w:id="37"/>
      <w:r>
        <w:rPr>
          <w:color w:val="000000"/>
          <w:spacing w:val="0"/>
          <w:w w:val="100"/>
          <w:position w:val="0"/>
        </w:rPr>
        <w:t>、</w:t>
        <w:tab/>
        <w:t>存货跌价的风险</w:t>
      </w:r>
      <w:bookmarkEnd w:id="35"/>
      <w:bookmarkEnd w:id="36"/>
      <w:bookmarkEnd w:id="38"/>
    </w:p>
    <w:p>
      <w:pPr>
        <w:pStyle w:val="Style9"/>
        <w:keepNext w:val="0"/>
        <w:keepLines w:val="0"/>
        <w:widowControl w:val="0"/>
        <w:shd w:val="clear" w:color="auto" w:fill="auto"/>
        <w:bidi w:val="0"/>
        <w:spacing w:before="0" w:after="0" w:line="317" w:lineRule="exact"/>
        <w:ind w:left="0" w:right="0"/>
        <w:jc w:val="both"/>
      </w:pPr>
      <w:r>
        <w:rPr>
          <w:color w:val="000000"/>
          <w:spacing w:val="0"/>
          <w:w w:val="100"/>
          <w:position w:val="0"/>
        </w:rPr>
        <w:t>截至报告期末，公司存货净额为</w:t>
      </w:r>
      <w:r>
        <w:rPr>
          <w:rFonts w:ascii="Times New Roman" w:eastAsia="Times New Roman" w:hAnsi="Times New Roman" w:cs="Times New Roman"/>
          <w:color w:val="000000"/>
          <w:spacing w:val="0"/>
          <w:w w:val="100"/>
          <w:position w:val="0"/>
        </w:rPr>
        <w:t>5,430.63</w:t>
      </w:r>
      <w:r>
        <w:rPr>
          <w:color w:val="000000"/>
          <w:spacing w:val="0"/>
          <w:w w:val="100"/>
          <w:position w:val="0"/>
        </w:rPr>
        <w:t>万元，占流动资产的比例为</w:t>
      </w:r>
      <w:r>
        <w:rPr>
          <w:rFonts w:ascii="Times New Roman" w:eastAsia="Times New Roman" w:hAnsi="Times New Roman" w:cs="Times New Roman"/>
          <w:color w:val="000000"/>
          <w:spacing w:val="0"/>
          <w:w w:val="100"/>
          <w:position w:val="0"/>
        </w:rPr>
        <w:t>8.26%</w:t>
      </w:r>
      <w:r>
        <w:rPr>
          <w:color w:val="000000"/>
          <w:spacing w:val="0"/>
          <w:w w:val="100"/>
          <w:position w:val="0"/>
        </w:rPr>
        <w:t>，存货主要包括发出商品、原材料和库存商 品。由于公司银行自助设备现金管理系统销售涉及安装、试运行等阶段，订单执行存在跨期，因此期末会形成一定规模的发 出商品；并且随着公司销售收入逐年增加，为满足生产和销售而储备的原材料和库存商品也将同步增加，这会导致公司存货 维持在较高水平。</w:t>
      </w:r>
    </w:p>
    <w:p>
      <w:pPr>
        <w:pStyle w:val="Style9"/>
        <w:keepNext w:val="0"/>
        <w:keepLines w:val="0"/>
        <w:widowControl w:val="0"/>
        <w:shd w:val="clear" w:color="auto" w:fill="auto"/>
        <w:bidi w:val="0"/>
        <w:spacing w:before="0" w:after="360" w:line="307" w:lineRule="exact"/>
        <w:ind w:left="0" w:right="0"/>
        <w:jc w:val="both"/>
      </w:pPr>
      <w:r>
        <w:rPr>
          <w:color w:val="000000"/>
          <w:spacing w:val="0"/>
          <w:w w:val="100"/>
          <w:position w:val="0"/>
        </w:rPr>
        <w:t>虽然公司在报告期末已经根据谨慎性原则充分计提了存货跌价准备，但不能排除因为市场的变化导致存货发生跌价损 失，从而影响公司经营业绩的情形。</w:t>
      </w:r>
    </w:p>
    <w:p>
      <w:pPr>
        <w:pStyle w:val="Style21"/>
        <w:keepNext/>
        <w:keepLines/>
        <w:widowControl w:val="0"/>
        <w:shd w:val="clear" w:color="auto" w:fill="auto"/>
        <w:tabs>
          <w:tab w:pos="334" w:val="left"/>
        </w:tabs>
        <w:bidi w:val="0"/>
        <w:spacing w:before="0" w:after="2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7</w:t>
      </w:r>
      <w:bookmarkEnd w:id="41"/>
      <w:r>
        <w:rPr>
          <w:color w:val="000000"/>
          <w:spacing w:val="0"/>
          <w:w w:val="100"/>
          <w:position w:val="0"/>
        </w:rPr>
        <w:t>、</w:t>
        <w:tab/>
        <w:t>募集资金投资项目实施风险</w:t>
      </w:r>
      <w:bookmarkEnd w:id="39"/>
      <w:bookmarkEnd w:id="40"/>
      <w:bookmarkEnd w:id="42"/>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银行实物流转内控风险管理整体解决方案及相关应用产品开发具有前期投入多、开发推广周期长的特点，在项目实施过 程中，面临着技术开发的不确定性、技术替代、政策环境变化、市场环境变化、与客户的合作关系变化等诸多因素，任何一 项因素向不利于公司的方向变化，都有可能导致项目投资效益不能如期实现，进而导致公司的盈利能力下降。</w:t>
      </w:r>
    </w:p>
    <w:p>
      <w:pPr>
        <w:pStyle w:val="Style9"/>
        <w:keepNext w:val="0"/>
        <w:keepLines w:val="0"/>
        <w:widowControl w:val="0"/>
        <w:shd w:val="clear" w:color="auto" w:fill="auto"/>
        <w:bidi w:val="0"/>
        <w:spacing w:before="0" w:after="360" w:line="312" w:lineRule="exact"/>
        <w:ind w:left="0" w:right="0"/>
        <w:jc w:val="both"/>
      </w:pPr>
      <w:r>
        <w:rPr>
          <w:color w:val="000000"/>
          <w:spacing w:val="0"/>
          <w:w w:val="100"/>
          <w:position w:val="0"/>
        </w:rPr>
        <w:t>尽管首次公开发行股票募集资金投资项目主要集中于公司多年来持续专注的银行实物流转内控风险管理领域，符合行业 发展趋势，具有广泛而现实的银行客户基础，市场潜力较大。但是，公司在开拓新市场、推销新产品的过程中依然会面临一 定的不确定性。如果上述新产品未来的市场需求低于预期，或新产品的市场推广进展与公司预测产生偏差，将会导致募集资 金投资项目投产后不能达到预期效益的风险。如果本次募集资金投资项目无法实现预期收益，公司则存在因折旧、摊销和研 发支出大幅增加而导致经营业绩下滑的风险。</w:t>
      </w:r>
    </w:p>
    <w:p>
      <w:pPr>
        <w:pStyle w:val="Style19"/>
        <w:keepNext/>
        <w:keepLines/>
        <w:widowControl w:val="0"/>
        <w:shd w:val="clear" w:color="auto" w:fill="auto"/>
        <w:bidi w:val="0"/>
        <w:spacing w:before="0" w:after="260" w:line="240" w:lineRule="auto"/>
        <w:ind w:left="0" w:right="0" w:firstLine="0"/>
        <w:jc w:val="left"/>
      </w:pPr>
      <w:bookmarkStart w:id="43" w:name="bookmark43"/>
      <w:bookmarkStart w:id="44" w:name="bookmark44"/>
      <w:bookmarkStart w:id="45" w:name="bookmark45"/>
      <w:r>
        <w:rPr>
          <w:color w:val="000000"/>
          <w:spacing w:val="0"/>
          <w:w w:val="100"/>
          <w:position w:val="0"/>
          <w:sz w:val="24"/>
          <w:szCs w:val="24"/>
        </w:rPr>
        <w:t>董事会审议的报告期利润分配预案或公积金转增股本预案：</w:t>
      </w:r>
      <w:bookmarkEnd w:id="43"/>
      <w:bookmarkEnd w:id="44"/>
      <w:bookmarkEnd w:id="45"/>
    </w:p>
    <w:p>
      <w:pPr>
        <w:pStyle w:val="Style9"/>
        <w:keepNext w:val="0"/>
        <w:keepLines w:val="0"/>
        <w:widowControl w:val="0"/>
        <w:shd w:val="clear" w:color="auto" w:fill="auto"/>
        <w:bidi w:val="0"/>
        <w:spacing w:before="0" w:after="260" w:line="326" w:lineRule="exact"/>
        <w:ind w:left="0" w:right="0" w:firstLine="0"/>
        <w:jc w:val="left"/>
        <w:sectPr>
          <w:footnotePr>
            <w:pos w:val="pageBottom"/>
            <w:numFmt w:val="decimal"/>
            <w:numRestart w:val="continuous"/>
          </w:footnotePr>
          <w:pgSz w:w="11900" w:h="16840"/>
          <w:pgMar w:top="1374" w:right="1025" w:bottom="1705"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3.60</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11"/>
        <w:keepNext/>
        <w:keepLines/>
        <w:widowControl w:val="0"/>
        <w:shd w:val="clear" w:color="auto" w:fill="auto"/>
        <w:bidi w:val="0"/>
        <w:spacing w:before="360" w:after="440" w:line="240" w:lineRule="auto"/>
        <w:ind w:left="0" w:right="0" w:firstLine="0"/>
        <w:jc w:val="center"/>
      </w:pPr>
      <w:bookmarkStart w:id="46" w:name="bookmark46"/>
      <w:bookmarkStart w:id="47" w:name="bookmark47"/>
      <w:bookmarkStart w:id="48" w:name="bookmark48"/>
      <w:r>
        <w:rPr>
          <w:color w:val="000000"/>
          <w:spacing w:val="0"/>
          <w:w w:val="100"/>
          <w:position w:val="0"/>
        </w:rPr>
        <w:t>目录</w:t>
      </w:r>
      <w:bookmarkEnd w:id="46"/>
      <w:bookmarkEnd w:id="47"/>
      <w:bookmarkEnd w:id="48"/>
    </w:p>
    <w:p>
      <w:pPr>
        <w:pStyle w:val="Style25"/>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9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14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33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48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3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3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7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65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65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1696"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125</w:t>
        </w:r>
      </w:hyperlink>
      <w:r>
        <w:br w:type="page"/>
      </w:r>
      <w:r>
        <w:fldChar w:fldCharType="end"/>
      </w:r>
    </w:p>
    <w:p>
      <w:pPr>
        <w:pStyle w:val="Style13"/>
        <w:keepNext/>
        <w:keepLines/>
        <w:widowControl w:val="0"/>
        <w:shd w:val="clear" w:color="auto" w:fill="auto"/>
        <w:bidi w:val="0"/>
        <w:spacing w:before="0" w:after="820" w:line="240" w:lineRule="auto"/>
        <w:ind w:left="0" w:right="0" w:firstLine="0"/>
        <w:jc w:val="center"/>
      </w:pPr>
      <w:bookmarkStart w:id="49" w:name="bookmark49"/>
      <w:bookmarkStart w:id="50" w:name="bookmark50"/>
      <w:bookmarkStart w:id="51" w:name="bookmark51"/>
      <w:r>
        <w:rPr>
          <w:color w:val="000000"/>
          <w:spacing w:val="0"/>
          <w:w w:val="100"/>
          <w:position w:val="0"/>
        </w:rPr>
        <w:t>释义</w:t>
      </w:r>
      <w:bookmarkEnd w:id="49"/>
      <w:bookmarkEnd w:id="50"/>
      <w:bookmarkEnd w:id="51"/>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公司、本公司、汇金科技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控股股东、实际控制人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瑞信投资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珠海瑞信投资管理有限公司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衡赢真盛</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苏州衡赢真盛创业投资中心（有限合伙）</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工商银行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建设银行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珠海汇金科技股份有限公司股东大会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珠海汇金科技股份有限公司董事会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珠海汇金科技股份有限公司监事会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《珠海汇金科技股份有限公司章程》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保荐机构、国都证券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国都证券股份有限公司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会计师、审计机构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第二节公司简介和主要财务指标</w:t>
      </w:r>
      <w:bookmarkEnd w:id="52"/>
      <w:bookmarkEnd w:id="53"/>
      <w:bookmarkEnd w:id="54"/>
    </w:p>
    <w:p>
      <w:pPr>
        <w:pStyle w:val="Style19"/>
        <w:keepNext/>
        <w:keepLines/>
        <w:widowControl w:val="0"/>
        <w:shd w:val="clear" w:color="auto" w:fill="auto"/>
        <w:bidi w:val="0"/>
        <w:spacing w:before="0" w:line="240" w:lineRule="auto"/>
        <w:ind w:left="0" w:right="0" w:firstLine="240"/>
        <w:jc w:val="left"/>
      </w:pPr>
      <w:bookmarkStart w:id="55" w:name="bookmark55"/>
      <w:bookmarkStart w:id="56" w:name="bookmark56"/>
      <w:bookmarkStart w:id="57" w:name="bookmark57"/>
      <w:r>
        <w:rPr>
          <w:color w:val="000000"/>
          <w:spacing w:val="0"/>
          <w:w w:val="100"/>
          <w:position w:val="0"/>
          <w:sz w:val="24"/>
          <w:szCs w:val="24"/>
        </w:rPr>
        <w:t>、公司信息</w:t>
      </w:r>
      <w:bookmarkEnd w:id="55"/>
      <w:bookmarkEnd w:id="56"/>
      <w:bookmarkEnd w:id="57"/>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汇金科技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珠海汇金科技股份有限公司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汇金科技</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SGSG Science&amp;Technology Co., Ltd. Zhuhai</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珠海市软件园路</w:t>
            </w:r>
            <w:r>
              <w:rPr>
                <w:color w:val="000000"/>
                <w:spacing w:val="0"/>
                <w:w w:val="100"/>
                <w:position w:val="0"/>
              </w:rPr>
              <w:t>1</w:t>
            </w:r>
            <w:r>
              <w:rPr>
                <w:rFonts w:ascii="SimSun" w:eastAsia="SimSun" w:hAnsi="SimSun" w:cs="SimSun"/>
                <w:color w:val="000000"/>
                <w:spacing w:val="0"/>
                <w:w w:val="100"/>
                <w:position w:val="0"/>
              </w:rPr>
              <w:t>号会展中心</w:t>
            </w:r>
            <w:r>
              <w:rPr>
                <w:color w:val="000000"/>
                <w:spacing w:val="0"/>
                <w:w w:val="100"/>
                <w:position w:val="0"/>
              </w:rPr>
              <w:t>3#</w:t>
            </w:r>
            <w:r>
              <w:rPr>
                <w:rFonts w:ascii="SimSun" w:eastAsia="SimSun" w:hAnsi="SimSun" w:cs="SimSun"/>
                <w:color w:val="000000"/>
                <w:spacing w:val="0"/>
                <w:w w:val="100"/>
                <w:position w:val="0"/>
              </w:rPr>
              <w:t>第三层</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珠海市软件园路</w:t>
            </w:r>
            <w:r>
              <w:rPr>
                <w:color w:val="000000"/>
                <w:spacing w:val="0"/>
                <w:w w:val="100"/>
                <w:position w:val="0"/>
              </w:rPr>
              <w:t>1</w:t>
            </w:r>
            <w:r>
              <w:rPr>
                <w:rFonts w:ascii="SimSun" w:eastAsia="SimSun" w:hAnsi="SimSun" w:cs="SimSun"/>
                <w:color w:val="000000"/>
                <w:spacing w:val="0"/>
                <w:w w:val="100"/>
                <w:position w:val="0"/>
              </w:rPr>
              <w:t>号会展中心</w:t>
            </w:r>
            <w:r>
              <w:rPr>
                <w:color w:val="000000"/>
                <w:spacing w:val="0"/>
                <w:w w:val="100"/>
                <w:position w:val="0"/>
              </w:rPr>
              <w:t>3#</w:t>
            </w:r>
            <w:r>
              <w:rPr>
                <w:rFonts w:ascii="SimSun" w:eastAsia="SimSun" w:hAnsi="SimSun" w:cs="SimSun"/>
                <w:color w:val="000000"/>
                <w:spacing w:val="0"/>
                <w:w w:val="100"/>
                <w:position w:val="0"/>
              </w:rPr>
              <w:t>第三层</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"http://www.sgsg.cc" </w:instrText>
            </w:r>
            <w:r>
              <w:fldChar w:fldCharType="separate"/>
            </w:r>
            <w:r>
              <w:rPr>
                <w:color w:val="000000"/>
                <w:spacing w:val="0"/>
                <w:w w:val="100"/>
                <w:position w:val="0"/>
              </w:rPr>
              <w:t>http://www.sgsg.cc</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"mailto:investor@sgsg.cc" </w:instrText>
            </w:r>
            <w:r>
              <w:fldChar w:fldCharType="separate"/>
            </w:r>
            <w:r>
              <w:rPr>
                <w:color w:val="000000"/>
                <w:spacing w:val="0"/>
                <w:w w:val="100"/>
                <w:position w:val="0"/>
              </w:rPr>
              <w:t>investor@sgsg.cc</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二</w:t>
      </w:r>
      <w:bookmarkEnd w:id="60"/>
      <w:r>
        <w:rPr>
          <w:color w:val="000000"/>
          <w:spacing w:val="0"/>
          <w:w w:val="100"/>
          <w:position w:val="0"/>
          <w:sz w:val="24"/>
          <w:szCs w:val="24"/>
        </w:rPr>
        <w:t>、联系人和联系方式</w:t>
      </w:r>
      <w:bookmarkEnd w:id="58"/>
      <w:bookmarkEnd w:id="59"/>
      <w:bookmarkEnd w:id="61"/>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黄慧盈</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珠海市软件园路</w:t>
            </w:r>
            <w:r>
              <w:rPr>
                <w:color w:val="000000"/>
                <w:spacing w:val="0"/>
                <w:w w:val="100"/>
                <w:position w:val="0"/>
              </w:rPr>
              <w:t>1</w:t>
            </w:r>
            <w:r>
              <w:rPr>
                <w:rFonts w:ascii="SimSun" w:eastAsia="SimSun" w:hAnsi="SimSun" w:cs="SimSun"/>
                <w:color w:val="000000"/>
                <w:spacing w:val="0"/>
                <w:w w:val="100"/>
                <w:position w:val="0"/>
              </w:rPr>
              <w:t>号会展中心</w:t>
            </w:r>
            <w:r>
              <w:rPr>
                <w:color w:val="000000"/>
                <w:spacing w:val="0"/>
                <w:w w:val="100"/>
                <w:position w:val="0"/>
              </w:rPr>
              <w:t>3#</w:t>
            </w:r>
            <w:r>
              <w:rPr>
                <w:rFonts w:ascii="SimSun" w:eastAsia="SimSun" w:hAnsi="SimSun" w:cs="SimSun"/>
                <w:color w:val="000000"/>
                <w:spacing w:val="0"/>
                <w:w w:val="100"/>
                <w:position w:val="0"/>
              </w:rPr>
              <w:t>第三</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珠海市软件园路</w:t>
            </w:r>
            <w:r>
              <w:rPr>
                <w:color w:val="000000"/>
                <w:spacing w:val="0"/>
                <w:w w:val="100"/>
                <w:position w:val="0"/>
              </w:rPr>
              <w:t>1</w:t>
            </w:r>
            <w:r>
              <w:rPr>
                <w:rFonts w:ascii="SimSun" w:eastAsia="SimSun" w:hAnsi="SimSun" w:cs="SimSun"/>
                <w:color w:val="000000"/>
                <w:spacing w:val="0"/>
                <w:w w:val="100"/>
                <w:position w:val="0"/>
              </w:rPr>
              <w:t>号会展中心</w:t>
            </w:r>
            <w:r>
              <w:rPr>
                <w:color w:val="000000"/>
                <w:spacing w:val="0"/>
                <w:w w:val="100"/>
                <w:position w:val="0"/>
              </w:rPr>
              <w:t>3#</w:t>
            </w:r>
            <w:r>
              <w:rPr>
                <w:rFonts w:ascii="SimSun" w:eastAsia="SimSun" w:hAnsi="SimSun" w:cs="SimSun"/>
                <w:color w:val="000000"/>
                <w:spacing w:val="0"/>
                <w:w w:val="100"/>
                <w:position w:val="0"/>
              </w:rPr>
              <w:t>第三</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0756-3236667</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"mailto:mazheng@sgsg.cc" </w:instrText>
            </w:r>
            <w:r>
              <w:fldChar w:fldCharType="separate"/>
            </w:r>
            <w:r>
              <w:rPr>
                <w:color w:val="000000"/>
                <w:spacing w:val="0"/>
                <w:w w:val="100"/>
                <w:position w:val="0"/>
              </w:rPr>
              <w:t>mazheng@sgsg.cc</w:t>
            </w:r>
            <w:r>
              <w:fldChar w:fldCharType="end"/>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"mailto:huanghuiying@sgsg.cc" </w:instrText>
            </w:r>
            <w:r>
              <w:fldChar w:fldCharType="separate"/>
            </w:r>
            <w:r>
              <w:rPr>
                <w:color w:val="000000"/>
                <w:spacing w:val="0"/>
                <w:w w:val="100"/>
                <w:position w:val="0"/>
              </w:rPr>
              <w:t>huanghuiying@sgsg.cc</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三</w:t>
      </w:r>
      <w:bookmarkEnd w:id="64"/>
      <w:r>
        <w:rPr>
          <w:color w:val="000000"/>
          <w:spacing w:val="0"/>
          <w:w w:val="100"/>
          <w:position w:val="0"/>
          <w:sz w:val="24"/>
          <w:szCs w:val="24"/>
        </w:rPr>
        <w:t>、信息披露及备置地点</w:t>
      </w:r>
      <w:bookmarkEnd w:id="62"/>
      <w:bookmarkEnd w:id="63"/>
      <w:bookmarkEnd w:id="6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《证券时报》、《中国证券报》、《证券日报》、《上海证券报》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四</w:t>
      </w:r>
      <w:bookmarkEnd w:id="68"/>
      <w:r>
        <w:rPr>
          <w:color w:val="000000"/>
          <w:spacing w:val="0"/>
          <w:w w:val="100"/>
          <w:position w:val="0"/>
          <w:sz w:val="24"/>
          <w:szCs w:val="24"/>
        </w:rPr>
        <w:t>、其他有关资料</w:t>
      </w:r>
      <w:bookmarkEnd w:id="66"/>
      <w:bookmarkEnd w:id="67"/>
      <w:bookmarkEnd w:id="6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bl>
    <w:p>
      <w:pPr>
        <w:spacing w:lineRule="exact" w:line="1"/>
        <w:rPr>
          <w:sz w:val="2"/>
          <w:szCs w:val="2"/>
        </w:rPr>
      </w:pP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北京市海淀区西四环中路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4</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王远、邵桂荣</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国都证券股份有限公司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北京市东城区东直门南大街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号国华投资大厦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周昕、花宇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r>
              <w:rPr>
                <w:color w:val="000000"/>
                <w:spacing w:val="0"/>
                <w:w w:val="100"/>
                <w:position w:val="0"/>
              </w:rPr>
              <w:t xml:space="preserve">-2019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2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sz w:val="24"/>
          <w:szCs w:val="24"/>
        </w:rPr>
        <w:t>五</w:t>
      </w:r>
      <w:bookmarkEnd w:id="72"/>
      <w:r>
        <w:rPr>
          <w:color w:val="000000"/>
          <w:spacing w:val="0"/>
          <w:w w:val="100"/>
          <w:position w:val="0"/>
          <w:sz w:val="24"/>
          <w:szCs w:val="24"/>
        </w:rPr>
        <w:t>、主要会计数据和财务指标</w:t>
      </w:r>
      <w:bookmarkEnd w:id="70"/>
      <w:bookmarkEnd w:id="71"/>
      <w:bookmarkEnd w:id="73"/>
    </w:p>
    <w:p>
      <w:pPr>
        <w:pStyle w:val="Style9"/>
        <w:keepNext w:val="0"/>
        <w:keepLines w:val="0"/>
        <w:widowControl w:val="0"/>
        <w:shd w:val="clear" w:color="auto" w:fill="auto"/>
        <w:bidi w:val="0"/>
        <w:spacing w:before="0" w:after="100" w:line="355" w:lineRule="exact"/>
        <w:ind w:left="0" w:right="0" w:firstLine="0"/>
        <w:jc w:val="both"/>
      </w:pPr>
      <w:r>
        <w:rPr>
          <w:color w:val="000000"/>
          <w:spacing w:val="0"/>
          <w:w w:val="100"/>
          <w:position w:val="0"/>
        </w:rPr>
        <w:t>公司是否因会计政策变更及会计差错更正等追溯调整或重述以前年度会计数据 口是</w:t>
      </w:r>
      <w:r>
        <w:rPr>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843"/>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218,054,407.37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170,234,699.84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141,377,902.57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78,861,491.66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70,973,005.93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60,926,716.80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75,300,322.89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63,606,145.33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57,694,022.53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63,445,974.14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43,637,605.84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91,600,662.28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693,855,346.09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312,940,680.87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252,160,470.40</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620,513,923.60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236,912,102.24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185,939,096.31</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sz w:val="24"/>
          <w:szCs w:val="24"/>
        </w:rPr>
        <w:t>六</w:t>
      </w:r>
      <w:bookmarkEnd w:id="76"/>
      <w:r>
        <w:rPr>
          <w:color w:val="000000"/>
          <w:spacing w:val="0"/>
          <w:w w:val="100"/>
          <w:position w:val="0"/>
          <w:sz w:val="24"/>
          <w:szCs w:val="24"/>
        </w:rPr>
        <w:t>、分季度主要财务指标</w:t>
      </w:r>
      <w:bookmarkEnd w:id="74"/>
      <w:bookmarkEnd w:id="75"/>
      <w:bookmarkEnd w:id="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47,957,620.72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67,973,688.73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31,757,810.82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70,365,287.10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27,939,669.67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24,658,529.70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6,873,343.48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19,389,948.81</w:t>
            </w:r>
          </w:p>
        </w:tc>
      </w:tr>
      <w:tr>
        <w:trPr>
          <w:trHeight w:val="71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27,861,058.66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22,971,465.99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6,478,447.01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17,989,351.23</w:t>
            </w:r>
          </w:p>
        </w:tc>
      </w:tr>
    </w:tbl>
    <w:tbl>
      <w:tblPr>
        <w:tblOverlap w:val="never"/>
        <w:jc w:val="center"/>
        <w:tblLayout w:type="fixed"/>
      </w:tblPr>
      <w:tblGrid>
        <w:gridCol w:w="2626"/>
        <w:gridCol w:w="1742"/>
        <w:gridCol w:w="1738"/>
        <w:gridCol w:w="1738"/>
        <w:gridCol w:w="1738"/>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-10,025,692.42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-5,802,990.66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-2,472,442.10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81,747,099.32</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19"/>
        <w:keepNext/>
        <w:keepLines/>
        <w:widowControl w:val="0"/>
        <w:shd w:val="clear" w:color="auto" w:fill="auto"/>
        <w:tabs>
          <w:tab w:pos="522" w:val="left"/>
        </w:tabs>
        <w:bidi w:val="0"/>
        <w:spacing w:before="0" w:after="36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sz w:val="24"/>
          <w:szCs w:val="24"/>
        </w:rPr>
        <w:t>七</w:t>
      </w:r>
      <w:bookmarkEnd w:id="80"/>
      <w:r>
        <w:rPr>
          <w:color w:val="000000"/>
          <w:spacing w:val="0"/>
          <w:w w:val="100"/>
          <w:position w:val="0"/>
          <w:sz w:val="24"/>
          <w:szCs w:val="24"/>
        </w:rPr>
        <w:t>、</w:t>
        <w:tab/>
        <w:t>境内外会计准则下会计数据差异</w:t>
      </w:r>
      <w:bookmarkEnd w:id="78"/>
      <w:bookmarkEnd w:id="79"/>
      <w:bookmarkEnd w:id="81"/>
    </w:p>
    <w:p>
      <w:pPr>
        <w:pStyle w:val="Style21"/>
        <w:keepNext/>
        <w:keepLines/>
        <w:widowControl w:val="0"/>
        <w:shd w:val="clear" w:color="auto" w:fill="auto"/>
        <w:tabs>
          <w:tab w:pos="409" w:val="left"/>
        </w:tabs>
        <w:bidi w:val="0"/>
        <w:spacing w:before="0" w:after="360" w:line="240"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同时按照国际会计准则与按照中国会计准则披露的财务报告中净利润和净资产差异情况</w:t>
      </w:r>
      <w:bookmarkEnd w:id="82"/>
      <w:bookmarkEnd w:id="83"/>
      <w:bookmarkEnd w:id="85"/>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1"/>
        <w:keepNext/>
        <w:keepLines/>
        <w:widowControl w:val="0"/>
        <w:shd w:val="clear" w:color="auto" w:fill="auto"/>
        <w:tabs>
          <w:tab w:pos="409" w:val="left"/>
        </w:tabs>
        <w:bidi w:val="0"/>
        <w:spacing w:before="0" w:after="360" w:line="240" w:lineRule="auto"/>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w:t>
        <w:tab/>
        <w:t>同时按照境外会计准则与按照中国会计准则披露的财务报告中净利润和净资产差异情况</w:t>
      </w:r>
      <w:bookmarkEnd w:id="86"/>
      <w:bookmarkEnd w:id="87"/>
      <w:bookmarkEnd w:id="89"/>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6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八</w:t>
      </w:r>
      <w:bookmarkEnd w:id="92"/>
      <w:r>
        <w:rPr>
          <w:color w:val="000000"/>
          <w:spacing w:val="0"/>
          <w:w w:val="100"/>
          <w:position w:val="0"/>
          <w:sz w:val="24"/>
          <w:szCs w:val="24"/>
        </w:rPr>
        <w:t>、</w:t>
        <w:tab/>
        <w:t>非经常性损益项目及金额</w:t>
      </w:r>
      <w:bookmarkEnd w:id="90"/>
      <w:bookmarkEnd w:id="91"/>
      <w:bookmarkEnd w:id="93"/>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689,298.30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4,211,500.00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724,550.00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305,099.52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693,907.54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主要为个人所得税</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手续费返还</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3,195,224.41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4,141,158.05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2,384,730.92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理财收益</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628,453.46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1,302,656.60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570,494.19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3,561,168.77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7,366,860.60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3,232,694.27</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号——非经常性损益》中列举的非经常性损益项目界定为经常性损益的项目，应 说明原因 </w:t>
      </w: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号——非经常性损益》定义、列举的非经常性损益 项目界定为经常性损益的项目的情形。</w:t>
      </w:r>
    </w:p>
    <w:p>
      <w:pPr>
        <w:pStyle w:val="Style13"/>
        <w:keepNext/>
        <w:keepLines/>
        <w:widowControl w:val="0"/>
        <w:shd w:val="clear" w:color="auto" w:fill="auto"/>
        <w:bidi w:val="0"/>
        <w:spacing w:before="0" w:line="240" w:lineRule="auto"/>
        <w:ind w:left="0" w:right="0" w:firstLine="0"/>
        <w:jc w:val="center"/>
      </w:pPr>
      <w:bookmarkStart w:id="94" w:name="bookmark94"/>
      <w:bookmarkStart w:id="95" w:name="bookmark95"/>
      <w:bookmarkStart w:id="96" w:name="bookmark96"/>
      <w:r>
        <w:rPr>
          <w:color w:val="000000"/>
          <w:spacing w:val="0"/>
          <w:w w:val="100"/>
          <w:position w:val="0"/>
        </w:rPr>
        <w:t>第三节公司业务概要</w:t>
      </w:r>
      <w:bookmarkEnd w:id="94"/>
      <w:bookmarkEnd w:id="95"/>
      <w:bookmarkEnd w:id="96"/>
    </w:p>
    <w:p>
      <w:pPr>
        <w:pStyle w:val="Style19"/>
        <w:keepNext/>
        <w:keepLines/>
        <w:widowControl w:val="0"/>
        <w:shd w:val="clear" w:color="auto" w:fill="auto"/>
        <w:tabs>
          <w:tab w:pos="507" w:val="left"/>
        </w:tabs>
        <w:bidi w:val="0"/>
        <w:spacing w:before="0" w:after="3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w:t>
        <w:tab/>
        <w:t>报告期内公司从事的主要业务</w:t>
      </w:r>
      <w:bookmarkEnd w:id="100"/>
      <w:bookmarkEnd w:id="97"/>
      <w:bookmarkEnd w:id="98"/>
    </w:p>
    <w:p>
      <w:pPr>
        <w:pStyle w:val="Style21"/>
        <w:keepNext/>
        <w:keepLines/>
        <w:widowControl w:val="0"/>
        <w:shd w:val="clear" w:color="auto" w:fill="auto"/>
        <w:tabs>
          <w:tab w:pos="400" w:val="left"/>
        </w:tabs>
        <w:bidi w:val="0"/>
        <w:spacing w:before="0" w:after="24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公司从事的主要业务</w:t>
      </w:r>
      <w:bookmarkEnd w:id="101"/>
      <w:bookmarkEnd w:id="102"/>
      <w:bookmarkEnd w:id="104"/>
    </w:p>
    <w:p>
      <w:pPr>
        <w:pStyle w:val="Style9"/>
        <w:keepNext w:val="0"/>
        <w:keepLines w:val="0"/>
        <w:widowControl w:val="0"/>
        <w:shd w:val="clear" w:color="auto" w:fill="auto"/>
        <w:bidi w:val="0"/>
        <w:spacing w:before="0" w:after="40" w:line="317" w:lineRule="exact"/>
        <w:ind w:left="0" w:right="0"/>
        <w:jc w:val="both"/>
      </w:pPr>
      <w:r>
        <w:rPr>
          <w:color w:val="000000"/>
          <w:spacing w:val="0"/>
          <w:w w:val="100"/>
          <w:position w:val="0"/>
        </w:rPr>
        <w:t>公司从事的主要业务是基于银行现金、票据、印章等实物流转内控风险管理整体解决方案的相关应用产品研发、生产和 销售。</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公司是国内最早拓展银行业实物流转内部控制风险管理市场的专业公司之一，基于该领域的内部操作风险特点和管理要 求率先开发了银行自助设备现金管理系统、银行现金流转内控系统以及银行印章管理系统等在内的系列产品。上述系统应用 于银行自助设备加配钞；营业网点现金调缴、寄库等；以及柜面、后台部门的印章使用等业务的内控风险管理，适应了银行 业客户关于推进信息化、集约化建设和加强安全的需求。</w:t>
      </w:r>
    </w:p>
    <w:p>
      <w:pPr>
        <w:pStyle w:val="Style9"/>
        <w:keepNext w:val="0"/>
        <w:keepLines w:val="0"/>
        <w:widowControl w:val="0"/>
        <w:shd w:val="clear" w:color="auto" w:fill="auto"/>
        <w:bidi w:val="0"/>
        <w:spacing w:before="0" w:after="340" w:line="312" w:lineRule="exact"/>
        <w:ind w:left="0" w:right="0"/>
        <w:jc w:val="both"/>
      </w:pPr>
      <w:r>
        <w:rPr>
          <w:color w:val="000000"/>
          <w:spacing w:val="0"/>
          <w:w w:val="100"/>
          <w:position w:val="0"/>
        </w:rPr>
        <w:t>公司向银行客户提供适用于不同业务的系列化解决方案及实物流转内控风险管理系统，形成了以一体化服务为特点的经 营模式，范围涵盖了业务咨询、方案设计、软件开发、硬件设计、系统集成、安装调试、技术支持、培训及后续服务的全过 程。</w:t>
      </w:r>
    </w:p>
    <w:p>
      <w:pPr>
        <w:pStyle w:val="Style21"/>
        <w:keepNext/>
        <w:keepLines/>
        <w:widowControl w:val="0"/>
        <w:shd w:val="clear" w:color="auto" w:fill="auto"/>
        <w:tabs>
          <w:tab w:pos="400" w:val="left"/>
        </w:tabs>
        <w:bidi w:val="0"/>
        <w:spacing w:before="0" w:after="24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公司所属行业特点</w:t>
      </w:r>
      <w:bookmarkEnd w:id="105"/>
      <w:bookmarkEnd w:id="106"/>
      <w:bookmarkEnd w:id="108"/>
    </w:p>
    <w:p>
      <w:pPr>
        <w:pStyle w:val="Style9"/>
        <w:keepNext w:val="0"/>
        <w:keepLines w:val="0"/>
        <w:widowControl w:val="0"/>
        <w:shd w:val="clear" w:color="auto" w:fill="auto"/>
        <w:bidi w:val="0"/>
        <w:spacing w:before="0" w:after="40" w:line="322" w:lineRule="exact"/>
        <w:ind w:left="0" w:right="0"/>
        <w:jc w:val="both"/>
      </w:pPr>
      <w:r>
        <w:rPr>
          <w:color w:val="000000"/>
          <w:spacing w:val="0"/>
          <w:w w:val="100"/>
          <w:position w:val="0"/>
        </w:rPr>
        <w:t>根据证监会</w:t>
      </w:r>
      <w:r>
        <w:rPr>
          <w:color w:val="000000"/>
          <w:spacing w:val="0"/>
          <w:w w:val="100"/>
          <w:position w:val="0"/>
        </w:rPr>
        <w:t>2012</w:t>
      </w:r>
      <w:r>
        <w:rPr>
          <w:color w:val="000000"/>
          <w:spacing w:val="0"/>
          <w:w w:val="100"/>
          <w:position w:val="0"/>
        </w:rPr>
        <w:t>年发布的《上市公司行业分类指引》，公司主营业务归属于软件和信息技术服务业；同时，公司主要从 事的银行实物流转内控风险管理业务属于银行等金融机构操作风险管理的范畴。</w:t>
      </w:r>
    </w:p>
    <w:p>
      <w:pPr>
        <w:pStyle w:val="Style9"/>
        <w:keepNext w:val="0"/>
        <w:keepLines w:val="0"/>
        <w:widowControl w:val="0"/>
        <w:shd w:val="clear" w:color="auto" w:fill="auto"/>
        <w:bidi w:val="0"/>
        <w:spacing w:before="0" w:after="40" w:line="307" w:lineRule="exact"/>
        <w:ind w:left="0" w:right="0"/>
        <w:jc w:val="both"/>
      </w:pPr>
      <w:r>
        <w:rPr>
          <w:color w:val="000000"/>
          <w:spacing w:val="0"/>
          <w:w w:val="100"/>
          <w:position w:val="0"/>
        </w:rPr>
        <w:t>银行业前期实物流转内控风险管理专业化、信息化程度不高，主要依靠手工操作、记录进行风险防范和控制。随着监管 机构对商业银行内控风险管理水平要求的提高和银行自身信息化、集约化管理的需要，国内商业银行逐步优化了涉及现金、 有价票据、贵金属和印章使用等实物流转的具体业务流程；同时，随着计算机、物联网以及通信等技术在银行运营管理领域 的广泛运用，以及专业银行实物流转内控风险管理服务商的出现，银行实物流转内控风险管理由传统手工操作方式转变为集 合管理软件、嵌入式软件以及专业化金融机具于一体的系统管理、控制。</w:t>
      </w:r>
    </w:p>
    <w:p>
      <w:pPr>
        <w:pStyle w:val="Style9"/>
        <w:keepNext w:val="0"/>
        <w:keepLines w:val="0"/>
        <w:widowControl w:val="0"/>
        <w:shd w:val="clear" w:color="auto" w:fill="auto"/>
        <w:bidi w:val="0"/>
        <w:spacing w:before="0" w:after="340" w:line="312" w:lineRule="exact"/>
        <w:ind w:left="0" w:right="0"/>
        <w:jc w:val="both"/>
      </w:pPr>
      <w:r>
        <w:rPr>
          <w:color w:val="000000"/>
          <w:spacing w:val="0"/>
          <w:w w:val="100"/>
          <w:position w:val="0"/>
        </w:rPr>
        <w:t>银行实物流转内控风险管理行业在中国尚属于新兴领域，公司率先提出了将银行具体业务流程改进与软硬件相结合的整 体解决方案设计思路，并创新推出相关应用系统产品，为银行实物流转内控风险管理行业的发展拓展了市场空间。由于市场 仍处于开拓期，虽然从行业整体存量市场而言公司的绝对市场占有率不高，但与其他竞争对手相比，公司仍处于领先地位。</w:t>
      </w:r>
    </w:p>
    <w:p>
      <w:pPr>
        <w:pStyle w:val="Style19"/>
        <w:keepNext/>
        <w:keepLines/>
        <w:widowControl w:val="0"/>
        <w:shd w:val="clear" w:color="auto" w:fill="auto"/>
        <w:tabs>
          <w:tab w:pos="507" w:val="left"/>
        </w:tabs>
        <w:bidi w:val="0"/>
        <w:spacing w:before="0" w:after="34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w:t>
        <w:tab/>
        <w:t>主要资产重大变化情况</w:t>
      </w:r>
      <w:bookmarkEnd w:id="109"/>
      <w:bookmarkEnd w:id="110"/>
      <w:bookmarkEnd w:id="112"/>
    </w:p>
    <w:p>
      <w:pPr>
        <w:pStyle w:val="Style21"/>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、主要资产重大变化情况</w:t>
      </w:r>
      <w:bookmarkEnd w:id="113"/>
      <w:bookmarkEnd w:id="114"/>
      <w:bookmarkEnd w:id="11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本期末较上年末增长</w:t>
            </w:r>
            <w:r>
              <w:rPr>
                <w:color w:val="000000"/>
                <w:spacing w:val="0"/>
                <w:w w:val="100"/>
                <w:position w:val="0"/>
              </w:rPr>
              <w:t>383.19%</w:t>
            </w:r>
            <w:r>
              <w:rPr>
                <w:rFonts w:ascii="SimSun" w:eastAsia="SimSun" w:hAnsi="SimSun" w:cs="SimSun"/>
                <w:color w:val="000000"/>
                <w:spacing w:val="0"/>
                <w:w w:val="100"/>
                <w:position w:val="0"/>
              </w:rPr>
              <w:t>，系募集资金投资项目相关基建工程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本期末新增应收票据余额</w:t>
            </w:r>
            <w:r>
              <w:rPr>
                <w:color w:val="000000"/>
                <w:spacing w:val="0"/>
                <w:w w:val="100"/>
                <w:position w:val="0"/>
              </w:rPr>
              <w:t>10,280,540.00</w:t>
            </w:r>
            <w:r>
              <w:rPr>
                <w:rFonts w:ascii="SimSun" w:eastAsia="SimSun" w:hAnsi="SimSun" w:cs="SimSun"/>
                <w:color w:val="000000"/>
                <w:spacing w:val="0"/>
                <w:w w:val="100"/>
                <w:position w:val="0"/>
              </w:rPr>
              <w:t>元，系收到客户的银行承兑汇票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本期末较上年末增长</w:t>
            </w:r>
            <w:r>
              <w:rPr>
                <w:color w:val="000000"/>
                <w:spacing w:val="0"/>
                <w:w w:val="100"/>
                <w:position w:val="0"/>
              </w:rPr>
              <w:t>44.88%</w:t>
            </w:r>
            <w:r>
              <w:rPr>
                <w:rFonts w:ascii="SimSun" w:eastAsia="SimSun" w:hAnsi="SimSun" w:cs="SimSun"/>
                <w:color w:val="000000"/>
                <w:spacing w:val="0"/>
                <w:w w:val="100"/>
                <w:position w:val="0"/>
              </w:rPr>
              <w:t>，主要系应收账款随销售规模扩大而增加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本期末较上年末增长</w:t>
            </w:r>
            <w:r>
              <w:rPr>
                <w:color w:val="000000"/>
                <w:spacing w:val="0"/>
                <w:w w:val="100"/>
                <w:position w:val="0"/>
              </w:rPr>
              <w:t>50.54%</w:t>
            </w:r>
            <w:r>
              <w:rPr>
                <w:rFonts w:ascii="SimSun" w:eastAsia="SimSun" w:hAnsi="SimSun" w:cs="SimSun"/>
                <w:color w:val="000000"/>
                <w:spacing w:val="0"/>
                <w:w w:val="100"/>
                <w:position w:val="0"/>
              </w:rPr>
              <w:t>，主要系预付款项随销售规模扩大而增加</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本期末较上年末减少</w:t>
            </w:r>
            <w:r>
              <w:rPr>
                <w:color w:val="000000"/>
                <w:spacing w:val="0"/>
                <w:w w:val="100"/>
                <w:position w:val="0"/>
              </w:rPr>
              <w:t>45.23%</w:t>
            </w:r>
            <w:r>
              <w:rPr>
                <w:rFonts w:ascii="SimSun" w:eastAsia="SimSun" w:hAnsi="SimSun" w:cs="SimSun"/>
                <w:color w:val="000000"/>
                <w:spacing w:val="0"/>
                <w:w w:val="100"/>
                <w:position w:val="0"/>
              </w:rPr>
              <w:t>，主要系本期停止租赁珠海市高新区东岸留狮山工业</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区五栋第三、四层仓库，剩余未摊销完毕的装修费一次性摊销</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本期末较上年末增长</w:t>
            </w:r>
            <w:r>
              <w:rPr>
                <w:color w:val="000000"/>
                <w:spacing w:val="0"/>
                <w:w w:val="100"/>
                <w:position w:val="0"/>
              </w:rPr>
              <w:t>67.45%</w:t>
            </w:r>
            <w:r>
              <w:rPr>
                <w:rFonts w:ascii="SimSun" w:eastAsia="SimSun" w:hAnsi="SimSun" w:cs="SimSun"/>
                <w:color w:val="000000"/>
                <w:spacing w:val="0"/>
                <w:w w:val="100"/>
                <w:position w:val="0"/>
              </w:rPr>
              <w:t>，主要系资产减值准备和预计负债增加使可抵扣暂时 性差异增加</w:t>
            </w:r>
          </w:p>
        </w:tc>
      </w:tr>
    </w:tbl>
    <w:p>
      <w:pPr>
        <w:widowControl w:val="0"/>
        <w:spacing w:after="259" w:line="1" w:lineRule="exact"/>
      </w:pPr>
    </w:p>
    <w:p>
      <w:pPr>
        <w:pStyle w:val="Style21"/>
        <w:keepNext/>
        <w:keepLines/>
        <w:widowControl w:val="0"/>
        <w:shd w:val="clear" w:color="auto" w:fill="auto"/>
        <w:bidi w:val="0"/>
        <w:spacing w:before="0" w:after="260" w:line="346" w:lineRule="exact"/>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、主要境外资产情况</w:t>
      </w:r>
      <w:bookmarkEnd w:id="117"/>
      <w:bookmarkEnd w:id="118"/>
      <w:bookmarkEnd w:id="120"/>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sz w:val="24"/>
          <w:szCs w:val="24"/>
        </w:rPr>
        <w:t>三</w:t>
      </w:r>
      <w:bookmarkEnd w:id="123"/>
      <w:r>
        <w:rPr>
          <w:color w:val="000000"/>
          <w:spacing w:val="0"/>
          <w:w w:val="100"/>
          <w:position w:val="0"/>
          <w:sz w:val="24"/>
          <w:szCs w:val="24"/>
        </w:rPr>
        <w:t>、核心竞争力分析</w:t>
      </w:r>
      <w:bookmarkEnd w:id="121"/>
      <w:bookmarkEnd w:id="122"/>
      <w:bookmarkEnd w:id="124"/>
    </w:p>
    <w:p>
      <w:pPr>
        <w:pStyle w:val="Style21"/>
        <w:keepNext/>
        <w:keepLines/>
        <w:widowControl w:val="0"/>
        <w:shd w:val="clear" w:color="auto" w:fill="auto"/>
        <w:tabs>
          <w:tab w:pos="358" w:val="left"/>
        </w:tabs>
        <w:bidi w:val="0"/>
        <w:spacing w:before="0" w:after="260" w:line="346" w:lineRule="exact"/>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1</w:t>
      </w:r>
      <w:bookmarkEnd w:id="127"/>
      <w:r>
        <w:rPr>
          <w:color w:val="000000"/>
          <w:spacing w:val="0"/>
          <w:w w:val="100"/>
          <w:position w:val="0"/>
        </w:rPr>
        <w:t>、</w:t>
        <w:tab/>
        <w:t>前瞻开发贴合银行业务流程的实物流转内控风险管理解决方案，引导客户需求和行业主要产品发展方 向</w:t>
      </w:r>
      <w:bookmarkEnd w:id="125"/>
      <w:bookmarkEnd w:id="126"/>
      <w:bookmarkEnd w:id="128"/>
    </w:p>
    <w:p>
      <w:pPr>
        <w:pStyle w:val="Style9"/>
        <w:keepNext w:val="0"/>
        <w:keepLines w:val="0"/>
        <w:widowControl w:val="0"/>
        <w:shd w:val="clear" w:color="auto" w:fill="auto"/>
        <w:bidi w:val="0"/>
        <w:spacing w:before="0" w:after="0" w:line="312" w:lineRule="exact"/>
        <w:ind w:left="0" w:right="0"/>
        <w:jc w:val="left"/>
      </w:pPr>
      <w:r>
        <w:rPr>
          <w:color w:val="000000"/>
          <w:spacing w:val="0"/>
          <w:w w:val="100"/>
          <w:position w:val="0"/>
        </w:rPr>
        <w:t>在银行持续推进信息化、集约化管理过程中，银行逐步出现了将实物流转内控风险管理纳入系统管理提高风险管理效益 的需求。公司凭借自身对银行运营板块涉及实物流转相关管理制度、业务流程的深刻认识，以及对主要风险点的认知、理解， 先后开发出银行现金流转内控系统、银行自助设备现金管理系统以及银行印章管理系统等，在帮助银行对相关业务流程进行 优化完善的基础上，以具体的技术手段实现了对相关内控操作风险的有效控制。</w:t>
      </w:r>
    </w:p>
    <w:p>
      <w:pPr>
        <w:pStyle w:val="Style9"/>
        <w:keepNext w:val="0"/>
        <w:keepLines w:val="0"/>
        <w:widowControl w:val="0"/>
        <w:shd w:val="clear" w:color="auto" w:fill="auto"/>
        <w:bidi w:val="0"/>
        <w:spacing w:before="0" w:after="260" w:line="317" w:lineRule="exact"/>
        <w:ind w:left="0" w:right="0"/>
        <w:jc w:val="left"/>
      </w:pPr>
      <w:r>
        <w:rPr>
          <w:color w:val="000000"/>
          <w:spacing w:val="0"/>
          <w:w w:val="100"/>
          <w:position w:val="0"/>
        </w:rPr>
        <w:t>公司上述产品均为国内首创，并逐步拓展了银行实物流转内控风险管理市场，凭借着产品、服务的前瞻性、适用性引导 着银行实物流转内控风险管理主要产品的发展方向。</w:t>
      </w:r>
    </w:p>
    <w:p>
      <w:pPr>
        <w:pStyle w:val="Style21"/>
        <w:keepNext/>
        <w:keepLines/>
        <w:widowControl w:val="0"/>
        <w:shd w:val="clear" w:color="auto" w:fill="auto"/>
        <w:tabs>
          <w:tab w:pos="368" w:val="left"/>
        </w:tabs>
        <w:bidi w:val="0"/>
        <w:spacing w:before="0" w:after="260" w:line="346" w:lineRule="exact"/>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w:t>
        <w:tab/>
        <w:t>技术优势</w:t>
      </w:r>
      <w:bookmarkEnd w:id="129"/>
      <w:bookmarkEnd w:id="130"/>
      <w:bookmarkEnd w:id="132"/>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银行实物流转内控风险管理整体解决方案开发，以及应用系统相关软硬件产品设计，涉及物联网、计算机、通信、密码 以及结构设计等多领域的技术。公司自设立以来以自主研发为主，根据商业银行业务特点和管理要求一直致力于产品性能的 持续改进和新产品技术的不断研发，通过优化结构设计和射频识别、动态密码、无线通信等技术应用，帮助银行实现实物流 转内控风险管理的可识别性、安全性、可控性、及时性。</w:t>
      </w:r>
    </w:p>
    <w:p>
      <w:pPr>
        <w:pStyle w:val="Style9"/>
        <w:keepNext w:val="0"/>
        <w:keepLines w:val="0"/>
        <w:widowControl w:val="0"/>
        <w:shd w:val="clear" w:color="auto" w:fill="auto"/>
        <w:bidi w:val="0"/>
        <w:spacing w:before="0" w:line="322" w:lineRule="exact"/>
        <w:ind w:left="0" w:right="0"/>
        <w:jc w:val="both"/>
      </w:pPr>
      <w:r>
        <w:rPr>
          <w:color w:val="000000"/>
          <w:spacing w:val="0"/>
          <w:w w:val="100"/>
          <w:position w:val="0"/>
        </w:rPr>
        <w:t>截至报告期末，公司已拥有银行实物流转内控风险管理领域</w:t>
      </w:r>
      <w:r>
        <w:rPr>
          <w:rFonts w:ascii="Times New Roman" w:eastAsia="Times New Roman" w:hAnsi="Times New Roman" w:cs="Times New Roman"/>
          <w:color w:val="000000"/>
          <w:spacing w:val="0"/>
          <w:w w:val="100"/>
          <w:position w:val="0"/>
        </w:rPr>
        <w:t>11</w:t>
      </w:r>
      <w:r>
        <w:rPr>
          <w:color w:val="000000"/>
          <w:spacing w:val="0"/>
          <w:w w:val="100"/>
          <w:position w:val="0"/>
        </w:rPr>
        <w:t>项发明专利、</w:t>
      </w:r>
      <w:r>
        <w:rPr>
          <w:rFonts w:ascii="Times New Roman" w:eastAsia="Times New Roman" w:hAnsi="Times New Roman" w:cs="Times New Roman"/>
          <w:color w:val="000000"/>
          <w:spacing w:val="0"/>
          <w:w w:val="100"/>
          <w:position w:val="0"/>
        </w:rPr>
        <w:t>20</w:t>
      </w:r>
      <w:r>
        <w:rPr>
          <w:color w:val="000000"/>
          <w:spacing w:val="0"/>
          <w:w w:val="100"/>
          <w:position w:val="0"/>
        </w:rPr>
        <w:t>项计算机软件著作权和</w:t>
      </w:r>
      <w:r>
        <w:rPr>
          <w:rFonts w:ascii="Times New Roman" w:eastAsia="Times New Roman" w:hAnsi="Times New Roman" w:cs="Times New Roman"/>
          <w:color w:val="000000"/>
          <w:spacing w:val="0"/>
          <w:w w:val="100"/>
          <w:position w:val="0"/>
        </w:rPr>
        <w:t>50</w:t>
      </w:r>
      <w:r>
        <w:rPr>
          <w:color w:val="000000"/>
          <w:spacing w:val="0"/>
          <w:w w:val="100"/>
          <w:position w:val="0"/>
        </w:rPr>
        <w:t>项实用新型、外 观设计专利，在行业内具有较为明显的技术优势。</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日，公司已经取得证书的专利情况如下表所示:</w:t>
      </w:r>
    </w:p>
    <w:tbl>
      <w:tblPr>
        <w:tblOverlap w:val="never"/>
        <w:jc w:val="center"/>
        <w:tblLayout w:type="fixed"/>
      </w:tblPr>
      <w:tblGrid>
        <w:gridCol w:w="643"/>
        <w:gridCol w:w="1829"/>
        <w:gridCol w:w="989"/>
        <w:gridCol w:w="3499"/>
        <w:gridCol w:w="1843"/>
        <w:gridCol w:w="86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授予专利号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授予名称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取得方式</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ZL201010560931.9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一种电子射频锁及其钥匙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2010/11/21-2030/11/20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ZL201110280540.6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一种无线动态密码锁及其控制方法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2011/09/08-2031/09/07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ZL201210176146.2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一种带远程监控的密码锁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2012/05/31-2032/05/30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ZL201310310872.3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印章管理机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2013/07/23-2033/07/22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ZL201310353888.2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密码锁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2013/08/14-2033/08/13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ZL201210440401.X</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一种开锁装置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2012/11/07-2032/11/06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ZL201310342110.1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动静态密码锁的控制方法及控制装置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2013/08/07-2033/08/06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ZL201410555385.8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一种印章机系统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2014/10/17-2034/10/16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ZL201410552672.3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一种印章机系统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2014/10/17-2034/10/16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ZL201410627948.X</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电子锁及应用其的印章模块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2014/11/10-2034/11/09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ZL201210440621.2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一种防盗款箱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2012/11/07-2032/11/06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ZL200720146997.7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锁体开槽封闭钥匙孔挂锁及用于封闭钥匙孔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2007/04/22-2017/04/21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bl>
    <w:p>
      <w:pPr>
        <w:spacing w:lineRule="exact" w:line="1"/>
        <w:rPr>
          <w:sz w:val="2"/>
          <w:szCs w:val="2"/>
        </w:rPr>
      </w:pPr>
      <w:r>
        <w:br w:type="page"/>
      </w:r>
    </w:p>
    <w:tbl>
      <w:tblPr>
        <w:tblOverlap w:val="never"/>
        <w:jc w:val="center"/>
        <w:tblLayout w:type="fixed"/>
      </w:tblPr>
      <w:tblGrid>
        <w:gridCol w:w="643"/>
        <w:gridCol w:w="1829"/>
        <w:gridCol w:w="989"/>
        <w:gridCol w:w="3499"/>
        <w:gridCol w:w="1843"/>
        <w:gridCol w:w="86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授予专利号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授予名称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取得方式</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的卡片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ZL200720182548.8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卡封联芯锁及用于封闭钥匙孔并印有编码的 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2007/09/30-2017/09/29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ZL200720186444.4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自动提、取款机加钞箱锁及用于封闭钥匙孔 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2007/12/21-2017/12/20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ZL200820007273.9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封闭钥匙孔的信息数据插片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2008/03/12-2018/03/11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ZL200820008752.2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可以封闭钥匙孔的箱柜、抽屉锁具或锁具插 座以及配套插片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2008/03/24-2018/03/23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ZL200820009064.8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锁体开槽封闭钥匙孔挂锁及封闭钥匙孔的信 息数据插片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2008/04/07-2018/04/06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ZL200820009059.7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可以封闭钥匙孔的挂锁或挂锁插座及配套使 用的插片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2008/04/07-2018/04/06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ZL200820130503.0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封闭自动存取款机加钞箱钥匙孔并可记录信 息的卡片</w:t>
            </w:r>
            <w:r>
              <w:rPr>
                <w:rFonts w:ascii="SimSun" w:eastAsia="SimSun" w:hAnsi="SimSun" w:cs="SimSun"/>
                <w:color w:val="000000"/>
                <w:spacing w:val="0"/>
                <w:w w:val="100"/>
                <w:position w:val="0"/>
                <w:sz w:val="9"/>
                <w:szCs w:val="9"/>
              </w:rPr>
              <w:t>注</w:t>
            </w:r>
            <w:r>
              <w:rPr>
                <w:color w:val="000000"/>
                <w:spacing w:val="0"/>
                <w:w w:val="100"/>
                <w:position w:val="0"/>
                <w:vertAlign w:val="superscript"/>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2008/06/25-2018/06/24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ZL200820115747.1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锁定箱包拉链牌的插座及配套使用可记录信 息的卡片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2008/06/25-2018/06/24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ZL200820210342.6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可以锁定拉链牌的银行自助设备钞箱集装包 及配套使用的插座和卡片</w:t>
            </w:r>
            <w:r>
              <w:rPr>
                <w:rFonts w:ascii="SimSun" w:eastAsia="SimSun" w:hAnsi="SimSun" w:cs="SimSun"/>
                <w:color w:val="000000"/>
                <w:spacing w:val="0"/>
                <w:w w:val="100"/>
                <w:position w:val="0"/>
                <w:sz w:val="9"/>
                <w:szCs w:val="9"/>
              </w:rPr>
              <w:t>注</w:t>
            </w:r>
            <w:r>
              <w:rPr>
                <w:color w:val="000000"/>
                <w:spacing w:val="0"/>
                <w:w w:val="100"/>
                <w:position w:val="0"/>
                <w:vertAlign w:val="superscript"/>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2008/09/28-2018/09/27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ZL200820182317.1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一种无匙挂锁及配套可以记录信息的卡片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2008/12/02-2018/12/01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ZL200820129711.9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一种无匙固定锁及配套可以记录信息的卡片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2008/12/18-2018/12/17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ZL200920007701.2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一次性签封锁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2009/02/19-2019/02/18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ZL200920218821.7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可以锁定拉链牌的资料袋及配套使用的卡片 插座和卡片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2009/09/27-2019/09/26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ZL200920273337.4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电子射频卡封挂锁及用于封闭钥匙孔的卡片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2009/11/23-2019/11/22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ZL201020003762.4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一种专用无匙固定锁及配套可以记录信息的 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2010/01/07-2020/01/06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ZL201020277596.7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一种用于自动存取款机加钞箱钥匙孔的封闭 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2010/07/29-2020/07/28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ZL201020665220.3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一种用于取款机加钞箱的封闭装置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2010/12/09-2020/12/08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ZL201020687724.5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一种用于自动存取款机加钞箱钥匙孔的封闭 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2010/12/21-2020/12/20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ZL201120127848.2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一种具有防撬功能的提款箱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2011/04/21-2021/04/20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ZL201120272761.4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一种防止非授权人开启自助设备加钞箱的锁</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2011/07/22-2021/07/21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ZL201220154495.X</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一种封闭自动存取款机加钞箱钥匙孔并可记</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录信息的卡片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2012/04/06-2022/04/05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ZL201220157614.7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一种锁定箱包拉链牌的卡片插座和卡片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2012/04/09-2022/04/08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ZL201220363664.0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一种周转箱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2012/07/26-2022/07/25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ZL201420227168.1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打印盖章机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2014/05/05-2024/05/04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ZL201420363468.2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贵金属配送箱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2014/07/01-2024/06/30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ZL201420441753.1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动态密码锁及远程密码锁设备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2014/08/06-2024/08/05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bl>
    <w:p>
      <w:pPr>
        <w:spacing w:lineRule="exact" w:line="1"/>
        <w:rPr>
          <w:sz w:val="2"/>
          <w:szCs w:val="2"/>
        </w:rPr>
      </w:pPr>
      <w:r>
        <w:br w:type="page"/>
      </w:r>
    </w:p>
    <w:tbl>
      <w:tblPr>
        <w:tblOverlap w:val="never"/>
        <w:jc w:val="center"/>
        <w:tblLayout w:type="fixed"/>
      </w:tblPr>
      <w:tblGrid>
        <w:gridCol w:w="643"/>
        <w:gridCol w:w="1829"/>
        <w:gridCol w:w="989"/>
        <w:gridCol w:w="3499"/>
        <w:gridCol w:w="1843"/>
        <w:gridCol w:w="86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授予专利号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授予名称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取得方式</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ZL201420473005.1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用于检测</w:t>
            </w:r>
            <w:r>
              <w:rPr>
                <w:color w:val="000000"/>
                <w:spacing w:val="0"/>
                <w:w w:val="100"/>
                <w:position w:val="0"/>
              </w:rPr>
              <w:t>ATM</w:t>
            </w:r>
            <w:r>
              <w:rPr>
                <w:rFonts w:ascii="SimSun" w:eastAsia="SimSun" w:hAnsi="SimSun" w:cs="SimSun"/>
                <w:color w:val="000000"/>
                <w:spacing w:val="0"/>
                <w:w w:val="100"/>
                <w:position w:val="0"/>
              </w:rPr>
              <w:t>机柜门开关的装置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2014/08/20-2024/08/19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ZL201420590364.5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印章设备及其盖章机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2014/10/13-2024/10/12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ZL201420604106.8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一种压纸机构及应用其的印章机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2014/10/17-2024/10/16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ZL201420590417.3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印章设备及其盖章机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2014/10/13-2024/10/12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ZL201420604086.4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一种自动印章机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2014/10/17-2024/10/16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ZL201420670325.6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一种电子锁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2014/11/10-2024/11/09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ZL201520509957.9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一种自适应式印章设备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2015/07/14-2025/07/13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ZL201520638564.8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动态密码锁及其远程控制系统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2015/08/21-2025/08/20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ZL201520732213.3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一种用于插锁的卡片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2015/09/18-2025/09/17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ZL201520643168.4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一种纸张自动翻转输出装置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2015/08/24-2025/08/23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ZL201520643416.5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一种一体化自助终端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2015/08/24-2025/08/23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ZL201520770719.3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一种电机驱动式自动盖章机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2015/09/28-2025/09/27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ZL </w:t>
            </w:r>
            <w:r>
              <w:rPr>
                <w:color w:val="000000"/>
                <w:spacing w:val="0"/>
                <w:w w:val="100"/>
                <w:position w:val="0"/>
              </w:rPr>
              <w:t>201030600456.4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提款箱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2010/10/26-2020/10/25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受让</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ZL201130278577.6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射频标签读取解锁器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2011/08/10-2021/08/09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ZL201430180851.X</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动态密码锁控制器（</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2014/06/13-2024/06/12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ZL201430181135.3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动态密码锁控制器（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2014/06/13-2024/06/12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ZL201430180848.8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动态密码锁控制器模块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2014/06/13-2024/06/12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ZL201430202049.6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智能打印盖章机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2014/06/25-2024/06/24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ZL201430202474.5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智能印控仪</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2014/06/25-2024/06/24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ZL201430202419.6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智能印控仪</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2014/06/25-2024/06/24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ZL201430227897.2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2014/07/08-2024/07/07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ZL201430515070.1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移动终端（</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2014/12/10-2024/12/09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ZL201430514866.5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移动终端（</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2014/12/10-2024/12/09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日，中华人民共和国国家知识产权局专利复审委员会作出《无效宣告请求审查决定》（第</w:t>
      </w:r>
      <w:r>
        <w:rPr>
          <w:rFonts w:ascii="Times New Roman" w:eastAsia="Times New Roman" w:hAnsi="Times New Roman" w:cs="Times New Roman"/>
          <w:color w:val="000000"/>
          <w:spacing w:val="0"/>
          <w:w w:val="100"/>
          <w:position w:val="0"/>
        </w:rPr>
        <w:t>22148</w:t>
      </w:r>
      <w:r>
        <w:rPr>
          <w:color w:val="000000"/>
          <w:spacing w:val="0"/>
          <w:w w:val="100"/>
          <w:position w:val="0"/>
        </w:rPr>
        <w:t>号），宣 告“封闭自动存取款机加钞箱钥匙孔并可记录信息的卡片”专利（专利号：</w:t>
      </w:r>
      <w:r>
        <w:rPr>
          <w:rFonts w:ascii="Times New Roman" w:eastAsia="Times New Roman" w:hAnsi="Times New Roman" w:cs="Times New Roman"/>
          <w:color w:val="000000"/>
          <w:spacing w:val="0"/>
          <w:w w:val="100"/>
          <w:position w:val="0"/>
        </w:rPr>
        <w:t>ZL200820130503.0</w:t>
      </w:r>
      <w:r>
        <w:rPr>
          <w:color w:val="000000"/>
          <w:spacing w:val="0"/>
          <w:w w:val="100"/>
          <w:position w:val="0"/>
        </w:rPr>
        <w:t>）</w:t>
      </w:r>
      <w:r>
        <w:rPr>
          <w:color w:val="000000"/>
          <w:spacing w:val="0"/>
          <w:w w:val="100"/>
          <w:position w:val="0"/>
        </w:rPr>
        <w:t>其权利要求</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无效, 在权利要求</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的基础上维持该专利有效；</w:t>
      </w:r>
    </w:p>
    <w:p>
      <w:pPr>
        <w:pStyle w:val="Style9"/>
        <w:keepNext w:val="0"/>
        <w:keepLines w:val="0"/>
        <w:widowControl w:val="0"/>
        <w:shd w:val="clear" w:color="auto" w:fill="auto"/>
        <w:bidi w:val="0"/>
        <w:spacing w:before="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日，中华人民共和国国家知识产权局专利复审委员会作出《无效宣告请求审查决定》（第</w:t>
      </w:r>
      <w:r>
        <w:rPr>
          <w:rFonts w:ascii="Times New Roman" w:eastAsia="Times New Roman" w:hAnsi="Times New Roman" w:cs="Times New Roman"/>
          <w:color w:val="000000"/>
          <w:spacing w:val="0"/>
          <w:w w:val="100"/>
          <w:position w:val="0"/>
        </w:rPr>
        <w:t xml:space="preserve">20723 </w:t>
      </w:r>
      <w:r>
        <w:rPr>
          <w:color w:val="000000"/>
          <w:spacing w:val="0"/>
          <w:w w:val="100"/>
          <w:position w:val="0"/>
        </w:rPr>
        <w:t>号），宣告“可以锁定拉链牌的银行自助设备钞箱集装包及配套使用的插座和卡片”专利（专利号</w:t>
      </w:r>
      <w:r>
        <w:rPr>
          <w:rFonts w:ascii="Times New Roman" w:eastAsia="Times New Roman" w:hAnsi="Times New Roman" w:cs="Times New Roman"/>
          <w:color w:val="000000"/>
          <w:spacing w:val="0"/>
          <w:w w:val="100"/>
          <w:position w:val="0"/>
        </w:rPr>
        <w:t>ZL200820210342.6</w:t>
      </w:r>
      <w:r>
        <w:rPr>
          <w:color w:val="000000"/>
          <w:spacing w:val="0"/>
          <w:w w:val="100"/>
          <w:position w:val="0"/>
        </w:rPr>
        <w:t>）</w:t>
      </w:r>
      <w:r>
        <w:rPr>
          <w:color w:val="000000"/>
          <w:spacing w:val="0"/>
          <w:w w:val="100"/>
          <w:position w:val="0"/>
        </w:rPr>
        <w:t>其权 利要求</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6-10</w:t>
      </w:r>
      <w:r>
        <w:rPr>
          <w:color w:val="000000"/>
          <w:spacing w:val="0"/>
          <w:w w:val="100"/>
          <w:position w:val="0"/>
        </w:rPr>
        <w:t>无效，在权利要求</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的基础上维持该专利有效；（</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日，中华人民共和国国家知识产权 局专利复审委员会作出《无效宣告请求审查决定》（第</w:t>
      </w:r>
      <w:r>
        <w:rPr>
          <w:rFonts w:ascii="Times New Roman" w:eastAsia="Times New Roman" w:hAnsi="Times New Roman" w:cs="Times New Roman"/>
          <w:color w:val="000000"/>
          <w:spacing w:val="0"/>
          <w:w w:val="100"/>
          <w:position w:val="0"/>
        </w:rPr>
        <w:t>23057</w:t>
      </w:r>
      <w:r>
        <w:rPr>
          <w:color w:val="000000"/>
          <w:spacing w:val="0"/>
          <w:w w:val="100"/>
          <w:position w:val="0"/>
        </w:rPr>
        <w:t>号），宣告“可以锁定拉链牌的银行自助设备钞箱集装包及配套 使用的插座和卡片”专利（专利号</w:t>
      </w:r>
      <w:r>
        <w:rPr>
          <w:rFonts w:ascii="Times New Roman" w:eastAsia="Times New Roman" w:hAnsi="Times New Roman" w:cs="Times New Roman"/>
          <w:color w:val="000000"/>
          <w:spacing w:val="0"/>
          <w:w w:val="100"/>
          <w:position w:val="0"/>
        </w:rPr>
        <w:t>ZL200820210342.6</w:t>
      </w:r>
      <w:r>
        <w:rPr>
          <w:color w:val="000000"/>
          <w:spacing w:val="0"/>
          <w:w w:val="100"/>
          <w:position w:val="0"/>
        </w:rPr>
        <w:t>）</w:t>
      </w:r>
      <w:r>
        <w:rPr>
          <w:color w:val="000000"/>
          <w:spacing w:val="0"/>
          <w:w w:val="100"/>
          <w:position w:val="0"/>
        </w:rPr>
        <w:t>其权利要求</w:t>
      </w:r>
      <w:r>
        <w:rPr>
          <w:rFonts w:ascii="Times New Roman" w:eastAsia="Times New Roman" w:hAnsi="Times New Roman" w:cs="Times New Roman"/>
          <w:color w:val="000000"/>
          <w:spacing w:val="0"/>
          <w:w w:val="100"/>
          <w:position w:val="0"/>
        </w:rPr>
        <w:t>4</w:t>
      </w:r>
      <w:r>
        <w:rPr>
          <w:color w:val="000000"/>
          <w:spacing w:val="0"/>
          <w:w w:val="100"/>
          <w:position w:val="0"/>
        </w:rPr>
        <w:t>无效，在权利要求</w:t>
      </w:r>
      <w:r>
        <w:rPr>
          <w:rFonts w:ascii="Times New Roman" w:eastAsia="Times New Roman" w:hAnsi="Times New Roman" w:cs="Times New Roman"/>
          <w:color w:val="000000"/>
          <w:spacing w:val="0"/>
          <w:w w:val="100"/>
          <w:position w:val="0"/>
        </w:rPr>
        <w:t>5</w:t>
      </w:r>
      <w:r>
        <w:rPr>
          <w:color w:val="000000"/>
          <w:spacing w:val="0"/>
          <w:w w:val="100"/>
          <w:position w:val="0"/>
        </w:rPr>
        <w:t>的基础上维持该专利有效。</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日，公司拥有的计算机软件著作权的情况如下:</w:t>
      </w:r>
    </w:p>
    <w:tbl>
      <w:tblPr>
        <w:tblOverlap w:val="never"/>
        <w:jc w:val="center"/>
        <w:tblLayout w:type="fixed"/>
      </w:tblPr>
      <w:tblGrid>
        <w:gridCol w:w="494"/>
        <w:gridCol w:w="1944"/>
        <w:gridCol w:w="3259"/>
        <w:gridCol w:w="1277"/>
        <w:gridCol w:w="1843"/>
        <w:gridCol w:w="85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登记证书编号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著作权保护期限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取得方式</w:t>
            </w:r>
          </w:p>
        </w:tc>
      </w:tr>
      <w:tr>
        <w:trPr>
          <w:trHeight w:val="12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0204599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汇金现金、票据管理可识别安全防范卡封</w:t>
            </w:r>
          </w:p>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（管理、加钞箱）锁、片、条、箱、包系 统</w:t>
            </w:r>
            <w:r>
              <w:rPr>
                <w:color w:val="000000"/>
                <w:spacing w:val="0"/>
                <w:w w:val="100"/>
                <w:position w:val="0"/>
              </w:rPr>
              <w:t>［</w:t>
            </w:r>
            <w:r>
              <w:rPr>
                <w:rFonts w:ascii="SimSun" w:eastAsia="SimSun" w:hAnsi="SimSun" w:cs="SimSun"/>
                <w:color w:val="000000"/>
                <w:spacing w:val="0"/>
                <w:w w:val="100"/>
                <w:position w:val="0"/>
              </w:rPr>
              <w:t>简称：卡封（（管理、加钞箱）锁、片、 条、箱、包】</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2010SR016326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2010/03/23-2060/12/31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643"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0299020</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汇金实物流转</w:t>
            </w:r>
            <w:r>
              <w:rPr>
                <w:color w:val="000000"/>
                <w:spacing w:val="0"/>
                <w:w w:val="100"/>
                <w:position w:val="0"/>
              </w:rPr>
              <w:t>RFID</w:t>
            </w:r>
            <w:r>
              <w:rPr>
                <w:rFonts w:ascii="SimSun" w:eastAsia="SimSun" w:hAnsi="SimSun" w:cs="SimSun"/>
                <w:color w:val="000000"/>
                <w:spacing w:val="0"/>
                <w:w w:val="100"/>
                <w:position w:val="0"/>
              </w:rPr>
              <w:t>识别及安防控制软件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简称：汇金</w:t>
            </w:r>
            <w:r>
              <w:rPr>
                <w:color w:val="000000"/>
                <w:spacing w:val="0"/>
                <w:w w:val="100"/>
                <w:position w:val="0"/>
              </w:rPr>
              <w:t>RFID</w:t>
            </w:r>
            <w:r>
              <w:rPr>
                <w:rFonts w:ascii="SimSun" w:eastAsia="SimSun" w:hAnsi="SimSun" w:cs="SimSun"/>
                <w:color w:val="000000"/>
                <w:spacing w:val="0"/>
                <w:w w:val="100"/>
                <w:position w:val="0"/>
              </w:rPr>
              <w:t>安控</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2011SR035346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2011/05/09-2061/12/31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bl>
    <w:p>
      <w:pPr>
        <w:spacing w:lineRule="exact" w:line="1"/>
        <w:rPr>
          <w:sz w:val="2"/>
          <w:szCs w:val="2"/>
        </w:rPr>
      </w:pPr>
      <w:r>
        <w:br w:type="page"/>
      </w:r>
    </w:p>
    <w:tbl>
      <w:tblPr>
        <w:tblOverlap w:val="never"/>
        <w:jc w:val="center"/>
        <w:tblLayout w:type="fixed"/>
      </w:tblPr>
      <w:tblGrid>
        <w:gridCol w:w="494"/>
        <w:gridCol w:w="1944"/>
        <w:gridCol w:w="3259"/>
        <w:gridCol w:w="1277"/>
        <w:gridCol w:w="1843"/>
        <w:gridCol w:w="85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登记证书编号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著作权保护期限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取得方式</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0299021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汇金实物流转信息管理软件</w:t>
            </w:r>
            <w:r>
              <w:rPr>
                <w:color w:val="000000"/>
                <w:spacing w:val="0"/>
                <w:w w:val="100"/>
                <w:position w:val="0"/>
              </w:rPr>
              <w:t>［</w:t>
            </w:r>
            <w:r>
              <w:rPr>
                <w:rFonts w:ascii="SimSun" w:eastAsia="SimSun" w:hAnsi="SimSun" w:cs="SimSun"/>
                <w:color w:val="000000"/>
                <w:spacing w:val="0"/>
                <w:w w:val="100"/>
                <w:position w:val="0"/>
              </w:rPr>
              <w:t>简称：汇金 实物流转管理</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2011SR035347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2011/05/09-2061/12/31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0495531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汇金现金款箱信息管理软件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2012SR127495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2012/04/10-2062/12/31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0495467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汇金现金款箱批量识别控制软件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2012SR127431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2012/06/12-2062/12/31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0473767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汇金卡钔上门收款控制软件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2012SR105731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2012/08/01-2062/12/31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0477757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汇金卡钔收款信息管理软件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2012SR109721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2012/08/01-2062/12/31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0477770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汇金卡钔钞箱批量识别控制软件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2012SR109734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2012/08/20-2062/12/31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0477767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汇金卡钔动态密码锁信息管理软件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2012SR109731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2012/09/25-2062/12/31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0473765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汇金卡钔加钞远程控制软件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2012SR105729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2012/09/28-2062/12/31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0495532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汇金自助设备动态密码锁控制软件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2012SR127496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2012/10/01-2062/12/31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0681387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汇金卡钔清机管理控制软件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2014SR012143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2013/06/04-2063/12/31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0701809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汇金卡钔智能印控仪软件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2014SR032565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0681833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汇金卡封现金流转管理软件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2014SR012589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1128060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汇金自助政务服务终端控制软件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2015SR240974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2015/05/25-2065/12/31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1128072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汇金自助政务服务终端管理软件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2014SR240986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2015/08/18-2064/12/31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1128025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汇金动态密码门禁控制软件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2015SR240939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2015/10/22-2065/12/31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1191290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汇金动态密码门禁管理软件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2016SR012673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1277051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公章物联网管理软件</w:t>
            </w:r>
            <w:r>
              <w:rPr>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2016SR098434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2016/04/25-2066/12/31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1380643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汇金批量盖章印控机控制软件</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2016SR202026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2016/07/18-2066/12/31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申请</w:t>
            </w:r>
          </w:p>
        </w:tc>
      </w:tr>
    </w:tbl>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注：汇金卡钔智能印控仪软件</w:t>
      </w:r>
      <w:r>
        <w:rPr>
          <w:rFonts w:ascii="Times New Roman" w:eastAsia="Times New Roman" w:hAnsi="Times New Roman" w:cs="Times New Roman"/>
          <w:color w:val="000000"/>
          <w:spacing w:val="0"/>
          <w:w w:val="100"/>
          <w:position w:val="0"/>
        </w:rPr>
        <w:t>VL0</w:t>
      </w:r>
      <w:r>
        <w:rPr>
          <w:color w:val="000000"/>
          <w:spacing w:val="0"/>
          <w:w w:val="100"/>
          <w:position w:val="0"/>
        </w:rPr>
        <w:t>、</w:t>
      </w:r>
      <w:r>
        <w:rPr>
          <w:color w:val="000000"/>
          <w:spacing w:val="0"/>
          <w:w w:val="100"/>
          <w:position w:val="0"/>
        </w:rPr>
        <w:t>汇金卡封现金流转管理软件</w:t>
      </w:r>
      <w:r>
        <w:rPr>
          <w:rFonts w:ascii="Times New Roman" w:eastAsia="Times New Roman" w:hAnsi="Times New Roman" w:cs="Times New Roman"/>
          <w:color w:val="000000"/>
          <w:spacing w:val="0"/>
          <w:w w:val="100"/>
          <w:position w:val="0"/>
        </w:rPr>
        <w:t>VL0</w:t>
      </w:r>
      <w:r>
        <w:rPr>
          <w:color w:val="000000"/>
          <w:spacing w:val="0"/>
          <w:w w:val="100"/>
          <w:position w:val="0"/>
        </w:rPr>
        <w:t>、</w:t>
      </w:r>
      <w:r>
        <w:rPr>
          <w:color w:val="000000"/>
          <w:spacing w:val="0"/>
          <w:w w:val="100"/>
          <w:position w:val="0"/>
        </w:rPr>
        <w:t>汇金动态密码门禁管理软件</w:t>
      </w:r>
      <w:r>
        <w:rPr>
          <w:rFonts w:ascii="Times New Roman" w:eastAsia="Times New Roman" w:hAnsi="Times New Roman" w:cs="Times New Roman"/>
          <w:color w:val="000000"/>
          <w:spacing w:val="0"/>
          <w:w w:val="100"/>
          <w:position w:val="0"/>
        </w:rPr>
        <w:t>V1.0</w:t>
      </w:r>
      <w:r>
        <w:rPr>
          <w:color w:val="000000"/>
          <w:spacing w:val="0"/>
          <w:w w:val="100"/>
          <w:position w:val="0"/>
        </w:rPr>
        <w:t>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日完成开发</w:t>
      </w:r>
    </w:p>
    <w:p>
      <w:pPr>
        <w:pStyle w:val="Style21"/>
        <w:keepNext/>
        <w:keepLines/>
        <w:widowControl w:val="0"/>
        <w:shd w:val="clear" w:color="auto" w:fill="auto"/>
        <w:tabs>
          <w:tab w:pos="330" w:val="left"/>
        </w:tabs>
        <w:bidi w:val="0"/>
        <w:spacing w:before="0" w:after="26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w:t>
        <w:tab/>
        <w:t>市场先入和品牌优势</w:t>
      </w:r>
      <w:bookmarkEnd w:id="133"/>
      <w:bookmarkEnd w:id="134"/>
      <w:bookmarkEnd w:id="136"/>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经过多年的市场开拓，包括国有和股份制商业银行在内的国内多数商业银行、邮政储蓄系统、信用社等金融机构均不同 程度地购买和使用了公司的实物流转内控风险管理相关应用系统，并建立了从总行、省级分行到支行、乃至营业部的全国范 围的客户网络。</w:t>
      </w:r>
    </w:p>
    <w:p>
      <w:pPr>
        <w:pStyle w:val="Style9"/>
        <w:keepNext w:val="0"/>
        <w:keepLines w:val="0"/>
        <w:widowControl w:val="0"/>
        <w:shd w:val="clear" w:color="auto" w:fill="auto"/>
        <w:bidi w:val="0"/>
        <w:spacing w:before="0" w:after="360" w:line="314" w:lineRule="exact"/>
        <w:ind w:left="0" w:right="0"/>
        <w:jc w:val="both"/>
      </w:pPr>
      <w:r>
        <w:rPr>
          <w:color w:val="000000"/>
          <w:spacing w:val="0"/>
          <w:w w:val="100"/>
          <w:position w:val="0"/>
        </w:rPr>
        <w:t>公司在与银行紧密合作的基础上，已经实现了自主开发的银行实物流转内控风险管理相关系统产品与银行信息系统的有 效对接，“卡封”、“卡钔”等品牌拥有较高的品牌形象和市场知名度。银行在相关的系统维护、系统升级、人员培训等服务 内容方面对公司具有一定的黏性。对于新进入者，需要面对银行系统性更换实物流转内控风险管理的软硬件成本、时间成本 以及技术实施风险等障碍。</w:t>
      </w:r>
    </w:p>
    <w:p>
      <w:pPr>
        <w:pStyle w:val="Style21"/>
        <w:keepNext/>
        <w:keepLines/>
        <w:widowControl w:val="0"/>
        <w:shd w:val="clear" w:color="auto" w:fill="auto"/>
        <w:tabs>
          <w:tab w:pos="330" w:val="left"/>
        </w:tabs>
        <w:bidi w:val="0"/>
        <w:spacing w:before="0" w:after="26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w:t>
        <w:tab/>
        <w:t>一体化服务优势</w:t>
      </w:r>
      <w:bookmarkEnd w:id="137"/>
      <w:bookmarkEnd w:id="138"/>
      <w:bookmarkEnd w:id="140"/>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针对银行实物流转内控风险管理涉及业务流程优化以及信息化、集约化改造的特殊要求，公司形成了涵盖业务流程咨询、 方案设计、软件开发、硬件设计、系统集成、安装调试、技术支持、培训及后续服务在内的一体化服务模式。</w:t>
      </w:r>
    </w:p>
    <w:p>
      <w:pPr>
        <w:pStyle w:val="Style9"/>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83" w:right="1057" w:bottom="1445" w:left="1071" w:header="0" w:footer="3" w:gutter="0"/>
          <w:cols w:space="720"/>
          <w:noEndnote/>
          <w:rtlGutter w:val="0"/>
          <w:docGrid w:linePitch="360"/>
        </w:sectPr>
      </w:pPr>
      <w:r>
        <w:rPr>
          <w:color w:val="000000"/>
          <w:spacing w:val="0"/>
          <w:w w:val="100"/>
          <w:position w:val="0"/>
        </w:rPr>
        <w:t xml:space="preserve">项目前期，公司将研发环节前移，直接参与银行客户具体业务流程改进的技术交流，实现研发与市场的直接对接，帮助 银行发现、挖掘具体操作风险，进而在银行实物流转内控风险管理解决方案开发中及时、准确地反映客户需求；中期，公司 具备不同专业背景的技术研发团队根据解决方案提出的功能需求，能够集成应用多领域、多学科的专业技术进行软件开发、 硬件设计及系统集成；在后期安装、服务环节，公司拥有具备全国服务能力的安装、服务团队，建立了全国性的技术服务网 </w:t>
      </w:r>
      <w:bookmarkStart w:id="141" w:name="bookmark141"/>
      <w:r>
        <w:rPr>
          <w:color w:val="000000"/>
          <w:spacing w:val="0"/>
          <w:w w:val="100"/>
          <w:position w:val="0"/>
        </w:rPr>
        <w:t>络和响应机制，保持</w:t>
      </w:r>
      <w:r>
        <w:rPr>
          <w:rFonts w:ascii="Times New Roman" w:eastAsia="Times New Roman" w:hAnsi="Times New Roman" w:cs="Times New Roman"/>
          <w:color w:val="000000"/>
          <w:spacing w:val="0"/>
          <w:w w:val="100"/>
          <w:position w:val="0"/>
        </w:rPr>
        <w:t>7</w:t>
      </w:r>
      <w:r>
        <w:rPr>
          <w:color w:val="000000"/>
          <w:spacing w:val="0"/>
          <w:w w:val="100"/>
          <w:position w:val="0"/>
        </w:rPr>
        <w:t>天</w:t>
      </w:r>
      <w:r>
        <w:rPr>
          <w:rFonts w:ascii="Times New Roman" w:eastAsia="Times New Roman" w:hAnsi="Times New Roman" w:cs="Times New Roman"/>
          <w:color w:val="000000"/>
          <w:spacing w:val="0"/>
          <w:w w:val="100"/>
          <w:position w:val="0"/>
        </w:rPr>
        <w:t>x24</w:t>
      </w:r>
      <w:r>
        <w:rPr>
          <w:color w:val="000000"/>
          <w:spacing w:val="0"/>
          <w:w w:val="100"/>
          <w:position w:val="0"/>
        </w:rPr>
        <w:t>小时响应级别。公司的一体化服务模式能够更有效地服务银行客户，提高客户黏性，发掘市场 机会。</w:t>
      </w:r>
      <w:bookmarkEnd w:id="141"/>
    </w:p>
    <w:p>
      <w:pPr>
        <w:pStyle w:val="Style13"/>
        <w:keepNext/>
        <w:keepLines/>
        <w:widowControl w:val="0"/>
        <w:shd w:val="clear" w:color="auto" w:fill="auto"/>
        <w:bidi w:val="0"/>
        <w:spacing w:before="540" w:line="240" w:lineRule="auto"/>
        <w:ind w:left="0" w:right="0" w:firstLine="0"/>
        <w:jc w:val="center"/>
      </w:pPr>
      <w:bookmarkStart w:id="142" w:name="bookmark142"/>
      <w:bookmarkStart w:id="143" w:name="bookmark143"/>
      <w:bookmarkStart w:id="144" w:name="bookmark144"/>
      <w:r>
        <w:rPr>
          <w:color w:val="000000"/>
          <w:spacing w:val="0"/>
          <w:w w:val="100"/>
          <w:position w:val="0"/>
        </w:rPr>
        <w:t>第四节经营情况讨论与分析</w:t>
      </w:r>
      <w:bookmarkEnd w:id="142"/>
      <w:bookmarkEnd w:id="143"/>
      <w:bookmarkEnd w:id="144"/>
    </w:p>
    <w:p>
      <w:pPr>
        <w:pStyle w:val="Style19"/>
        <w:keepNext/>
        <w:keepLines/>
        <w:widowControl w:val="0"/>
        <w:shd w:val="clear" w:color="auto" w:fill="auto"/>
        <w:bidi w:val="0"/>
        <w:spacing w:before="0" w:after="2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一</w:t>
      </w:r>
      <w:bookmarkEnd w:id="147"/>
      <w:r>
        <w:rPr>
          <w:color w:val="000000"/>
          <w:spacing w:val="0"/>
          <w:w w:val="100"/>
          <w:position w:val="0"/>
          <w:sz w:val="24"/>
          <w:szCs w:val="24"/>
        </w:rPr>
        <w:t>、概述</w:t>
      </w:r>
      <w:bookmarkEnd w:id="145"/>
      <w:bookmarkEnd w:id="146"/>
      <w:bookmarkEnd w:id="148"/>
    </w:p>
    <w:p>
      <w:pPr>
        <w:pStyle w:val="Style9"/>
        <w:keepNext w:val="0"/>
        <w:keepLines w:val="0"/>
        <w:widowControl w:val="0"/>
        <w:shd w:val="clear" w:color="auto" w:fill="auto"/>
        <w:bidi w:val="0"/>
        <w:spacing w:before="0" w:after="360" w:line="311"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日，公司成功在深圳证券交易所创业板上市。</w:t>
      </w:r>
      <w:r>
        <w:rPr>
          <w:rFonts w:ascii="Times New Roman" w:eastAsia="Times New Roman" w:hAnsi="Times New Roman" w:cs="Times New Roman"/>
          <w:color w:val="000000"/>
          <w:spacing w:val="0"/>
          <w:w w:val="100"/>
          <w:position w:val="0"/>
        </w:rPr>
        <w:t>2016</w:t>
      </w:r>
      <w:r>
        <w:rPr>
          <w:color w:val="000000"/>
          <w:spacing w:val="0"/>
          <w:w w:val="100"/>
          <w:position w:val="0"/>
        </w:rPr>
        <w:t>年既是公司</w:t>
      </w:r>
      <w:r>
        <w:rPr>
          <w:rFonts w:ascii="Times New Roman" w:eastAsia="Times New Roman" w:hAnsi="Times New Roman" w:cs="Times New Roman"/>
          <w:color w:val="000000"/>
          <w:spacing w:val="0"/>
          <w:w w:val="100"/>
          <w:position w:val="0"/>
        </w:rPr>
        <w:t>“</w:t>
      </w:r>
      <w:r>
        <w:rPr>
          <w:color w:val="000000"/>
          <w:spacing w:val="0"/>
          <w:w w:val="100"/>
          <w:position w:val="0"/>
        </w:rPr>
        <w:t>三五</w:t>
      </w:r>
      <w:r>
        <w:rPr>
          <w:rFonts w:ascii="Times New Roman" w:eastAsia="Times New Roman" w:hAnsi="Times New Roman" w:cs="Times New Roman"/>
          <w:color w:val="000000"/>
          <w:spacing w:val="0"/>
          <w:w w:val="100"/>
          <w:position w:val="0"/>
        </w:rPr>
        <w:t>”</w:t>
      </w:r>
      <w:r>
        <w:rPr>
          <w:color w:val="000000"/>
          <w:spacing w:val="0"/>
          <w:w w:val="100"/>
          <w:position w:val="0"/>
        </w:rPr>
        <w:t>计划的开局之年，更是发展历程中的 全新起点。报告期内，公司紧紧围绕董事会确定的年度经营目标，积极主动采取有效措施，依托公司产品创新优势和良好的 市场声誉，通过持续技术和产品创新、业务流程优化，加强产品成本控制、质量管理，以及完善技术支持和后续服务体系等 各项措施，实现了经营业绩持续增长，较好地完成了全年目标任务。公司全年实现营业收入</w:t>
      </w:r>
      <w:r>
        <w:rPr>
          <w:rFonts w:ascii="Times New Roman" w:eastAsia="Times New Roman" w:hAnsi="Times New Roman" w:cs="Times New Roman"/>
          <w:color w:val="000000"/>
          <w:spacing w:val="0"/>
          <w:w w:val="100"/>
          <w:position w:val="0"/>
        </w:rPr>
        <w:t>21,805.44</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rPr>
        <w:t>28.09%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7,886.15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11.11%</w:t>
      </w:r>
      <w:r>
        <w:rPr>
          <w:color w:val="000000"/>
          <w:spacing w:val="0"/>
          <w:w w:val="100"/>
          <w:position w:val="0"/>
        </w:rPr>
        <w:t>。公司主要业务回顾如下：</w:t>
      </w:r>
    </w:p>
    <w:p>
      <w:pPr>
        <w:pStyle w:val="Style21"/>
        <w:keepNext/>
        <w:keepLines/>
        <w:widowControl w:val="0"/>
        <w:shd w:val="clear" w:color="auto" w:fill="auto"/>
        <w:tabs>
          <w:tab w:pos="342" w:val="left"/>
        </w:tabs>
        <w:bidi w:val="0"/>
        <w:spacing w:before="0" w:after="2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w:t>
        <w:tab/>
        <w:t>主营业务持续增长，保持行业领先地位</w:t>
      </w:r>
      <w:bookmarkEnd w:id="149"/>
      <w:bookmarkEnd w:id="150"/>
      <w:bookmarkEnd w:id="152"/>
    </w:p>
    <w:p>
      <w:pPr>
        <w:pStyle w:val="Style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年度，在国内主要商业银行持续推进信息化、集约化建设的背景下，公司主营业务销售规模持续扩大；同时，公司 积极推进产品型号、生产工艺等标准化工作，实现生产制程优化，提高产线利用率，降低生产制造成本。公司主营业务竞争 能力进一步增强，保持行业领先地位。</w:t>
      </w:r>
    </w:p>
    <w:p>
      <w:pPr>
        <w:pStyle w:val="Style9"/>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报告期内，公司主要产品之一银行自助设备现金管理系统</w:t>
      </w:r>
      <w:r>
        <w:rPr>
          <w:rFonts w:ascii="Times New Roman" w:eastAsia="Times New Roman" w:hAnsi="Times New Roman" w:cs="Times New Roman"/>
          <w:color w:val="000000"/>
          <w:spacing w:val="0"/>
          <w:w w:val="100"/>
          <w:position w:val="0"/>
        </w:rPr>
        <w:t>2016</w:t>
      </w:r>
      <w:r>
        <w:rPr>
          <w:color w:val="000000"/>
          <w:spacing w:val="0"/>
          <w:w w:val="100"/>
          <w:position w:val="0"/>
        </w:rPr>
        <w:t>年度销售规模进一步扩大至</w:t>
      </w:r>
      <w:r>
        <w:rPr>
          <w:rFonts w:ascii="Times New Roman" w:eastAsia="Times New Roman" w:hAnsi="Times New Roman" w:cs="Times New Roman"/>
          <w:color w:val="000000"/>
          <w:spacing w:val="0"/>
          <w:w w:val="100"/>
          <w:position w:val="0"/>
        </w:rPr>
        <w:t>16,441.9</w:t>
      </w:r>
      <w:r>
        <w:rPr>
          <w:rFonts w:ascii="Times New Roman" w:eastAsia="Times New Roman" w:hAnsi="Times New Roman" w:cs="Times New Roman"/>
          <w:color w:val="000000"/>
          <w:spacing w:val="0"/>
          <w:w w:val="100"/>
          <w:position w:val="0"/>
        </w:rPr>
        <w:t>1</w:t>
      </w:r>
      <w:r>
        <w:rPr>
          <w:color w:val="000000"/>
          <w:spacing w:val="0"/>
          <w:w w:val="100"/>
          <w:position w:val="0"/>
        </w:rPr>
        <w:t>万元，较上年同期增 长</w:t>
      </w:r>
      <w:r>
        <w:rPr>
          <w:rFonts w:ascii="Times New Roman" w:eastAsia="Times New Roman" w:hAnsi="Times New Roman" w:cs="Times New Roman"/>
          <w:color w:val="000000"/>
          <w:spacing w:val="0"/>
          <w:w w:val="100"/>
          <w:position w:val="0"/>
        </w:rPr>
        <w:t>50.21%</w:t>
      </w:r>
      <w:r>
        <w:rPr>
          <w:color w:val="000000"/>
          <w:spacing w:val="0"/>
          <w:w w:val="100"/>
          <w:position w:val="0"/>
        </w:rPr>
        <w:t>。同时，公司客户多元化趋势进一步增强，随着建设银行等其他国内主要商业银行加快推进信息化、集约化改造， 以及</w:t>
      </w:r>
      <w:r>
        <w:rPr>
          <w:rFonts w:ascii="Times New Roman" w:eastAsia="Times New Roman" w:hAnsi="Times New Roman" w:cs="Times New Roman"/>
          <w:color w:val="000000"/>
          <w:spacing w:val="0"/>
          <w:w w:val="100"/>
          <w:position w:val="0"/>
        </w:rPr>
        <w:t>ATM</w:t>
      </w:r>
      <w:r>
        <w:rPr>
          <w:color w:val="000000"/>
          <w:spacing w:val="0"/>
          <w:w w:val="100"/>
          <w:position w:val="0"/>
        </w:rPr>
        <w:t>厂商标配销售的增加，公司对农业银行销售收入占当期收入比例进一步下降至</w:t>
      </w:r>
      <w:r>
        <w:rPr>
          <w:rFonts w:ascii="Times New Roman" w:eastAsia="Times New Roman" w:hAnsi="Times New Roman" w:cs="Times New Roman"/>
          <w:color w:val="000000"/>
          <w:spacing w:val="0"/>
          <w:w w:val="100"/>
          <w:position w:val="0"/>
        </w:rPr>
        <w:t>34.73%</w:t>
      </w:r>
      <w:r>
        <w:rPr>
          <w:color w:val="000000"/>
          <w:spacing w:val="0"/>
          <w:w w:val="100"/>
          <w:position w:val="0"/>
        </w:rPr>
        <w:t>。</w:t>
      </w:r>
    </w:p>
    <w:p>
      <w:pPr>
        <w:pStyle w:val="Style21"/>
        <w:keepNext/>
        <w:keepLines/>
        <w:widowControl w:val="0"/>
        <w:shd w:val="clear" w:color="auto" w:fill="auto"/>
        <w:tabs>
          <w:tab w:pos="352" w:val="left"/>
        </w:tabs>
        <w:bidi w:val="0"/>
        <w:spacing w:before="0" w:after="2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w:t>
        <w:tab/>
        <w:t>持续增加研发投入力度，增强公司核心竞争力</w:t>
      </w:r>
      <w:bookmarkEnd w:id="153"/>
      <w:bookmarkEnd w:id="154"/>
      <w:bookmarkEnd w:id="156"/>
    </w:p>
    <w:p>
      <w:pPr>
        <w:pStyle w:val="Style9"/>
        <w:keepNext w:val="0"/>
        <w:keepLines w:val="0"/>
        <w:widowControl w:val="0"/>
        <w:shd w:val="clear" w:color="auto" w:fill="auto"/>
        <w:bidi w:val="0"/>
        <w:spacing w:before="0" w:after="0" w:line="310" w:lineRule="exact"/>
        <w:ind w:left="0" w:right="0"/>
        <w:jc w:val="both"/>
      </w:pPr>
      <w:r>
        <w:rPr>
          <w:color w:val="000000"/>
          <w:spacing w:val="0"/>
          <w:w w:val="100"/>
          <w:position w:val="0"/>
        </w:rPr>
        <w:t>公司作为银行实物流转内控风险管理行业的领先企业，通过认真、系统的对商业银行具体的业务内容、流程以及风险特 征进行研究，深度了解和挖掘银行现金、票据、印章等实物流转过程中的操作风险点，持续增加研发投入力度，开发适用于 不同银行具体运营业务内控风险防范的解决方案及相关应用产品，满足商业银行持续提升的信息化、集约化管理需求。</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年度，公司研发投入</w:t>
      </w:r>
      <w:r>
        <w:rPr>
          <w:rFonts w:ascii="Times New Roman" w:eastAsia="Times New Roman" w:hAnsi="Times New Roman" w:cs="Times New Roman"/>
          <w:color w:val="000000"/>
          <w:spacing w:val="0"/>
          <w:w w:val="100"/>
          <w:position w:val="0"/>
        </w:rPr>
        <w:t>2,524.59</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46.40%</w:t>
      </w:r>
      <w:r>
        <w:rPr>
          <w:color w:val="000000"/>
          <w:spacing w:val="0"/>
          <w:w w:val="100"/>
          <w:position w:val="0"/>
        </w:rPr>
        <w:t>。截至报告期末，公司已累计获得银行实物流转内控风险管理领 域</w:t>
      </w:r>
      <w:r>
        <w:rPr>
          <w:rFonts w:ascii="Times New Roman" w:eastAsia="Times New Roman" w:hAnsi="Times New Roman" w:cs="Times New Roman"/>
          <w:color w:val="000000"/>
          <w:spacing w:val="0"/>
          <w:w w:val="100"/>
          <w:position w:val="0"/>
        </w:rPr>
        <w:t>11</w:t>
      </w:r>
      <w:r>
        <w:rPr>
          <w:color w:val="000000"/>
          <w:spacing w:val="0"/>
          <w:w w:val="100"/>
          <w:position w:val="0"/>
        </w:rPr>
        <w:t>项发明专利、</w:t>
      </w:r>
      <w:r>
        <w:rPr>
          <w:rFonts w:ascii="Times New Roman" w:eastAsia="Times New Roman" w:hAnsi="Times New Roman" w:cs="Times New Roman"/>
          <w:color w:val="000000"/>
          <w:spacing w:val="0"/>
          <w:w w:val="100"/>
          <w:position w:val="0"/>
        </w:rPr>
        <w:t>20</w:t>
      </w:r>
      <w:r>
        <w:rPr>
          <w:color w:val="000000"/>
          <w:spacing w:val="0"/>
          <w:w w:val="100"/>
          <w:position w:val="0"/>
        </w:rPr>
        <w:t>项计算机软件著作权、</w:t>
      </w:r>
      <w:r>
        <w:rPr>
          <w:rFonts w:ascii="Times New Roman" w:eastAsia="Times New Roman" w:hAnsi="Times New Roman" w:cs="Times New Roman"/>
          <w:color w:val="000000"/>
          <w:spacing w:val="0"/>
          <w:w w:val="100"/>
          <w:position w:val="0"/>
        </w:rPr>
        <w:t>39</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11</w:t>
      </w:r>
      <w:r>
        <w:rPr>
          <w:color w:val="000000"/>
          <w:spacing w:val="0"/>
          <w:w w:val="100"/>
          <w:position w:val="0"/>
        </w:rPr>
        <w:t>项外观设计专利。</w:t>
      </w:r>
    </w:p>
    <w:p>
      <w:pPr>
        <w:pStyle w:val="Style9"/>
        <w:keepNext w:val="0"/>
        <w:keepLines w:val="0"/>
        <w:widowControl w:val="0"/>
        <w:shd w:val="clear" w:color="auto" w:fill="auto"/>
        <w:bidi w:val="0"/>
        <w:spacing w:before="0" w:after="360" w:line="317" w:lineRule="exact"/>
        <w:ind w:left="0" w:right="0"/>
        <w:jc w:val="both"/>
      </w:pPr>
      <w:r>
        <w:rPr>
          <w:color w:val="000000"/>
          <w:spacing w:val="0"/>
          <w:w w:val="100"/>
          <w:position w:val="0"/>
        </w:rPr>
        <w:t>同时，公司成功上市后，按照中国证监会和深圳证券交易所的相关规定，加强对募集资金投资项目的管理，建立了完善 的募集资金管理制度，募集资金投资项目得以稳步推进，进一步提升公司研发水平和核心竞争力。</w:t>
      </w:r>
    </w:p>
    <w:p>
      <w:pPr>
        <w:pStyle w:val="Style21"/>
        <w:keepNext/>
        <w:keepLines/>
        <w:widowControl w:val="0"/>
        <w:shd w:val="clear" w:color="auto" w:fill="auto"/>
        <w:tabs>
          <w:tab w:pos="352" w:val="left"/>
        </w:tabs>
        <w:bidi w:val="0"/>
        <w:spacing w:before="0" w:after="2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优化内部管理，提升运营效率</w:t>
      </w:r>
      <w:bookmarkEnd w:id="157"/>
      <w:bookmarkEnd w:id="158"/>
      <w:bookmarkEnd w:id="160"/>
    </w:p>
    <w:p>
      <w:pPr>
        <w:pStyle w:val="Style9"/>
        <w:keepNext w:val="0"/>
        <w:keepLines w:val="0"/>
        <w:widowControl w:val="0"/>
        <w:shd w:val="clear" w:color="auto" w:fill="auto"/>
        <w:bidi w:val="0"/>
        <w:spacing w:before="0" w:after="360" w:line="310" w:lineRule="exact"/>
        <w:ind w:left="0" w:right="0"/>
        <w:jc w:val="both"/>
      </w:pPr>
      <w:r>
        <w:rPr>
          <w:color w:val="000000"/>
          <w:spacing w:val="0"/>
          <w:w w:val="100"/>
          <w:position w:val="0"/>
        </w:rPr>
        <w:t>报告期内，公司紧密围绕公司</w:t>
      </w:r>
      <w:r>
        <w:rPr>
          <w:rFonts w:ascii="Times New Roman" w:eastAsia="Times New Roman" w:hAnsi="Times New Roman" w:cs="Times New Roman"/>
          <w:color w:val="000000"/>
          <w:spacing w:val="0"/>
          <w:w w:val="100"/>
          <w:position w:val="0"/>
        </w:rPr>
        <w:t>“</w:t>
      </w:r>
      <w:r>
        <w:rPr>
          <w:color w:val="000000"/>
          <w:spacing w:val="0"/>
          <w:w w:val="100"/>
          <w:position w:val="0"/>
        </w:rPr>
        <w:t>规划、布局、改革、执行</w:t>
      </w:r>
      <w:r>
        <w:rPr>
          <w:rFonts w:ascii="Times New Roman" w:eastAsia="Times New Roman" w:hAnsi="Times New Roman" w:cs="Times New Roman"/>
          <w:color w:val="000000"/>
          <w:spacing w:val="0"/>
          <w:w w:val="100"/>
          <w:position w:val="0"/>
        </w:rPr>
        <w:t>”</w:t>
      </w:r>
      <w:r>
        <w:rPr>
          <w:color w:val="000000"/>
          <w:spacing w:val="0"/>
          <w:w w:val="100"/>
          <w:position w:val="0"/>
        </w:rPr>
        <w:t>经营战略部署，根据</w:t>
      </w:r>
      <w:r>
        <w:rPr>
          <w:rFonts w:ascii="Times New Roman" w:eastAsia="Times New Roman" w:hAnsi="Times New Roman" w:cs="Times New Roman"/>
          <w:color w:val="000000"/>
          <w:spacing w:val="0"/>
          <w:w w:val="100"/>
          <w:position w:val="0"/>
        </w:rPr>
        <w:t>“</w:t>
      </w:r>
      <w:r>
        <w:rPr>
          <w:color w:val="000000"/>
          <w:spacing w:val="0"/>
          <w:w w:val="100"/>
          <w:position w:val="0"/>
        </w:rPr>
        <w:t>营销再造，研发提升，服务转职，生产 重生，财务控程，人力资源及行政变革，体系及</w:t>
      </w:r>
      <w:r>
        <w:rPr>
          <w:rFonts w:ascii="Times New Roman" w:eastAsia="Times New Roman" w:hAnsi="Times New Roman" w:cs="Times New Roman"/>
          <w:color w:val="000000"/>
          <w:spacing w:val="0"/>
          <w:w w:val="100"/>
          <w:position w:val="0"/>
        </w:rPr>
        <w:t>ERP</w:t>
      </w:r>
      <w:r>
        <w:rPr>
          <w:color w:val="000000"/>
          <w:spacing w:val="0"/>
          <w:w w:val="100"/>
          <w:position w:val="0"/>
        </w:rPr>
        <w:t>系统搭建等</w:t>
      </w:r>
      <w:r>
        <w:rPr>
          <w:rFonts w:ascii="Times New Roman" w:eastAsia="Times New Roman" w:hAnsi="Times New Roman" w:cs="Times New Roman"/>
          <w:color w:val="000000"/>
          <w:spacing w:val="0"/>
          <w:w w:val="100"/>
          <w:position w:val="0"/>
        </w:rPr>
        <w:t>”</w:t>
      </w:r>
      <w:r>
        <w:rPr>
          <w:color w:val="000000"/>
          <w:spacing w:val="0"/>
          <w:w w:val="100"/>
          <w:position w:val="0"/>
        </w:rPr>
        <w:t>一系列管理变革需求，坚持系统谋划，团结拼搏，各项工 作稳步提升，基本完成各项目标任务，有效提升了公司整体运营效率。公司</w:t>
      </w:r>
      <w:r>
        <w:rPr>
          <w:rFonts w:ascii="Times New Roman" w:eastAsia="Times New Roman" w:hAnsi="Times New Roman" w:cs="Times New Roman"/>
          <w:color w:val="000000"/>
          <w:spacing w:val="0"/>
          <w:w w:val="100"/>
          <w:position w:val="0"/>
        </w:rPr>
        <w:t>ERP</w:t>
      </w:r>
      <w:r>
        <w:rPr>
          <w:color w:val="000000"/>
          <w:spacing w:val="0"/>
          <w:w w:val="100"/>
          <w:position w:val="0"/>
        </w:rPr>
        <w:t>系统一期项目已于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日上线运行。</w:t>
      </w:r>
    </w:p>
    <w:p>
      <w:pPr>
        <w:pStyle w:val="Style21"/>
        <w:keepNext/>
        <w:keepLines/>
        <w:widowControl w:val="0"/>
        <w:shd w:val="clear" w:color="auto" w:fill="auto"/>
        <w:tabs>
          <w:tab w:pos="352" w:val="left"/>
        </w:tabs>
        <w:bidi w:val="0"/>
        <w:spacing w:before="0" w:after="2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w:t>
        <w:tab/>
        <w:t>完善公司治理，促进规范运作</w:t>
      </w:r>
      <w:bookmarkEnd w:id="161"/>
      <w:bookmarkEnd w:id="162"/>
      <w:bookmarkEnd w:id="164"/>
    </w:p>
    <w:p>
      <w:pPr>
        <w:pStyle w:val="Style9"/>
        <w:keepNext w:val="0"/>
        <w:keepLines w:val="0"/>
        <w:widowControl w:val="0"/>
        <w:shd w:val="clear" w:color="auto" w:fill="auto"/>
        <w:bidi w:val="0"/>
        <w:spacing w:before="0" w:after="260" w:line="314" w:lineRule="exact"/>
        <w:ind w:left="0" w:right="0"/>
        <w:jc w:val="both"/>
      </w:pPr>
      <w:r>
        <w:rPr>
          <w:color w:val="000000"/>
          <w:spacing w:val="0"/>
          <w:w w:val="100"/>
          <w:position w:val="0"/>
        </w:rPr>
        <w:t>公司上市以来，按照上市公司监管要求积极推进内控建设、信息披露、投资者关系和三会运作等工作，逐步完善公司治 理，加强了内部审计，通过互动易平台、投资者关系电话等线下线上多渠道常态互动，畅通投资者与上市公司交流的渠道， 充分保护中小投资者利益，增强了公司运作透明度，维护了上市公司良好市场形象。</w:t>
      </w:r>
    </w:p>
    <w:p>
      <w:pPr>
        <w:pStyle w:val="Style19"/>
        <w:keepNext/>
        <w:keepLines/>
        <w:widowControl w:val="0"/>
        <w:shd w:val="clear" w:color="auto" w:fill="auto"/>
        <w:bidi w:val="0"/>
        <w:spacing w:before="0" w:after="34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二</w:t>
      </w:r>
      <w:bookmarkEnd w:id="167"/>
      <w:r>
        <w:rPr>
          <w:color w:val="000000"/>
          <w:spacing w:val="0"/>
          <w:w w:val="100"/>
          <w:position w:val="0"/>
          <w:sz w:val="24"/>
          <w:szCs w:val="24"/>
        </w:rPr>
        <w:t>、主营业务分析</w:t>
      </w:r>
      <w:bookmarkEnd w:id="165"/>
      <w:bookmarkEnd w:id="166"/>
      <w:bookmarkEnd w:id="168"/>
    </w:p>
    <w:p>
      <w:pPr>
        <w:pStyle w:val="Style21"/>
        <w:keepNext/>
        <w:keepLines/>
        <w:widowControl w:val="0"/>
        <w:shd w:val="clear" w:color="auto" w:fill="auto"/>
        <w:tabs>
          <w:tab w:pos="368" w:val="left"/>
        </w:tabs>
        <w:bidi w:val="0"/>
        <w:spacing w:before="0" w:after="26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t>概述</w:t>
      </w:r>
      <w:bookmarkEnd w:id="169"/>
      <w:bookmarkEnd w:id="170"/>
      <w:bookmarkEnd w:id="172"/>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21,805.44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28.09%</w:t>
      </w:r>
      <w:r>
        <w:rPr>
          <w:color w:val="000000"/>
          <w:spacing w:val="0"/>
          <w:w w:val="100"/>
          <w:position w:val="0"/>
        </w:rPr>
        <w:t>，主要系公司主营业务收入持续稳定增长，主要 产品之一银行自助设备现金管理系统销售规模进一步扩大；主营业务毛利率由于对</w:t>
      </w:r>
      <w:r>
        <w:rPr>
          <w:rFonts w:ascii="Times New Roman" w:eastAsia="Times New Roman" w:hAnsi="Times New Roman" w:cs="Times New Roman"/>
          <w:color w:val="000000"/>
          <w:spacing w:val="0"/>
          <w:w w:val="100"/>
          <w:position w:val="0"/>
        </w:rPr>
        <w:t>ATM</w:t>
      </w:r>
      <w:r>
        <w:rPr>
          <w:color w:val="000000"/>
          <w:spacing w:val="0"/>
          <w:w w:val="100"/>
          <w:position w:val="0"/>
        </w:rPr>
        <w:t xml:space="preserve">厂商标配销售规模扩大有所下降为 </w:t>
      </w:r>
      <w:r>
        <w:rPr>
          <w:rFonts w:ascii="Times New Roman" w:eastAsia="Times New Roman" w:hAnsi="Times New Roman" w:cs="Times New Roman"/>
          <w:color w:val="000000"/>
          <w:spacing w:val="0"/>
          <w:w w:val="100"/>
          <w:position w:val="0"/>
        </w:rPr>
        <w:t>73.12%</w:t>
      </w:r>
      <w:r>
        <w:rPr>
          <w:color w:val="000000"/>
          <w:spacing w:val="0"/>
          <w:w w:val="100"/>
          <w:position w:val="0"/>
        </w:rPr>
        <w:t>，较上年同期下降</w:t>
      </w:r>
      <w:r>
        <w:rPr>
          <w:rFonts w:ascii="Times New Roman" w:eastAsia="Times New Roman" w:hAnsi="Times New Roman" w:cs="Times New Roman"/>
          <w:color w:val="000000"/>
          <w:spacing w:val="0"/>
          <w:w w:val="100"/>
          <w:position w:val="0"/>
        </w:rPr>
        <w:t>1.12</w:t>
      </w:r>
      <w:r>
        <w:rPr>
          <w:color w:val="000000"/>
          <w:spacing w:val="0"/>
          <w:w w:val="100"/>
          <w:position w:val="0"/>
        </w:rPr>
        <w:t>个百分点。</w:t>
      </w:r>
    </w:p>
    <w:p>
      <w:pPr>
        <w:pStyle w:val="Style9"/>
        <w:keepNext w:val="0"/>
        <w:keepLines w:val="0"/>
        <w:widowControl w:val="0"/>
        <w:shd w:val="clear" w:color="auto" w:fill="auto"/>
        <w:bidi w:val="0"/>
        <w:spacing w:before="0" w:after="0" w:line="324" w:lineRule="exact"/>
        <w:ind w:left="0" w:right="0"/>
        <w:jc w:val="both"/>
      </w:pPr>
      <w:r>
        <w:rPr>
          <w:color w:val="000000"/>
          <w:spacing w:val="0"/>
          <w:w w:val="100"/>
          <w:position w:val="0"/>
        </w:rPr>
        <w:t>报告期内，公司发生期间费用</w:t>
      </w:r>
      <w:r>
        <w:rPr>
          <w:rFonts w:ascii="Times New Roman" w:eastAsia="Times New Roman" w:hAnsi="Times New Roman" w:cs="Times New Roman"/>
          <w:color w:val="000000"/>
          <w:spacing w:val="0"/>
          <w:w w:val="100"/>
          <w:position w:val="0"/>
        </w:rPr>
        <w:t>8,701.14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32.82%</w:t>
      </w:r>
      <w:r>
        <w:rPr>
          <w:color w:val="000000"/>
          <w:spacing w:val="0"/>
          <w:w w:val="100"/>
          <w:position w:val="0"/>
        </w:rPr>
        <w:t>。其中，销售费用</w:t>
      </w:r>
      <w:r>
        <w:rPr>
          <w:rFonts w:ascii="Times New Roman" w:eastAsia="Times New Roman" w:hAnsi="Times New Roman" w:cs="Times New Roman"/>
          <w:color w:val="000000"/>
          <w:spacing w:val="0"/>
          <w:w w:val="100"/>
          <w:position w:val="0"/>
        </w:rPr>
        <w:t>4,762.17</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rPr>
        <w:t>25.26%</w:t>
      </w:r>
      <w:r>
        <w:rPr>
          <w:color w:val="000000"/>
          <w:spacing w:val="0"/>
          <w:w w:val="100"/>
          <w:position w:val="0"/>
        </w:rPr>
        <w:t>，主要系销售规模扩大增加销售人员职工薪酬和安装维保费等支出；管理费用</w:t>
      </w:r>
      <w:r>
        <w:rPr>
          <w:rFonts w:ascii="Times New Roman" w:eastAsia="Times New Roman" w:hAnsi="Times New Roman" w:cs="Times New Roman"/>
          <w:color w:val="000000"/>
          <w:spacing w:val="0"/>
          <w:w w:val="100"/>
          <w:position w:val="0"/>
        </w:rPr>
        <w:t>3,977.16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43.64%</w:t>
      </w:r>
      <w:r>
        <w:rPr>
          <w:color w:val="000000"/>
          <w:spacing w:val="0"/>
          <w:w w:val="100"/>
          <w:position w:val="0"/>
        </w:rPr>
        <w:t>， 主要系研发费用大幅增加和</w:t>
      </w:r>
      <w:r>
        <w:rPr>
          <w:rFonts w:ascii="Times New Roman" w:eastAsia="Times New Roman" w:hAnsi="Times New Roman" w:cs="Times New Roman"/>
          <w:color w:val="000000"/>
          <w:spacing w:val="0"/>
          <w:w w:val="100"/>
          <w:position w:val="0"/>
        </w:rPr>
        <w:t>IPO</w:t>
      </w:r>
      <w:r>
        <w:rPr>
          <w:color w:val="000000"/>
          <w:spacing w:val="0"/>
          <w:w w:val="100"/>
          <w:position w:val="0"/>
        </w:rPr>
        <w:t>相关中介机构费用等。</w:t>
      </w:r>
    </w:p>
    <w:p>
      <w:pPr>
        <w:pStyle w:val="Style9"/>
        <w:keepNext w:val="0"/>
        <w:keepLines w:val="0"/>
        <w:widowControl w:val="0"/>
        <w:shd w:val="clear" w:color="auto" w:fill="auto"/>
        <w:bidi w:val="0"/>
        <w:spacing w:before="0" w:after="340" w:line="310"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6,344.6</w:t>
      </w:r>
      <w:r>
        <w:rPr>
          <w:rFonts w:ascii="Times New Roman" w:eastAsia="Times New Roman" w:hAnsi="Times New Roman" w:cs="Times New Roman"/>
          <w:color w:val="000000"/>
          <w:spacing w:val="0"/>
          <w:w w:val="100"/>
          <w:position w:val="0"/>
        </w:rPr>
        <w:t>0</w:t>
      </w:r>
      <w:r>
        <w:rPr>
          <w:color w:val="000000"/>
          <w:spacing w:val="0"/>
          <w:w w:val="100"/>
          <w:position w:val="0"/>
        </w:rPr>
        <w:t>万元，主要系当期销售回款较好；投资活动产生的现金流量净 额为</w:t>
      </w:r>
      <w:r>
        <w:rPr>
          <w:rFonts w:ascii="Times New Roman" w:eastAsia="Times New Roman" w:hAnsi="Times New Roman" w:cs="Times New Roman"/>
          <w:color w:val="000000"/>
          <w:spacing w:val="0"/>
          <w:w w:val="100"/>
          <w:position w:val="0"/>
        </w:rPr>
        <w:t>-40,563.25</w:t>
      </w:r>
      <w:r>
        <w:rPr>
          <w:color w:val="000000"/>
          <w:spacing w:val="0"/>
          <w:w w:val="100"/>
          <w:position w:val="0"/>
        </w:rPr>
        <w:t>万元，主要系公司四季度使用自有资金和闲置募集资金进行现金管理，期末资金未收回所致；筹资活动产生 的现金流量净额为</w:t>
      </w:r>
      <w:r>
        <w:rPr>
          <w:rFonts w:ascii="Times New Roman" w:eastAsia="Times New Roman" w:hAnsi="Times New Roman" w:cs="Times New Roman"/>
          <w:color w:val="000000"/>
          <w:spacing w:val="0"/>
          <w:w w:val="100"/>
          <w:position w:val="0"/>
        </w:rPr>
        <w:t>30,474.03</w:t>
      </w:r>
      <w:r>
        <w:rPr>
          <w:color w:val="000000"/>
          <w:spacing w:val="0"/>
          <w:w w:val="100"/>
          <w:position w:val="0"/>
        </w:rPr>
        <w:t>万元，主要系公司首次公开发行股票募集资金本期到账所致。</w:t>
      </w:r>
    </w:p>
    <w:p>
      <w:pPr>
        <w:pStyle w:val="Style21"/>
        <w:keepNext/>
        <w:keepLines/>
        <w:widowControl w:val="0"/>
        <w:shd w:val="clear" w:color="auto" w:fill="auto"/>
        <w:tabs>
          <w:tab w:pos="378" w:val="left"/>
        </w:tabs>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收入与成本</w:t>
      </w:r>
      <w:bookmarkEnd w:id="173"/>
      <w:bookmarkEnd w:id="174"/>
      <w:bookmarkEnd w:id="176"/>
    </w:p>
    <w:p>
      <w:pPr>
        <w:pStyle w:val="Style21"/>
        <w:keepNext/>
        <w:keepLines/>
        <w:widowControl w:val="0"/>
        <w:numPr>
          <w:ilvl w:val="0"/>
          <w:numId w:val="1"/>
        </w:numPr>
        <w:shd w:val="clear" w:color="auto" w:fill="auto"/>
        <w:bidi w:val="0"/>
        <w:spacing w:before="0" w:after="380" w:line="240" w:lineRule="auto"/>
        <w:ind w:left="0" w:right="0" w:firstLine="0"/>
        <w:jc w:val="both"/>
      </w:pPr>
      <w:bookmarkStart w:id="173" w:name="bookmark173"/>
      <w:bookmarkStart w:id="174" w:name="bookmark174"/>
      <w:bookmarkStart w:id="177" w:name="bookmark177"/>
      <w:bookmarkStart w:id="178" w:name="bookmark178"/>
      <w:bookmarkEnd w:id="177"/>
      <w:r>
        <w:rPr>
          <w:color w:val="000000"/>
          <w:spacing w:val="0"/>
          <w:w w:val="100"/>
          <w:position w:val="0"/>
        </w:rPr>
        <w:t>营业收入构成</w:t>
      </w:r>
      <w:bookmarkEnd w:id="173"/>
      <w:bookmarkEnd w:id="174"/>
      <w:bookmarkEnd w:id="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218,054,407.37</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170,234,699.84</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28.09%</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软件和信息技术</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218,054,407.37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170,234,699.84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28.09%</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银行自助设备现 金管理系统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164,419,080.75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75.40%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109,461,359.10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50.21%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银行现金流转内</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42,953,564.23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43,501,885.52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银行印章管理系</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9,020,958.32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17,168,680.28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1,660,804.07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102,774.94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1,515.96%</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8,670,405.58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8,018,822.25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46,546,026.85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34,231,079.75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35.98%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38,276,387.09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26,226,032.13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45.95%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70,080,328.21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49,128,514.77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42.65%</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22,340,606.06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20,053,311.39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11.41%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15,638,523.86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11,482,153.15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36.20%</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16,502,129.72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21,094,786.40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w:t>
            </w:r>
          </w:p>
        </w:tc>
      </w:tr>
    </w:tbl>
    <w:p>
      <w:pPr>
        <w:widowControl w:val="0"/>
        <w:spacing w:after="299" w:line="1" w:lineRule="exact"/>
      </w:pPr>
    </w:p>
    <w:p>
      <w:pPr>
        <w:pStyle w:val="Style21"/>
        <w:keepNext/>
        <w:keepLines/>
        <w:widowControl w:val="0"/>
        <w:numPr>
          <w:ilvl w:val="0"/>
          <w:numId w:val="1"/>
        </w:numPr>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bookmarkEnd w:id="18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79"/>
      <w:bookmarkEnd w:id="180"/>
      <w:bookmarkEnd w:id="182"/>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毛利率比上年同</w:t>
            </w:r>
          </w:p>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软件和信息技术</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218,054,407.37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58,607,292.52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9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银行自助设备现 金管理系统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164,419,080.75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35,779,517.07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银行现金流转内</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42,953,564.23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14,103,610.17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46,546,026.85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13,612,817.96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63.20%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38,276,387.09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12,267,885.69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70,080,328.21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17,147,459.78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22,340,606.06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5,312,269.99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r>
    </w:tbl>
    <w:p>
      <w:pPr>
        <w:pStyle w:val="Style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1"/>
        <w:keepNext/>
        <w:keepLines/>
        <w:widowControl w:val="0"/>
        <w:numPr>
          <w:ilvl w:val="0"/>
          <w:numId w:val="1"/>
        </w:numPr>
        <w:shd w:val="clear" w:color="auto" w:fill="auto"/>
        <w:bidi w:val="0"/>
        <w:spacing w:before="0" w:after="360" w:line="240" w:lineRule="auto"/>
        <w:ind w:left="0" w:right="0" w:firstLine="140"/>
        <w:jc w:val="left"/>
      </w:pPr>
      <w:bookmarkStart w:id="183" w:name="bookmark183"/>
      <w:bookmarkStart w:id="184" w:name="bookmark184"/>
      <w:bookmarkStart w:id="185" w:name="bookmark185"/>
      <w:bookmarkStart w:id="186" w:name="bookmark186"/>
      <w:bookmarkEnd w:id="185"/>
      <w:r>
        <w:rPr>
          <w:color w:val="000000"/>
          <w:spacing w:val="0"/>
          <w:w w:val="100"/>
          <w:position w:val="0"/>
        </w:rPr>
        <w:t>公司实物销售收入是否大于劳务收入</w:t>
      </w:r>
      <w:bookmarkEnd w:id="183"/>
      <w:bookmarkEnd w:id="184"/>
      <w:bookmarkEnd w:id="186"/>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软件和信息技术</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48,867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66.73%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77,667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59,132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62,943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-6.05%</w:t>
            </w:r>
          </w:p>
        </w:tc>
      </w:tr>
    </w:tbl>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240" w:line="312" w:lineRule="exact"/>
        <w:ind w:left="0" w:right="0" w:firstLine="0"/>
        <w:jc w:val="left"/>
      </w:pPr>
      <w:r>
        <w:rPr>
          <w:color w:val="000000"/>
          <w:spacing w:val="0"/>
          <w:w w:val="100"/>
          <w:position w:val="0"/>
        </w:rPr>
        <w:t>报告期销售量较上年同期同比增长</w:t>
      </w:r>
      <w:r>
        <w:rPr>
          <w:rFonts w:ascii="Times New Roman" w:eastAsia="Times New Roman" w:hAnsi="Times New Roman" w:cs="Times New Roman"/>
          <w:color w:val="000000"/>
          <w:spacing w:val="0"/>
          <w:w w:val="100"/>
          <w:position w:val="0"/>
        </w:rPr>
        <w:t>66.73%</w:t>
      </w:r>
      <w:r>
        <w:rPr>
          <w:color w:val="000000"/>
          <w:spacing w:val="0"/>
          <w:w w:val="100"/>
          <w:position w:val="0"/>
        </w:rPr>
        <w:t>,主要系本期银行自助设备现金管理系统主要组件动态密码锁销售量达到</w:t>
      </w:r>
      <w:r>
        <w:rPr>
          <w:rFonts w:ascii="Times New Roman" w:eastAsia="Times New Roman" w:hAnsi="Times New Roman" w:cs="Times New Roman"/>
          <w:color w:val="000000"/>
          <w:spacing w:val="0"/>
          <w:w w:val="100"/>
          <w:position w:val="0"/>
        </w:rPr>
        <w:t xml:space="preserve">74,409 </w:t>
      </w:r>
      <w:r>
        <w:rPr>
          <w:color w:val="000000"/>
          <w:spacing w:val="0"/>
          <w:w w:val="100"/>
          <w:position w:val="0"/>
        </w:rPr>
        <w:t>台，较上年同期增长</w:t>
      </w:r>
      <w:r>
        <w:rPr>
          <w:rFonts w:ascii="Times New Roman" w:eastAsia="Times New Roman" w:hAnsi="Times New Roman" w:cs="Times New Roman"/>
          <w:color w:val="000000"/>
          <w:spacing w:val="0"/>
          <w:w w:val="100"/>
          <w:position w:val="0"/>
        </w:rPr>
        <w:t>75.43%</w:t>
      </w:r>
      <w:r>
        <w:rPr>
          <w:color w:val="000000"/>
          <w:spacing w:val="0"/>
          <w:w w:val="100"/>
          <w:position w:val="0"/>
        </w:rPr>
        <w:t>。</w:t>
      </w:r>
      <w:r>
        <w:br w:type="page"/>
      </w:r>
    </w:p>
    <w:p>
      <w:pPr>
        <w:pStyle w:val="Style21"/>
        <w:keepNext/>
        <w:keepLines/>
        <w:widowControl w:val="0"/>
        <w:numPr>
          <w:ilvl w:val="0"/>
          <w:numId w:val="1"/>
        </w:numPr>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公司已签订的重大销售合同截至本报告期的履行情况</w:t>
      </w:r>
      <w:bookmarkEnd w:id="187"/>
      <w:bookmarkEnd w:id="188"/>
      <w:bookmarkEnd w:id="19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312" w:right="0" w:firstLine="0"/>
        <w:jc w:val="left"/>
      </w:pPr>
      <w:r>
        <w:rPr>
          <w:color w:val="000000"/>
          <w:spacing w:val="0"/>
          <w:w w:val="100"/>
          <w:position w:val="0"/>
        </w:rPr>
        <w:t>截至报告期末，公司已签订重大销售合同均为框架销售合同，具体情况如下:</w:t>
      </w:r>
    </w:p>
    <w:tbl>
      <w:tblPr>
        <w:tblOverlap w:val="never"/>
        <w:jc w:val="center"/>
        <w:tblLayout w:type="fixed"/>
      </w:tblPr>
      <w:tblGrid>
        <w:gridCol w:w="629"/>
        <w:gridCol w:w="2592"/>
        <w:gridCol w:w="2630"/>
        <w:gridCol w:w="931"/>
        <w:gridCol w:w="1757"/>
        <w:gridCol w:w="1051"/>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客户名称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合同标的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签订日期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有效期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履行状态</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电子钥匙等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2014/5/1-2017/4/30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10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广州广电运通金融电子股份有限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2014/12/1-2017/12/1</w:t>
            </w:r>
            <w:r>
              <w:rPr>
                <w:rFonts w:ascii="SimSun" w:eastAsia="SimSun" w:hAnsi="SimSun" w:cs="SimSun"/>
                <w:color w:val="000000"/>
                <w:spacing w:val="0"/>
                <w:w w:val="100"/>
                <w:position w:val="0"/>
              </w:rPr>
              <w:t>，</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合作期满后双方无异</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议自动续签</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76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杭州联合农村商业银行股份有限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密码生成主 机等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交通银行山西省分行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上海浦东发展银行股份有限公司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169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渤海银行股份有限公司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年，有效期届满前</w:t>
            </w:r>
            <w:r>
              <w:rPr>
                <w:color w:val="000000"/>
                <w:spacing w:val="0"/>
                <w:w w:val="100"/>
                <w:position w:val="0"/>
              </w:rPr>
              <w:t xml:space="preserve">30 </w:t>
            </w:r>
            <w:r>
              <w:rPr>
                <w:rFonts w:ascii="SimSun" w:eastAsia="SimSun" w:hAnsi="SimSun" w:cs="SimSun"/>
                <w:color w:val="000000"/>
                <w:spacing w:val="0"/>
                <w:w w:val="100"/>
                <w:position w:val="0"/>
              </w:rPr>
              <w:t>日内如渤海银行未发 出终止协议则本协议 有效期自动顺延一 年，无顺延次数限制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10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2016/2/1-2019/1/31</w:t>
            </w:r>
            <w:r>
              <w:rPr>
                <w:rFonts w:ascii="SimSun" w:eastAsia="SimSun" w:hAnsi="SimSun" w:cs="SimSun"/>
                <w:color w:val="000000"/>
                <w:spacing w:val="0"/>
                <w:w w:val="100"/>
                <w:position w:val="0"/>
              </w:rPr>
              <w:t>，合</w:t>
            </w:r>
          </w:p>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作期满，双方协商一</w:t>
            </w:r>
          </w:p>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致可以续签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及服务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协议生效之日起</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交通银行四川省分行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76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上海农村商业银行股份有限公司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密码生成主 机等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从签订协议起至</w:t>
            </w:r>
            <w:r>
              <w:rPr>
                <w:color w:val="000000"/>
                <w:spacing w:val="0"/>
                <w:w w:val="100"/>
                <w:position w:val="0"/>
              </w:rPr>
              <w:t>2019</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交通银行北京市分行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有效期一年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76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动态密码锁、</w:t>
            </w:r>
            <w:r>
              <w:rPr>
                <w:color w:val="000000"/>
                <w:spacing w:val="0"/>
                <w:w w:val="100"/>
                <w:position w:val="0"/>
              </w:rPr>
              <w:t>PDA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密码生成主 机等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交通银行山东省分行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有效期二年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新达通科技股份有限公司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动态密码锁等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中国建设银行吉林省分行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现金款箱、自助设备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p>
      <w:pPr>
        <w:pStyle w:val="Style21"/>
        <w:keepNext/>
        <w:keepLines/>
        <w:widowControl w:val="0"/>
        <w:numPr>
          <w:ilvl w:val="0"/>
          <w:numId w:val="1"/>
        </w:numPr>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业务成本构成</w:t>
      </w:r>
      <w:bookmarkEnd w:id="191"/>
      <w:bookmarkEnd w:id="192"/>
      <w:bookmarkEnd w:id="1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042"/>
        <w:gridCol w:w="1277"/>
        <w:gridCol w:w="1560"/>
        <w:gridCol w:w="1416"/>
        <w:gridCol w:w="1541"/>
        <w:gridCol w:w="1373"/>
      </w:tblGrid>
      <w:tr>
        <w:trPr>
          <w:trHeight w:val="408" w:hRule="exact"/>
        </w:trPr>
        <w:tc>
          <w:tcPr>
            <w:vMerge w:val="restart"/>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BFBFBF"/>
            <w:vAlign w:val="center"/>
          </w:tcPr>
          <w:p>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47,052,498.80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80.28%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37,135,230.64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26.71%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2,512,575.82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1,690,413.31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48.64%</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9,042,217.91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5,027,089.06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79.87%</w:t>
            </w:r>
          </w:p>
        </w:tc>
      </w:tr>
    </w:tbl>
    <w:p>
      <w:pPr>
        <w:widowControl w:val="0"/>
        <w:spacing w:after="299" w:line="1" w:lineRule="exact"/>
      </w:pPr>
    </w:p>
    <w:p>
      <w:pPr>
        <w:pStyle w:val="Style21"/>
        <w:keepNext/>
        <w:keepLines/>
        <w:widowControl w:val="0"/>
        <w:numPr>
          <w:ilvl w:val="0"/>
          <w:numId w:val="1"/>
        </w:numPr>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报告期内合并范围是否发生变动</w:t>
      </w:r>
      <w:bookmarkEnd w:id="195"/>
      <w:bookmarkEnd w:id="196"/>
      <w:bookmarkEnd w:id="19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21"/>
        <w:keepNext/>
        <w:keepLines/>
        <w:widowControl w:val="0"/>
        <w:numPr>
          <w:ilvl w:val="0"/>
          <w:numId w:val="1"/>
        </w:numPr>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公司报告期内业务、产品或服务发生重大变化或调整有关情况</w:t>
      </w:r>
      <w:bookmarkEnd w:id="199"/>
      <w:bookmarkEnd w:id="200"/>
      <w:bookmarkEnd w:id="20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1"/>
        </w:numPr>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主要销售客户和主要供应商情况</w:t>
      </w:r>
      <w:bookmarkEnd w:id="203"/>
      <w:bookmarkEnd w:id="204"/>
      <w:bookmarkEnd w:id="20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154,615,021.22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w:t>
            </w:r>
          </w:p>
        </w:tc>
      </w:tr>
      <w:tr>
        <w:trPr>
          <w:trHeight w:val="71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75,734,411.86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color w:val="000000"/>
                <w:spacing w:val="0"/>
                <w:w w:val="100"/>
                <w:position w:val="0"/>
              </w:rPr>
              <w:t>34.73%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31,730,281.12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14.55%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23,087,872.67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10.59%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13,107,008.56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10,955,447.01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154,615,021.22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70.91%</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18,530,315.85</w:t>
            </w:r>
          </w:p>
        </w:tc>
      </w:tr>
    </w:tbl>
    <w:p>
      <w:pPr>
        <w:spacing w:lineRule="exact" w:line="1"/>
        <w:rPr>
          <w:sz w:val="2"/>
          <w:szCs w:val="2"/>
        </w:rPr>
      </w:pP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4,787,287.04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9.67%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4,064,945.21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8.21%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3,569,645.02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3,080,050.63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6.22%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3,028,387.95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6.12%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18,530,315.85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w:t>
            </w:r>
          </w:p>
        </w:tc>
      </w:tr>
    </w:tbl>
    <w:p>
      <w:pPr>
        <w:widowControl w:val="0"/>
        <w:spacing w:after="11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、费用</w:t>
      </w:r>
      <w:bookmarkEnd w:id="207"/>
      <w:bookmarkEnd w:id="208"/>
      <w:bookmarkEnd w:id="2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47,621,708.76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38,017,742.27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主要系本期销售规模扩大，销售人 员职工薪酬和安装维保费等增加所 致</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39,771,605.89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27,688,380.22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主要系本期研发费用大幅增加以及 支付</w:t>
            </w:r>
            <w:r>
              <w:rPr>
                <w:color w:val="000000"/>
                <w:spacing w:val="0"/>
                <w:w w:val="100"/>
                <w:position w:val="0"/>
              </w:rPr>
              <w:t>IPO</w:t>
            </w:r>
            <w:r>
              <w:rPr>
                <w:rFonts w:ascii="SimSun" w:eastAsia="SimSun" w:hAnsi="SimSun" w:cs="SimSun"/>
                <w:color w:val="000000"/>
                <w:spacing w:val="0"/>
                <w:w w:val="100"/>
                <w:position w:val="0"/>
              </w:rPr>
              <w:t>中介机构费用等</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-381,937.27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-193,666.13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主要系本期利息收入增加</w:t>
            </w:r>
          </w:p>
        </w:tc>
      </w:tr>
    </w:tbl>
    <w:p>
      <w:pPr>
        <w:widowControl w:val="0"/>
        <w:spacing w:after="299" w:line="1" w:lineRule="exact"/>
      </w:pPr>
    </w:p>
    <w:p>
      <w:pPr>
        <w:pStyle w:val="Style21"/>
        <w:keepNext/>
        <w:keepLines/>
        <w:widowControl w:val="0"/>
        <w:shd w:val="clear" w:color="auto" w:fill="auto"/>
        <w:bidi w:val="0"/>
        <w:spacing w:before="0" w:after="2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4</w:t>
      </w:r>
      <w:bookmarkEnd w:id="213"/>
      <w:r>
        <w:rPr>
          <w:color w:val="000000"/>
          <w:spacing w:val="0"/>
          <w:w w:val="100"/>
          <w:position w:val="0"/>
        </w:rPr>
        <w:t>、研发投入</w:t>
      </w:r>
      <w:bookmarkEnd w:id="211"/>
      <w:bookmarkEnd w:id="212"/>
      <w:bookmarkEnd w:id="214"/>
    </w:p>
    <w:p>
      <w:pPr>
        <w:pStyle w:val="Style9"/>
        <w:keepNext w:val="0"/>
        <w:keepLines w:val="0"/>
        <w:widowControl w:val="0"/>
        <w:shd w:val="clear" w:color="auto" w:fill="auto"/>
        <w:bidi w:val="0"/>
        <w:spacing w:before="0" w:after="6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line="314" w:lineRule="exact"/>
        <w:ind w:left="0" w:right="0" w:firstLine="400"/>
        <w:jc w:val="both"/>
      </w:pPr>
      <w:r>
        <w:rPr>
          <w:color w:val="000000"/>
          <w:spacing w:val="0"/>
          <w:w w:val="100"/>
          <w:position w:val="0"/>
        </w:rPr>
        <w:t>公司作为银行实物流转内控风险管理领域的开拓者和引领者，始终高度重视研发创新能力的提升。报告期内，公司继续 加大研发投入，通过认真、系统的对商业银行具体的业务内容、流程以及风险特征进行研究，深度了解和挖掘实物流转过程 中的风险点，开发适用的产品和服务；同时，公司持续拓展公司现有主要产品、技术的应用领域和开发新产品，为公司可持 续发展提供支持。</w:t>
      </w:r>
    </w:p>
    <w:p>
      <w:pPr>
        <w:pStyle w:val="Style31"/>
        <w:keepNext w:val="0"/>
        <w:keepLines w:val="0"/>
        <w:widowControl w:val="0"/>
        <w:shd w:val="clear" w:color="auto" w:fill="auto"/>
        <w:bidi w:val="0"/>
        <w:spacing w:before="0" w:after="0" w:line="240" w:lineRule="auto"/>
        <w:ind w:left="418" w:right="0" w:firstLine="0"/>
        <w:jc w:val="left"/>
      </w:pPr>
      <w:r>
        <w:rPr>
          <w:color w:val="000000"/>
          <w:spacing w:val="0"/>
          <w:w w:val="100"/>
          <w:position w:val="0"/>
        </w:rPr>
        <w:t>目前，公司正在从事的主要研发项目情况如下表所示:</w:t>
      </w:r>
    </w:p>
    <w:tbl>
      <w:tblPr>
        <w:tblOverlap w:val="never"/>
        <w:jc w:val="center"/>
        <w:tblLayout w:type="fixed"/>
      </w:tblPr>
      <w:tblGrid>
        <w:gridCol w:w="782"/>
        <w:gridCol w:w="1402"/>
        <w:gridCol w:w="6379"/>
        <w:gridCol w:w="119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拟达到目标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目前进展</w:t>
            </w:r>
          </w:p>
        </w:tc>
      </w:tr>
      <w:tr>
        <w:trPr>
          <w:trHeight w:val="139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平安银行动态密 码锁系统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通过动态密码锁系统与平安银行系统</w:t>
            </w:r>
            <w:r>
              <w:rPr>
                <w:color w:val="000000"/>
                <w:spacing w:val="0"/>
                <w:w w:val="100"/>
                <w:position w:val="0"/>
              </w:rPr>
              <w:t>ATMV</w:t>
            </w:r>
            <w:r>
              <w:rPr>
                <w:rFonts w:ascii="SimSun" w:eastAsia="SimSun" w:hAnsi="SimSun" w:cs="SimSun"/>
                <w:color w:val="000000"/>
                <w:spacing w:val="0"/>
                <w:w w:val="100"/>
                <w:position w:val="0"/>
              </w:rPr>
              <w:t>端对接，实现对加钞环节的流程化及 实时管理；有效的控制加钞过程中可能出现的风险，避免了原有模式下钥匙及密 码交接换管理成本高及管理难度大的问题；加钞环节符合行方操作流程及安全管 控原则；系统严格遵循平安银行对密钥管理、数据同步及异地灾备的要求。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产品优化</w:t>
            </w:r>
          </w:p>
        </w:tc>
      </w:tr>
    </w:tbl>
    <w:p>
      <w:pPr>
        <w:spacing w:lineRule="exact" w:line="1"/>
        <w:rPr>
          <w:sz w:val="2"/>
          <w:szCs w:val="2"/>
        </w:rPr>
      </w:pPr>
      <w:r>
        <w:br w:type="page"/>
      </w:r>
    </w:p>
    <w:tbl>
      <w:tblPr>
        <w:tblOverlap w:val="never"/>
        <w:jc w:val="center"/>
        <w:tblLayout w:type="fixed"/>
      </w:tblPr>
      <w:tblGrid>
        <w:gridCol w:w="782"/>
        <w:gridCol w:w="1402"/>
        <w:gridCol w:w="6379"/>
        <w:gridCol w:w="119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拟达到目标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目前进展</w:t>
            </w:r>
          </w:p>
        </w:tc>
      </w:tr>
      <w:tr>
        <w:trPr>
          <w:trHeight w:val="10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汇金动态密码门</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禁控制系统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加钞间门禁管理系统实现适合不同加钞间门的灵性锁与插芯锁，配合后台系统， 能实时监控门锁的开关状态，并通过摄像头对开锁人员进行实时录像与头像抓拍， 并在后台服务形成开锁记录，做到有效实时记录管理与查看。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产品试运行</w:t>
            </w:r>
          </w:p>
        </w:tc>
      </w:tr>
      <w:tr>
        <w:trPr>
          <w:trHeight w:val="16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KM3000D</w:t>
            </w:r>
            <w:r>
              <w:rPr>
                <w:rFonts w:ascii="SimSun" w:eastAsia="SimSun" w:hAnsi="SimSun" w:cs="SimSun"/>
                <w:color w:val="000000"/>
                <w:spacing w:val="0"/>
                <w:w w:val="100"/>
                <w:position w:val="0"/>
              </w:rPr>
              <w:t>动态密</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码锁系统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基于</w:t>
            </w:r>
            <w:r>
              <w:rPr>
                <w:color w:val="000000"/>
                <w:spacing w:val="0"/>
                <w:w w:val="100"/>
                <w:position w:val="0"/>
              </w:rPr>
              <w:t>JAVA</w:t>
            </w:r>
            <w:r>
              <w:rPr>
                <w:rFonts w:ascii="SimSun" w:eastAsia="SimSun" w:hAnsi="SimSun" w:cs="SimSun"/>
                <w:color w:val="000000"/>
                <w:spacing w:val="0"/>
                <w:w w:val="100"/>
                <w:position w:val="0"/>
              </w:rPr>
              <w:t xml:space="preserve">平台的打造的新一代动态密码锁系统；吸取了 </w:t>
            </w:r>
            <w:r>
              <w:rPr>
                <w:color w:val="000000"/>
                <w:spacing w:val="0"/>
                <w:w w:val="100"/>
                <w:position w:val="0"/>
              </w:rPr>
              <w:t>KM3000A</w:t>
            </w:r>
            <w:r>
              <w:rPr>
                <w:rFonts w:ascii="SimSun" w:eastAsia="SimSun" w:hAnsi="SimSun" w:cs="SimSun"/>
                <w:color w:val="000000"/>
                <w:spacing w:val="0"/>
                <w:w w:val="100"/>
                <w:position w:val="0"/>
              </w:rPr>
              <w:t>、</w:t>
            </w:r>
            <w:r>
              <w:rPr>
                <w:color w:val="000000"/>
                <w:spacing w:val="0"/>
                <w:w w:val="100"/>
                <w:position w:val="0"/>
              </w:rPr>
              <w:t>KM3000B</w:t>
            </w:r>
            <w:r>
              <w:rPr>
                <w:rFonts w:ascii="SimSun" w:eastAsia="SimSun" w:hAnsi="SimSun" w:cs="SimSun"/>
                <w:color w:val="000000"/>
                <w:spacing w:val="0"/>
                <w:w w:val="100"/>
                <w:position w:val="0"/>
              </w:rPr>
              <w:t xml:space="preserve">、 </w:t>
            </w:r>
            <w:r>
              <w:rPr>
                <w:color w:val="000000"/>
                <w:spacing w:val="0"/>
                <w:w w:val="100"/>
                <w:position w:val="0"/>
              </w:rPr>
              <w:t>KM3000C</w:t>
            </w:r>
            <w:r>
              <w:rPr>
                <w:rFonts w:ascii="SimSun" w:eastAsia="SimSun" w:hAnsi="SimSun" w:cs="SimSun"/>
                <w:color w:val="000000"/>
                <w:spacing w:val="0"/>
                <w:w w:val="100"/>
                <w:position w:val="0"/>
              </w:rPr>
              <w:t>等以往版本的优点及操作模式，并根据市场发展形式，优化已有操作模 式；模块化的设计模式，便于后期与各银行实现深度对接及扩展；丰富的配置信 息便于客户根据实际需要灵活配置。优化人机交互，操作更灵活；重新设计权限 管理模块，更贴近目标客户使用习惯，可同时满足集中管理及分散性管理模式。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方案优化</w:t>
            </w:r>
          </w:p>
        </w:tc>
      </w:tr>
      <w:tr>
        <w:trPr>
          <w:trHeight w:val="16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基于</w:t>
            </w:r>
            <w:r>
              <w:rPr>
                <w:color w:val="000000"/>
                <w:spacing w:val="0"/>
                <w:w w:val="100"/>
                <w:position w:val="0"/>
              </w:rPr>
              <w:t>X</w:t>
            </w:r>
            <w:r>
              <w:rPr>
                <w:rFonts w:ascii="SimSun" w:eastAsia="SimSun" w:hAnsi="SimSun" w:cs="SimSun"/>
                <w:color w:val="000000"/>
                <w:spacing w:val="0"/>
                <w:w w:val="100"/>
                <w:position w:val="0"/>
              </w:rPr>
              <w:t>轴</w:t>
            </w:r>
            <w:r>
              <w:rPr>
                <w:color w:val="000000"/>
                <w:spacing w:val="0"/>
                <w:w w:val="100"/>
                <w:position w:val="0"/>
              </w:rPr>
              <w:t>Y</w:t>
            </w:r>
            <w:r>
              <w:rPr>
                <w:rFonts w:ascii="SimSun" w:eastAsia="SimSun" w:hAnsi="SimSun" w:cs="SimSun"/>
                <w:color w:val="000000"/>
                <w:spacing w:val="0"/>
                <w:w w:val="100"/>
                <w:position w:val="0"/>
              </w:rPr>
              <w:t>轴任 意位置用印的卡 钔智能印控仪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实现管理印章和控制印章使用的功能，采用全封闭设计，印章安装在设备内部， 从外部无法看到印章的安装位置、安装数量，盖章时，通过系统驱动自动用印或 人工选点用印，从外部无法看到印章的盖章过程；设备支持普通文件（装订或散 页）</w:t>
            </w:r>
            <w:r>
              <w:rPr>
                <w:color w:val="000000"/>
                <w:spacing w:val="0"/>
                <w:w w:val="100"/>
                <w:position w:val="0"/>
              </w:rPr>
              <w:t>A4</w:t>
            </w:r>
            <w:r>
              <w:rPr>
                <w:rFonts w:ascii="SimSun" w:eastAsia="SimSun" w:hAnsi="SimSun" w:cs="SimSun"/>
                <w:color w:val="000000"/>
                <w:spacing w:val="0"/>
                <w:w w:val="100"/>
                <w:position w:val="0"/>
              </w:rPr>
              <w:t>范围内任一点用印、硬皮装订文件用印、装订文件骑缝用印；设备可自动 记录盖章前后文件影像、用印过程环境影像、印章门开启影像。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产品试制</w:t>
            </w:r>
          </w:p>
        </w:tc>
      </w:tr>
      <w:tr>
        <w:trPr>
          <w:trHeight w:val="138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高安全智能密码 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实现满足各种品牌的</w:t>
            </w:r>
            <w:r>
              <w:rPr>
                <w:color w:val="000000"/>
                <w:spacing w:val="0"/>
                <w:w w:val="100"/>
                <w:position w:val="0"/>
              </w:rPr>
              <w:t>ATM</w:t>
            </w:r>
            <w:r>
              <w:rPr>
                <w:rFonts w:ascii="SimSun" w:eastAsia="SimSun" w:hAnsi="SimSun" w:cs="SimSun"/>
                <w:color w:val="000000"/>
                <w:spacing w:val="0"/>
                <w:w w:val="100"/>
                <w:position w:val="0"/>
              </w:rPr>
              <w:t>机和保险柜上安装的一款锁具，锁具功能如下：</w:t>
            </w:r>
            <w:r>
              <w:rPr>
                <w:color w:val="000000"/>
                <w:spacing w:val="0"/>
                <w:w w:val="100"/>
                <w:position w:val="0"/>
              </w:rPr>
              <w:t>1</w:t>
            </w:r>
            <w:r>
              <w:rPr>
                <w:rFonts w:ascii="SimSun" w:eastAsia="SimSun" w:hAnsi="SimSun" w:cs="SimSun"/>
                <w:color w:val="000000"/>
                <w:spacing w:val="0"/>
                <w:w w:val="100"/>
                <w:position w:val="0"/>
              </w:rPr>
              <w:t>、满 足</w:t>
            </w:r>
            <w:r>
              <w:rPr>
                <w:color w:val="000000"/>
                <w:spacing w:val="0"/>
                <w:w w:val="100"/>
                <w:position w:val="0"/>
              </w:rPr>
              <w:t>VDS</w:t>
            </w:r>
            <w:r>
              <w:rPr>
                <w:rFonts w:ascii="SimSun" w:eastAsia="SimSun" w:hAnsi="SimSun" w:cs="SimSun"/>
                <w:color w:val="000000"/>
                <w:spacing w:val="0"/>
                <w:w w:val="100"/>
                <w:position w:val="0"/>
              </w:rPr>
              <w:t>、</w:t>
            </w:r>
            <w:r>
              <w:rPr>
                <w:color w:val="000000"/>
                <w:spacing w:val="0"/>
                <w:w w:val="100"/>
                <w:position w:val="0"/>
              </w:rPr>
              <w:t>GA374</w:t>
            </w:r>
            <w:r>
              <w:rPr>
                <w:rFonts w:ascii="SimSun" w:eastAsia="SimSun" w:hAnsi="SimSun" w:cs="SimSun"/>
                <w:color w:val="000000"/>
                <w:spacing w:val="0"/>
                <w:w w:val="100"/>
                <w:position w:val="0"/>
              </w:rPr>
              <w:t>高安全密码锁相关技术要求；</w:t>
            </w:r>
            <w:r>
              <w:rPr>
                <w:color w:val="000000"/>
                <w:spacing w:val="0"/>
                <w:w w:val="100"/>
                <w:position w:val="0"/>
              </w:rPr>
              <w:t>2</w:t>
            </w:r>
            <w:r>
              <w:rPr>
                <w:rFonts w:ascii="SimSun" w:eastAsia="SimSun" w:hAnsi="SimSun" w:cs="SimSun"/>
                <w:color w:val="000000"/>
                <w:spacing w:val="0"/>
                <w:w w:val="100"/>
                <w:position w:val="0"/>
              </w:rPr>
              <w:t>、支持三种工作模式，即静态密 码模式、动态密码模式、动静态混合模式；</w:t>
            </w:r>
            <w:r>
              <w:rPr>
                <w:color w:val="000000"/>
                <w:spacing w:val="0"/>
                <w:w w:val="100"/>
                <w:position w:val="0"/>
              </w:rPr>
              <w:t>3</w:t>
            </w:r>
            <w:r>
              <w:rPr>
                <w:rFonts w:ascii="SimSun" w:eastAsia="SimSun" w:hAnsi="SimSun" w:cs="SimSun"/>
                <w:color w:val="000000"/>
                <w:spacing w:val="0"/>
                <w:w w:val="100"/>
                <w:position w:val="0"/>
              </w:rPr>
              <w:t>、支持带屏和不带屏两种控制器；</w:t>
            </w:r>
            <w:r>
              <w:rPr>
                <w:color w:val="000000"/>
                <w:spacing w:val="0"/>
                <w:w w:val="100"/>
                <w:position w:val="0"/>
              </w:rPr>
              <w:t>4</w:t>
            </w:r>
            <w:r>
              <w:rPr>
                <w:rFonts w:ascii="SimSun" w:eastAsia="SimSun" w:hAnsi="SimSun" w:cs="SimSun"/>
                <w:color w:val="000000"/>
                <w:spacing w:val="0"/>
                <w:w w:val="100"/>
                <w:position w:val="0"/>
              </w:rPr>
              <w:t>、 主电源为</w:t>
            </w:r>
            <w:r>
              <w:rPr>
                <w:color w:val="000000"/>
                <w:spacing w:val="0"/>
                <w:w w:val="100"/>
                <w:position w:val="0"/>
              </w:rPr>
              <w:t>9V</w:t>
            </w:r>
            <w:r>
              <w:rPr>
                <w:rFonts w:ascii="SimSun" w:eastAsia="SimSun" w:hAnsi="SimSun" w:cs="SimSun"/>
                <w:color w:val="000000"/>
                <w:spacing w:val="0"/>
                <w:w w:val="100"/>
                <w:position w:val="0"/>
              </w:rPr>
              <w:t>电池，备用电源为</w:t>
            </w:r>
            <w:r>
              <w:rPr>
                <w:color w:val="000000"/>
                <w:spacing w:val="0"/>
                <w:w w:val="100"/>
                <w:position w:val="0"/>
              </w:rPr>
              <w:t>5VUSB</w:t>
            </w:r>
            <w:r>
              <w:rPr>
                <w:rFonts w:ascii="SimSun" w:eastAsia="SimSun" w:hAnsi="SimSun" w:cs="SimSun"/>
                <w:color w:val="000000"/>
                <w:spacing w:val="0"/>
                <w:w w:val="100"/>
                <w:position w:val="0"/>
              </w:rPr>
              <w:t>供电；</w:t>
            </w:r>
            <w:r>
              <w:rPr>
                <w:color w:val="000000"/>
                <w:spacing w:val="0"/>
                <w:w w:val="100"/>
                <w:position w:val="0"/>
              </w:rPr>
              <w:t>5</w:t>
            </w:r>
            <w:r>
              <w:rPr>
                <w:rFonts w:ascii="SimSun" w:eastAsia="SimSun" w:hAnsi="SimSun" w:cs="SimSun"/>
                <w:color w:val="000000"/>
                <w:spacing w:val="0"/>
                <w:w w:val="100"/>
                <w:position w:val="0"/>
              </w:rPr>
              <w:t>、支持温度报警和振动报警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产品试制</w:t>
            </w:r>
          </w:p>
        </w:tc>
      </w:tr>
      <w:tr>
        <w:trPr>
          <w:trHeight w:val="16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卡钔智能印章管</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理跨平台</w:t>
            </w:r>
            <w:r>
              <w:rPr>
                <w:color w:val="000000"/>
                <w:spacing w:val="0"/>
                <w:w w:val="100"/>
                <w:position w:val="0"/>
              </w:rPr>
              <w:t>BPM</w:t>
            </w:r>
            <w:r>
              <w:rPr>
                <w:rFonts w:ascii="SimSun" w:eastAsia="SimSun" w:hAnsi="SimSun" w:cs="SimSun"/>
                <w:color w:val="000000"/>
                <w:spacing w:val="0"/>
                <w:w w:val="100"/>
                <w:position w:val="0"/>
              </w:rPr>
              <w:t>系</w:t>
            </w:r>
          </w:p>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卡钔智能印章管理</w:t>
            </w:r>
            <w:r>
              <w:rPr>
                <w:color w:val="000000"/>
                <w:spacing w:val="0"/>
                <w:w w:val="100"/>
                <w:position w:val="0"/>
              </w:rPr>
              <w:t>BPM</w:t>
            </w:r>
            <w:r>
              <w:rPr>
                <w:rFonts w:ascii="SimSun" w:eastAsia="SimSun" w:hAnsi="SimSun" w:cs="SimSun"/>
                <w:color w:val="000000"/>
                <w:spacing w:val="0"/>
                <w:w w:val="100"/>
                <w:position w:val="0"/>
              </w:rPr>
              <w:t>系统支持印章生命周期管理、用印操作管理、用印版式管 理、电子印章、系统管理、数据统计分析等功能，集成</w:t>
            </w:r>
            <w:r>
              <w:rPr>
                <w:color w:val="000000"/>
                <w:spacing w:val="0"/>
                <w:w w:val="100"/>
                <w:position w:val="0"/>
              </w:rPr>
              <w:t xml:space="preserve">OCR </w:t>
            </w:r>
            <w:r>
              <w:rPr>
                <w:rFonts w:ascii="SimSun" w:eastAsia="SimSun" w:hAnsi="SimSun" w:cs="SimSun"/>
                <w:color w:val="000000"/>
                <w:spacing w:val="0"/>
                <w:w w:val="100"/>
                <w:position w:val="0"/>
              </w:rPr>
              <w:t>（光学字符识别）和 用印版式定义功能，支持手工用印和自动识别用印；具备业务流程申请、审批及 查询等管理功能，涵盖行政用印和业务用印的应用场景；支持汇金智能印控仪开 放式和封闭式多种型号设备。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产品优化</w:t>
            </w:r>
          </w:p>
        </w:tc>
      </w:tr>
      <w:tr>
        <w:trPr>
          <w:trHeight w:val="138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视频服务器开发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为了简化加钞间门禁系统架构，减少资源占用，缩短安装时间，视频服务器在包 含网络适配器的功能基础上，整合</w:t>
            </w:r>
            <w:r>
              <w:rPr>
                <w:color w:val="000000"/>
                <w:spacing w:val="0"/>
                <w:w w:val="100"/>
                <w:position w:val="0"/>
              </w:rPr>
              <w:t>NVR</w:t>
            </w:r>
            <w:r>
              <w:rPr>
                <w:rFonts w:ascii="SimSun" w:eastAsia="SimSun" w:hAnsi="SimSun" w:cs="SimSun"/>
                <w:color w:val="000000"/>
                <w:spacing w:val="0"/>
                <w:w w:val="100"/>
                <w:position w:val="0"/>
              </w:rPr>
              <w:t>的视频功能；主要功能包括对开锁人员进 行视频记录、拍照功能，支持扩展外存储设备</w:t>
            </w:r>
            <w:r>
              <w:rPr>
                <w:color w:val="000000"/>
                <w:spacing w:val="0"/>
                <w:w w:val="100"/>
                <w:position w:val="0"/>
              </w:rPr>
              <w:t>TF</w:t>
            </w:r>
            <w:r>
              <w:rPr>
                <w:rFonts w:ascii="SimSun" w:eastAsia="SimSun" w:hAnsi="SimSun" w:cs="SimSun"/>
                <w:color w:val="000000"/>
                <w:spacing w:val="0"/>
                <w:w w:val="100"/>
                <w:position w:val="0"/>
              </w:rPr>
              <w:t>卡，支持视频记录的搜索和输 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产品试运行</w:t>
            </w:r>
          </w:p>
        </w:tc>
      </w:tr>
      <w:tr>
        <w:trPr>
          <w:trHeight w:val="16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批量盖章设备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支持放入凭证票据，批量盖章；该设备要适应单页票据纸张的盖章，比如本票、 汇票、空白凭证等票据凭证以及办公打印文件；该设备要支持三种工作模式：全 自动批量盖章模式，手动同规格批量盖章模式，半自动批量盖章模式；批量盖章 设备利用先进的自动技术为银行客户提供安全、快速、方便盖章业务，尽量减少 银行传统盖章各环节的巨大时间消耗，助力银行盖章业务智能化、自动化。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产品试制</w:t>
            </w:r>
          </w:p>
        </w:tc>
      </w:tr>
      <w:tr>
        <w:trPr>
          <w:trHeight w:val="203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汇金自助政务服 务终端系统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汇金自助政务终端服务系统是以信息识别处理技术为核心，机电一体化技术为背 景的高科技集成系统，包含自助服务终端设备和自助政务服务平台两大部分；是 顺应国家政策方针</w:t>
            </w:r>
            <w:r>
              <w:rPr>
                <w:color w:val="000000"/>
                <w:spacing w:val="0"/>
                <w:w w:val="100"/>
                <w:position w:val="0"/>
              </w:rPr>
              <w:t>“</w:t>
            </w:r>
            <w:r>
              <w:rPr>
                <w:rFonts w:ascii="SimSun" w:eastAsia="SimSun" w:hAnsi="SimSun" w:cs="SimSun"/>
                <w:color w:val="000000"/>
                <w:spacing w:val="0"/>
                <w:w w:val="100"/>
                <w:position w:val="0"/>
              </w:rPr>
              <w:t>服务于民</w:t>
            </w:r>
            <w:r>
              <w:rPr>
                <w:color w:val="000000"/>
                <w:spacing w:val="0"/>
                <w:w w:val="100"/>
                <w:position w:val="0"/>
              </w:rPr>
              <w:t>”</w:t>
            </w:r>
            <w:r>
              <w:rPr>
                <w:rFonts w:ascii="SimSun" w:eastAsia="SimSun" w:hAnsi="SimSun" w:cs="SimSun"/>
                <w:color w:val="000000"/>
                <w:spacing w:val="0"/>
                <w:w w:val="100"/>
                <w:position w:val="0"/>
              </w:rPr>
              <w:t>的大好形势，适合从自助查询打印、到商事登记服 务和行政审批、再到行政缴费自助服务等应用场景，集合了政务服务软件系统平 台与智能自助设备互依的完整应用模式，可实现跨部门跨区域的互联互通的政务 在线自助服务。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产品优化</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研发投入资本化率大幅变动的原因及其合理性说明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近两年专利数情况</w:t>
      </w:r>
    </w:p>
    <w:p>
      <w:pPr>
        <w:pStyle w:val="Style9"/>
        <w:keepNext w:val="0"/>
        <w:keepLines w:val="0"/>
        <w:widowControl w:val="0"/>
        <w:shd w:val="clear" w:color="auto" w:fill="auto"/>
        <w:bidi w:val="0"/>
        <w:spacing w:before="0" w:after="100" w:line="365"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26"/>
        <w:gridCol w:w="2102"/>
        <w:gridCol w:w="2222"/>
        <w:gridCol w:w="20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已申请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已获得</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截至报告期末累计获得</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本年度核心技术团队或关键技术人员 变动情况</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本年度公司核心技术团队保持稳定。</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是否属于科技部认定高新企业</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、现金流</w:t>
      </w:r>
      <w:bookmarkEnd w:id="215"/>
      <w:bookmarkEnd w:id="216"/>
      <w:bookmarkEnd w:id="2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244,081,496.60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215,747,453.43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180,635,522.46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172,109,847.59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63,445,974.14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43,637,605.84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45.39%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456,288,306.60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504,682,808.54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-9.59%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861,920,848.34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508,038,551.05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69.66%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-405,632,541.74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-3,355,742.51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11,987.71%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334,740,329.70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304,740,329.70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-1,623.70%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-37,446,237.90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20,281,863.33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-284.63%</w:t>
            </w:r>
          </w:p>
        </w:tc>
      </w:tr>
    </w:tbl>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相关数据同比发生重大变动的主要影响因素说明</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经营活动产生的现金流量净额较上年同期增长</w:t>
      </w:r>
      <w:r>
        <w:rPr>
          <w:rFonts w:ascii="Times New Roman" w:eastAsia="Times New Roman" w:hAnsi="Times New Roman" w:cs="Times New Roman"/>
          <w:color w:val="000000"/>
          <w:spacing w:val="0"/>
          <w:w w:val="100"/>
          <w:position w:val="0"/>
        </w:rPr>
        <w:t>45.39%</w:t>
      </w:r>
      <w:r>
        <w:rPr>
          <w:color w:val="000000"/>
          <w:spacing w:val="0"/>
          <w:w w:val="100"/>
          <w:position w:val="0"/>
        </w:rPr>
        <w:t>,主要系本期销售规模扩大且销售回款较好所致。投资活动产生的现 金流量净额本期与上期均为净流出，但本期净流出额绝对值较上年同期增加</w:t>
      </w:r>
      <w:r>
        <w:rPr>
          <w:rFonts w:ascii="Times New Roman" w:eastAsia="Times New Roman" w:hAnsi="Times New Roman" w:cs="Times New Roman"/>
          <w:color w:val="000000"/>
          <w:spacing w:val="0"/>
          <w:w w:val="100"/>
          <w:position w:val="0"/>
        </w:rPr>
        <w:t>11,987.71%</w:t>
      </w:r>
      <w:r>
        <w:rPr>
          <w:color w:val="000000"/>
          <w:spacing w:val="0"/>
          <w:w w:val="100"/>
          <w:position w:val="0"/>
        </w:rPr>
        <w:t>,主要系本期使用自有资金和闲置募 集资金进行现金管理且相关资金期末暂未收回所致。筹资活动现金流入较上年同期增加</w:t>
      </w:r>
      <w:r>
        <w:rPr>
          <w:rFonts w:ascii="Times New Roman" w:eastAsia="Times New Roman" w:hAnsi="Times New Roman" w:cs="Times New Roman"/>
          <w:color w:val="000000"/>
          <w:spacing w:val="0"/>
          <w:w w:val="100"/>
          <w:position w:val="0"/>
        </w:rPr>
        <w:t>334,740,329.70</w:t>
      </w:r>
      <w:r>
        <w:rPr>
          <w:color w:val="000000"/>
          <w:spacing w:val="0"/>
          <w:w w:val="100"/>
          <w:position w:val="0"/>
        </w:rPr>
        <w:t>元，系收到首次公开 发行股票募集资金。</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9"/>
        <w:keepNext w:val="0"/>
        <w:keepLines w:val="0"/>
        <w:widowControl w:val="0"/>
        <w:shd w:val="clear" w:color="auto" w:fill="auto"/>
        <w:bidi w:val="0"/>
        <w:spacing w:before="0" w:after="60" w:line="315" w:lineRule="exact"/>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19"/>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三</w:t>
      </w:r>
      <w:bookmarkEnd w:id="221"/>
      <w:r>
        <w:rPr>
          <w:color w:val="000000"/>
          <w:spacing w:val="0"/>
          <w:w w:val="100"/>
          <w:position w:val="0"/>
          <w:sz w:val="24"/>
          <w:szCs w:val="24"/>
        </w:rPr>
        <w:t>、非主营业务情况</w:t>
      </w:r>
      <w:bookmarkEnd w:id="219"/>
      <w:bookmarkEnd w:id="220"/>
      <w:bookmarkEnd w:id="22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3,195,224.41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4,210,852.00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主要为应收账款坏账准 备和存货跌价损失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应收账款坏账准备具有可 持续性</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23,089,621.35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主要增值税即征即退收 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主要为非流动资产报废 损失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四</w:t>
      </w:r>
      <w:bookmarkEnd w:id="225"/>
      <w:r>
        <w:rPr>
          <w:color w:val="000000"/>
          <w:spacing w:val="0"/>
          <w:w w:val="100"/>
          <w:position w:val="0"/>
          <w:sz w:val="24"/>
          <w:szCs w:val="24"/>
        </w:rPr>
        <w:t>、资产及负债状况</w:t>
      </w:r>
      <w:bookmarkEnd w:id="223"/>
      <w:bookmarkEnd w:id="224"/>
      <w:bookmarkEnd w:id="226"/>
    </w:p>
    <w:p>
      <w:pPr>
        <w:pStyle w:val="Style21"/>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、资产构成重大变动情况</w:t>
      </w:r>
      <w:bookmarkEnd w:id="227"/>
      <w:bookmarkEnd w:id="228"/>
      <w:bookmarkEnd w:id="2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994"/>
        <w:gridCol w:w="1421"/>
        <w:gridCol w:w="989"/>
        <w:gridCol w:w="854"/>
        <w:gridCol w:w="23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比重增</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占总资产</w:t>
            </w:r>
          </w:p>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占总资产</w:t>
            </w:r>
          </w:p>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138,688,374.25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176,134,612.15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主要系本期收到</w:t>
            </w:r>
            <w:r>
              <w:rPr>
                <w:color w:val="000000"/>
                <w:spacing w:val="0"/>
                <w:w w:val="100"/>
                <w:position w:val="0"/>
              </w:rPr>
              <w:t>IPO</w:t>
            </w:r>
            <w:r>
              <w:rPr>
                <w:rFonts w:ascii="SimSun" w:eastAsia="SimSun" w:hAnsi="SimSun" w:cs="SimSun"/>
                <w:color w:val="000000"/>
                <w:spacing w:val="0"/>
                <w:w w:val="100"/>
                <w:position w:val="0"/>
              </w:rPr>
              <w:t>募集 资金，公司资产规模大幅增 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44,808,957.69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30,928,809.71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54,306,320.13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58,173,256.45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16,410,128.45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16,552,975.04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5,282,345.07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1,093,230.03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405,231,960.87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12,863,815.82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主要系公司使用自有资金 和闲置募集资金进行现金 管理，购买银行理财产品</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、以公允价值计量的资产和负债</w:t>
      </w:r>
      <w:bookmarkEnd w:id="231"/>
      <w:bookmarkEnd w:id="232"/>
      <w:bookmarkEnd w:id="23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、截至报告期末的资产权利受限情况</w:t>
      </w:r>
      <w:bookmarkEnd w:id="235"/>
      <w:bookmarkEnd w:id="236"/>
      <w:bookmarkEnd w:id="23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截至报告期末，公司主要资产不存在被查封、扣押、冻结或者被抵押、质押的情形。</w:t>
      </w:r>
    </w:p>
    <w:p>
      <w:pPr>
        <w:pStyle w:val="Style19"/>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五</w:t>
      </w:r>
      <w:bookmarkEnd w:id="241"/>
      <w:r>
        <w:rPr>
          <w:color w:val="000000"/>
          <w:spacing w:val="0"/>
          <w:w w:val="100"/>
          <w:position w:val="0"/>
          <w:sz w:val="24"/>
          <w:szCs w:val="24"/>
        </w:rPr>
        <w:t>、投资状况分析</w:t>
      </w:r>
      <w:bookmarkEnd w:id="239"/>
      <w:bookmarkEnd w:id="240"/>
      <w:bookmarkEnd w:id="242"/>
    </w:p>
    <w:p>
      <w:pPr>
        <w:pStyle w:val="Style21"/>
        <w:keepNext/>
        <w:keepLines/>
        <w:widowControl w:val="0"/>
        <w:shd w:val="clear" w:color="auto" w:fill="auto"/>
        <w:tabs>
          <w:tab w:pos="368" w:val="left"/>
        </w:tabs>
        <w:bidi w:val="0"/>
        <w:spacing w:before="0" w:after="36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总体情况</w:t>
      </w:r>
      <w:bookmarkEnd w:id="243"/>
      <w:bookmarkEnd w:id="244"/>
      <w:bookmarkEnd w:id="246"/>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报告期内获取的重大的股权投资情况</w:t>
      </w:r>
      <w:bookmarkEnd w:id="247"/>
      <w:bookmarkEnd w:id="248"/>
      <w:bookmarkEnd w:id="250"/>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t>报告期内正在进行的重大的非股权投资情况</w:t>
      </w:r>
      <w:bookmarkEnd w:id="251"/>
      <w:bookmarkEnd w:id="252"/>
      <w:bookmarkEnd w:id="254"/>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4</w:t>
      </w:r>
      <w:bookmarkEnd w:id="257"/>
      <w:r>
        <w:rPr>
          <w:color w:val="000000"/>
          <w:spacing w:val="0"/>
          <w:w w:val="100"/>
          <w:position w:val="0"/>
        </w:rPr>
        <w:t>、</w:t>
        <w:tab/>
        <w:t>以公允价值计量的金融资产</w:t>
      </w:r>
      <w:bookmarkEnd w:id="255"/>
      <w:bookmarkEnd w:id="256"/>
      <w:bookmarkEnd w:id="258"/>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5</w:t>
      </w:r>
      <w:bookmarkEnd w:id="261"/>
      <w:r>
        <w:rPr>
          <w:color w:val="000000"/>
          <w:spacing w:val="0"/>
          <w:w w:val="100"/>
          <w:position w:val="0"/>
        </w:rPr>
        <w:t>、</w:t>
        <w:tab/>
        <w:t>募集资金使用情况</w:t>
      </w:r>
      <w:bookmarkEnd w:id="259"/>
      <w:bookmarkEnd w:id="260"/>
      <w:bookmarkEnd w:id="262"/>
    </w:p>
    <w:p>
      <w:pPr>
        <w:pStyle w:val="Style9"/>
        <w:keepNext w:val="0"/>
        <w:keepLines w:val="0"/>
        <w:widowControl w:val="0"/>
        <w:numPr>
          <w:ilvl w:val="0"/>
          <w:numId w:val="3"/>
        </w:numPr>
        <w:shd w:val="clear" w:color="auto" w:fill="auto"/>
        <w:tabs>
          <w:tab w:pos="293" w:val="left"/>
        </w:tabs>
        <w:bidi w:val="0"/>
        <w:spacing w:before="0" w:after="360" w:line="240" w:lineRule="auto"/>
        <w:ind w:left="0" w:right="0" w:firstLine="0"/>
        <w:jc w:val="both"/>
      </w:pPr>
      <w:bookmarkStart w:id="263" w:name="bookmark263"/>
      <w:bookmarkEnd w:id="263"/>
      <w:r>
        <w:rPr>
          <w:color w:val="000000"/>
          <w:spacing w:val="0"/>
          <w:w w:val="100"/>
          <w:position w:val="0"/>
        </w:rPr>
        <w:t>适用 □ 不适用</w:t>
      </w:r>
    </w:p>
    <w:p>
      <w:pPr>
        <w:pStyle w:val="Style21"/>
        <w:keepNext/>
        <w:keepLines/>
        <w:widowControl w:val="0"/>
        <w:shd w:val="clear" w:color="auto" w:fill="auto"/>
        <w:bidi w:val="0"/>
        <w:spacing w:before="0" w:after="3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64"/>
      <w:bookmarkEnd w:id="265"/>
      <w:bookmarkEnd w:id="267"/>
    </w:p>
    <w:p>
      <w:pPr>
        <w:pStyle w:val="Style9"/>
        <w:keepNext w:val="0"/>
        <w:keepLines w:val="0"/>
        <w:widowControl w:val="0"/>
        <w:numPr>
          <w:ilvl w:val="0"/>
          <w:numId w:val="3"/>
        </w:numPr>
        <w:shd w:val="clear" w:color="auto" w:fill="auto"/>
        <w:tabs>
          <w:tab w:pos="293" w:val="left"/>
        </w:tabs>
        <w:bidi w:val="0"/>
        <w:spacing w:before="0" w:after="140" w:line="240" w:lineRule="auto"/>
        <w:ind w:left="0" w:right="0" w:firstLine="0"/>
        <w:jc w:val="both"/>
      </w:pPr>
      <w:bookmarkStart w:id="268" w:name="bookmark268"/>
      <w:bookmarkEnd w:id="268"/>
      <w:r>
        <w:rPr>
          <w:color w:val="000000"/>
          <w:spacing w:val="0"/>
          <w:w w:val="100"/>
          <w:position w:val="0"/>
        </w:rPr>
        <w:t>适用 □ 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4"/>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w:t>
            </w:r>
          </w:p>
          <w:p>
            <w:pPr>
              <w:pStyle w:val="Style28"/>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用途及去</w:t>
            </w:r>
          </w:p>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44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首次公开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33,296.61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4,219.2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29,087.26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尚未使用 募集资金 将用于完 成募投项 目，存放于 募集资金 三方监管 账户;同时 使用 </w:t>
            </w:r>
            <w:r>
              <w:rPr>
                <w:color w:val="000000"/>
                <w:spacing w:val="0"/>
                <w:w w:val="100"/>
                <w:position w:val="0"/>
              </w:rPr>
              <w:t xml:space="preserve">25,000 </w:t>
            </w:r>
            <w:r>
              <w:rPr>
                <w:rFonts w:ascii="SimSun" w:eastAsia="SimSun" w:hAnsi="SimSun" w:cs="SimSun"/>
                <w:color w:val="000000"/>
                <w:spacing w:val="0"/>
                <w:w w:val="100"/>
                <w:position w:val="0"/>
              </w:rPr>
              <w:t>万 元闲置募 集资金进 行现金管 理</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0" w:val="left"/>
          <w:tab w:pos="1819" w:val="left"/>
          <w:tab w:pos="2885" w:val="left"/>
          <w:tab w:pos="3734" w:val="left"/>
          <w:tab w:pos="5059" w:val="left"/>
          <w:tab w:pos="5928" w:val="left"/>
          <w:tab w:pos="6422" w:val="left"/>
          <w:tab w:pos="8160" w:val="left"/>
          <w:tab w:pos="9408" w:val="left"/>
        </w:tabs>
        <w:bidi w:val="0"/>
        <w:spacing w:before="0" w:after="80" w:line="315" w:lineRule="exact"/>
        <w:ind w:left="0" w:right="0" w:firstLine="0"/>
        <w:jc w:val="left"/>
      </w:pPr>
      <w:r>
        <w:rPr>
          <w:rFonts w:ascii="SimSun" w:eastAsia="SimSun" w:hAnsi="SimSun" w:cs="SimSun"/>
          <w:color w:val="000000"/>
          <w:spacing w:val="0"/>
          <w:w w:val="100"/>
          <w:position w:val="0"/>
        </w:rPr>
        <w:t>合计</w:t>
        <w:tab/>
      </w:r>
      <w:r>
        <w:rPr>
          <w:color w:val="000000"/>
          <w:spacing w:val="0"/>
          <w:w w:val="100"/>
          <w:position w:val="0"/>
        </w:rPr>
        <w:t>--</w:t>
        <w:tab/>
        <w:t>33,296.61</w:t>
        <w:tab/>
        <w:t>1,170.5</w:t>
        <w:tab/>
        <w:t>4,219.2</w:t>
        <w:tab/>
      </w:r>
      <w:r>
        <w:rPr>
          <w:color w:val="000000"/>
          <w:spacing w:val="0"/>
          <w:w w:val="100"/>
          <w:position w:val="0"/>
        </w:rPr>
        <w:t>0</w:t>
        <w:tab/>
        <w:t>0</w:t>
        <w:tab/>
        <w:t xml:space="preserve">0.00% </w:t>
      </w:r>
      <w:r>
        <w:rPr>
          <w:color w:val="000000"/>
          <w:spacing w:val="0"/>
          <w:w w:val="100"/>
          <w:position w:val="0"/>
        </w:rPr>
        <w:t>29,087.26</w:t>
        <w:tab/>
        <w:t>--</w:t>
        <w:tab/>
      </w:r>
      <w:r>
        <w:rPr>
          <w:color w:val="000000"/>
          <w:spacing w:val="0"/>
          <w:w w:val="100"/>
          <w:position w:val="0"/>
        </w:rPr>
        <w:t>0</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募集资金总体使用情况说明</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年度，公司实际使用募集资金</w:t>
      </w:r>
      <w:r>
        <w:rPr>
          <w:rFonts w:ascii="Times New Roman" w:eastAsia="Times New Roman" w:hAnsi="Times New Roman" w:cs="Times New Roman"/>
          <w:color w:val="000000"/>
          <w:spacing w:val="0"/>
          <w:w w:val="100"/>
          <w:position w:val="0"/>
        </w:rPr>
        <w:t>1,170.50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日，募集资金尚未使用金额为</w:t>
      </w:r>
      <w:r>
        <w:rPr>
          <w:rFonts w:ascii="Times New Roman" w:eastAsia="Times New Roman" w:hAnsi="Times New Roman" w:cs="Times New Roman"/>
          <w:color w:val="000000"/>
          <w:spacing w:val="0"/>
          <w:w w:val="100"/>
          <w:position w:val="0"/>
        </w:rPr>
        <w:t>29,087.26</w:t>
      </w:r>
      <w:r>
        <w:rPr>
          <w:color w:val="000000"/>
          <w:spacing w:val="0"/>
          <w:w w:val="100"/>
          <w:position w:val="0"/>
        </w:rPr>
        <w:t>万元，专 用账户余额为</w:t>
      </w:r>
      <w:r>
        <w:rPr>
          <w:rFonts w:ascii="Times New Roman" w:eastAsia="Times New Roman" w:hAnsi="Times New Roman" w:cs="Times New Roman"/>
          <w:color w:val="000000"/>
          <w:spacing w:val="0"/>
          <w:w w:val="100"/>
          <w:position w:val="0"/>
        </w:rPr>
        <w:t>32,987.73</w:t>
      </w:r>
      <w:r>
        <w:rPr>
          <w:color w:val="000000"/>
          <w:spacing w:val="0"/>
          <w:w w:val="100"/>
          <w:position w:val="0"/>
        </w:rPr>
        <w:t>万元(包括累计收到的银行存款利息扣除银行手续费等的净额)，差异</w:t>
      </w:r>
      <w:r>
        <w:rPr>
          <w:rFonts w:ascii="Times New Roman" w:eastAsia="Times New Roman" w:hAnsi="Times New Roman" w:cs="Times New Roman"/>
          <w:color w:val="000000"/>
          <w:spacing w:val="0"/>
          <w:w w:val="100"/>
          <w:position w:val="0"/>
        </w:rPr>
        <w:t>3,900.47</w:t>
      </w:r>
      <w:r>
        <w:rPr>
          <w:color w:val="000000"/>
          <w:spacing w:val="0"/>
          <w:w w:val="100"/>
          <w:position w:val="0"/>
        </w:rPr>
        <w:t>万元，为募集资金 到位前公司以自筹资金预先投入募集资金投资项目，已于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日进行置换。公司将尚未使用的募集资金存放于 银行募集资金专户，同时使用部分闲置募集资金进行现金管理。</w:t>
      </w:r>
    </w:p>
    <w:p>
      <w:pPr>
        <w:pStyle w:val="Style21"/>
        <w:keepNext/>
        <w:keepLines/>
        <w:widowControl w:val="0"/>
        <w:numPr>
          <w:ilvl w:val="0"/>
          <w:numId w:val="5"/>
        </w:numPr>
        <w:shd w:val="clear" w:color="auto" w:fill="auto"/>
        <w:bidi w:val="0"/>
        <w:spacing w:before="0" w:after="400" w:line="240" w:lineRule="auto"/>
        <w:ind w:left="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募集资金承诺项目情况</w:t>
      </w:r>
      <w:bookmarkEnd w:id="269"/>
      <w:bookmarkEnd w:id="270"/>
      <w:bookmarkEnd w:id="272"/>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2"/>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98" w:lineRule="exact"/>
              <w:ind w:left="0" w:right="0" w:firstLine="0"/>
              <w:jc w:val="center"/>
            </w:pPr>
            <w:r>
              <w:rPr>
                <w:rFonts w:ascii="SimSun" w:eastAsia="SimSun" w:hAnsi="SimSun" w:cs="SimSun"/>
                <w:color w:val="000000"/>
                <w:spacing w:val="0"/>
                <w:w w:val="100"/>
                <w:position w:val="0"/>
              </w:rPr>
              <w:t>调整后投 资总额</w:t>
            </w:r>
          </w:p>
          <w:p>
            <w:pPr>
              <w:pStyle w:val="Style28"/>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312" w:lineRule="exact"/>
              <w:ind w:left="0" w:right="0" w:firstLine="0"/>
              <w:jc w:val="both"/>
            </w:pPr>
            <w:r>
              <w:rPr>
                <w:rFonts w:ascii="SimSun" w:eastAsia="SimSun" w:hAnsi="SimSun" w:cs="SimSun"/>
                <w:color w:val="000000"/>
                <w:spacing w:val="0"/>
                <w:w w:val="100"/>
                <w:position w:val="0"/>
              </w:rPr>
              <w:t>截至期末 投资进度</w:t>
            </w:r>
          </w:p>
          <w:p>
            <w:pPr>
              <w:pStyle w:val="Style28"/>
              <w:keepNext w:val="0"/>
              <w:keepLines w:val="0"/>
              <w:widowControl w:val="0"/>
              <w:shd w:val="clear" w:color="auto" w:fill="auto"/>
              <w:bidi w:val="0"/>
              <w:spacing w:before="0" w:after="0" w:line="384"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p>
          <w:p>
            <w:pPr>
              <w:pStyle w:val="Style28"/>
              <w:keepNext w:val="0"/>
              <w:keepLines w:val="0"/>
              <w:widowControl w:val="0"/>
              <w:shd w:val="clear" w:color="auto" w:fill="auto"/>
              <w:bidi w:val="0"/>
              <w:spacing w:before="0" w:after="0" w:line="384"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项目达到 预定可使 用状态日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本报告期 实现的效 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是否达到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项目可行 性是否发 生重大变 化</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银行自助设备内控管 理解决方案升级改造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14,547.65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14,547.65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银行现金实物流转内 控管理解决方案升级 改造项目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7,132.16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7,132.16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研发中心建设项目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4,154.45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4,154.45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银行印章管理解决方 案建设项目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6,006.54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6,006.54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物流内控管理解决方</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案建设项目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1,455.81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1,455.81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33,296.61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33,296.61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33,296.61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33,296.61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317"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项目可行性发生重大</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0"/>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变化的情况说明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超募资金的金额、用途</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在公司首次公开发行股票募集资金到位以前，为保障募集资金投资项目的顺利进行，公司已利用自 筹资金预先投入。预先投入的自筹资金金额已经瑞华会计师事务所（特殊普通合伙）鉴证，并于</w:t>
            </w: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日出具了《关于珠海汇金科技股份有限公司以自筹资金预先投入募集资金投资项目情况报 告的鉴证报告》（瑞华核字</w:t>
            </w:r>
            <w:r>
              <w:rPr>
                <w:color w:val="000000"/>
                <w:spacing w:val="0"/>
                <w:w w:val="100"/>
                <w:position w:val="0"/>
              </w:rPr>
              <w:t>[2017]40060001</w:t>
            </w:r>
            <w:r>
              <w:rPr>
                <w:rFonts w:ascii="SimSun" w:eastAsia="SimSun" w:hAnsi="SimSun" w:cs="SimSun"/>
                <w:color w:val="000000"/>
                <w:spacing w:val="0"/>
                <w:w w:val="100"/>
                <w:position w:val="0"/>
              </w:rPr>
              <w:t>号）。依据上述鉴证报告，公司已于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日使 用募集资金置换预先投入自筹资金合计</w:t>
            </w:r>
            <w:r>
              <w:rPr>
                <w:color w:val="000000"/>
                <w:spacing w:val="0"/>
                <w:w w:val="100"/>
                <w:position w:val="0"/>
              </w:rPr>
              <w:t>3,900.47</w:t>
            </w:r>
            <w:r>
              <w:rPr>
                <w:rFonts w:ascii="SimSun" w:eastAsia="SimSun" w:hAnsi="SimSun" w:cs="SimSun"/>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项目实施出现募集资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尚未使用募集资金将用于完成募投项目，存放于募集资金三方监管账户；同时使用</w:t>
            </w:r>
            <w:r>
              <w:rPr>
                <w:color w:val="000000"/>
                <w:spacing w:val="0"/>
                <w:w w:val="100"/>
                <w:position w:val="0"/>
              </w:rPr>
              <w:t>25,000</w:t>
            </w:r>
            <w:r>
              <w:rPr>
                <w:rFonts w:ascii="SimSun" w:eastAsia="SimSun" w:hAnsi="SimSun" w:cs="SimSun"/>
                <w:color w:val="000000"/>
                <w:spacing w:val="0"/>
                <w:w w:val="100"/>
                <w:position w:val="0"/>
              </w:rPr>
              <w:t>万元闲置 募集资金进行现金管理。</w:t>
            </w:r>
          </w:p>
        </w:tc>
      </w:tr>
      <w:tr>
        <w:trPr>
          <w:trHeight w:val="102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w:t>
      </w:r>
      <w:bookmarkEnd w:id="27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73"/>
      <w:bookmarkEnd w:id="274"/>
      <w:bookmarkEnd w:id="276"/>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六</w:t>
      </w:r>
      <w:bookmarkEnd w:id="279"/>
      <w:r>
        <w:rPr>
          <w:color w:val="000000"/>
          <w:spacing w:val="0"/>
          <w:w w:val="100"/>
          <w:position w:val="0"/>
          <w:sz w:val="24"/>
          <w:szCs w:val="24"/>
        </w:rPr>
        <w:t>、重大资产和股权出售</w:t>
      </w:r>
      <w:bookmarkEnd w:id="277"/>
      <w:bookmarkEnd w:id="278"/>
      <w:bookmarkEnd w:id="280"/>
    </w:p>
    <w:p>
      <w:pPr>
        <w:pStyle w:val="Style21"/>
        <w:keepNext/>
        <w:keepLines/>
        <w:widowControl w:val="0"/>
        <w:shd w:val="clear" w:color="auto" w:fill="auto"/>
        <w:tabs>
          <w:tab w:pos="368" w:val="left"/>
        </w:tabs>
        <w:bidi w:val="0"/>
        <w:spacing w:before="0" w:after="38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出售重大资产情况</w:t>
      </w:r>
      <w:bookmarkEnd w:id="281"/>
      <w:bookmarkEnd w:id="282"/>
      <w:bookmarkEnd w:id="284"/>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1"/>
        <w:keepNext/>
        <w:keepLines/>
        <w:widowControl w:val="0"/>
        <w:shd w:val="clear" w:color="auto" w:fill="auto"/>
        <w:tabs>
          <w:tab w:pos="378" w:val="left"/>
        </w:tabs>
        <w:bidi w:val="0"/>
        <w:spacing w:before="0" w:after="38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出售重大股权情况</w:t>
      </w:r>
      <w:bookmarkEnd w:id="285"/>
      <w:bookmarkEnd w:id="286"/>
      <w:bookmarkEnd w:id="28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00" w:val="left"/>
        </w:tabs>
        <w:bidi w:val="0"/>
        <w:spacing w:before="0" w:after="2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w:t>
        <w:tab/>
        <w:t>主要控股参股公司分析</w:t>
      </w:r>
      <w:bookmarkEnd w:id="289"/>
      <w:bookmarkEnd w:id="290"/>
      <w:bookmarkEnd w:id="292"/>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公司报告期内无应当披露的重要控股参股公司信息。</w:t>
      </w:r>
    </w:p>
    <w:p>
      <w:pPr>
        <w:pStyle w:val="Style19"/>
        <w:keepNext/>
        <w:keepLines/>
        <w:widowControl w:val="0"/>
        <w:shd w:val="clear" w:color="auto" w:fill="auto"/>
        <w:tabs>
          <w:tab w:pos="500" w:val="left"/>
        </w:tabs>
        <w:bidi w:val="0"/>
        <w:spacing w:before="0" w:after="2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w:t>
        <w:tab/>
        <w:t>公司控制的结构化主体情况</w:t>
      </w:r>
      <w:bookmarkEnd w:id="293"/>
      <w:bookmarkEnd w:id="294"/>
      <w:bookmarkEnd w:id="296"/>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00"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w:t>
        <w:tab/>
        <w:t>公司未来发展的展望</w:t>
      </w:r>
      <w:bookmarkEnd w:id="297"/>
      <w:bookmarkEnd w:id="298"/>
      <w:bookmarkEnd w:id="300"/>
    </w:p>
    <w:p>
      <w:pPr>
        <w:pStyle w:val="Style21"/>
        <w:keepNext/>
        <w:keepLines/>
        <w:widowControl w:val="0"/>
        <w:shd w:val="clear" w:color="auto" w:fill="auto"/>
        <w:tabs>
          <w:tab w:pos="401" w:val="left"/>
        </w:tabs>
        <w:bidi w:val="0"/>
        <w:spacing w:before="0" w:after="26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w:t>
        <w:tab/>
        <w:t>行业现状及未来发展趋势</w:t>
      </w:r>
      <w:bookmarkEnd w:id="301"/>
      <w:bookmarkEnd w:id="302"/>
      <w:bookmarkEnd w:id="304"/>
    </w:p>
    <w:p>
      <w:pPr>
        <w:pStyle w:val="Style9"/>
        <w:keepNext w:val="0"/>
        <w:keepLines w:val="0"/>
        <w:widowControl w:val="0"/>
        <w:shd w:val="clear" w:color="auto" w:fill="auto"/>
        <w:bidi w:val="0"/>
        <w:spacing w:before="0" w:after="40" w:line="314" w:lineRule="exact"/>
        <w:ind w:left="0" w:right="0"/>
        <w:jc w:val="both"/>
      </w:pPr>
      <w:r>
        <w:rPr>
          <w:color w:val="000000"/>
          <w:spacing w:val="0"/>
          <w:w w:val="100"/>
          <w:position w:val="0"/>
        </w:rPr>
        <w:t>近年来，银行实物流转内控风险管理在流通中货币</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color w:val="000000"/>
          <w:spacing w:val="0"/>
          <w:w w:val="100"/>
          <w:position w:val="0"/>
        </w:rPr>
        <w:t>稳步快速增长、自助设备持续高速发展、银行经营规模的扩 大、银行新业务的出现、监管机构对银行实物流转内控风险管理的从严要求以及技术进步等因素的综合作用下，正经历着快 速成长和变革的发展阶段。总体来说，银行实物流转内控风险管理行业先后经历了传统手工操作阶段、信息化管理阶段，并 已开始逐步向集约化管理阶段过渡。</w:t>
      </w:r>
    </w:p>
    <w:p>
      <w:pPr>
        <w:pStyle w:val="Style9"/>
        <w:keepNext w:val="0"/>
        <w:keepLines w:val="0"/>
        <w:widowControl w:val="0"/>
        <w:shd w:val="clear" w:color="auto" w:fill="auto"/>
        <w:bidi w:val="0"/>
        <w:spacing w:before="0" w:after="360" w:line="314" w:lineRule="exact"/>
        <w:ind w:left="0" w:right="0"/>
        <w:jc w:val="both"/>
      </w:pPr>
      <w:r>
        <w:rPr>
          <w:color w:val="000000"/>
          <w:spacing w:val="0"/>
          <w:w w:val="100"/>
          <w:position w:val="0"/>
        </w:rPr>
        <w:t>随着银监会等金融监管部门持续推进应用安全可控信息技术加强银行业网络安全和信息化建设，根据《关于应用安全可 控信息技术加强银行业网络安全和信息化建设的指导意见》(银监发</w:t>
      </w:r>
      <w:r>
        <w:rPr>
          <w:rFonts w:ascii="Times New Roman" w:eastAsia="Times New Roman" w:hAnsi="Times New Roman" w:cs="Times New Roman"/>
          <w:color w:val="000000"/>
          <w:spacing w:val="0"/>
          <w:w w:val="100"/>
          <w:position w:val="0"/>
        </w:rPr>
        <w:t>[2014]39</w:t>
      </w:r>
      <w:r>
        <w:rPr>
          <w:color w:val="000000"/>
          <w:spacing w:val="0"/>
          <w:w w:val="100"/>
          <w:position w:val="0"/>
        </w:rPr>
        <w:t>号)，从</w:t>
      </w:r>
      <w:r>
        <w:rPr>
          <w:rFonts w:ascii="Times New Roman" w:eastAsia="Times New Roman" w:hAnsi="Times New Roman" w:cs="Times New Roman"/>
          <w:color w:val="000000"/>
          <w:spacing w:val="0"/>
          <w:w w:val="100"/>
          <w:position w:val="0"/>
        </w:rPr>
        <w:t>2015</w:t>
      </w:r>
      <w:r>
        <w:rPr>
          <w:color w:val="000000"/>
          <w:spacing w:val="0"/>
          <w:w w:val="100"/>
          <w:position w:val="0"/>
        </w:rPr>
        <w:t>年起各银行业金融机构对安全可控 信息技术的应用以不低于</w:t>
      </w:r>
      <w:r>
        <w:rPr>
          <w:rFonts w:ascii="Times New Roman" w:eastAsia="Times New Roman" w:hAnsi="Times New Roman" w:cs="Times New Roman"/>
          <w:color w:val="000000"/>
          <w:spacing w:val="0"/>
          <w:w w:val="100"/>
          <w:position w:val="0"/>
        </w:rPr>
        <w:t>15</w:t>
      </w:r>
      <w:r>
        <w:rPr>
          <w:color w:val="000000"/>
          <w:spacing w:val="0"/>
          <w:w w:val="100"/>
          <w:position w:val="0"/>
        </w:rPr>
        <w:t>%的比例逐年增加，直至</w:t>
      </w:r>
      <w:r>
        <w:rPr>
          <w:rFonts w:ascii="Times New Roman" w:eastAsia="Times New Roman" w:hAnsi="Times New Roman" w:cs="Times New Roman"/>
          <w:color w:val="000000"/>
          <w:spacing w:val="0"/>
          <w:w w:val="100"/>
          <w:position w:val="0"/>
        </w:rPr>
        <w:t>2019</w:t>
      </w:r>
      <w:r>
        <w:rPr>
          <w:color w:val="000000"/>
          <w:spacing w:val="0"/>
          <w:w w:val="100"/>
          <w:position w:val="0"/>
        </w:rPr>
        <w:t>年达到不低于</w:t>
      </w:r>
      <w:r>
        <w:rPr>
          <w:rFonts w:ascii="Times New Roman" w:eastAsia="Times New Roman" w:hAnsi="Times New Roman" w:cs="Times New Roman"/>
          <w:color w:val="000000"/>
          <w:spacing w:val="0"/>
          <w:w w:val="100"/>
          <w:position w:val="0"/>
        </w:rPr>
        <w:t>75</w:t>
      </w:r>
      <w:r>
        <w:rPr>
          <w:color w:val="000000"/>
          <w:spacing w:val="0"/>
          <w:w w:val="100"/>
          <w:position w:val="0"/>
        </w:rPr>
        <w:t>%的总体占比；以及商业银行自身信息化、集约化 建设的需要，银行实物流转内控风险管理相关产品和服务将持续受益。</w:t>
      </w:r>
    </w:p>
    <w:p>
      <w:pPr>
        <w:pStyle w:val="Style21"/>
        <w:keepNext/>
        <w:keepLines/>
        <w:widowControl w:val="0"/>
        <w:shd w:val="clear" w:color="auto" w:fill="auto"/>
        <w:tabs>
          <w:tab w:pos="401" w:val="left"/>
        </w:tabs>
        <w:bidi w:val="0"/>
        <w:spacing w:before="0" w:after="260" w:line="240" w:lineRule="auto"/>
        <w:ind w:left="0" w:right="0" w:firstLine="0"/>
        <w:jc w:val="both"/>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w:t>
        <w:tab/>
        <w:t>公司发展战略</w:t>
      </w:r>
      <w:bookmarkEnd w:id="305"/>
      <w:bookmarkEnd w:id="306"/>
      <w:bookmarkEnd w:id="308"/>
    </w:p>
    <w:p>
      <w:pPr>
        <w:pStyle w:val="Style9"/>
        <w:keepNext w:val="0"/>
        <w:keepLines w:val="0"/>
        <w:widowControl w:val="0"/>
        <w:shd w:val="clear" w:color="auto" w:fill="auto"/>
        <w:bidi w:val="0"/>
        <w:spacing w:before="0" w:after="360" w:line="313" w:lineRule="exact"/>
        <w:ind w:left="0" w:right="0"/>
        <w:jc w:val="both"/>
      </w:pPr>
      <w:r>
        <w:rPr>
          <w:color w:val="000000"/>
          <w:spacing w:val="0"/>
          <w:w w:val="100"/>
          <w:position w:val="0"/>
        </w:rPr>
        <w:t>现阶段公司的总体发展战略目标是：充分发挥公司在银行实物流转内控风险管理领域的先发优势，凭借对银行业务内容、 流程、风险的深刻认知和多年积累形成的核心技术、研发模式、服务理念，迅速占领银行客户市场，为银行提供安全、高效 的银行实物流转内控风险管理整体解决方案及其应用系统；以聚焦为客户创造价值为目标，以客户需求为导向，以自主创新 为纽带，以协助银行实现信息化、集约化管理为目标，加大研发投入，将集成、创新运用物联网、计算机、通信、密码以及 安防内控等领域先进技术的银行实物流转内控风险管理整体解决方案提供给银行，提升银行实物流转内控风险管理的整体水 平；在帮助银行客户建立健全内部操作风险管理的同时，持续巩固公司在银行实物流转内控风险管理行业内的技术优势和市 场领先地位，将公司研发及业务范围逐步延伸至物流、安防以及零售等存在现金或贵重物品流转的领域，将公司打造成为国 际知名的实物流转内控风险管理整体解决方案供应商。</w:t>
      </w:r>
    </w:p>
    <w:p>
      <w:pPr>
        <w:pStyle w:val="Style21"/>
        <w:keepNext/>
        <w:keepLines/>
        <w:widowControl w:val="0"/>
        <w:shd w:val="clear" w:color="auto" w:fill="auto"/>
        <w:tabs>
          <w:tab w:pos="401" w:val="left"/>
        </w:tabs>
        <w:bidi w:val="0"/>
        <w:spacing w:before="0" w:after="26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bookmarkEnd w:id="309"/>
      <w:bookmarkEnd w:id="310"/>
      <w:bookmarkEnd w:id="312"/>
    </w:p>
    <w:p>
      <w:pPr>
        <w:pStyle w:val="Style9"/>
        <w:keepNext w:val="0"/>
        <w:keepLines w:val="0"/>
        <w:widowControl w:val="0"/>
        <w:numPr>
          <w:ilvl w:val="0"/>
          <w:numId w:val="7"/>
        </w:numPr>
        <w:shd w:val="clear" w:color="auto" w:fill="auto"/>
        <w:tabs>
          <w:tab w:pos="803" w:val="left"/>
        </w:tabs>
        <w:bidi w:val="0"/>
        <w:spacing w:before="0" w:after="40" w:line="313" w:lineRule="exact"/>
        <w:ind w:left="0" w:right="0"/>
        <w:jc w:val="both"/>
      </w:pPr>
      <w:bookmarkStart w:id="313" w:name="bookmark313"/>
      <w:bookmarkEnd w:id="313"/>
      <w:r>
        <w:rPr>
          <w:color w:val="000000"/>
          <w:spacing w:val="0"/>
          <w:w w:val="100"/>
          <w:position w:val="0"/>
        </w:rPr>
        <w:t>立足现有主营业务，开拓新市场、新领域</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公司充分利用现有主营业务相关技术、产品以及一体化服务等竞争优势，在巩固现有客户的同时，加快开拓工商银行、 邮政储蓄银行以及众多股份制商业银行等客户，进一步扩大银行自助设备现金管理系统等创新产品的销售规模；同时，积极 将公司主营业务产品、服务的内控风险管控理念和先进技术推向政府、物流等新的应用领域。</w:t>
      </w:r>
    </w:p>
    <w:p>
      <w:pPr>
        <w:pStyle w:val="Style9"/>
        <w:keepNext w:val="0"/>
        <w:keepLines w:val="0"/>
        <w:widowControl w:val="0"/>
        <w:numPr>
          <w:ilvl w:val="0"/>
          <w:numId w:val="7"/>
        </w:numPr>
        <w:shd w:val="clear" w:color="auto" w:fill="auto"/>
        <w:tabs>
          <w:tab w:pos="803" w:val="left"/>
        </w:tabs>
        <w:bidi w:val="0"/>
        <w:spacing w:before="0" w:after="40" w:line="313" w:lineRule="exact"/>
        <w:ind w:left="0" w:right="0"/>
        <w:jc w:val="both"/>
      </w:pPr>
      <w:bookmarkStart w:id="314" w:name="bookmark314"/>
      <w:bookmarkEnd w:id="314"/>
      <w:r>
        <w:rPr>
          <w:color w:val="000000"/>
          <w:spacing w:val="0"/>
          <w:w w:val="100"/>
          <w:position w:val="0"/>
        </w:rPr>
        <w:t>持续推进技术、产品创新，保证行业领先地位</w:t>
      </w:r>
    </w:p>
    <w:p>
      <w:pPr>
        <w:pStyle w:val="Style9"/>
        <w:keepNext w:val="0"/>
        <w:keepLines w:val="0"/>
        <w:widowControl w:val="0"/>
        <w:shd w:val="clear" w:color="auto" w:fill="auto"/>
        <w:bidi w:val="0"/>
        <w:spacing w:before="0" w:after="260" w:line="312" w:lineRule="exact"/>
        <w:ind w:left="0" w:right="0"/>
        <w:jc w:val="both"/>
      </w:pPr>
      <w:r>
        <w:rPr>
          <w:color w:val="000000"/>
          <w:spacing w:val="0"/>
          <w:w w:val="100"/>
          <w:position w:val="0"/>
        </w:rPr>
        <w:t>公司积极研究不同银行、不同业务的个性化需求，扩展公司主营业务技术、产品的应用范围，进一步开发适用的银行实 物流转内控风险管理解决方案及相关应用系统、产品及服务，系统、全面地提升银行实物流转内控风险管理水平；同时，紧 紧围绕产品领先战略，加快超前项目的组织实施，实现一批产品、技术的重大突破，为公司打造具有行业核心竞争力的同心 多元化产品集群提供技术支持，不断提升公司科技创新能力和核心竞争力，保证公司行业领先地位。</w:t>
      </w:r>
    </w:p>
    <w:p>
      <w:pPr>
        <w:pStyle w:val="Style9"/>
        <w:keepNext w:val="0"/>
        <w:keepLines w:val="0"/>
        <w:widowControl w:val="0"/>
        <w:shd w:val="clear" w:color="auto" w:fill="auto"/>
        <w:tabs>
          <w:tab w:pos="825" w:val="left"/>
        </w:tabs>
        <w:bidi w:val="0"/>
        <w:spacing w:before="0" w:after="0" w:line="314" w:lineRule="exact"/>
        <w:ind w:left="0" w:right="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3</w:t>
      </w:r>
      <w:r>
        <w:rPr>
          <w:color w:val="000000"/>
          <w:spacing w:val="0"/>
          <w:w w:val="100"/>
          <w:position w:val="0"/>
        </w:rPr>
        <w:t>）</w:t>
        <w:tab/>
        <w:t>积极推进募集资金投资项目建设</w:t>
      </w:r>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随着公司成功上市以及募集资金的到位，公司将积极推进银行自助设备内控管理解决方案升级改造项目、银行现金实物 流转内控管理解决方案升级改造项目、研发中心建设项目、银行印章管理解决方案建设项目和物流内控管理解决方案建设项 目的建设。</w:t>
      </w:r>
    </w:p>
    <w:p>
      <w:pPr>
        <w:pStyle w:val="Style9"/>
        <w:keepNext w:val="0"/>
        <w:keepLines w:val="0"/>
        <w:widowControl w:val="0"/>
        <w:shd w:val="clear" w:color="auto" w:fill="auto"/>
        <w:tabs>
          <w:tab w:pos="825" w:val="left"/>
        </w:tabs>
        <w:bidi w:val="0"/>
        <w:spacing w:before="0" w:after="0" w:line="314" w:lineRule="exact"/>
        <w:ind w:left="0" w:right="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4</w:t>
      </w:r>
      <w:r>
        <w:rPr>
          <w:color w:val="000000"/>
          <w:spacing w:val="0"/>
          <w:w w:val="100"/>
          <w:position w:val="0"/>
        </w:rPr>
        <w:t>）</w:t>
        <w:tab/>
        <w:t>优化人员结构，加快人才集聚，完善考核激励机制</w:t>
      </w:r>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rPr>
        <w:t>随着公司的快速发展，持续优化人员结构，严格机构设置，严格编制管理，严控用工总量；同时，根据公司发展战略布 局，制定人才发展规划，加快人才聚集和培养，重点引进实物流转内控风险管理领域的高端技术、管理和市场等人才；并以 结果为导向和目标达成优化绩效考核，完善考核激励机制。</w:t>
      </w:r>
    </w:p>
    <w:p>
      <w:pPr>
        <w:pStyle w:val="Style9"/>
        <w:keepNext w:val="0"/>
        <w:keepLines w:val="0"/>
        <w:widowControl w:val="0"/>
        <w:shd w:val="clear" w:color="auto" w:fill="auto"/>
        <w:tabs>
          <w:tab w:pos="825" w:val="left"/>
        </w:tabs>
        <w:bidi w:val="0"/>
        <w:spacing w:before="0" w:after="0" w:line="314" w:lineRule="exact"/>
        <w:ind w:left="0" w:right="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5</w:t>
      </w:r>
      <w:r>
        <w:rPr>
          <w:color w:val="000000"/>
          <w:spacing w:val="0"/>
          <w:w w:val="100"/>
          <w:position w:val="0"/>
        </w:rPr>
        <w:t>）</w:t>
        <w:tab/>
        <w:t>加强企业内部管理，提高经营管理水平</w:t>
      </w:r>
    </w:p>
    <w:p>
      <w:pPr>
        <w:pStyle w:val="Style9"/>
        <w:keepNext w:val="0"/>
        <w:keepLines w:val="0"/>
        <w:widowControl w:val="0"/>
        <w:shd w:val="clear" w:color="auto" w:fill="auto"/>
        <w:bidi w:val="0"/>
        <w:spacing w:before="0" w:after="720" w:line="312" w:lineRule="exact"/>
        <w:ind w:left="0" w:right="0"/>
        <w:jc w:val="both"/>
      </w:pPr>
      <w:r>
        <w:rPr>
          <w:color w:val="000000"/>
          <w:spacing w:val="0"/>
          <w:w w:val="100"/>
          <w:position w:val="0"/>
        </w:rPr>
        <w:t>随着企业面临的市场竞争环境日益激烈，公司进一步完善现代化的企业管理制度，强化内部管理，提升管理经验效率， 确保企业监督控制工作的有效执行，进一步保证企业经营活动的顺利进行。</w:t>
      </w:r>
    </w:p>
    <w:p>
      <w:pPr>
        <w:pStyle w:val="Style19"/>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十、接待调研、沟通、采访等活动登记表</w:t>
      </w:r>
      <w:bookmarkEnd w:id="318"/>
      <w:bookmarkEnd w:id="319"/>
      <w:bookmarkEnd w:id="320"/>
    </w:p>
    <w:p>
      <w:pPr>
        <w:pStyle w:val="Style21"/>
        <w:keepNext/>
        <w:keepLines/>
        <w:widowControl w:val="0"/>
        <w:shd w:val="clear" w:color="auto" w:fill="auto"/>
        <w:tabs>
          <w:tab w:pos="368" w:val="left"/>
        </w:tabs>
        <w:bidi w:val="0"/>
        <w:spacing w:before="0" w:after="24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报告期内接待调研、沟通、采访等活动登记表</w:t>
      </w:r>
      <w:bookmarkEnd w:id="321"/>
      <w:bookmarkEnd w:id="322"/>
      <w:bookmarkEnd w:id="324"/>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公司报告期内未发生接待调研、沟通、采访等活动。</w:t>
      </w:r>
    </w:p>
    <w:p>
      <w:pPr>
        <w:pStyle w:val="Style21"/>
        <w:keepNext/>
        <w:keepLines/>
        <w:widowControl w:val="0"/>
        <w:shd w:val="clear" w:color="auto" w:fill="auto"/>
        <w:tabs>
          <w:tab w:pos="378" w:val="left"/>
        </w:tabs>
        <w:bidi w:val="0"/>
        <w:spacing w:before="0" w:after="24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报告期末至披露日期间接待调研、沟通、采访等活动登记表</w:t>
      </w:r>
      <w:bookmarkEnd w:id="325"/>
      <w:bookmarkEnd w:id="326"/>
      <w:bookmarkEnd w:id="328"/>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pgSz w:w="11900" w:h="16840"/>
          <w:pgMar w:top="1383" w:right="1050" w:bottom="1455" w:left="1077" w:header="0" w:footer="3" w:gutter="0"/>
          <w:cols w:space="720"/>
          <w:noEndnote/>
          <w:rtlGutter w:val="0"/>
          <w:docGrid w:linePitch="360"/>
        </w:sectPr>
      </w:pPr>
      <w:r>
        <w:rPr>
          <w:color w:val="000000"/>
          <w:spacing w:val="0"/>
          <w:w w:val="100"/>
          <w:position w:val="0"/>
        </w:rPr>
        <w:t>公司报告期期末至披露日期间未发生接待调研、沟通、采访等活动。</w:t>
      </w:r>
    </w:p>
    <w:p>
      <w:pPr>
        <w:pStyle w:val="Style13"/>
        <w:keepNext/>
        <w:keepLines/>
        <w:widowControl w:val="0"/>
        <w:shd w:val="clear" w:color="auto" w:fill="auto"/>
        <w:bidi w:val="0"/>
        <w:spacing w:before="500" w:line="240" w:lineRule="auto"/>
        <w:ind w:left="0" w:right="0" w:firstLine="0"/>
        <w:jc w:val="center"/>
      </w:pPr>
      <w:bookmarkStart w:id="329" w:name="bookmark329"/>
      <w:bookmarkStart w:id="330" w:name="bookmark330"/>
      <w:bookmarkStart w:id="331" w:name="bookmark331"/>
      <w:r>
        <w:rPr>
          <w:color w:val="000000"/>
          <w:spacing w:val="0"/>
          <w:w w:val="100"/>
          <w:position w:val="0"/>
        </w:rPr>
        <w:t>第五节重要事项</w:t>
      </w:r>
      <w:bookmarkEnd w:id="329"/>
      <w:bookmarkEnd w:id="330"/>
      <w:bookmarkEnd w:id="331"/>
    </w:p>
    <w:p>
      <w:pPr>
        <w:pStyle w:val="Style19"/>
        <w:keepNext/>
        <w:keepLines/>
        <w:widowControl w:val="0"/>
        <w:shd w:val="clear" w:color="auto" w:fill="auto"/>
        <w:bidi w:val="0"/>
        <w:spacing w:before="0" w:after="24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sz w:val="24"/>
          <w:szCs w:val="24"/>
        </w:rPr>
        <w:t>一</w:t>
      </w:r>
      <w:bookmarkEnd w:id="334"/>
      <w:r>
        <w:rPr>
          <w:color w:val="000000"/>
          <w:spacing w:val="0"/>
          <w:w w:val="100"/>
          <w:position w:val="0"/>
          <w:sz w:val="24"/>
          <w:szCs w:val="24"/>
        </w:rPr>
        <w:t>、公司普通股利润分配及资本公积金转增股本情况</w:t>
      </w:r>
      <w:bookmarkEnd w:id="332"/>
      <w:bookmarkEnd w:id="333"/>
      <w:bookmarkEnd w:id="335"/>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为了明确首次公开发行后对新老股东权益分红的回报，进一步细化《公司章程（草案）》中关于利润分配政策的条款，增加 利润分配决策透明度和可操作性，便于股东对公司经营和分配进行监督，公司第一届董事会第十一次会议、</w:t>
      </w:r>
      <w:r>
        <w:rPr>
          <w:rFonts w:ascii="Times New Roman" w:eastAsia="Times New Roman" w:hAnsi="Times New Roman" w:cs="Times New Roman"/>
          <w:color w:val="000000"/>
          <w:spacing w:val="0"/>
          <w:w w:val="100"/>
          <w:position w:val="0"/>
        </w:rPr>
        <w:t>2014</w:t>
      </w:r>
      <w:r>
        <w:rPr>
          <w:color w:val="000000"/>
          <w:spacing w:val="0"/>
          <w:w w:val="100"/>
          <w:position w:val="0"/>
        </w:rPr>
        <w:t>年第三次临 时股东大会审议通过了《珠海汇金科技股份有限公司首次公开发行股票并上市后股东分红回报规划》，对公司上市后三年股 东分红规划的具体内容、股东分红规划的决策机制和程序进行了规定。</w:t>
      </w:r>
    </w:p>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日，汇金科技召开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年度股东大会会议，审议通过了《关于公司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年度利润分配方案》，一致同意以现金方 式分配股利人民币</w:t>
      </w:r>
      <w:r>
        <w:rPr>
          <w:rFonts w:ascii="Times New Roman" w:eastAsia="Times New Roman" w:hAnsi="Times New Roman" w:cs="Times New Roman"/>
          <w:color w:val="000000"/>
          <w:spacing w:val="0"/>
          <w:w w:val="100"/>
          <w:position w:val="0"/>
        </w:rPr>
        <w:t>3,000</w:t>
      </w:r>
      <w:r>
        <w:rPr>
          <w:color w:val="000000"/>
          <w:spacing w:val="0"/>
          <w:w w:val="100"/>
          <w:position w:val="0"/>
        </w:rPr>
        <w:t>万元（含税）。该股利已在规定期限内支付完毕。</w:t>
      </w:r>
    </w:p>
    <w:p>
      <w:pPr>
        <w:pStyle w:val="Style9"/>
        <w:keepNext w:val="0"/>
        <w:keepLines w:val="0"/>
        <w:widowControl w:val="0"/>
        <w:shd w:val="clear" w:color="auto" w:fill="auto"/>
        <w:bidi w:val="0"/>
        <w:spacing w:before="0" w:after="80" w:line="312" w:lineRule="exact"/>
        <w:ind w:left="0" w:right="0" w:firstLine="0"/>
        <w:jc w:val="both"/>
      </w:pPr>
      <w:r>
        <w:rPr>
          <w:color w:val="000000"/>
          <w:spacing w:val="0"/>
          <w:w w:val="100"/>
          <w:position w:val="0"/>
        </w:rPr>
        <w:t>报告期内，公司未对现行的现金分红政策进行调整或变更。</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9"/>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V</w:t>
      </w:r>
      <w:r>
        <w:rPr>
          <w:color w:val="000000"/>
          <w:spacing w:val="0"/>
          <w:w w:val="100"/>
          <w:position w:val="0"/>
        </w:rPr>
        <w:t>是□否口不适用</w:t>
      </w:r>
    </w:p>
    <w:p>
      <w:pPr>
        <w:pStyle w:val="Style9"/>
        <w:keepNext w:val="0"/>
        <w:keepLines w:val="0"/>
        <w:widowControl w:val="0"/>
        <w:shd w:val="clear" w:color="auto" w:fill="auto"/>
        <w:bidi w:val="0"/>
        <w:spacing w:before="0" w:after="0" w:line="336" w:lineRule="exact"/>
        <w:ind w:left="0" w:right="0" w:firstLine="0"/>
        <w:jc w:val="both"/>
      </w:pPr>
      <w:r>
        <w:rPr>
          <w:color w:val="000000"/>
          <w:spacing w:val="0"/>
          <w:w w:val="100"/>
          <w:position w:val="0"/>
        </w:rPr>
        <w:t>公司报告期利润分配预案及资本公积金转增股本预案符合公司章程等的相关规定。</w:t>
      </w:r>
    </w:p>
    <w:p>
      <w:pPr>
        <w:pStyle w:val="Style9"/>
        <w:keepNext w:val="0"/>
        <w:keepLines w:val="0"/>
        <w:widowControl w:val="0"/>
        <w:shd w:val="clear" w:color="auto" w:fill="auto"/>
        <w:bidi w:val="0"/>
        <w:spacing w:before="0" w:after="80" w:line="336" w:lineRule="exact"/>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176,375,178.57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715" w:hRule="exact"/>
        </w:trPr>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公司发展阶段属成长期且有重大资金支出安排的，进行利润分配时，现金分红在本次利润分配中所占比例最低应达到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w:t>
            </w:r>
          </w:p>
        </w:tc>
      </w:tr>
    </w:tbl>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经审计机构审计，公司</w:t>
      </w:r>
      <w:r>
        <w:rPr>
          <w:rFonts w:ascii="Times New Roman" w:eastAsia="Times New Roman" w:hAnsi="Times New Roman" w:cs="Times New Roman"/>
          <w:color w:val="000000"/>
          <w:spacing w:val="0"/>
          <w:w w:val="100"/>
          <w:position w:val="0"/>
        </w:rPr>
        <w:t>2016</w:t>
      </w:r>
      <w:r>
        <w:rPr>
          <w:color w:val="000000"/>
          <w:spacing w:val="0"/>
          <w:w w:val="100"/>
          <w:position w:val="0"/>
        </w:rPr>
        <w:t>年度归属于上市公司股东的净利润</w:t>
      </w:r>
      <w:r>
        <w:rPr>
          <w:rFonts w:ascii="Times New Roman" w:eastAsia="Times New Roman" w:hAnsi="Times New Roman" w:cs="Times New Roman"/>
          <w:color w:val="000000"/>
          <w:spacing w:val="0"/>
          <w:w w:val="100"/>
          <w:position w:val="0"/>
        </w:rPr>
        <w:t>78,861,491.66</w:t>
      </w:r>
      <w:r>
        <w:rPr>
          <w:color w:val="000000"/>
          <w:spacing w:val="0"/>
          <w:w w:val="100"/>
          <w:position w:val="0"/>
        </w:rPr>
        <w:t>元。公司以截止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 股本</w:t>
      </w:r>
      <w:r>
        <w:rPr>
          <w:rFonts w:ascii="Times New Roman" w:eastAsia="Times New Roman" w:hAnsi="Times New Roman" w:cs="Times New Roman"/>
          <w:color w:val="000000"/>
          <w:spacing w:val="0"/>
          <w:w w:val="100"/>
          <w:position w:val="0"/>
        </w:rPr>
        <w:t>5,600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3.6</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rPr>
        <w:t>2,016</w:t>
      </w:r>
      <w:r>
        <w:rPr>
          <w:color w:val="000000"/>
          <w:spacing w:val="0"/>
          <w:w w:val="100"/>
          <w:position w:val="0"/>
        </w:rPr>
        <w:t>万元（含税）；以资本公积金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9"/>
        <w:keepNext w:val="0"/>
        <w:keepLines w:val="0"/>
        <w:widowControl w:val="0"/>
        <w:shd w:val="clear" w:color="auto" w:fill="auto"/>
        <w:bidi w:val="0"/>
        <w:spacing w:before="0" w:after="40" w:line="302" w:lineRule="exact"/>
        <w:ind w:left="0" w:right="0"/>
        <w:jc w:val="left"/>
      </w:pPr>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现金分红金额（含</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78,861,491.66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70,973,005.93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60,926,716.80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二</w:t>
      </w:r>
      <w:bookmarkEnd w:id="338"/>
      <w:r>
        <w:rPr>
          <w:color w:val="000000"/>
          <w:spacing w:val="0"/>
          <w:w w:val="100"/>
          <w:position w:val="0"/>
          <w:sz w:val="24"/>
          <w:szCs w:val="24"/>
        </w:rPr>
        <w:t>、承诺事项履行情况</w:t>
      </w:r>
      <w:bookmarkEnd w:id="336"/>
      <w:bookmarkEnd w:id="337"/>
      <w:bookmarkEnd w:id="339"/>
    </w:p>
    <w:p>
      <w:pPr>
        <w:pStyle w:val="Style21"/>
        <w:keepNext/>
        <w:keepLines/>
        <w:widowControl w:val="0"/>
        <w:shd w:val="clear" w:color="auto" w:fill="auto"/>
        <w:bidi w:val="0"/>
        <w:spacing w:before="0" w:after="360" w:line="322" w:lineRule="exact"/>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、公司实际控制人、股东、关联方、收购人以及公司等承诺相关方在报告期内履行完毕及截至报告期末 尚未履行完毕的承诺事项</w:t>
      </w:r>
      <w:bookmarkEnd w:id="340"/>
      <w:bookmarkEnd w:id="341"/>
      <w:bookmarkEnd w:id="34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565"/>
        <w:gridCol w:w="912"/>
        <w:gridCol w:w="994"/>
        <w:gridCol w:w="3542"/>
        <w:gridCol w:w="850"/>
        <w:gridCol w:w="850"/>
        <w:gridCol w:w="86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收购报告书或权益</w:t>
            </w:r>
          </w:p>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变动报告书中所作</w:t>
            </w:r>
          </w:p>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 融资时所作承诺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股份限售承 诺及减持意 向承诺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自发行人股票上市之日起三十六个月内，本 人不转让或者委托他人管理本人直接或间接 持有的发行人公开发行股票前已发行的股 票，也不由发行人回购本人直接或间接持有 的发行人公开发行股票前已发行的股票；任 职期间本人每年转让的股票数量，不超过届 时本人所持发行人股票总数的</w:t>
            </w:r>
            <w:r>
              <w:rPr>
                <w:color w:val="000000"/>
                <w:spacing w:val="0"/>
                <w:w w:val="100"/>
                <w:position w:val="0"/>
              </w:rPr>
              <w:t>25%</w:t>
            </w:r>
            <w:r>
              <w:rPr>
                <w:rFonts w:ascii="SimSun" w:eastAsia="SimSun" w:hAnsi="SimSun" w:cs="SimSun"/>
                <w:color w:val="000000"/>
                <w:spacing w:val="0"/>
                <w:w w:val="100"/>
                <w:position w:val="0"/>
              </w:rPr>
              <w:t>；离职后 半年内，不转让本人所持有的发行人股份。 本人所持股票在锁定期满后两年内减持的，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bl>
    <w:p>
      <w:pPr>
        <w:spacing w:lineRule="exact" w:line="1"/>
        <w:rPr>
          <w:sz w:val="2"/>
          <w:szCs w:val="2"/>
        </w:rPr>
      </w:pPr>
      <w:r>
        <w:br w:type="page"/>
      </w:r>
    </w:p>
    <w:tbl>
      <w:tblPr>
        <w:tblOverlap w:val="never"/>
        <w:jc w:val="center"/>
        <w:tblLayout w:type="fixed"/>
      </w:tblPr>
      <w:tblGrid>
        <w:gridCol w:w="1565"/>
        <w:gridCol w:w="912"/>
        <w:gridCol w:w="994"/>
        <w:gridCol w:w="3542"/>
        <w:gridCol w:w="850"/>
        <w:gridCol w:w="850"/>
        <w:gridCol w:w="86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其减持价格不低于发行价；发行人上市后</w:t>
            </w:r>
            <w:r>
              <w:rPr>
                <w:color w:val="000000"/>
                <w:spacing w:val="0"/>
                <w:w w:val="100"/>
                <w:position w:val="0"/>
              </w:rPr>
              <w:t xml:space="preserve">6 </w:t>
            </w:r>
            <w:r>
              <w:rPr>
                <w:rFonts w:ascii="SimSun" w:eastAsia="SimSun" w:hAnsi="SimSun" w:cs="SimSun"/>
                <w:color w:val="000000"/>
                <w:spacing w:val="0"/>
                <w:w w:val="100"/>
                <w:position w:val="0"/>
              </w:rPr>
              <w:t>个月内如发行人股票连续</w:t>
            </w:r>
            <w:r>
              <w:rPr>
                <w:color w:val="000000"/>
                <w:spacing w:val="0"/>
                <w:w w:val="100"/>
                <w:position w:val="0"/>
              </w:rPr>
              <w:t>20</w:t>
            </w:r>
            <w:r>
              <w:rPr>
                <w:rFonts w:ascii="SimSun" w:eastAsia="SimSun" w:hAnsi="SimSun" w:cs="SimSun"/>
                <w:color w:val="000000"/>
                <w:spacing w:val="0"/>
                <w:w w:val="100"/>
                <w:position w:val="0"/>
              </w:rPr>
              <w:t>个交易日的收盘 价均低于发行价，或者上市后</w:t>
            </w:r>
            <w:r>
              <w:rPr>
                <w:color w:val="000000"/>
                <w:spacing w:val="0"/>
                <w:w w:val="100"/>
                <w:position w:val="0"/>
              </w:rPr>
              <w:t>6</w:t>
            </w:r>
            <w:r>
              <w:rPr>
                <w:rFonts w:ascii="SimSun" w:eastAsia="SimSun" w:hAnsi="SimSun" w:cs="SimSun"/>
                <w:color w:val="000000"/>
                <w:spacing w:val="0"/>
                <w:w w:val="100"/>
                <w:position w:val="0"/>
              </w:rPr>
              <w:t>个月期末收 盘价格低于发行价，本人持有发行人股票的 锁定期限自动延长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股份限售承 诺及减持意 向承诺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自发行人股票上市之日起一年内，本人不转 让或者委托他人管理本人持有的发行人公开 发行股票前已发行的股票，也不由发行人回 购本人持有的发行人公开发行股票前已发行 的股票；自发行人首次公开发行股票上市之 日起六个月内申报离职的，自申报离职之日 起十八个月内不转让本人直接持有的发行人 股份；在首次公开发行股票上市之日起第七 个月至第十二个月之间申报离职的，自申报 离职之日起十二个月内不转让本人直接持有 的发行人股份；任职期间本人每年转让的股 票数量，不超过届时本人所持发行人股票总 数的</w:t>
            </w:r>
            <w:r>
              <w:rPr>
                <w:color w:val="000000"/>
                <w:spacing w:val="0"/>
                <w:w w:val="100"/>
                <w:position w:val="0"/>
              </w:rPr>
              <w:t>25%</w:t>
            </w:r>
            <w:r>
              <w:rPr>
                <w:rFonts w:ascii="SimSun" w:eastAsia="SimSun" w:hAnsi="SimSun" w:cs="SimSun"/>
                <w:color w:val="000000"/>
                <w:spacing w:val="0"/>
                <w:w w:val="100"/>
                <w:position w:val="0"/>
              </w:rPr>
              <w:t>，离职后半年内不转让本人持有的 发行人股票。本人所持发行人股票在锁定期 满后两年内减持的，其减持价格不低于发行 价；发行人上市后</w:t>
            </w:r>
            <w:r>
              <w:rPr>
                <w:color w:val="000000"/>
                <w:spacing w:val="0"/>
                <w:w w:val="100"/>
                <w:position w:val="0"/>
              </w:rPr>
              <w:t>6</w:t>
            </w:r>
            <w:r>
              <w:rPr>
                <w:rFonts w:ascii="SimSun" w:eastAsia="SimSun" w:hAnsi="SimSun" w:cs="SimSun"/>
                <w:color w:val="000000"/>
                <w:spacing w:val="0"/>
                <w:w w:val="100"/>
                <w:position w:val="0"/>
              </w:rPr>
              <w:t>个月内如发行人股票连 续</w:t>
            </w:r>
            <w:r>
              <w:rPr>
                <w:color w:val="000000"/>
                <w:spacing w:val="0"/>
                <w:w w:val="100"/>
                <w:position w:val="0"/>
              </w:rPr>
              <w:t>20</w:t>
            </w:r>
            <w:r>
              <w:rPr>
                <w:rFonts w:ascii="SimSun" w:eastAsia="SimSun" w:hAnsi="SimSun" w:cs="SimSun"/>
                <w:color w:val="000000"/>
                <w:spacing w:val="0"/>
                <w:w w:val="100"/>
                <w:position w:val="0"/>
              </w:rPr>
              <w:t>个交易日的收盘价低于发行价，或者上 市后</w:t>
            </w:r>
            <w:r>
              <w:rPr>
                <w:color w:val="000000"/>
                <w:spacing w:val="0"/>
                <w:w w:val="100"/>
                <w:position w:val="0"/>
              </w:rPr>
              <w:t>6</w:t>
            </w:r>
            <w:r>
              <w:rPr>
                <w:rFonts w:ascii="SimSun" w:eastAsia="SimSun" w:hAnsi="SimSun" w:cs="SimSun"/>
                <w:color w:val="000000"/>
                <w:spacing w:val="0"/>
                <w:w w:val="100"/>
                <w:position w:val="0"/>
              </w:rPr>
              <w:t>个月期末收盘价低于发行价，本人持 有发行人股票的锁定期限自动延长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601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宋京生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自发行人股票上市之日起一年内，本人不转 让或者委托他人管理本人持有的发行人公开 发行股票前已发行的股票，也不由发行人回 购本人持有的发行人公开发行股票前已发行 的股票；自发行人首次公开发行股票上市之 日起六个月内申报离职的，自申报离职之日 起十八个月内不转让本人直接持有的发行人 股份；在首次公开发行股票上市之日起第七 个月至第十二个月之间申报离职的，自申报 离职之日起十二个月内不转让本人直接持有 的发行人股份；任职期间本人每年转让的股 票数量，不超过届时本人所持发行人股票总 数的</w:t>
            </w:r>
            <w:r>
              <w:rPr>
                <w:color w:val="000000"/>
                <w:spacing w:val="0"/>
                <w:w w:val="100"/>
                <w:position w:val="0"/>
              </w:rPr>
              <w:t>25%</w:t>
            </w:r>
            <w:r>
              <w:rPr>
                <w:rFonts w:ascii="SimSun" w:eastAsia="SimSun" w:hAnsi="SimSun" w:cs="SimSun"/>
                <w:color w:val="000000"/>
                <w:spacing w:val="0"/>
                <w:w w:val="100"/>
                <w:position w:val="0"/>
              </w:rPr>
              <w:t>；离职后半年内不转让本人持有的 发行人股票。本人所持发行人股票在锁定期 满后两年内减持的，其减持价格不低于发行 价；发行人上市后</w:t>
            </w:r>
            <w:r>
              <w:rPr>
                <w:color w:val="000000"/>
                <w:spacing w:val="0"/>
                <w:w w:val="100"/>
                <w:position w:val="0"/>
              </w:rPr>
              <w:t>6</w:t>
            </w:r>
            <w:r>
              <w:rPr>
                <w:rFonts w:ascii="SimSun" w:eastAsia="SimSun" w:hAnsi="SimSun" w:cs="SimSun"/>
                <w:color w:val="000000"/>
                <w:spacing w:val="0"/>
                <w:w w:val="100"/>
                <w:position w:val="0"/>
              </w:rPr>
              <w:t>个月内如发行人股票连 续</w:t>
            </w:r>
            <w:r>
              <w:rPr>
                <w:color w:val="000000"/>
                <w:spacing w:val="0"/>
                <w:w w:val="100"/>
                <w:position w:val="0"/>
              </w:rPr>
              <w:t>20</w:t>
            </w:r>
            <w:r>
              <w:rPr>
                <w:rFonts w:ascii="SimSun" w:eastAsia="SimSun" w:hAnsi="SimSun" w:cs="SimSun"/>
                <w:color w:val="000000"/>
                <w:spacing w:val="0"/>
                <w:w w:val="100"/>
                <w:position w:val="0"/>
              </w:rPr>
              <w:t>个交易日的收盘价低于发行价，或者上 市后</w:t>
            </w:r>
            <w:r>
              <w:rPr>
                <w:color w:val="000000"/>
                <w:spacing w:val="0"/>
                <w:w w:val="100"/>
                <w:position w:val="0"/>
              </w:rPr>
              <w:t>6</w:t>
            </w:r>
            <w:r>
              <w:rPr>
                <w:rFonts w:ascii="SimSun" w:eastAsia="SimSun" w:hAnsi="SimSun" w:cs="SimSun"/>
                <w:color w:val="000000"/>
                <w:spacing w:val="0"/>
                <w:w w:val="100"/>
                <w:position w:val="0"/>
              </w:rPr>
              <w:t>个月期末收盘价低于发行价，本人持 有发行人股票的锁定期限自动延长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bl>
    <w:p>
      <w:pPr>
        <w:spacing w:lineRule="exact" w:line="1"/>
        <w:rPr>
          <w:sz w:val="2"/>
          <w:szCs w:val="2"/>
        </w:rPr>
      </w:pPr>
      <w:r>
        <w:br w:type="page"/>
      </w:r>
    </w:p>
    <w:tbl>
      <w:tblPr>
        <w:tblOverlap w:val="never"/>
        <w:jc w:val="center"/>
        <w:tblLayout w:type="fixed"/>
      </w:tblPr>
      <w:tblGrid>
        <w:gridCol w:w="1565"/>
        <w:gridCol w:w="912"/>
        <w:gridCol w:w="994"/>
        <w:gridCol w:w="3542"/>
        <w:gridCol w:w="850"/>
        <w:gridCol w:w="850"/>
        <w:gridCol w:w="864"/>
      </w:tblGrid>
      <w:tr>
        <w:trPr>
          <w:trHeight w:val="165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苏州衡赢 真盛创业 投资中心</w:t>
            </w:r>
          </w:p>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股份限售承 诺及减持意 向承诺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自发行人股票上市之日起一年内，本有限合 伙不转让或者委托他人管理本有限合伙持有 的发行人公开发行股票前已发行的股票，也 不由发行人回购本有限合伙持有的发行人公 开发行股票前已发行的股票。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珠海瑞信 投资管理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自发行人股票上市之日起三十六个月内，本 公司不转让或者委托他人管理本公司持有的 发行人公开发行股票前已发行的股票，也不 由发行人回购本公司持有的发行人公开发行 股票前已发行的股票。所持股票在锁定期满 后两年内减持的，其减持价格不低于发行价； 发行人上市后</w:t>
            </w:r>
            <w:r>
              <w:rPr>
                <w:color w:val="000000"/>
                <w:spacing w:val="0"/>
                <w:w w:val="100"/>
                <w:position w:val="0"/>
              </w:rPr>
              <w:t>6</w:t>
            </w:r>
            <w:r>
              <w:rPr>
                <w:rFonts w:ascii="SimSun" w:eastAsia="SimSun" w:hAnsi="SimSun" w:cs="SimSun"/>
                <w:color w:val="000000"/>
                <w:spacing w:val="0"/>
                <w:w w:val="100"/>
                <w:position w:val="0"/>
              </w:rPr>
              <w:t>个月内如发行人股票连续</w:t>
            </w:r>
            <w:r>
              <w:rPr>
                <w:color w:val="000000"/>
                <w:spacing w:val="0"/>
                <w:w w:val="100"/>
                <w:position w:val="0"/>
              </w:rPr>
              <w:t xml:space="preserve">20 </w:t>
            </w:r>
            <w:r>
              <w:rPr>
                <w:rFonts w:ascii="SimSun" w:eastAsia="SimSun" w:hAnsi="SimSun" w:cs="SimSun"/>
                <w:color w:val="000000"/>
                <w:spacing w:val="0"/>
                <w:w w:val="100"/>
                <w:position w:val="0"/>
              </w:rPr>
              <w:t>个交易日的收盘价均低于发行价，或者上市 后</w:t>
            </w:r>
            <w:r>
              <w:rPr>
                <w:color w:val="000000"/>
                <w:spacing w:val="0"/>
                <w:w w:val="100"/>
                <w:position w:val="0"/>
              </w:rPr>
              <w:t>6</w:t>
            </w:r>
            <w:r>
              <w:rPr>
                <w:rFonts w:ascii="SimSun" w:eastAsia="SimSun" w:hAnsi="SimSun" w:cs="SimSun"/>
                <w:color w:val="000000"/>
                <w:spacing w:val="0"/>
                <w:w w:val="100"/>
                <w:position w:val="0"/>
              </w:rPr>
              <w:t>个月期末收盘价格低于发行价，持有发 行人股票的锁定期限自动延长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李志良</w:t>
            </w:r>
            <w:r>
              <w:rPr>
                <w:color w:val="000000"/>
                <w:spacing w:val="0"/>
                <w:w w:val="100"/>
                <w:position w:val="0"/>
              </w:rPr>
              <w:t>;</w:t>
            </w:r>
            <w:r>
              <w:rPr>
                <w:rFonts w:ascii="SimSun" w:eastAsia="SimSun" w:hAnsi="SimSun" w:cs="SimSun"/>
                <w:color w:val="000000"/>
                <w:spacing w:val="0"/>
                <w:w w:val="100"/>
                <w:position w:val="0"/>
              </w:rPr>
              <w:t>李 志勇</w:t>
            </w:r>
            <w:r>
              <w:rPr>
                <w:color w:val="000000"/>
                <w:spacing w:val="0"/>
                <w:w w:val="100"/>
                <w:position w:val="0"/>
              </w:rPr>
              <w:t>;</w:t>
            </w:r>
            <w:r>
              <w:rPr>
                <w:rFonts w:ascii="SimSun" w:eastAsia="SimSun" w:hAnsi="SimSun" w:cs="SimSun"/>
                <w:color w:val="000000"/>
                <w:spacing w:val="0"/>
                <w:w w:val="100"/>
                <w:position w:val="0"/>
              </w:rPr>
              <w:t>梁铁 民</w:t>
            </w:r>
            <w:r>
              <w:rPr>
                <w:color w:val="000000"/>
                <w:spacing w:val="0"/>
                <w:w w:val="100"/>
                <w:position w:val="0"/>
              </w:rPr>
              <w:t>;</w:t>
            </w:r>
            <w:r>
              <w:rPr>
                <w:rFonts w:ascii="SimSun" w:eastAsia="SimSun" w:hAnsi="SimSun" w:cs="SimSun"/>
                <w:color w:val="000000"/>
                <w:spacing w:val="0"/>
                <w:w w:val="100"/>
                <w:position w:val="0"/>
              </w:rPr>
              <w:t>宋昌林</w:t>
            </w:r>
            <w:r>
              <w:rPr>
                <w:color w:val="000000"/>
                <w:spacing w:val="0"/>
                <w:w w:val="100"/>
                <w:position w:val="0"/>
              </w:rPr>
              <w:t xml:space="preserve">; </w:t>
            </w:r>
            <w:r>
              <w:rPr>
                <w:rFonts w:ascii="SimSun" w:eastAsia="SimSun" w:hAnsi="SimSun" w:cs="SimSun"/>
                <w:color w:val="000000"/>
                <w:spacing w:val="0"/>
                <w:w w:val="100"/>
                <w:position w:val="0"/>
              </w:rPr>
              <w:t>王毅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自发行人股票上市之日起一年内，本人不转 让或者委托他人管理本人持有的发行人公开 发行股票前已发行的股票，也不由发行人回 购本人持有的发行人公开发行股票前已发行 的股票。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722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陈喆、马 铮、宋京 生、肖志 宏</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马晓 丽</w:t>
            </w:r>
            <w:r>
              <w:rPr>
                <w:color w:val="000000"/>
                <w:spacing w:val="0"/>
                <w:w w:val="100"/>
                <w:position w:val="0"/>
              </w:rPr>
              <w:t>;</w:t>
            </w:r>
            <w:r>
              <w:rPr>
                <w:rFonts w:ascii="SimSun" w:eastAsia="SimSun" w:hAnsi="SimSun" w:cs="SimSun"/>
                <w:color w:val="000000"/>
                <w:spacing w:val="0"/>
                <w:w w:val="100"/>
                <w:position w:val="0"/>
              </w:rPr>
              <w:t>珠海汇 金科技股 份有限公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IPO</w:t>
            </w:r>
            <w:r>
              <w:rPr>
                <w:rFonts w:ascii="SimSun" w:eastAsia="SimSun" w:hAnsi="SimSun" w:cs="SimSun"/>
                <w:color w:val="000000"/>
                <w:spacing w:val="0"/>
                <w:w w:val="100"/>
                <w:position w:val="0"/>
              </w:rPr>
              <w:t>稳定股</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价承诺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为维护市场公平，切实保护中小投资者的合 法权益，公司</w:t>
            </w:r>
            <w:r>
              <w:rPr>
                <w:color w:val="000000"/>
                <w:spacing w:val="0"/>
                <w:w w:val="100"/>
                <w:position w:val="0"/>
              </w:rPr>
              <w:t>A</w:t>
            </w:r>
            <w:r>
              <w:rPr>
                <w:rFonts w:ascii="SimSun" w:eastAsia="SimSun" w:hAnsi="SimSun" w:cs="SimSun"/>
                <w:color w:val="000000"/>
                <w:spacing w:val="0"/>
                <w:w w:val="100"/>
                <w:position w:val="0"/>
              </w:rPr>
              <w:t>股股票上市后</w:t>
            </w:r>
            <w:r>
              <w:rPr>
                <w:color w:val="000000"/>
                <w:spacing w:val="0"/>
                <w:w w:val="100"/>
                <w:position w:val="0"/>
              </w:rPr>
              <w:t>3</w:t>
            </w:r>
            <w:r>
              <w:rPr>
                <w:rFonts w:ascii="SimSun" w:eastAsia="SimSun" w:hAnsi="SimSun" w:cs="SimSun"/>
                <w:color w:val="000000"/>
                <w:spacing w:val="0"/>
                <w:w w:val="100"/>
                <w:position w:val="0"/>
              </w:rPr>
              <w:t>年内，收盘 价（除权除息后，下同）连续</w:t>
            </w:r>
            <w:r>
              <w:rPr>
                <w:color w:val="000000"/>
                <w:spacing w:val="0"/>
                <w:w w:val="100"/>
                <w:position w:val="0"/>
              </w:rPr>
              <w:t>20</w:t>
            </w:r>
            <w:r>
              <w:rPr>
                <w:rFonts w:ascii="SimSun" w:eastAsia="SimSun" w:hAnsi="SimSun" w:cs="SimSun"/>
                <w:color w:val="000000"/>
                <w:spacing w:val="0"/>
                <w:w w:val="100"/>
                <w:position w:val="0"/>
              </w:rPr>
              <w:t>个交易日（公 司股票全天停牌的交易日除外，下同）低于 最近一期经审计的每股净资产，且公司情况 同时满足监管机构对于回购、增持等股本变 动行为的规定，则触发控股股东、董事及高 级管理人员增持及回购的相关义务。未来新 聘的董事及高级管理人员，也应履行本承诺 规定的增持及回购的相关义务。</w:t>
            </w:r>
            <w:r>
              <w:rPr>
                <w:color w:val="000000"/>
                <w:spacing w:val="0"/>
                <w:w w:val="100"/>
                <w:position w:val="0"/>
              </w:rPr>
              <w:t>1</w:t>
            </w:r>
            <w:r>
              <w:rPr>
                <w:rFonts w:ascii="SimSun" w:eastAsia="SimSun" w:hAnsi="SimSun" w:cs="SimSun"/>
                <w:color w:val="000000"/>
                <w:spacing w:val="0"/>
                <w:w w:val="100"/>
                <w:position w:val="0"/>
              </w:rPr>
              <w:t>、启动股价 稳定措施的具体条件公司股票连续</w:t>
            </w:r>
            <w:r>
              <w:rPr>
                <w:color w:val="000000"/>
                <w:spacing w:val="0"/>
                <w:w w:val="100"/>
                <w:position w:val="0"/>
              </w:rPr>
              <w:t>20</w:t>
            </w:r>
            <w:r>
              <w:rPr>
                <w:rFonts w:ascii="SimSun" w:eastAsia="SimSun" w:hAnsi="SimSun" w:cs="SimSun"/>
                <w:color w:val="000000"/>
                <w:spacing w:val="0"/>
                <w:w w:val="100"/>
                <w:position w:val="0"/>
              </w:rPr>
              <w:t>个交易 日的收盘价均低于公司最近一期经审计的每 股净资产。</w:t>
            </w:r>
            <w:r>
              <w:rPr>
                <w:color w:val="000000"/>
                <w:spacing w:val="0"/>
                <w:w w:val="100"/>
                <w:position w:val="0"/>
              </w:rPr>
              <w:t>2</w:t>
            </w:r>
            <w:r>
              <w:rPr>
                <w:rFonts w:ascii="SimSun" w:eastAsia="SimSun" w:hAnsi="SimSun" w:cs="SimSun"/>
                <w:color w:val="000000"/>
                <w:spacing w:val="0"/>
                <w:w w:val="100"/>
                <w:position w:val="0"/>
              </w:rPr>
              <w:t>、股价稳定措施的方式及顺序股 价稳定措施的方式为：（</w:t>
            </w:r>
            <w:r>
              <w:rPr>
                <w:color w:val="000000"/>
                <w:spacing w:val="0"/>
                <w:w w:val="100"/>
                <w:position w:val="0"/>
              </w:rPr>
              <w:t>1</w:t>
            </w:r>
            <w:r>
              <w:rPr>
                <w:rFonts w:ascii="SimSun" w:eastAsia="SimSun" w:hAnsi="SimSun" w:cs="SimSun"/>
                <w:color w:val="000000"/>
                <w:spacing w:val="0"/>
                <w:w w:val="100"/>
                <w:position w:val="0"/>
              </w:rPr>
              <w:t>）公司控股股东增 持公司股票；（</w:t>
            </w:r>
            <w:r>
              <w:rPr>
                <w:color w:val="000000"/>
                <w:spacing w:val="0"/>
                <w:w w:val="100"/>
                <w:position w:val="0"/>
              </w:rPr>
              <w:t>2</w:t>
            </w:r>
            <w:r>
              <w:rPr>
                <w:rFonts w:ascii="SimSun" w:eastAsia="SimSun" w:hAnsi="SimSun" w:cs="SimSun"/>
                <w:color w:val="000000"/>
                <w:spacing w:val="0"/>
                <w:w w:val="100"/>
                <w:position w:val="0"/>
              </w:rPr>
              <w:t>）董事（不含独立董事）、高 级管理人员增持公司股票；（</w:t>
            </w:r>
            <w:r>
              <w:rPr>
                <w:color w:val="000000"/>
                <w:spacing w:val="0"/>
                <w:w w:val="100"/>
                <w:position w:val="0"/>
              </w:rPr>
              <w:t>3</w:t>
            </w:r>
            <w:r>
              <w:rPr>
                <w:rFonts w:ascii="SimSun" w:eastAsia="SimSun" w:hAnsi="SimSun" w:cs="SimSun"/>
                <w:color w:val="000000"/>
                <w:spacing w:val="0"/>
                <w:w w:val="100"/>
                <w:position w:val="0"/>
              </w:rPr>
              <w:t>）公司回购股 票。选用前述方式时应考虑：（</w:t>
            </w:r>
            <w:r>
              <w:rPr>
                <w:color w:val="000000"/>
                <w:spacing w:val="0"/>
                <w:w w:val="100"/>
                <w:position w:val="0"/>
              </w:rPr>
              <w:t>1</w:t>
            </w:r>
            <w:r>
              <w:rPr>
                <w:rFonts w:ascii="SimSun" w:eastAsia="SimSun" w:hAnsi="SimSun" w:cs="SimSun"/>
                <w:color w:val="000000"/>
                <w:spacing w:val="0"/>
                <w:w w:val="100"/>
                <w:position w:val="0"/>
              </w:rPr>
              <w:t>）不能导致 公司不满足法定上市条件；（</w:t>
            </w:r>
            <w:r>
              <w:rPr>
                <w:color w:val="000000"/>
                <w:spacing w:val="0"/>
                <w:w w:val="100"/>
                <w:position w:val="0"/>
              </w:rPr>
              <w:t>2</w:t>
            </w:r>
            <w:r>
              <w:rPr>
                <w:rFonts w:ascii="SimSun" w:eastAsia="SimSun" w:hAnsi="SimSun" w:cs="SimSun"/>
                <w:color w:val="000000"/>
                <w:spacing w:val="0"/>
                <w:w w:val="100"/>
                <w:position w:val="0"/>
              </w:rPr>
              <w:t>）不能导致控 股股东或实际控制人履行要约收购义务。东 增持公司股票，除非公司控股股东增持公司 股票致使公司不满足法定上市条件或触发控 股股东的要约收购义务且控股股东未计划实 施要约收购；第二选择为董事（不含独立董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bl>
    <w:p>
      <w:pPr>
        <w:spacing w:lineRule="exact" w:line="1"/>
        <w:rPr>
          <w:sz w:val="2"/>
          <w:szCs w:val="2"/>
        </w:rPr>
      </w:pPr>
      <w:r>
        <w:br w:type="page"/>
      </w:r>
    </w:p>
    <w:tbl>
      <w:tblPr>
        <w:tblOverlap w:val="never"/>
        <w:jc w:val="center"/>
        <w:tblLayout w:type="fixed"/>
      </w:tblPr>
      <w:tblGrid>
        <w:gridCol w:w="1565"/>
        <w:gridCol w:w="912"/>
        <w:gridCol w:w="994"/>
        <w:gridCol w:w="3542"/>
        <w:gridCol w:w="850"/>
        <w:gridCol w:w="850"/>
        <w:gridCol w:w="864"/>
      </w:tblGrid>
      <w:tr>
        <w:trPr>
          <w:trHeight w:val="137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事）、高级管理人员增持公司股票，在下列情 形之一出现时将启动第二选择：（</w:t>
            </w:r>
            <w:r>
              <w:rPr>
                <w:color w:val="000000"/>
                <w:spacing w:val="0"/>
                <w:w w:val="100"/>
                <w:position w:val="0"/>
              </w:rPr>
              <w:t>1</w:t>
            </w:r>
            <w:r>
              <w:rPr>
                <w:rFonts w:ascii="SimSun" w:eastAsia="SimSun" w:hAnsi="SimSun" w:cs="SimSun"/>
                <w:color w:val="000000"/>
                <w:spacing w:val="0"/>
                <w:w w:val="100"/>
                <w:position w:val="0"/>
              </w:rPr>
              <w:t>）在控股 股东增持公司股票方案实施完成后，仍未满 足“公司股票连续</w:t>
            </w:r>
            <w:r>
              <w:rPr>
                <w:color w:val="000000"/>
                <w:spacing w:val="0"/>
                <w:w w:val="100"/>
                <w:position w:val="0"/>
              </w:rPr>
              <w:t>5</w:t>
            </w:r>
            <w:r>
              <w:rPr>
                <w:rFonts w:ascii="SimSun" w:eastAsia="SimSun" w:hAnsi="SimSun" w:cs="SimSun"/>
                <w:color w:val="000000"/>
                <w:spacing w:val="0"/>
                <w:w w:val="100"/>
                <w:position w:val="0"/>
              </w:rPr>
              <w:t>个交易日的收盘价均已 高于公司最近一期经审计的每股净资产”之 条件；（</w:t>
            </w:r>
            <w:r>
              <w:rPr>
                <w:color w:val="000000"/>
                <w:spacing w:val="0"/>
                <w:w w:val="100"/>
                <w:position w:val="0"/>
              </w:rPr>
              <w:t>2</w:t>
            </w:r>
            <w:r>
              <w:rPr>
                <w:rFonts w:ascii="SimSun" w:eastAsia="SimSun" w:hAnsi="SimSun" w:cs="SimSun"/>
                <w:color w:val="000000"/>
                <w:spacing w:val="0"/>
                <w:w w:val="100"/>
                <w:position w:val="0"/>
              </w:rPr>
              <w:t>）控股股东因故（包括但不限于公 司控股股东如增持公司股票将致使公司不满 足法定上市条件或触发控股股东的要约收购 义务且控股股东未计划实施要约收购等情 形）无法实施增持股票计划，且董事（不含 独立董事）、高级管理人员增持公司股票不会 致使公司不满足法定上市条件或触发控股股 东的要约收购义务。第三选择为公司回购股 票，启动该选择的条件为：在第一选择和第 二选择已实施或因故未实施后，公司股票仍 未满足“公司股票连续</w:t>
            </w:r>
            <w:r>
              <w:rPr>
                <w:color w:val="000000"/>
                <w:spacing w:val="0"/>
                <w:w w:val="100"/>
                <w:position w:val="0"/>
              </w:rPr>
              <w:t>5</w:t>
            </w:r>
            <w:r>
              <w:rPr>
                <w:rFonts w:ascii="SimSun" w:eastAsia="SimSun" w:hAnsi="SimSun" w:cs="SimSun"/>
                <w:color w:val="000000"/>
                <w:spacing w:val="0"/>
                <w:w w:val="100"/>
                <w:position w:val="0"/>
              </w:rPr>
              <w:t>个交易日的收盘价 均已高于公司最近一期经审计的每股净资 产”之条件，且公司实施股票回购不会导致 公司不满足法定上市条件、公司回购股票议 案已获得公司股东大会批准。每一自然年度， 强制启动股价稳定措施的义务仅限一次。</w:t>
            </w:r>
            <w:r>
              <w:rPr>
                <w:color w:val="000000"/>
                <w:spacing w:val="0"/>
                <w:w w:val="100"/>
                <w:position w:val="0"/>
              </w:rPr>
              <w:t>3</w:t>
            </w:r>
            <w:r>
              <w:rPr>
                <w:rFonts w:ascii="SimSun" w:eastAsia="SimSun" w:hAnsi="SimSun" w:cs="SimSun"/>
                <w:color w:val="000000"/>
                <w:spacing w:val="0"/>
                <w:w w:val="100"/>
                <w:position w:val="0"/>
              </w:rPr>
              <w:t>、 实施控股股东增持公司股票的程序在达到触 发启动股价稳定措施条件的情况下，在履行 相应的公告等义务后，控股股东将在满足法 定条件下依照方案中所规定的价格区间、期 限实施增持。公司不得为控股股东实施增持 公司股票提供资金支持。</w:t>
            </w:r>
            <w:r>
              <w:rPr>
                <w:color w:val="000000"/>
                <w:spacing w:val="0"/>
                <w:w w:val="100"/>
                <w:position w:val="0"/>
              </w:rPr>
              <w:t>4</w:t>
            </w:r>
            <w:r>
              <w:rPr>
                <w:rFonts w:ascii="SimSun" w:eastAsia="SimSun" w:hAnsi="SimSun" w:cs="SimSun"/>
                <w:color w:val="000000"/>
                <w:spacing w:val="0"/>
                <w:w w:val="100"/>
                <w:position w:val="0"/>
              </w:rPr>
              <w:t>、实施董事（不含 独立董事）和高级管理人员增持公司股票的 程序（</w:t>
            </w:r>
            <w:r>
              <w:rPr>
                <w:color w:val="000000"/>
                <w:spacing w:val="0"/>
                <w:w w:val="100"/>
                <w:position w:val="0"/>
              </w:rPr>
              <w:t>1</w:t>
            </w:r>
            <w:r>
              <w:rPr>
                <w:rFonts w:ascii="SimSun" w:eastAsia="SimSun" w:hAnsi="SimSun" w:cs="SimSun"/>
                <w:color w:val="000000"/>
                <w:spacing w:val="0"/>
                <w:w w:val="100"/>
                <w:position w:val="0"/>
              </w:rPr>
              <w:t>）启动程序①控股股东未实施增持 公司股票计划在达到触发启动股价稳定措施 条件的情况下，并且在控股股东无法实施增 持公司股票计划，且董事（不含独立董事） 和高级管理人员增持公司股票不会致使公司 不满足法定上市条件，公司董事（不含独立 董事）和高级管理人员将在达到触发启动股 价稳定措施条件或公司控股股东决定不实施 增持公司股票计划公告之日起</w:t>
            </w:r>
            <w:r>
              <w:rPr>
                <w:color w:val="000000"/>
                <w:spacing w:val="0"/>
                <w:w w:val="100"/>
                <w:position w:val="0"/>
              </w:rPr>
              <w:t>30</w:t>
            </w:r>
            <w:r>
              <w:rPr>
                <w:rFonts w:ascii="SimSun" w:eastAsia="SimSun" w:hAnsi="SimSun" w:cs="SimSun"/>
                <w:color w:val="000000"/>
                <w:spacing w:val="0"/>
                <w:w w:val="100"/>
                <w:position w:val="0"/>
              </w:rPr>
              <w:t>日内向公司 提交增持公司股票的方案并由公司公告。② 控股股东已实施增持公司股票计划控股股东 已实施增持公司股票计划但仍未满足“公司 股票连续</w:t>
            </w:r>
            <w:r>
              <w:rPr>
                <w:color w:val="000000"/>
                <w:spacing w:val="0"/>
                <w:w w:val="100"/>
                <w:position w:val="0"/>
              </w:rPr>
              <w:t>5</w:t>
            </w:r>
            <w:r>
              <w:rPr>
                <w:rFonts w:ascii="SimSun" w:eastAsia="SimSun" w:hAnsi="SimSun" w:cs="SimSun"/>
                <w:color w:val="000000"/>
                <w:spacing w:val="0"/>
                <w:w w:val="100"/>
                <w:position w:val="0"/>
              </w:rPr>
              <w:t>个交易日的收盘价均已高于公司 最近一期经审计的每股净资产”之条件，公 司董事（不含控股股东、独立董事）和高级 管理人员将在控股股东增持公司股票计划实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912"/>
        <w:gridCol w:w="994"/>
        <w:gridCol w:w="3542"/>
        <w:gridCol w:w="850"/>
        <w:gridCol w:w="850"/>
        <w:gridCol w:w="864"/>
      </w:tblGrid>
      <w:tr>
        <w:trPr>
          <w:trHeight w:val="137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施完毕或终止之日起</w:t>
            </w:r>
            <w:r>
              <w:rPr>
                <w:color w:val="000000"/>
                <w:spacing w:val="0"/>
                <w:w w:val="100"/>
                <w:position w:val="0"/>
              </w:rPr>
              <w:t>30</w:t>
            </w:r>
            <w:r>
              <w:rPr>
                <w:rFonts w:ascii="SimSun" w:eastAsia="SimSun" w:hAnsi="SimSun" w:cs="SimSun"/>
                <w:color w:val="000000"/>
                <w:spacing w:val="0"/>
                <w:w w:val="100"/>
                <w:position w:val="0"/>
              </w:rPr>
              <w:t>日内向公司提交增持 公司股票的方案并由公司公告。（</w:t>
            </w:r>
            <w:r>
              <w:rPr>
                <w:color w:val="000000"/>
                <w:spacing w:val="0"/>
                <w:w w:val="100"/>
                <w:position w:val="0"/>
              </w:rPr>
              <w:t>2</w:t>
            </w:r>
            <w:r>
              <w:rPr>
                <w:rFonts w:ascii="SimSun" w:eastAsia="SimSun" w:hAnsi="SimSun" w:cs="SimSun"/>
                <w:color w:val="000000"/>
                <w:spacing w:val="0"/>
                <w:w w:val="100"/>
                <w:position w:val="0"/>
              </w:rPr>
              <w:t>）董事（不 含独立董事）和高级管理人员增持公司的计 划控股股东因故未实施增持公司股票计划或 在控股股东增持公司股票方案实施完成后， 仍未满足“公司股票连续</w:t>
            </w:r>
            <w:r>
              <w:rPr>
                <w:color w:val="000000"/>
                <w:spacing w:val="0"/>
                <w:w w:val="100"/>
                <w:position w:val="0"/>
              </w:rPr>
              <w:t>5</w:t>
            </w:r>
            <w:r>
              <w:rPr>
                <w:rFonts w:ascii="SimSun" w:eastAsia="SimSun" w:hAnsi="SimSun" w:cs="SimSun"/>
                <w:color w:val="000000"/>
                <w:spacing w:val="0"/>
                <w:w w:val="100"/>
                <w:position w:val="0"/>
              </w:rPr>
              <w:t>个交易日的收盘 价均已高于公司最近一期经审计的每股净资 产”之条件，董事（不含独立董事）和高级 管理人员将在控股股东增持公司股票方案实 施完成后</w:t>
            </w:r>
            <w:r>
              <w:rPr>
                <w:color w:val="000000"/>
                <w:spacing w:val="0"/>
                <w:w w:val="100"/>
                <w:position w:val="0"/>
              </w:rPr>
              <w:t>90</w:t>
            </w:r>
            <w:r>
              <w:rPr>
                <w:rFonts w:ascii="SimSun" w:eastAsia="SimSun" w:hAnsi="SimSun" w:cs="SimSun"/>
                <w:color w:val="000000"/>
                <w:spacing w:val="0"/>
                <w:w w:val="100"/>
                <w:position w:val="0"/>
              </w:rPr>
              <w:t>日内或控股股东未实施增持公司 股票计划公告之日起</w:t>
            </w:r>
            <w:r>
              <w:rPr>
                <w:color w:val="000000"/>
                <w:spacing w:val="0"/>
                <w:w w:val="100"/>
                <w:position w:val="0"/>
              </w:rPr>
              <w:t>90</w:t>
            </w:r>
            <w:r>
              <w:rPr>
                <w:rFonts w:ascii="SimSun" w:eastAsia="SimSun" w:hAnsi="SimSun" w:cs="SimSun"/>
                <w:color w:val="000000"/>
                <w:spacing w:val="0"/>
                <w:w w:val="100"/>
                <w:position w:val="0"/>
              </w:rPr>
              <w:t>日内增持公司股票， 且用于增持股票的资金不低于其上一年度于 公司取得薪酬总额的</w:t>
            </w:r>
            <w:r>
              <w:rPr>
                <w:color w:val="000000"/>
                <w:spacing w:val="0"/>
                <w:w w:val="100"/>
                <w:position w:val="0"/>
              </w:rPr>
              <w:t>30%</w:t>
            </w:r>
            <w:r>
              <w:rPr>
                <w:rFonts w:ascii="SimSun" w:eastAsia="SimSun" w:hAnsi="SimSun" w:cs="SimSun"/>
                <w:color w:val="000000"/>
                <w:spacing w:val="0"/>
                <w:w w:val="100"/>
                <w:position w:val="0"/>
              </w:rPr>
              <w:t>。董事（不含控股 股东、独立董事）和高级管理人员增持公司 股票在达到以下条件之一的情况下终止：（</w:t>
            </w:r>
            <w:r>
              <w:rPr>
                <w:color w:val="000000"/>
                <w:spacing w:val="0"/>
                <w:w w:val="100"/>
                <w:position w:val="0"/>
              </w:rPr>
              <w:t>1</w:t>
            </w:r>
            <w:r>
              <w:rPr>
                <w:rFonts w:ascii="SimSun" w:eastAsia="SimSun" w:hAnsi="SimSun" w:cs="SimSun"/>
                <w:color w:val="000000"/>
                <w:spacing w:val="0"/>
                <w:w w:val="100"/>
                <w:position w:val="0"/>
              </w:rPr>
              <w:t>） 通过增持公司股票，公司股票连续</w:t>
            </w:r>
            <w:r>
              <w:rPr>
                <w:color w:val="000000"/>
                <w:spacing w:val="0"/>
                <w:w w:val="100"/>
                <w:position w:val="0"/>
              </w:rPr>
              <w:t>5</w:t>
            </w:r>
            <w:r>
              <w:rPr>
                <w:rFonts w:ascii="SimSun" w:eastAsia="SimSun" w:hAnsi="SimSun" w:cs="SimSun"/>
                <w:color w:val="000000"/>
                <w:spacing w:val="0"/>
                <w:w w:val="100"/>
                <w:position w:val="0"/>
              </w:rPr>
              <w:t>个交易 日的收盘价均已高于公司最近一期经审计的 每股净资产；（</w:t>
            </w:r>
            <w:r>
              <w:rPr>
                <w:color w:val="000000"/>
                <w:spacing w:val="0"/>
                <w:w w:val="100"/>
                <w:position w:val="0"/>
              </w:rPr>
              <w:t>2</w:t>
            </w:r>
            <w:r>
              <w:rPr>
                <w:rFonts w:ascii="SimSun" w:eastAsia="SimSun" w:hAnsi="SimSun" w:cs="SimSun"/>
                <w:color w:val="000000"/>
                <w:spacing w:val="0"/>
                <w:w w:val="100"/>
                <w:position w:val="0"/>
              </w:rPr>
              <w:t>）继续增持股票将导致公司 不满足法定上市条件；（</w:t>
            </w:r>
            <w:r>
              <w:rPr>
                <w:color w:val="000000"/>
                <w:spacing w:val="0"/>
                <w:w w:val="100"/>
                <w:position w:val="0"/>
              </w:rPr>
              <w:t>3</w:t>
            </w:r>
            <w:r>
              <w:rPr>
                <w:rFonts w:ascii="SimSun" w:eastAsia="SimSun" w:hAnsi="SimSun" w:cs="SimSun"/>
                <w:color w:val="000000"/>
                <w:spacing w:val="0"/>
                <w:w w:val="100"/>
                <w:position w:val="0"/>
              </w:rPr>
              <w:t>）继续增持股票将 导致需要履行要约收购义务且其未计划实施 要约收购。公司在未来聘任新的董事（不含 独立董事）、高级管理人员前，将要求其签署 承诺书，保证其履行公司首次公开发行上市 时董事、高级管理人员已做出的相应承诺。</w:t>
            </w:r>
            <w:r>
              <w:rPr>
                <w:color w:val="000000"/>
                <w:spacing w:val="0"/>
                <w:w w:val="100"/>
                <w:position w:val="0"/>
              </w:rPr>
              <w:t>5</w:t>
            </w:r>
            <w:r>
              <w:rPr>
                <w:rFonts w:ascii="SimSun" w:eastAsia="SimSun" w:hAnsi="SimSun" w:cs="SimSun"/>
                <w:color w:val="000000"/>
                <w:spacing w:val="0"/>
                <w:w w:val="100"/>
                <w:position w:val="0"/>
              </w:rPr>
              <w:t>、 实施公司回购股票的程序在控股股东和</w:t>
            </w:r>
            <w:r>
              <w:rPr>
                <w:color w:val="000000"/>
                <w:spacing w:val="0"/>
                <w:w w:val="100"/>
                <w:position w:val="0"/>
              </w:rPr>
              <w:t>/</w:t>
            </w:r>
            <w:r>
              <w:rPr>
                <w:rFonts w:ascii="SimSun" w:eastAsia="SimSun" w:hAnsi="SimSun" w:cs="SimSun"/>
                <w:color w:val="000000"/>
                <w:spacing w:val="0"/>
                <w:w w:val="100"/>
                <w:position w:val="0"/>
              </w:rPr>
              <w:t>或董 事（不含独立董事）、高级管理人员增持公司 股票计划实施后，公司股票仍未满足“公司 股票连续</w:t>
            </w:r>
            <w:r>
              <w:rPr>
                <w:color w:val="000000"/>
                <w:spacing w:val="0"/>
                <w:w w:val="100"/>
                <w:position w:val="0"/>
              </w:rPr>
              <w:t>5</w:t>
            </w:r>
            <w:r>
              <w:rPr>
                <w:rFonts w:ascii="SimSun" w:eastAsia="SimSun" w:hAnsi="SimSun" w:cs="SimSun"/>
                <w:color w:val="000000"/>
                <w:spacing w:val="0"/>
                <w:w w:val="100"/>
                <w:position w:val="0"/>
              </w:rPr>
              <w:t>个交易日的收盘价均已高于公司 最近一期经审计的每股净资产”之条件，或 控股股东和董事（不含独立董事）、高级管理 人员因故未能实施增持公司股票计划，在达 到触发启动股价稳定措施条件的情况下，公 司将在</w:t>
            </w:r>
            <w:r>
              <w:rPr>
                <w:color w:val="000000"/>
                <w:spacing w:val="0"/>
                <w:w w:val="100"/>
                <w:position w:val="0"/>
              </w:rPr>
              <w:t>10</w:t>
            </w:r>
            <w:r>
              <w:rPr>
                <w:rFonts w:ascii="SimSun" w:eastAsia="SimSun" w:hAnsi="SimSun" w:cs="SimSun"/>
                <w:color w:val="000000"/>
                <w:spacing w:val="0"/>
                <w:w w:val="100"/>
                <w:position w:val="0"/>
              </w:rPr>
              <w:t>日内召开董事会，依法作出实施回 购股票的决议，提交股东大会批准并履行相 应的公告程序。公司将在董事会决议出具之 日起</w:t>
            </w:r>
            <w:r>
              <w:rPr>
                <w:color w:val="000000"/>
                <w:spacing w:val="0"/>
                <w:w w:val="100"/>
                <w:position w:val="0"/>
              </w:rPr>
              <w:t>30</w:t>
            </w:r>
            <w:r>
              <w:rPr>
                <w:rFonts w:ascii="SimSun" w:eastAsia="SimSun" w:hAnsi="SimSun" w:cs="SimSun"/>
                <w:color w:val="000000"/>
                <w:spacing w:val="0"/>
                <w:w w:val="100"/>
                <w:position w:val="0"/>
              </w:rPr>
              <w:t>日内召开股东大会，审议实施回购股 票的议案，公司股东大会对实施回购股票作 出的决议，必须经出席会议的股东所持表决 权的</w:t>
            </w:r>
            <w:r>
              <w:rPr>
                <w:color w:val="000000"/>
                <w:spacing w:val="0"/>
                <w:w w:val="100"/>
                <w:position w:val="0"/>
              </w:rPr>
              <w:t>2/3</w:t>
            </w:r>
            <w:r>
              <w:rPr>
                <w:rFonts w:ascii="SimSun" w:eastAsia="SimSun" w:hAnsi="SimSun" w:cs="SimSun"/>
                <w:color w:val="000000"/>
                <w:spacing w:val="0"/>
                <w:w w:val="100"/>
                <w:position w:val="0"/>
              </w:rPr>
              <w:t>以上通过。公司股东大会批准实施回 购股票的议案后公司将依法履行相应的公 告、备案及通知债权人等义务。在满足法定 条件下依照决议通过的实施回购股票的议案 中所规定的价格区间、期限实施回购。除非 出现下列情形，公司将在股东大会决议作出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912"/>
        <w:gridCol w:w="994"/>
        <w:gridCol w:w="3542"/>
        <w:gridCol w:w="850"/>
        <w:gridCol w:w="850"/>
        <w:gridCol w:w="864"/>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之日起</w:t>
            </w:r>
            <w:r>
              <w:rPr>
                <w:color w:val="000000"/>
                <w:spacing w:val="0"/>
                <w:w w:val="100"/>
                <w:position w:val="0"/>
              </w:rPr>
              <w:t>6</w:t>
            </w:r>
            <w:r>
              <w:rPr>
                <w:rFonts w:ascii="SimSun" w:eastAsia="SimSun" w:hAnsi="SimSun" w:cs="SimSun"/>
                <w:color w:val="000000"/>
                <w:spacing w:val="0"/>
                <w:w w:val="100"/>
                <w:position w:val="0"/>
              </w:rPr>
              <w:t>个月内回购股票，且回购股票的数 量不超过回购前公司股份总数的</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）通 过实施回购股票，公司股票连续</w:t>
            </w:r>
            <w:r>
              <w:rPr>
                <w:color w:val="000000"/>
                <w:spacing w:val="0"/>
                <w:w w:val="100"/>
                <w:position w:val="0"/>
              </w:rPr>
              <w:t>5</w:t>
            </w:r>
            <w:r>
              <w:rPr>
                <w:rFonts w:ascii="SimSun" w:eastAsia="SimSun" w:hAnsi="SimSun" w:cs="SimSun"/>
                <w:color w:val="000000"/>
                <w:spacing w:val="0"/>
                <w:w w:val="100"/>
                <w:position w:val="0"/>
              </w:rPr>
              <w:t>个交易日 的收盘价均已高于公司最近一期经审计的每 股净资产；（</w:t>
            </w:r>
            <w:r>
              <w:rPr>
                <w:color w:val="000000"/>
                <w:spacing w:val="0"/>
                <w:w w:val="100"/>
                <w:position w:val="0"/>
              </w:rPr>
              <w:t>2</w:t>
            </w:r>
            <w:r>
              <w:rPr>
                <w:rFonts w:ascii="SimSun" w:eastAsia="SimSun" w:hAnsi="SimSun" w:cs="SimSun"/>
                <w:color w:val="000000"/>
                <w:spacing w:val="0"/>
                <w:w w:val="100"/>
                <w:position w:val="0"/>
              </w:rPr>
              <w:t>）继续回购股票将导致公司不 满足法定上市条件。单次实施回购股票完毕 或终止后，本次回购的公司股票应在实施完 毕或终止之日起</w:t>
            </w:r>
            <w:r>
              <w:rPr>
                <w:color w:val="000000"/>
                <w:spacing w:val="0"/>
                <w:w w:val="100"/>
                <w:position w:val="0"/>
              </w:rPr>
              <w:t>10</w:t>
            </w:r>
            <w:r>
              <w:rPr>
                <w:rFonts w:ascii="SimSun" w:eastAsia="SimSun" w:hAnsi="SimSun" w:cs="SimSun"/>
                <w:color w:val="000000"/>
                <w:spacing w:val="0"/>
                <w:w w:val="100"/>
                <w:position w:val="0"/>
              </w:rPr>
              <w:t>日内注销，并及时办理公 司减资程序。</w:t>
            </w:r>
            <w:r>
              <w:rPr>
                <w:color w:val="000000"/>
                <w:spacing w:val="0"/>
                <w:w w:val="100"/>
                <w:position w:val="0"/>
              </w:rPr>
              <w:t>6</w:t>
            </w:r>
            <w:r>
              <w:rPr>
                <w:rFonts w:ascii="SimSun" w:eastAsia="SimSun" w:hAnsi="SimSun" w:cs="SimSun"/>
                <w:color w:val="000000"/>
                <w:spacing w:val="0"/>
                <w:w w:val="100"/>
                <w:position w:val="0"/>
              </w:rPr>
              <w:t>、约束机制（</w:t>
            </w:r>
            <w:r>
              <w:rPr>
                <w:color w:val="000000"/>
                <w:spacing w:val="0"/>
                <w:w w:val="100"/>
                <w:position w:val="0"/>
              </w:rPr>
              <w:t>1</w:t>
            </w:r>
            <w:r>
              <w:rPr>
                <w:rFonts w:ascii="SimSun" w:eastAsia="SimSun" w:hAnsi="SimSun" w:cs="SimSun"/>
                <w:color w:val="000000"/>
                <w:spacing w:val="0"/>
                <w:w w:val="100"/>
                <w:position w:val="0"/>
              </w:rPr>
              <w:t>）控股股东负 有增持股票义务，但未按本承诺的规定提出 增持股票计划和</w:t>
            </w:r>
            <w:r>
              <w:rPr>
                <w:color w:val="000000"/>
                <w:spacing w:val="0"/>
                <w:w w:val="100"/>
                <w:position w:val="0"/>
              </w:rPr>
              <w:t>/</w:t>
            </w:r>
            <w:r>
              <w:rPr>
                <w:rFonts w:ascii="SimSun" w:eastAsia="SimSun" w:hAnsi="SimSun" w:cs="SimSun"/>
                <w:color w:val="000000"/>
                <w:spacing w:val="0"/>
                <w:w w:val="100"/>
                <w:position w:val="0"/>
              </w:rPr>
              <w:t>或实施增持股票计划的，发 行人有权责令控股股东在限期内履行增持股 票义务，控股股东仍不履行的，发行人有权 扣减其应向控股股东支付的分红。控股股东 多次违反上述规定的，扣减数额应累计计算。</w:t>
            </w:r>
          </w:p>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）发行人董事（不含独立董事）、高级管 理人员负有增持股票义务，但未按本承诺的 规定提出增持股票计划和</w:t>
            </w:r>
            <w:r>
              <w:rPr>
                <w:color w:val="000000"/>
                <w:spacing w:val="0"/>
                <w:w w:val="100"/>
                <w:position w:val="0"/>
              </w:rPr>
              <w:t>/</w:t>
            </w:r>
            <w:r>
              <w:rPr>
                <w:rFonts w:ascii="SimSun" w:eastAsia="SimSun" w:hAnsi="SimSun" w:cs="SimSun"/>
                <w:color w:val="000000"/>
                <w:spacing w:val="0"/>
                <w:w w:val="100"/>
                <w:position w:val="0"/>
              </w:rPr>
              <w:t>或实施增持股票计 划的，发行人有权责令董事（不含独立董事）、 高级管理人员在限期内履行增持股票义务， 董事（不含独立董事）、高级管理人员仍不履 行，发行人有权自行扣减其应向董事（不含 独立董事）、高级管理人员支付的报酬。（</w:t>
            </w:r>
            <w:r>
              <w:rPr>
                <w:color w:val="000000"/>
                <w:spacing w:val="0"/>
                <w:w w:val="100"/>
                <w:position w:val="0"/>
              </w:rPr>
              <w:t>3</w:t>
            </w:r>
            <w:r>
              <w:rPr>
                <w:rFonts w:ascii="SimSun" w:eastAsia="SimSun" w:hAnsi="SimSun" w:cs="SimSun"/>
                <w:color w:val="000000"/>
                <w:spacing w:val="0"/>
                <w:w w:val="100"/>
                <w:position w:val="0"/>
              </w:rPr>
              <w:t>） 发行人董事（不含独立董事）、高级管理人员 拒不履行本承诺规定的股票增持义务情节严 重的，控股股东或董事会、监事会、半数以 上的独立董事有权提请股东大会同意更换相 关董事，发行人董事会有权解聘相关高级管 理人员。（</w:t>
            </w:r>
            <w:r>
              <w:rPr>
                <w:color w:val="000000"/>
                <w:spacing w:val="0"/>
                <w:w w:val="100"/>
                <w:position w:val="0"/>
              </w:rPr>
              <w:t>4</w:t>
            </w:r>
            <w:r>
              <w:rPr>
                <w:rFonts w:ascii="SimSun" w:eastAsia="SimSun" w:hAnsi="SimSun" w:cs="SimSun"/>
                <w:color w:val="000000"/>
                <w:spacing w:val="0"/>
                <w:w w:val="100"/>
                <w:position w:val="0"/>
              </w:rPr>
              <w:t>）发行人拒不履行本承诺规定义 务的，发行人应在中国证监会指定报刊上公 开说明未履行本预案规定义务的具体原因并 向公司股东和社会公众投资者道歉。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珠海汇金 科技股份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股份回购承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发行人招股说明书有虚假记载、误导性陈述 或者重大遗漏，对判断发行人是否符合法律 规定的发行条件构成重大、实质影响的，将 依法回购首次公开发行的全部新股。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股份回购承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发行人招股说明书有虚假记载、误导性陈述 或者重大遗漏，对判断发行人是否符合法律 规定的发行条件构成重大、实质影响的，将 依法购回已转让的原限售股份。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填补即期回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承诺不无偿或以不公平条件向其他单位或者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w:t>
            </w:r>
          </w:p>
        </w:tc>
      </w:tr>
    </w:tbl>
    <w:p>
      <w:pPr>
        <w:sectPr>
          <w:footnotePr>
            <w:pos w:val="pageBottom"/>
            <w:numFmt w:val="decimal"/>
            <w:numRestart w:val="continuous"/>
          </w:footnotePr>
          <w:pgSz w:w="11900" w:h="16840"/>
          <w:pgMar w:top="1431" w:right="1057" w:bottom="1565" w:left="1124" w:header="0" w:footer="3" w:gutter="0"/>
          <w:cols w:space="720"/>
          <w:noEndnote/>
          <w:rtlGutter w:val="0"/>
          <w:docGrid w:linePitch="360"/>
        </w:sectPr>
      </w:pPr>
    </w:p>
    <w:tbl>
      <w:tblPr>
        <w:tblOverlap w:val="never"/>
        <w:jc w:val="center"/>
        <w:tblLayout w:type="fixed"/>
      </w:tblPr>
      <w:tblGrid>
        <w:gridCol w:w="917"/>
        <w:gridCol w:w="994"/>
        <w:gridCol w:w="3542"/>
        <w:gridCol w:w="850"/>
        <w:gridCol w:w="850"/>
        <w:gridCol w:w="864"/>
      </w:tblGrid>
      <w:tr>
        <w:trPr>
          <w:trHeight w:val="31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铮、宋京 生、肖志 宏、于风 政、侯平、 杨大贺</w:t>
            </w:r>
            <w:r>
              <w:rPr>
                <w:color w:val="000000"/>
                <w:spacing w:val="0"/>
                <w:w w:val="100"/>
                <w:position w:val="0"/>
              </w:rPr>
              <w:t>;</w:t>
            </w:r>
            <w:r>
              <w:rPr>
                <w:rFonts w:ascii="SimSun" w:eastAsia="SimSun" w:hAnsi="SimSun" w:cs="SimSun"/>
                <w:color w:val="000000"/>
                <w:spacing w:val="0"/>
                <w:w w:val="100"/>
                <w:position w:val="0"/>
              </w:rPr>
              <w:t>马 晓丽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个人输送利益，也不采用其他方式损害发行 人利益；承诺对本人的职务消费行为进行约 束；承诺不动用发行人资产从事与其履行职 责无关的投资、消费活动；承诺由董事会或 薪酬委员会制定的薪酬制度与发行人填补回 报措施的执行情况相挂钩；承诺拟公布的发 行人股权激励的行权条件与发行人填补回报 措施的执行情况相挂钩；承诺本人忠实、勤 勉地履行职责，维护发行人和全体股东的合 法权益。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行，不存 在违反该 承诺的情 形</w:t>
            </w:r>
          </w:p>
        </w:tc>
      </w:tr>
      <w:tr>
        <w:trPr>
          <w:trHeight w:val="321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避免同业竞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争承诺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本人目前未以任何形式直接或间接从事与发 行人相同或相似的业务，未拥有与发行人相 同或相似的控股公司、联营公司及合营公司， 将来也不会从事与发行人相同或相似的业 务；本人将不投资与发行人相同或相似的企 业或项目，以避免对发行人的生产经营构成 直接或间接的竞争；保证本人与本人关系密 切的家庭成员不直接或间接从事、参与或进 行与发行人生产、经营相竞争的任何经营活 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41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珠海汇金 科技股份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利润分配承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公司根据国务院发布国办发〔</w:t>
            </w:r>
            <w:r>
              <w:rPr>
                <w:color w:val="000000"/>
                <w:spacing w:val="0"/>
                <w:w w:val="100"/>
                <w:position w:val="0"/>
              </w:rPr>
              <w:t>2013</w:t>
            </w:r>
            <w:r>
              <w:rPr>
                <w:rFonts w:ascii="SimSun" w:eastAsia="SimSun" w:hAnsi="SimSun" w:cs="SimSun"/>
                <w:color w:val="000000"/>
                <w:spacing w:val="0"/>
                <w:w w:val="100"/>
                <w:position w:val="0"/>
              </w:rPr>
              <w:t>）</w:t>
            </w:r>
            <w:r>
              <w:rPr>
                <w:color w:val="000000"/>
                <w:spacing w:val="0"/>
                <w:w w:val="100"/>
                <w:position w:val="0"/>
              </w:rPr>
              <w:t>110</w:t>
            </w:r>
            <w:r>
              <w:rPr>
                <w:rFonts w:ascii="SimSun" w:eastAsia="SimSun" w:hAnsi="SimSun" w:cs="SimSun"/>
                <w:color w:val="000000"/>
                <w:spacing w:val="0"/>
                <w:w w:val="100"/>
                <w:position w:val="0"/>
              </w:rPr>
              <w:t>号《关 于进一步加强资本市场中小投资者合法权益 保护工作的意见》及证监会《上市公司监管 指引第</w:t>
            </w:r>
            <w:r>
              <w:rPr>
                <w:color w:val="000000"/>
                <w:spacing w:val="0"/>
                <w:w w:val="100"/>
                <w:position w:val="0"/>
              </w:rPr>
              <w:t>3</w:t>
            </w:r>
            <w:r>
              <w:rPr>
                <w:rFonts w:ascii="SimSun" w:eastAsia="SimSun" w:hAnsi="SimSun" w:cs="SimSun"/>
                <w:color w:val="000000"/>
                <w:spacing w:val="0"/>
                <w:w w:val="100"/>
                <w:position w:val="0"/>
              </w:rPr>
              <w:t>号——上市公司现金分红》等规范 文件的相关相求，重视对投资者的合理投资 回报，制定了本次发行上市后适用的《珠海 汇金科技股份有限公司公司章程（草案）》及 《珠海汇金科技股份有限公司首次公开发行 股票并上市后股东分红回报规划》，完善了公 司利润分配制度，对利润分配政策尤其是现 金分红政策进行了具体安排。公司承诺将严 格按照上述制度进行利润分配，切实保障投 资者收益权。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31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规范和减少 关联交易承 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、不利用自身作为发行人控股股东、实际控 制人之地位及控制性影响谋求发行人在业务 合作等方面给予优于市场第三方的权利；</w:t>
            </w:r>
            <w:r>
              <w:rPr>
                <w:color w:val="000000"/>
                <w:spacing w:val="0"/>
                <w:w w:val="100"/>
                <w:position w:val="0"/>
              </w:rPr>
              <w:t>2</w:t>
            </w:r>
            <w:r>
              <w:rPr>
                <w:rFonts w:ascii="SimSun" w:eastAsia="SimSun" w:hAnsi="SimSun" w:cs="SimSun"/>
                <w:color w:val="000000"/>
                <w:spacing w:val="0"/>
                <w:w w:val="100"/>
                <w:position w:val="0"/>
              </w:rPr>
              <w:t>、 不利用自身作为发行人控股股东、实际控制 人之地位及控制性影响谋求与发行人达成交 易的优先权利；</w:t>
            </w:r>
            <w:r>
              <w:rPr>
                <w:color w:val="000000"/>
                <w:spacing w:val="0"/>
                <w:w w:val="100"/>
                <w:position w:val="0"/>
              </w:rPr>
              <w:t>3</w:t>
            </w:r>
            <w:r>
              <w:rPr>
                <w:rFonts w:ascii="SimSun" w:eastAsia="SimSun" w:hAnsi="SimSun" w:cs="SimSun"/>
                <w:color w:val="000000"/>
                <w:spacing w:val="0"/>
                <w:w w:val="100"/>
                <w:position w:val="0"/>
              </w:rPr>
              <w:t>、不以与市场价格相比显失 公允的条件与发行人进行交易，亦不利用该 类交易从事任何损害发行人利益的行为；</w:t>
            </w:r>
            <w:r>
              <w:rPr>
                <w:color w:val="000000"/>
                <w:spacing w:val="0"/>
                <w:w w:val="100"/>
                <w:position w:val="0"/>
              </w:rPr>
              <w:t>4</w:t>
            </w:r>
            <w:r>
              <w:rPr>
                <w:rFonts w:ascii="SimSun" w:eastAsia="SimSun" w:hAnsi="SimSun" w:cs="SimSun"/>
                <w:color w:val="000000"/>
                <w:spacing w:val="0"/>
                <w:w w:val="100"/>
                <w:position w:val="0"/>
              </w:rPr>
              <w:t>、 在发行人将来可能产生的与本人及本人控制 的企业的关联交易时，本人将积极、善意促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bl>
    <w:p>
      <w:pPr>
        <w:sectPr>
          <w:footnotePr>
            <w:pos w:val="pageBottom"/>
            <w:numFmt w:val="decimal"/>
            <w:numRestart w:val="continuous"/>
          </w:footnotePr>
          <w:pgSz w:w="11900" w:h="16840"/>
          <w:pgMar w:top="1441" w:right="1117" w:bottom="1441" w:left="2768" w:header="0" w:footer="3" w:gutter="0"/>
          <w:cols w:space="720"/>
          <w:noEndnote/>
          <w:rtlGutter w:val="0"/>
          <w:docGrid w:linePitch="360"/>
        </w:sectPr>
      </w:pPr>
    </w:p>
    <w:tbl>
      <w:tblPr>
        <w:tblOverlap w:val="never"/>
        <w:jc w:val="center"/>
        <w:tblLayout w:type="fixed"/>
      </w:tblPr>
      <w:tblGrid>
        <w:gridCol w:w="1565"/>
        <w:gridCol w:w="912"/>
        <w:gridCol w:w="994"/>
        <w:gridCol w:w="3542"/>
        <w:gridCol w:w="850"/>
        <w:gridCol w:w="850"/>
        <w:gridCol w:w="86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使发行人采取如下措施规范该等关联交易：</w:t>
            </w:r>
          </w:p>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）严格遵守发行人章程、股东大会议事规 则、董事会议事规则等相关规定，履行关联 交易决策、回避表决等公允决策程序，及时 详细进行信息披露；（</w:t>
            </w:r>
            <w:r>
              <w:rPr>
                <w:color w:val="000000"/>
                <w:spacing w:val="0"/>
                <w:w w:val="100"/>
                <w:position w:val="0"/>
              </w:rPr>
              <w:t>2</w:t>
            </w:r>
            <w:r>
              <w:rPr>
                <w:rFonts w:ascii="SimSun" w:eastAsia="SimSun" w:hAnsi="SimSun" w:cs="SimSun"/>
                <w:color w:val="000000"/>
                <w:spacing w:val="0"/>
                <w:w w:val="100"/>
                <w:position w:val="0"/>
              </w:rPr>
              <w:t>）依照市场经济原则， 采取市场定价确定交易价格。若本人未能履 行上述承诺使发行人遭受损失的，在有关损 失金额厘定确认后，本人将在发行人董事会 通知的时限内赔偿发行人因此遭受的损失。 本人拒不赔偿发行人遭受的相关损失的，发 行人有权相应扣减发行人应向本人支付的分 红及工资薪酬，作为本人对发行人的赔偿。 本人应配合发行人消除或规范相关关联交 易，包括但不限于依法终止关联交易、采用 市场公允价格等。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马铮、苏州 衡赢真盛 创业投资 中心（有限 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规范和减少 关联交易承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、不利用自身作为发行人</w:t>
            </w:r>
            <w:r>
              <w:rPr>
                <w:color w:val="000000"/>
                <w:spacing w:val="0"/>
                <w:w w:val="100"/>
                <w:position w:val="0"/>
              </w:rPr>
              <w:t>5%</w:t>
            </w:r>
            <w:r>
              <w:rPr>
                <w:rFonts w:ascii="SimSun" w:eastAsia="SimSun" w:hAnsi="SimSun" w:cs="SimSun"/>
                <w:color w:val="000000"/>
                <w:spacing w:val="0"/>
                <w:w w:val="100"/>
                <w:position w:val="0"/>
              </w:rPr>
              <w:t>以上股东之地 位及影响谋求发行人在业务合作等方面给予 优于市场第三方的权利；</w:t>
            </w:r>
            <w:r>
              <w:rPr>
                <w:color w:val="000000"/>
                <w:spacing w:val="0"/>
                <w:w w:val="100"/>
                <w:position w:val="0"/>
              </w:rPr>
              <w:t>2</w:t>
            </w:r>
            <w:r>
              <w:rPr>
                <w:rFonts w:ascii="SimSun" w:eastAsia="SimSun" w:hAnsi="SimSun" w:cs="SimSun"/>
                <w:color w:val="000000"/>
                <w:spacing w:val="0"/>
                <w:w w:val="100"/>
                <w:position w:val="0"/>
              </w:rPr>
              <w:t>、不利用自身作为 发行人</w:t>
            </w:r>
            <w:r>
              <w:rPr>
                <w:color w:val="000000"/>
                <w:spacing w:val="0"/>
                <w:w w:val="100"/>
                <w:position w:val="0"/>
              </w:rPr>
              <w:t>5%</w:t>
            </w:r>
            <w:r>
              <w:rPr>
                <w:rFonts w:ascii="SimSun" w:eastAsia="SimSun" w:hAnsi="SimSun" w:cs="SimSun"/>
                <w:color w:val="000000"/>
                <w:spacing w:val="0"/>
                <w:w w:val="100"/>
                <w:position w:val="0"/>
              </w:rPr>
              <w:t>以上股东之地位及影响谋求与发 行人达成交易的优先权利；</w:t>
            </w:r>
            <w:r>
              <w:rPr>
                <w:color w:val="000000"/>
                <w:spacing w:val="0"/>
                <w:w w:val="100"/>
                <w:position w:val="0"/>
              </w:rPr>
              <w:t>3</w:t>
            </w:r>
            <w:r>
              <w:rPr>
                <w:rFonts w:ascii="SimSun" w:eastAsia="SimSun" w:hAnsi="SimSun" w:cs="SimSun"/>
                <w:color w:val="000000"/>
                <w:spacing w:val="0"/>
                <w:w w:val="100"/>
                <w:position w:val="0"/>
              </w:rPr>
              <w:t>、不以与市场价 格相比显失公允的条件与发行人进行交易， 亦不利用该类交易从事任何损害发行人利益 的行为；</w:t>
            </w:r>
            <w:r>
              <w:rPr>
                <w:color w:val="000000"/>
                <w:spacing w:val="0"/>
                <w:w w:val="100"/>
                <w:position w:val="0"/>
              </w:rPr>
              <w:t>4</w:t>
            </w:r>
            <w:r>
              <w:rPr>
                <w:rFonts w:ascii="SimSun" w:eastAsia="SimSun" w:hAnsi="SimSun" w:cs="SimSun"/>
                <w:color w:val="000000"/>
                <w:spacing w:val="0"/>
                <w:w w:val="100"/>
                <w:position w:val="0"/>
              </w:rPr>
              <w:t xml:space="preserve">、在发行人将来可能产生的与本人 </w:t>
            </w:r>
            <w:r>
              <w:rPr>
                <w:color w:val="000000"/>
                <w:spacing w:val="0"/>
                <w:w w:val="100"/>
                <w:position w:val="0"/>
              </w:rPr>
              <w:t>/</w:t>
            </w:r>
            <w:r>
              <w:rPr>
                <w:rFonts w:ascii="SimSun" w:eastAsia="SimSun" w:hAnsi="SimSun" w:cs="SimSun"/>
                <w:color w:val="000000"/>
                <w:spacing w:val="0"/>
                <w:w w:val="100"/>
                <w:position w:val="0"/>
              </w:rPr>
              <w:t>企业及本人</w:t>
            </w:r>
            <w:r>
              <w:rPr>
                <w:color w:val="000000"/>
                <w:spacing w:val="0"/>
                <w:w w:val="100"/>
                <w:position w:val="0"/>
              </w:rPr>
              <w:t>/</w:t>
            </w:r>
            <w:r>
              <w:rPr>
                <w:rFonts w:ascii="SimSun" w:eastAsia="SimSun" w:hAnsi="SimSun" w:cs="SimSun"/>
                <w:color w:val="000000"/>
                <w:spacing w:val="0"/>
                <w:w w:val="100"/>
                <w:position w:val="0"/>
              </w:rPr>
              <w:t>企业控制的企业的关联交易时， 本人</w:t>
            </w:r>
            <w:r>
              <w:rPr>
                <w:color w:val="000000"/>
                <w:spacing w:val="0"/>
                <w:w w:val="100"/>
                <w:position w:val="0"/>
              </w:rPr>
              <w:t>/</w:t>
            </w:r>
            <w:r>
              <w:rPr>
                <w:rFonts w:ascii="SimSun" w:eastAsia="SimSun" w:hAnsi="SimSun" w:cs="SimSun"/>
                <w:color w:val="000000"/>
                <w:spacing w:val="0"/>
                <w:w w:val="100"/>
                <w:position w:val="0"/>
              </w:rPr>
              <w:t>企业将积极、善意促使发行人采取如下 措施规范该等关联交易：（</w:t>
            </w:r>
            <w:r>
              <w:rPr>
                <w:color w:val="000000"/>
                <w:spacing w:val="0"/>
                <w:w w:val="100"/>
                <w:position w:val="0"/>
              </w:rPr>
              <w:t>1</w:t>
            </w:r>
            <w:r>
              <w:rPr>
                <w:rFonts w:ascii="SimSun" w:eastAsia="SimSun" w:hAnsi="SimSun" w:cs="SimSun"/>
                <w:color w:val="000000"/>
                <w:spacing w:val="0"/>
                <w:w w:val="100"/>
                <w:position w:val="0"/>
              </w:rPr>
              <w:t>）严格遵守发行 人章程、股东大会议事规则、董事会议事规 则等相关规定，履行关联交易决策、回避表 决等公允决策程序，及时详细进行信息披露；</w:t>
            </w:r>
          </w:p>
          <w:p>
            <w:pPr>
              <w:pStyle w:val="Style2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）依照市场经济原则，采取市场定价确定 交易价格。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行，不存 在违反该 承诺的情 形</w:t>
            </w:r>
          </w:p>
        </w:tc>
      </w:tr>
      <w:tr>
        <w:trPr>
          <w:trHeight w:val="41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陈喆、马 铮、宋京 生、肖志 宏、于风 政、侯平、 杨大贺</w:t>
            </w:r>
            <w:r>
              <w:rPr>
                <w:color w:val="000000"/>
                <w:spacing w:val="0"/>
                <w:w w:val="100"/>
                <w:position w:val="0"/>
              </w:rPr>
              <w:t>;</w:t>
            </w:r>
            <w:r>
              <w:rPr>
                <w:rFonts w:ascii="SimSun" w:eastAsia="SimSun" w:hAnsi="SimSun" w:cs="SimSun"/>
                <w:color w:val="000000"/>
                <w:spacing w:val="0"/>
                <w:w w:val="100"/>
                <w:position w:val="0"/>
              </w:rPr>
              <w:t>何 锋、罗秀 红、陈家 贤</w:t>
            </w:r>
            <w:r>
              <w:rPr>
                <w:color w:val="000000"/>
                <w:spacing w:val="0"/>
                <w:w w:val="100"/>
                <w:position w:val="0"/>
              </w:rPr>
              <w:t>;</w:t>
            </w:r>
            <w:r>
              <w:rPr>
                <w:rFonts w:ascii="SimSun" w:eastAsia="SimSun" w:hAnsi="SimSun" w:cs="SimSun"/>
                <w:color w:val="000000"/>
                <w:spacing w:val="0"/>
                <w:w w:val="100"/>
                <w:position w:val="0"/>
              </w:rPr>
              <w:t>马晓 丽；珠海汇 金科技股 份有限公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发行人招股说明书有虚假记载、误导性陈述 或者重大遗漏，致使投资者在证券交易中遭 受损失的，将依法赔偿投资者实际损失。控 股股东陈喆就未能履行上述承诺的约束措施 承诺：“发行人上市后，如本人未履行或者未 完全履行上述承诺，自违反相关承诺之日起， 本人因违反承诺所得的收益归发行人所有； 如因本人违反承诺给发行人或者其他投资者 造成损失的，将向发行人或者其他投资者依 法承担赔偿责任”。发行人董事、监事、高级 管理人员就未能履行上述承诺的约束措施承 诺：“发行人上市后，如果本人未履行或者未 完全履行上述承诺，本人同意发行人停止向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正常履 行，不存 在违反该 承诺的情 形</w:t>
            </w:r>
          </w:p>
        </w:tc>
      </w:tr>
    </w:tbl>
    <w:tbl>
      <w:tblPr>
        <w:tblOverlap w:val="never"/>
        <w:jc w:val="center"/>
        <w:tblLayout w:type="fixed"/>
      </w:tblPr>
      <w:tblGrid>
        <w:gridCol w:w="1565"/>
        <w:gridCol w:w="912"/>
        <w:gridCol w:w="994"/>
        <w:gridCol w:w="3542"/>
        <w:gridCol w:w="850"/>
        <w:gridCol w:w="850"/>
        <w:gridCol w:w="86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本人发放工资、奖金和津贴等，用于执行未 履行的承诺或用于赔偿因本人未履行或者未 完全履行承诺而给发行人或投资者带来的损 失，直至本人履行承诺或弥补完发行人、投 资者的损失为止，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其他对公司中小股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59" w:line="1" w:lineRule="exact"/>
      </w:pPr>
    </w:p>
    <w:p>
      <w:pPr>
        <w:pStyle w:val="Style21"/>
        <w:keepNext/>
        <w:keepLines/>
        <w:widowControl w:val="0"/>
        <w:shd w:val="clear" w:color="auto" w:fill="auto"/>
        <w:bidi w:val="0"/>
        <w:spacing w:before="0" w:after="360" w:line="317"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、公司资产或项目存在盈利预测，且报告期仍处在盈利预测期间，公司就资产或项目达到原盈利预测及 其原因做出说明</w:t>
      </w:r>
      <w:bookmarkEnd w:id="344"/>
      <w:bookmarkEnd w:id="345"/>
      <w:bookmarkEnd w:id="347"/>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三</w:t>
      </w:r>
      <w:bookmarkEnd w:id="350"/>
      <w:r>
        <w:rPr>
          <w:color w:val="000000"/>
          <w:spacing w:val="0"/>
          <w:w w:val="100"/>
          <w:position w:val="0"/>
          <w:sz w:val="24"/>
          <w:szCs w:val="24"/>
        </w:rPr>
        <w:t>、</w:t>
        <w:tab/>
        <w:t>控股股东及其关联方对上市公司的非经营性占用资金情况</w:t>
      </w:r>
      <w:bookmarkEnd w:id="348"/>
      <w:bookmarkEnd w:id="349"/>
      <w:bookmarkEnd w:id="35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四</w:t>
      </w:r>
      <w:bookmarkEnd w:id="354"/>
      <w:r>
        <w:rPr>
          <w:color w:val="000000"/>
          <w:spacing w:val="0"/>
          <w:w w:val="100"/>
          <w:position w:val="0"/>
          <w:sz w:val="24"/>
          <w:szCs w:val="24"/>
        </w:rPr>
        <w:t>、</w:t>
        <w:tab/>
        <w:t>董事会对最近一期“非标准审计报告”相关情况的说明</w:t>
      </w:r>
      <w:bookmarkEnd w:id="352"/>
      <w:bookmarkEnd w:id="353"/>
      <w:bookmarkEnd w:id="355"/>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五</w:t>
      </w:r>
      <w:bookmarkEnd w:id="358"/>
      <w:r>
        <w:rPr>
          <w:color w:val="000000"/>
          <w:spacing w:val="0"/>
          <w:w w:val="100"/>
          <w:position w:val="0"/>
          <w:sz w:val="24"/>
          <w:szCs w:val="24"/>
        </w:rPr>
        <w:t>、</w:t>
        <w:tab/>
        <w:t>董事会、监事会、独立董事（如有）对会计师事务所本报告期“非标准审计报告”的说 明</w:t>
      </w:r>
      <w:bookmarkEnd w:id="356"/>
      <w:bookmarkEnd w:id="357"/>
      <w:bookmarkEnd w:id="359"/>
    </w:p>
    <w:p>
      <w:pPr>
        <w:pStyle w:val="Style9"/>
        <w:keepNext w:val="0"/>
        <w:keepLines w:val="0"/>
        <w:widowControl w:val="0"/>
        <w:numPr>
          <w:ilvl w:val="0"/>
          <w:numId w:val="9"/>
        </w:numPr>
        <w:shd w:val="clear" w:color="auto" w:fill="auto"/>
        <w:tabs>
          <w:tab w:pos="330" w:val="left"/>
        </w:tabs>
        <w:bidi w:val="0"/>
        <w:spacing w:before="0" w:after="320" w:line="240" w:lineRule="auto"/>
        <w:ind w:left="0" w:right="0" w:firstLine="0"/>
        <w:jc w:val="both"/>
      </w:pPr>
      <w:bookmarkStart w:id="360" w:name="bookmark360"/>
      <w:bookmarkEnd w:id="36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六</w:t>
      </w:r>
      <w:bookmarkEnd w:id="363"/>
      <w:r>
        <w:rPr>
          <w:color w:val="000000"/>
          <w:spacing w:val="0"/>
          <w:w w:val="100"/>
          <w:position w:val="0"/>
          <w:sz w:val="24"/>
          <w:szCs w:val="24"/>
        </w:rPr>
        <w:t>、</w:t>
        <w:tab/>
        <w:t>董事会关于报告期会计政策、会计估计变更或重大会计差错更正的说明</w:t>
      </w:r>
      <w:bookmarkEnd w:id="361"/>
      <w:bookmarkEnd w:id="362"/>
      <w:bookmarkEnd w:id="364"/>
    </w:p>
    <w:p>
      <w:pPr>
        <w:pStyle w:val="Style9"/>
        <w:keepNext w:val="0"/>
        <w:keepLines w:val="0"/>
        <w:widowControl w:val="0"/>
        <w:numPr>
          <w:ilvl w:val="0"/>
          <w:numId w:val="9"/>
        </w:numPr>
        <w:shd w:val="clear" w:color="auto" w:fill="auto"/>
        <w:tabs>
          <w:tab w:pos="330" w:val="left"/>
        </w:tabs>
        <w:bidi w:val="0"/>
        <w:spacing w:before="0" w:after="320" w:line="240" w:lineRule="auto"/>
        <w:ind w:left="0" w:right="0" w:firstLine="0"/>
        <w:jc w:val="both"/>
      </w:pPr>
      <w:bookmarkStart w:id="365" w:name="bookmark365"/>
      <w:bookmarkEnd w:id="36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七</w:t>
      </w:r>
      <w:bookmarkEnd w:id="368"/>
      <w:r>
        <w:rPr>
          <w:color w:val="000000"/>
          <w:spacing w:val="0"/>
          <w:w w:val="100"/>
          <w:position w:val="0"/>
          <w:sz w:val="24"/>
          <w:szCs w:val="24"/>
        </w:rPr>
        <w:t>、</w:t>
        <w:tab/>
        <w:t>与上年度财务报告相比，合并报表范围发生变化的情况说明</w:t>
      </w:r>
      <w:bookmarkEnd w:id="366"/>
      <w:bookmarkEnd w:id="367"/>
      <w:bookmarkEnd w:id="369"/>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370" w:name="bookmark370"/>
      <w:bookmarkEnd w:id="37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公司报告期无合并报表范围发生变化的情况。</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371" w:name="bookmark371"/>
      <w:bookmarkStart w:id="372" w:name="bookmark372"/>
      <w:bookmarkStart w:id="373" w:name="bookmark373"/>
      <w:bookmarkStart w:id="374" w:name="bookmark374"/>
      <w:r>
        <w:rPr>
          <w:color w:val="000000"/>
          <w:spacing w:val="0"/>
          <w:w w:val="100"/>
          <w:position w:val="0"/>
          <w:sz w:val="24"/>
          <w:szCs w:val="24"/>
        </w:rPr>
        <w:t>八</w:t>
      </w:r>
      <w:bookmarkEnd w:id="373"/>
      <w:r>
        <w:rPr>
          <w:color w:val="000000"/>
          <w:spacing w:val="0"/>
          <w:w w:val="100"/>
          <w:position w:val="0"/>
          <w:sz w:val="24"/>
          <w:szCs w:val="24"/>
        </w:rPr>
        <w:t>、</w:t>
        <w:tab/>
        <w:t>聘任、解聘会计师事务所情况</w:t>
      </w:r>
      <w:bookmarkEnd w:id="371"/>
      <w:bookmarkEnd w:id="372"/>
      <w:bookmarkEnd w:id="37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r>
    </w:tbl>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王远，邵桂荣</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sz w:val="24"/>
          <w:szCs w:val="24"/>
        </w:rPr>
        <w:t>九</w:t>
      </w:r>
      <w:bookmarkEnd w:id="377"/>
      <w:r>
        <w:rPr>
          <w:color w:val="000000"/>
          <w:spacing w:val="0"/>
          <w:w w:val="100"/>
          <w:position w:val="0"/>
          <w:sz w:val="24"/>
          <w:szCs w:val="24"/>
        </w:rPr>
        <w:t>、年度报告披露后面临暂停上市和终止上市情况</w:t>
      </w:r>
      <w:bookmarkEnd w:id="375"/>
      <w:bookmarkEnd w:id="376"/>
      <w:bookmarkEnd w:id="378"/>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十、破产重整相关事项</w:t>
      </w:r>
      <w:bookmarkEnd w:id="379"/>
      <w:bookmarkEnd w:id="380"/>
      <w:bookmarkEnd w:id="38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十一、重大诉讼、仲裁事项</w:t>
      </w:r>
      <w:bookmarkEnd w:id="382"/>
      <w:bookmarkEnd w:id="383"/>
      <w:bookmarkEnd w:id="384"/>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385" w:name="bookmark385"/>
      <w:bookmarkEnd w:id="38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19"/>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十二、处罚及整改情况</w:t>
      </w:r>
      <w:bookmarkEnd w:id="386"/>
      <w:bookmarkEnd w:id="387"/>
      <w:bookmarkEnd w:id="388"/>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389" w:name="bookmark389"/>
      <w:bookmarkEnd w:id="38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十三、公司及其控股股东、实际控制人的诚信状况</w:t>
      </w:r>
      <w:bookmarkEnd w:id="390"/>
      <w:bookmarkEnd w:id="391"/>
      <w:bookmarkEnd w:id="392"/>
    </w:p>
    <w:p>
      <w:pPr>
        <w:pStyle w:val="Style9"/>
        <w:keepNext w:val="0"/>
        <w:keepLines w:val="0"/>
        <w:widowControl w:val="0"/>
        <w:numPr>
          <w:ilvl w:val="0"/>
          <w:numId w:val="9"/>
        </w:numPr>
        <w:shd w:val="clear" w:color="auto" w:fill="auto"/>
        <w:tabs>
          <w:tab w:pos="330" w:val="left"/>
        </w:tabs>
        <w:bidi w:val="0"/>
        <w:spacing w:before="0" w:after="360" w:line="240" w:lineRule="auto"/>
        <w:ind w:left="0" w:right="0" w:firstLine="0"/>
        <w:jc w:val="left"/>
      </w:pPr>
      <w:bookmarkStart w:id="393" w:name="bookmark393"/>
      <w:bookmarkEnd w:id="393"/>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十四、公司股权激励计划、员工持股计划或其他员工激励措施的实施情况</w:t>
      </w:r>
      <w:bookmarkEnd w:id="394"/>
      <w:bookmarkEnd w:id="395"/>
      <w:bookmarkEnd w:id="396"/>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397" w:name="bookmark397"/>
      <w:bookmarkEnd w:id="39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19"/>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十五、重大关联交易</w:t>
      </w:r>
      <w:bookmarkEnd w:id="398"/>
      <w:bookmarkEnd w:id="399"/>
      <w:bookmarkEnd w:id="400"/>
    </w:p>
    <w:p>
      <w:pPr>
        <w:pStyle w:val="Style21"/>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、与日常经营相关的关联交易</w:t>
      </w:r>
      <w:bookmarkEnd w:id="401"/>
      <w:bookmarkEnd w:id="402"/>
      <w:bookmarkEnd w:id="404"/>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405" w:name="bookmark405"/>
      <w:bookmarkEnd w:id="40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1"/>
        <w:keepNext/>
        <w:keepLines/>
        <w:widowControl w:val="0"/>
        <w:shd w:val="clear" w:color="auto" w:fill="auto"/>
        <w:tabs>
          <w:tab w:pos="378" w:val="left"/>
        </w:tabs>
        <w:bidi w:val="0"/>
        <w:spacing w:before="0" w:after="3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资产或股权收购、出售发生的关联交易</w:t>
      </w:r>
      <w:bookmarkEnd w:id="406"/>
      <w:bookmarkEnd w:id="407"/>
      <w:bookmarkEnd w:id="409"/>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1"/>
        <w:keepNext/>
        <w:keepLines/>
        <w:widowControl w:val="0"/>
        <w:shd w:val="clear" w:color="auto" w:fill="auto"/>
        <w:tabs>
          <w:tab w:pos="378" w:val="left"/>
        </w:tabs>
        <w:bidi w:val="0"/>
        <w:spacing w:before="0" w:after="3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共同对外投资的关联交易</w:t>
      </w:r>
      <w:bookmarkEnd w:id="410"/>
      <w:bookmarkEnd w:id="411"/>
      <w:bookmarkEnd w:id="413"/>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1"/>
        <w:keepNext/>
        <w:keepLines/>
        <w:widowControl w:val="0"/>
        <w:shd w:val="clear" w:color="auto" w:fill="auto"/>
        <w:tabs>
          <w:tab w:pos="378" w:val="left"/>
        </w:tabs>
        <w:bidi w:val="0"/>
        <w:spacing w:before="0" w:after="3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关联债权债务往来</w:t>
      </w:r>
      <w:bookmarkEnd w:id="414"/>
      <w:bookmarkEnd w:id="415"/>
      <w:bookmarkEnd w:id="417"/>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1"/>
        <w:keepNext/>
        <w:keepLines/>
        <w:widowControl w:val="0"/>
        <w:shd w:val="clear" w:color="auto" w:fill="auto"/>
        <w:tabs>
          <w:tab w:pos="378"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其他重大关联交易</w:t>
      </w:r>
      <w:bookmarkEnd w:id="418"/>
      <w:bookmarkEnd w:id="419"/>
      <w:bookmarkEnd w:id="421"/>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422" w:name="bookmark422"/>
      <w:bookmarkEnd w:id="42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十六、重大合同及其履行情况</w:t>
      </w:r>
      <w:bookmarkEnd w:id="423"/>
      <w:bookmarkEnd w:id="424"/>
      <w:bookmarkEnd w:id="425"/>
    </w:p>
    <w:p>
      <w:pPr>
        <w:pStyle w:val="Style21"/>
        <w:keepNext/>
        <w:keepLines/>
        <w:widowControl w:val="0"/>
        <w:shd w:val="clear" w:color="auto" w:fill="auto"/>
        <w:bidi w:val="0"/>
        <w:spacing w:before="0" w:after="3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、托管、承包、租赁事项情况</w:t>
      </w:r>
      <w:bookmarkEnd w:id="426"/>
      <w:bookmarkEnd w:id="427"/>
      <w:bookmarkEnd w:id="429"/>
    </w:p>
    <w:p>
      <w:pPr>
        <w:pStyle w:val="Style21"/>
        <w:keepNext/>
        <w:keepLines/>
        <w:widowControl w:val="0"/>
        <w:numPr>
          <w:ilvl w:val="0"/>
          <w:numId w:val="11"/>
        </w:numPr>
        <w:shd w:val="clear" w:color="auto" w:fill="auto"/>
        <w:tabs>
          <w:tab w:pos="488" w:val="left"/>
        </w:tabs>
        <w:bidi w:val="0"/>
        <w:spacing w:before="0" w:after="360" w:line="240" w:lineRule="auto"/>
        <w:ind w:left="0" w:right="0" w:firstLine="0"/>
        <w:jc w:val="left"/>
      </w:pPr>
      <w:bookmarkStart w:id="426" w:name="bookmark426"/>
      <w:bookmarkStart w:id="427" w:name="bookmark427"/>
      <w:bookmarkStart w:id="430" w:name="bookmark430"/>
      <w:bookmarkStart w:id="431" w:name="bookmark431"/>
      <w:bookmarkEnd w:id="430"/>
      <w:r>
        <w:rPr>
          <w:color w:val="000000"/>
          <w:spacing w:val="0"/>
          <w:w w:val="100"/>
          <w:position w:val="0"/>
        </w:rPr>
        <w:t>托管情况</w:t>
      </w:r>
      <w:bookmarkEnd w:id="426"/>
      <w:bookmarkEnd w:id="427"/>
      <w:bookmarkEnd w:id="431"/>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432" w:name="bookmark432"/>
      <w:bookmarkEnd w:id="43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1"/>
        <w:keepNext/>
        <w:keepLines/>
        <w:widowControl w:val="0"/>
        <w:numPr>
          <w:ilvl w:val="0"/>
          <w:numId w:val="11"/>
        </w:numPr>
        <w:shd w:val="clear" w:color="auto" w:fill="auto"/>
        <w:tabs>
          <w:tab w:pos="488"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bookmarkEnd w:id="435"/>
      <w:r>
        <w:rPr>
          <w:color w:val="000000"/>
          <w:spacing w:val="0"/>
          <w:w w:val="100"/>
          <w:position w:val="0"/>
        </w:rPr>
        <w:t>承包情况</w:t>
      </w:r>
      <w:bookmarkEnd w:id="433"/>
      <w:bookmarkEnd w:id="434"/>
      <w:bookmarkEnd w:id="436"/>
    </w:p>
    <w:p>
      <w:pPr>
        <w:pStyle w:val="Style9"/>
        <w:keepNext w:val="0"/>
        <w:keepLines w:val="0"/>
        <w:widowControl w:val="0"/>
        <w:numPr>
          <w:ilvl w:val="0"/>
          <w:numId w:val="9"/>
        </w:numPr>
        <w:shd w:val="clear" w:color="auto" w:fill="auto"/>
        <w:tabs>
          <w:tab w:pos="330" w:val="left"/>
        </w:tabs>
        <w:bidi w:val="0"/>
        <w:spacing w:before="0" w:after="160" w:line="240" w:lineRule="auto"/>
        <w:ind w:left="0" w:right="0" w:firstLine="0"/>
        <w:jc w:val="left"/>
      </w:pPr>
      <w:bookmarkStart w:id="437" w:name="bookmark437"/>
      <w:bookmarkEnd w:id="43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21"/>
        <w:keepNext/>
        <w:keepLines/>
        <w:widowControl w:val="0"/>
        <w:numPr>
          <w:ilvl w:val="0"/>
          <w:numId w:val="11"/>
        </w:numPr>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租赁情况</w:t>
      </w:r>
      <w:bookmarkEnd w:id="438"/>
      <w:bookmarkEnd w:id="439"/>
      <w:bookmarkEnd w:id="44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V </w:t>
      </w:r>
      <w:r>
        <w:rPr>
          <w:color w:val="000000"/>
          <w:spacing w:val="0"/>
          <w:w w:val="100"/>
          <w:position w:val="0"/>
        </w:rPr>
        <w:t>适用 □ 不适用</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租赁情况说明</w:t>
      </w:r>
    </w:p>
    <w:tbl>
      <w:tblPr>
        <w:tblOverlap w:val="never"/>
        <w:jc w:val="center"/>
        <w:tblLayout w:type="fixed"/>
      </w:tblPr>
      <w:tblGrid>
        <w:gridCol w:w="1565"/>
        <w:gridCol w:w="1176"/>
        <w:gridCol w:w="1325"/>
        <w:gridCol w:w="1291"/>
        <w:gridCol w:w="3182"/>
        <w:gridCol w:w="1171"/>
      </w:tblGrid>
      <w:tr>
        <w:trPr>
          <w:trHeight w:val="42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物业地址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租赁面积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签订日期</w:t>
            </w:r>
          </w:p>
        </w:tc>
      </w:tr>
      <w:tr>
        <w:trPr>
          <w:trHeight w:val="1387"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珠海市软件园路</w:t>
            </w:r>
            <w:r>
              <w:rPr>
                <w:color w:val="000000"/>
                <w:spacing w:val="0"/>
                <w:w w:val="100"/>
                <w:position w:val="0"/>
              </w:rPr>
              <w:t xml:space="preserve">1 </w:t>
            </w:r>
            <w:r>
              <w:rPr>
                <w:rFonts w:ascii="SimSun" w:eastAsia="SimSun" w:hAnsi="SimSun" w:cs="SimSun"/>
                <w:color w:val="000000"/>
                <w:spacing w:val="0"/>
                <w:w w:val="100"/>
                <w:position w:val="0"/>
              </w:rPr>
              <w:t>号会展中心</w:t>
            </w:r>
            <w:r>
              <w:rPr>
                <w:color w:val="000000"/>
                <w:spacing w:val="0"/>
                <w:w w:val="100"/>
                <w:position w:val="0"/>
              </w:rPr>
              <w:t>3#</w:t>
            </w:r>
            <w:r>
              <w:rPr>
                <w:rFonts w:ascii="SimSun" w:eastAsia="SimSun" w:hAnsi="SimSun" w:cs="SimSun"/>
                <w:color w:val="000000"/>
                <w:spacing w:val="0"/>
                <w:w w:val="100"/>
                <w:position w:val="0"/>
              </w:rPr>
              <w:t>第三 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3,789.83m</w:t>
            </w:r>
            <w:r>
              <w:rPr>
                <w:color w:val="000000"/>
                <w:spacing w:val="0"/>
                <w:w w:val="100"/>
                <w:position w:val="0"/>
                <w:vertAlign w:val="superscript"/>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珠海南方软件园</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2012/06/12</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2017/06/11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2012/06/12</w:t>
            </w:r>
            <w:r>
              <w:rPr>
                <w:rFonts w:ascii="SimSun" w:eastAsia="SimSun" w:hAnsi="SimSun" w:cs="SimSun"/>
                <w:color w:val="000000"/>
                <w:spacing w:val="0"/>
                <w:w w:val="100"/>
                <w:position w:val="0"/>
              </w:rPr>
              <w:t>至</w:t>
            </w:r>
            <w:r>
              <w:rPr>
                <w:color w:val="000000"/>
                <w:spacing w:val="0"/>
                <w:w w:val="100"/>
                <w:position w:val="0"/>
              </w:rPr>
              <w:t>2012/09/08</w:t>
            </w:r>
            <w:r>
              <w:rPr>
                <w:rFonts w:ascii="SimSun" w:eastAsia="SimSun" w:hAnsi="SimSun" w:cs="SimSun"/>
                <w:color w:val="000000"/>
                <w:spacing w:val="0"/>
                <w:w w:val="100"/>
                <w:position w:val="0"/>
              </w:rPr>
              <w:t>免收租金；</w:t>
            </w: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2012/09/09</w:t>
            </w:r>
            <w:r>
              <w:rPr>
                <w:rFonts w:ascii="SimSun" w:eastAsia="SimSun" w:hAnsi="SimSun" w:cs="SimSun"/>
                <w:color w:val="000000"/>
                <w:spacing w:val="0"/>
                <w:w w:val="100"/>
                <w:position w:val="0"/>
              </w:rPr>
              <w:t>至</w:t>
            </w:r>
            <w:r>
              <w:rPr>
                <w:color w:val="000000"/>
                <w:spacing w:val="0"/>
                <w:w w:val="100"/>
                <w:position w:val="0"/>
              </w:rPr>
              <w:t>2015/09/08</w:t>
            </w:r>
            <w:r>
              <w:rPr>
                <w:rFonts w:ascii="SimSun" w:eastAsia="SimSun" w:hAnsi="SimSun" w:cs="SimSun"/>
                <w:color w:val="000000"/>
                <w:spacing w:val="0"/>
                <w:w w:val="100"/>
                <w:position w:val="0"/>
              </w:rPr>
              <w:t xml:space="preserve">每月租金 </w:t>
            </w:r>
            <w:r>
              <w:rPr>
                <w:color w:val="000000"/>
                <w:spacing w:val="0"/>
                <w:w w:val="100"/>
                <w:position w:val="0"/>
              </w:rPr>
              <w:t>37,898.30</w:t>
            </w:r>
            <w:r>
              <w:rPr>
                <w:rFonts w:ascii="SimSun" w:eastAsia="SimSun" w:hAnsi="SimSun" w:cs="SimSun"/>
                <w:color w:val="000000"/>
                <w:spacing w:val="0"/>
                <w:w w:val="100"/>
                <w:position w:val="0"/>
              </w:rPr>
              <w:t xml:space="preserve">元； </w:t>
            </w:r>
            <w:r>
              <w:rPr>
                <w:color w:val="000000"/>
                <w:spacing w:val="0"/>
                <w:w w:val="100"/>
                <w:position w:val="0"/>
              </w:rPr>
              <w:t>2015/09/09</w:t>
            </w:r>
            <w:r>
              <w:rPr>
                <w:rFonts w:ascii="SimSun" w:eastAsia="SimSun" w:hAnsi="SimSun" w:cs="SimSun"/>
                <w:color w:val="000000"/>
                <w:spacing w:val="0"/>
                <w:w w:val="100"/>
                <w:position w:val="0"/>
              </w:rPr>
              <w:t>至</w:t>
            </w:r>
            <w:r>
              <w:rPr>
                <w:color w:val="000000"/>
                <w:spacing w:val="0"/>
                <w:w w:val="100"/>
                <w:position w:val="0"/>
              </w:rPr>
              <w:t>2017/06/11</w:t>
            </w:r>
            <w:r>
              <w:rPr>
                <w:rFonts w:ascii="SimSun" w:eastAsia="SimSun" w:hAnsi="SimSun" w:cs="SimSun"/>
                <w:color w:val="000000"/>
                <w:spacing w:val="0"/>
                <w:w w:val="100"/>
                <w:position w:val="0"/>
              </w:rPr>
              <w:t>每月租金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2012/06/12</w:t>
            </w:r>
          </w:p>
        </w:tc>
      </w:tr>
    </w:tbl>
    <w:tbl>
      <w:tblPr>
        <w:tblOverlap w:val="never"/>
        <w:jc w:val="center"/>
        <w:tblLayout w:type="fixed"/>
      </w:tblPr>
      <w:tblGrid>
        <w:gridCol w:w="1565"/>
        <w:gridCol w:w="1176"/>
        <w:gridCol w:w="1325"/>
        <w:gridCol w:w="1291"/>
        <w:gridCol w:w="3182"/>
        <w:gridCol w:w="1171"/>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20,931.81</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r>
      <w:tr>
        <w:trPr>
          <w:trHeight w:val="111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珠海市香洲区唐家 湾镇科技七路</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 xml:space="preserve">1 </w:t>
            </w:r>
            <w:r>
              <w:rPr>
                <w:rFonts w:ascii="SimSun" w:eastAsia="SimSun" w:hAnsi="SimSun" w:cs="SimSun"/>
                <w:color w:val="000000"/>
                <w:spacing w:val="0"/>
                <w:w w:val="100"/>
                <w:position w:val="0"/>
              </w:rPr>
              <w:t>栋厂房</w:t>
            </w:r>
            <w:r>
              <w:rPr>
                <w:color w:val="000000"/>
                <w:spacing w:val="0"/>
                <w:w w:val="100"/>
                <w:position w:val="0"/>
              </w:rPr>
              <w:t>401</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3,466.06m</w:t>
            </w:r>
            <w:r>
              <w:rPr>
                <w:color w:val="000000"/>
                <w:spacing w:val="0"/>
                <w:w w:val="100"/>
                <w:position w:val="0"/>
                <w:vertAlign w:val="superscript"/>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珠海中电科技产 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2015/04/16</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2017/04/15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每月租金及综合管理费合计</w:t>
            </w:r>
            <w:r>
              <w:rPr>
                <w:color w:val="000000"/>
                <w:spacing w:val="0"/>
                <w:w w:val="100"/>
                <w:position w:val="0"/>
              </w:rPr>
              <w:t>48,524.84</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2015/04/10</w:t>
            </w:r>
          </w:p>
        </w:tc>
      </w:tr>
      <w:tr>
        <w:trPr>
          <w:trHeight w:val="1133"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珠海市香洲区唐家 湾镇科技七路</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 xml:space="preserve">1 </w:t>
            </w:r>
            <w:r>
              <w:rPr>
                <w:rFonts w:ascii="SimSun" w:eastAsia="SimSun" w:hAnsi="SimSun" w:cs="SimSun"/>
                <w:color w:val="000000"/>
                <w:spacing w:val="0"/>
                <w:w w:val="100"/>
                <w:position w:val="0"/>
              </w:rPr>
              <w:t>栋厂房</w:t>
            </w:r>
            <w:r>
              <w:rPr>
                <w:color w:val="000000"/>
                <w:spacing w:val="0"/>
                <w:w w:val="100"/>
                <w:position w:val="0"/>
              </w:rPr>
              <w:t>301</w:t>
            </w:r>
            <w:r>
              <w:rPr>
                <w:rFonts w:ascii="SimSun" w:eastAsia="SimSun" w:hAnsi="SimSun" w:cs="SimSun"/>
                <w:color w:val="000000"/>
                <w:spacing w:val="0"/>
                <w:w w:val="100"/>
                <w:position w:val="0"/>
              </w:rPr>
              <w:t>单元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3,437.48m</w:t>
            </w:r>
            <w:r>
              <w:rPr>
                <w:color w:val="000000"/>
                <w:spacing w:val="0"/>
                <w:w w:val="100"/>
                <w:position w:val="0"/>
                <w:vertAlign w:val="superscript"/>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珠海中电科技产 业投资有限公司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2016/01/15</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每月租金及综合管理费合计</w:t>
            </w:r>
            <w:r>
              <w:rPr>
                <w:color w:val="000000"/>
                <w:spacing w:val="0"/>
                <w:w w:val="100"/>
                <w:position w:val="0"/>
              </w:rPr>
              <w:t>48,124.72</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2016/01/11</w:t>
            </w:r>
          </w:p>
        </w:tc>
      </w:tr>
    </w:tbl>
    <w:p>
      <w:pPr>
        <w:widowControl w:val="0"/>
        <w:spacing w:after="339" w:line="1" w:lineRule="exact"/>
      </w:pPr>
    </w:p>
    <w:p>
      <w:pPr>
        <w:pStyle w:val="Style21"/>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、重大担保</w:t>
      </w:r>
      <w:bookmarkEnd w:id="442"/>
      <w:bookmarkEnd w:id="443"/>
      <w:bookmarkEnd w:id="445"/>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公司报告期内不存在担保情况。</w:t>
      </w:r>
    </w:p>
    <w:p>
      <w:pPr>
        <w:pStyle w:val="Style21"/>
        <w:keepNext/>
        <w:keepLines/>
        <w:widowControl w:val="0"/>
        <w:shd w:val="clear" w:color="auto" w:fill="auto"/>
        <w:tabs>
          <w:tab w:pos="378" w:val="left"/>
        </w:tabs>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委托他人进行现金资产管理情况</w:t>
      </w:r>
      <w:bookmarkEnd w:id="446"/>
      <w:bookmarkEnd w:id="447"/>
      <w:bookmarkEnd w:id="449"/>
    </w:p>
    <w:p>
      <w:pPr>
        <w:pStyle w:val="Style21"/>
        <w:keepNext/>
        <w:keepLines/>
        <w:widowControl w:val="0"/>
        <w:shd w:val="clear" w:color="auto" w:fill="auto"/>
        <w:tabs>
          <w:tab w:pos="488" w:val="left"/>
        </w:tabs>
        <w:bidi w:val="0"/>
        <w:spacing w:before="0" w:after="260" w:line="240" w:lineRule="auto"/>
        <w:ind w:left="0" w:right="0" w:firstLine="0"/>
        <w:jc w:val="left"/>
      </w:pPr>
      <w:bookmarkStart w:id="446" w:name="bookmark446"/>
      <w:bookmarkStart w:id="447" w:name="bookmark447"/>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6"/>
      <w:bookmarkEnd w:id="447"/>
      <w:bookmarkEnd w:id="451"/>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公司报告期内不存在委托理财。</w:t>
      </w:r>
    </w:p>
    <w:p>
      <w:pPr>
        <w:pStyle w:val="Style21"/>
        <w:keepNext/>
        <w:keepLines/>
        <w:widowControl w:val="0"/>
        <w:shd w:val="clear" w:color="auto" w:fill="auto"/>
        <w:tabs>
          <w:tab w:pos="488"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52"/>
      <w:bookmarkEnd w:id="453"/>
      <w:bookmarkEnd w:id="455"/>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公司报告期内不存在委托贷款。</w:t>
      </w:r>
    </w:p>
    <w:p>
      <w:pPr>
        <w:pStyle w:val="Style21"/>
        <w:keepNext/>
        <w:keepLines/>
        <w:widowControl w:val="0"/>
        <w:shd w:val="clear" w:color="auto" w:fill="auto"/>
        <w:tabs>
          <w:tab w:pos="37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4</w:t>
      </w:r>
      <w:bookmarkEnd w:id="458"/>
      <w:r>
        <w:rPr>
          <w:color w:val="000000"/>
          <w:spacing w:val="0"/>
          <w:w w:val="100"/>
          <w:position w:val="0"/>
        </w:rPr>
        <w:t>、</w:t>
        <w:tab/>
        <w:t>其他重大合同</w:t>
      </w:r>
      <w:bookmarkEnd w:id="456"/>
      <w:bookmarkEnd w:id="457"/>
      <w:bookmarkEnd w:id="459"/>
    </w:p>
    <w:p>
      <w:pPr>
        <w:pStyle w:val="Style9"/>
        <w:keepNext w:val="0"/>
        <w:keepLines w:val="0"/>
        <w:widowControl w:val="0"/>
        <w:numPr>
          <w:ilvl w:val="0"/>
          <w:numId w:val="9"/>
        </w:numPr>
        <w:shd w:val="clear" w:color="auto" w:fill="auto"/>
        <w:tabs>
          <w:tab w:pos="330" w:val="left"/>
        </w:tabs>
        <w:bidi w:val="0"/>
        <w:spacing w:before="0" w:after="40" w:line="312" w:lineRule="exact"/>
        <w:ind w:left="0" w:right="0" w:firstLine="0"/>
        <w:jc w:val="left"/>
      </w:pPr>
      <w:bookmarkStart w:id="460" w:name="bookmark460"/>
      <w:bookmarkEnd w:id="46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公司报告期内不存在其他重大合同。</w:t>
      </w:r>
    </w:p>
    <w:p>
      <w:pPr>
        <w:pStyle w:val="Style19"/>
        <w:keepNext/>
        <w:keepLines/>
        <w:widowControl w:val="0"/>
        <w:shd w:val="clear" w:color="auto" w:fill="auto"/>
        <w:bidi w:val="0"/>
        <w:spacing w:before="0" w:after="34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十七、社会责任情况</w:t>
      </w:r>
      <w:bookmarkEnd w:id="461"/>
      <w:bookmarkEnd w:id="462"/>
      <w:bookmarkEnd w:id="463"/>
    </w:p>
    <w:p>
      <w:pPr>
        <w:pStyle w:val="Style21"/>
        <w:keepNext/>
        <w:keepLines/>
        <w:widowControl w:val="0"/>
        <w:shd w:val="clear" w:color="auto" w:fill="auto"/>
        <w:tabs>
          <w:tab w:pos="368"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w:t>
        <w:tab/>
        <w:t>履行精准扶贫社会责任情况</w:t>
      </w:r>
      <w:bookmarkEnd w:id="464"/>
      <w:bookmarkEnd w:id="465"/>
      <w:bookmarkEnd w:id="467"/>
    </w:p>
    <w:p>
      <w:pPr>
        <w:pStyle w:val="Style9"/>
        <w:keepNext w:val="0"/>
        <w:keepLines w:val="0"/>
        <w:widowControl w:val="0"/>
        <w:numPr>
          <w:ilvl w:val="0"/>
          <w:numId w:val="9"/>
        </w:numPr>
        <w:shd w:val="clear" w:color="auto" w:fill="auto"/>
        <w:tabs>
          <w:tab w:pos="330" w:val="left"/>
        </w:tabs>
        <w:bidi w:val="0"/>
        <w:spacing w:before="0" w:after="340" w:line="312" w:lineRule="exact"/>
        <w:ind w:left="0" w:right="0" w:firstLine="0"/>
        <w:jc w:val="left"/>
      </w:pPr>
      <w:bookmarkStart w:id="468" w:name="bookmark468"/>
      <w:bookmarkEnd w:id="468"/>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26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履行其他社会责任的情况</w:t>
      </w:r>
      <w:bookmarkEnd w:id="469"/>
      <w:bookmarkEnd w:id="470"/>
      <w:bookmarkEnd w:id="472"/>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公司积极履行企业公民应尽的义务，承担社会责任。公司在不断为股东创造价值的同时，也积极承担对职工、客户、社会等 其他利益相关者的责任。</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公司严格按照《公司法》、《深圳证券交易所创业板股票上市规则》、《上市公司信息披露管理办法》等相关法律法规的要求， 及时、准确、真实、完整地进行信息披露，通过投资者电话、电子邮箱、公司网站和投资者关系互动平台等多种方式与投资 者进行沟通交流，提高了公司的透明度和诚信度。公司非常重视对投资者的合理回报，制定了相对稳定的利润分配政策和分 </w:t>
      </w:r>
      <w:r>
        <w:rPr>
          <w:color w:val="000000"/>
          <w:spacing w:val="0"/>
          <w:w w:val="100"/>
          <w:position w:val="0"/>
        </w:rPr>
        <w:t>红方案以回报股东。</w:t>
      </w:r>
    </w:p>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公司一直坚持以人为本的人才理念，实施企业人才战略，严格遵守《劳动法》、《劳动合同法》等相关法律法规，尊重和维护 员工的个人权益，切实关注员工健康、安全和满意度；通过知识技能的理论培训及实践操作技能培训等方式使员工得到切实 的提高和发展，维护员工权益。</w:t>
      </w:r>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公司始终将依法经营作为公司运行的基本原则，注重企业经济效益与社会效益的同步共赢。公司严格遵守国家法律、法规、 政策的规定，始终依法经营，积极纳税，发展就业岗位，支持地方经济的发展；同时，公司成立了汇金慈善基金会、“换换 爱”超市等，积极投身社会公益事业。</w:t>
      </w:r>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上市公司及其子公司是否属于环境保护部门公布的重点排污单位</w:t>
      </w:r>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口是□否/不适用</w:t>
      </w:r>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是否发布社会责任报告</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口是/否</w:t>
      </w:r>
    </w:p>
    <w:p>
      <w:pPr>
        <w:pStyle w:val="Style19"/>
        <w:keepNext/>
        <w:keepLines/>
        <w:widowControl w:val="0"/>
        <w:shd w:val="clear" w:color="auto" w:fill="auto"/>
        <w:bidi w:val="0"/>
        <w:spacing w:before="0" w:after="24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十八、其他重大事项的说明</w:t>
      </w:r>
      <w:bookmarkEnd w:id="473"/>
      <w:bookmarkEnd w:id="474"/>
      <w:bookmarkEnd w:id="475"/>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公司报告期不存在需要说明的其他重大事项。</w:t>
      </w:r>
    </w:p>
    <w:p>
      <w:pPr>
        <w:pStyle w:val="Style19"/>
        <w:keepNext/>
        <w:keepLines/>
        <w:widowControl w:val="0"/>
        <w:shd w:val="clear" w:color="auto" w:fill="auto"/>
        <w:bidi w:val="0"/>
        <w:spacing w:before="0" w:after="24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十九、公司子公司重大事项</w:t>
      </w:r>
      <w:bookmarkEnd w:id="476"/>
      <w:bookmarkEnd w:id="477"/>
      <w:bookmarkEnd w:id="478"/>
    </w:p>
    <w:p>
      <w:pPr>
        <w:pStyle w:val="Style9"/>
        <w:keepNext w:val="0"/>
        <w:keepLines w:val="0"/>
        <w:widowControl w:val="0"/>
        <w:shd w:val="clear" w:color="auto" w:fill="auto"/>
        <w:bidi w:val="0"/>
        <w:spacing w:before="0" w:after="140" w:line="313" w:lineRule="exact"/>
        <w:ind w:left="0" w:right="0" w:firstLine="0"/>
        <w:jc w:val="left"/>
        <w:sectPr>
          <w:footnotePr>
            <w:pos w:val="pageBottom"/>
            <w:numFmt w:val="decimal"/>
            <w:numRestart w:val="continuous"/>
          </w:footnotePr>
          <w:pgSz w:w="11900" w:h="16840"/>
          <w:pgMar w:top="1378" w:right="1039" w:bottom="1474" w:left="108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540" w:after="520" w:line="240" w:lineRule="auto"/>
        <w:ind w:left="0" w:right="0" w:firstLine="0"/>
        <w:jc w:val="center"/>
      </w:pPr>
      <w:bookmarkStart w:id="479" w:name="bookmark479"/>
      <w:bookmarkStart w:id="480" w:name="bookmark480"/>
      <w:bookmarkStart w:id="481" w:name="bookmark481"/>
      <w:r>
        <w:rPr>
          <w:color w:val="000000"/>
          <w:spacing w:val="0"/>
          <w:w w:val="100"/>
          <w:position w:val="0"/>
        </w:rPr>
        <w:t>第六节股份变动及股东情况</w:t>
      </w:r>
      <w:bookmarkEnd w:id="479"/>
      <w:bookmarkEnd w:id="480"/>
      <w:bookmarkEnd w:id="481"/>
    </w:p>
    <w:p>
      <w:pPr>
        <w:pStyle w:val="Style19"/>
        <w:keepNext/>
        <w:keepLines/>
        <w:widowControl w:val="0"/>
        <w:shd w:val="clear" w:color="auto" w:fill="auto"/>
        <w:bidi w:val="0"/>
        <w:spacing w:before="0" w:after="340" w:line="240" w:lineRule="auto"/>
        <w:ind w:left="0" w:right="0" w:firstLine="0"/>
        <w:jc w:val="both"/>
      </w:pPr>
      <w:bookmarkStart w:id="482" w:name="bookmark482"/>
      <w:bookmarkStart w:id="483" w:name="bookmark483"/>
      <w:bookmarkStart w:id="484" w:name="bookmark484"/>
      <w:bookmarkStart w:id="485" w:name="bookmark485"/>
      <w:r>
        <w:rPr>
          <w:color w:val="000000"/>
          <w:spacing w:val="0"/>
          <w:w w:val="100"/>
          <w:position w:val="0"/>
          <w:sz w:val="24"/>
          <w:szCs w:val="24"/>
        </w:rPr>
        <w:t>一</w:t>
      </w:r>
      <w:bookmarkEnd w:id="484"/>
      <w:r>
        <w:rPr>
          <w:color w:val="000000"/>
          <w:spacing w:val="0"/>
          <w:w w:val="100"/>
          <w:position w:val="0"/>
          <w:sz w:val="24"/>
          <w:szCs w:val="24"/>
        </w:rPr>
        <w:t>、股份变动情况</w:t>
      </w:r>
      <w:bookmarkEnd w:id="482"/>
      <w:bookmarkEnd w:id="483"/>
      <w:bookmarkEnd w:id="485"/>
    </w:p>
    <w:p>
      <w:pPr>
        <w:pStyle w:val="Style21"/>
        <w:keepNext/>
        <w:keepLines/>
        <w:widowControl w:val="0"/>
        <w:shd w:val="clear" w:color="auto" w:fill="auto"/>
        <w:bidi w:val="0"/>
        <w:spacing w:before="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、股份变动情况</w:t>
      </w:r>
      <w:bookmarkEnd w:id="486"/>
      <w:bookmarkEnd w:id="487"/>
      <w:bookmarkEnd w:id="4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10"/>
        <w:gridCol w:w="989"/>
        <w:gridCol w:w="854"/>
        <w:gridCol w:w="946"/>
        <w:gridCol w:w="614"/>
        <w:gridCol w:w="989"/>
        <w:gridCol w:w="566"/>
        <w:gridCol w:w="994"/>
        <w:gridCol w:w="92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 ,―）</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日签发的证监发行字</w:t>
      </w:r>
      <w:r>
        <w:rPr>
          <w:rFonts w:ascii="Times New Roman" w:eastAsia="Times New Roman" w:hAnsi="Times New Roman" w:cs="Times New Roman"/>
          <w:color w:val="000000"/>
          <w:spacing w:val="0"/>
          <w:w w:val="100"/>
          <w:position w:val="0"/>
        </w:rPr>
        <w:t>[2016]2434</w:t>
      </w:r>
      <w:r>
        <w:rPr>
          <w:color w:val="000000"/>
          <w:spacing w:val="0"/>
          <w:w w:val="100"/>
          <w:position w:val="0"/>
        </w:rPr>
        <w:t>号文《关于核准珠海汇金科技股份有限公 司首次公开发行股票的批复》，公司获准向社会公开发行人民币普通股</w:t>
      </w:r>
      <w:r>
        <w:rPr>
          <w:rFonts w:ascii="Times New Roman" w:eastAsia="Times New Roman" w:hAnsi="Times New Roman" w:cs="Times New Roman"/>
          <w:color w:val="000000"/>
          <w:spacing w:val="0"/>
          <w:w w:val="100"/>
          <w:position w:val="0"/>
        </w:rPr>
        <w:t>1,400</w:t>
      </w:r>
      <w:r>
        <w:rPr>
          <w:color w:val="000000"/>
          <w:spacing w:val="0"/>
          <w:w w:val="100"/>
          <w:position w:val="0"/>
        </w:rPr>
        <w:t>万股，公司首次公开发行的</w:t>
      </w:r>
      <w:r>
        <w:rPr>
          <w:rFonts w:ascii="Times New Roman" w:eastAsia="Times New Roman" w:hAnsi="Times New Roman" w:cs="Times New Roman"/>
          <w:color w:val="000000"/>
          <w:spacing w:val="0"/>
          <w:w w:val="100"/>
          <w:position w:val="0"/>
        </w:rPr>
        <w:t>1,400</w:t>
      </w:r>
      <w:r>
        <w:rPr>
          <w:color w:val="000000"/>
          <w:spacing w:val="0"/>
          <w:w w:val="100"/>
          <w:position w:val="0"/>
        </w:rPr>
        <w:t>万股人民币普通 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日在深圳证券交易所创业板上市交易。首次公开发行后，公司总股本由</w:t>
      </w:r>
      <w:r>
        <w:rPr>
          <w:rFonts w:ascii="Times New Roman" w:eastAsia="Times New Roman" w:hAnsi="Times New Roman" w:cs="Times New Roman"/>
          <w:color w:val="000000"/>
          <w:spacing w:val="0"/>
          <w:w w:val="100"/>
          <w:position w:val="0"/>
        </w:rPr>
        <w:t>4,200</w:t>
      </w:r>
      <w:r>
        <w:rPr>
          <w:color w:val="000000"/>
          <w:spacing w:val="0"/>
          <w:w w:val="100"/>
          <w:position w:val="0"/>
        </w:rPr>
        <w:t>万股增加至</w:t>
      </w:r>
      <w:r>
        <w:rPr>
          <w:rFonts w:ascii="Times New Roman" w:eastAsia="Times New Roman" w:hAnsi="Times New Roman" w:cs="Times New Roman"/>
          <w:color w:val="000000"/>
          <w:spacing w:val="0"/>
          <w:w w:val="100"/>
          <w:position w:val="0"/>
        </w:rPr>
        <w:t xml:space="preserve">5,600 </w:t>
      </w:r>
      <w:r>
        <w:rPr>
          <w:color w:val="000000"/>
          <w:spacing w:val="0"/>
          <w:w w:val="100"/>
          <w:position w:val="0"/>
        </w:rPr>
        <w:t>万股，注册资本由人民币</w:t>
      </w:r>
      <w:r>
        <w:rPr>
          <w:rFonts w:ascii="Times New Roman" w:eastAsia="Times New Roman" w:hAnsi="Times New Roman" w:cs="Times New Roman"/>
          <w:color w:val="000000"/>
          <w:spacing w:val="0"/>
          <w:w w:val="100"/>
          <w:position w:val="0"/>
        </w:rPr>
        <w:t>4,200</w:t>
      </w:r>
      <w:r>
        <w:rPr>
          <w:color w:val="000000"/>
          <w:spacing w:val="0"/>
          <w:w w:val="100"/>
          <w:position w:val="0"/>
        </w:rPr>
        <w:t>万元增加至</w:t>
      </w:r>
      <w:r>
        <w:rPr>
          <w:rFonts w:ascii="Times New Roman" w:eastAsia="Times New Roman" w:hAnsi="Times New Roman" w:cs="Times New Roman"/>
          <w:color w:val="000000"/>
          <w:spacing w:val="0"/>
          <w:w w:val="100"/>
          <w:position w:val="0"/>
        </w:rPr>
        <w:t>5,600</w:t>
      </w:r>
      <w:r>
        <w:rPr>
          <w:color w:val="000000"/>
          <w:spacing w:val="0"/>
          <w:w w:val="100"/>
          <w:position w:val="0"/>
        </w:rPr>
        <w:t>万元。</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2434</w:t>
      </w:r>
      <w:r>
        <w:rPr>
          <w:color w:val="000000"/>
          <w:spacing w:val="0"/>
          <w:w w:val="100"/>
          <w:position w:val="0"/>
        </w:rPr>
        <w:t>号文核准，本公司公开发行不超过</w:t>
      </w:r>
      <w:r>
        <w:rPr>
          <w:rFonts w:ascii="Times New Roman" w:eastAsia="Times New Roman" w:hAnsi="Times New Roman" w:cs="Times New Roman"/>
          <w:color w:val="000000"/>
          <w:spacing w:val="0"/>
          <w:w w:val="100"/>
          <w:position w:val="0"/>
        </w:rPr>
        <w:t>1,400</w:t>
      </w:r>
      <w:r>
        <w:rPr>
          <w:color w:val="000000"/>
          <w:spacing w:val="0"/>
          <w:w w:val="100"/>
          <w:position w:val="0"/>
        </w:rPr>
        <w:t>万股人民币普通股，本次发 行不涉及发行人原有股东公开发售股票。本次发行采用网上按市值申购向公众投资者直接定价的方式，网上发行数量</w:t>
      </w:r>
      <w:r>
        <w:rPr>
          <w:rFonts w:ascii="Times New Roman" w:eastAsia="Times New Roman" w:hAnsi="Times New Roman" w:cs="Times New Roman"/>
          <w:color w:val="000000"/>
          <w:spacing w:val="0"/>
          <w:w w:val="100"/>
          <w:position w:val="0"/>
        </w:rPr>
        <w:t xml:space="preserve">1,400 </w:t>
      </w:r>
      <w:r>
        <w:rPr>
          <w:color w:val="000000"/>
          <w:spacing w:val="0"/>
          <w:w w:val="100"/>
          <w:position w:val="0"/>
        </w:rPr>
        <w:t>万股，发行价格为</w:t>
      </w:r>
      <w:r>
        <w:rPr>
          <w:rFonts w:ascii="Times New Roman" w:eastAsia="Times New Roman" w:hAnsi="Times New Roman" w:cs="Times New Roman"/>
          <w:color w:val="000000"/>
          <w:spacing w:val="0"/>
          <w:w w:val="100"/>
          <w:position w:val="0"/>
        </w:rPr>
        <w:t>26.11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经深圳证券交易所《关于珠海汇金科技股份有限公司人民币普通股股票在创业板上市的通知》（深证上【</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807</w:t>
      </w:r>
      <w:r>
        <w:rPr>
          <w:color w:val="000000"/>
          <w:spacing w:val="0"/>
          <w:w w:val="100"/>
          <w:position w:val="0"/>
        </w:rPr>
        <w:t>号） 同意，公司发行的人民币普通股股票在深圳证券交易所创业板上市，股票简称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汇金科技</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“300561”</w:t>
      </w:r>
      <w:r>
        <w:rPr>
          <w:color w:val="000000"/>
          <w:spacing w:val="0"/>
          <w:w w:val="100"/>
          <w:position w:val="0"/>
        </w:rPr>
        <w:t>；本次公开发 行的</w:t>
      </w:r>
      <w:r>
        <w:rPr>
          <w:rFonts w:ascii="Times New Roman" w:eastAsia="Times New Roman" w:hAnsi="Times New Roman" w:cs="Times New Roman"/>
          <w:color w:val="000000"/>
          <w:spacing w:val="0"/>
          <w:w w:val="100"/>
          <w:position w:val="0"/>
        </w:rPr>
        <w:t>1,400</w:t>
      </w:r>
      <w:r>
        <w:rPr>
          <w:color w:val="000000"/>
          <w:spacing w:val="0"/>
          <w:w w:val="100"/>
          <w:position w:val="0"/>
        </w:rPr>
        <w:t>万股股票已于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日起上市交易。</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报告期内，公司首次公开发行的</w:t>
      </w:r>
      <w:r>
        <w:rPr>
          <w:rFonts w:ascii="Times New Roman" w:eastAsia="Times New Roman" w:hAnsi="Times New Roman" w:cs="Times New Roman"/>
          <w:color w:val="000000"/>
          <w:spacing w:val="0"/>
          <w:w w:val="100"/>
          <w:position w:val="0"/>
        </w:rPr>
        <w:t>1,400</w:t>
      </w:r>
      <w:r>
        <w:rPr>
          <w:color w:val="000000"/>
          <w:spacing w:val="0"/>
          <w:w w:val="100"/>
          <w:position w:val="0"/>
        </w:rPr>
        <w:t>万股新股股票已全部在中国证券登记结算有限责任公司深圳分公司办理了证券登 记手续。</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月公开发行新股，总股本由</w:t>
      </w:r>
      <w:r>
        <w:rPr>
          <w:rFonts w:ascii="Times New Roman" w:eastAsia="Times New Roman" w:hAnsi="Times New Roman" w:cs="Times New Roman"/>
          <w:color w:val="000000"/>
          <w:spacing w:val="0"/>
          <w:w w:val="100"/>
          <w:position w:val="0"/>
        </w:rPr>
        <w:t>4,200</w:t>
      </w:r>
      <w:r>
        <w:rPr>
          <w:color w:val="000000"/>
          <w:spacing w:val="0"/>
          <w:w w:val="100"/>
          <w:position w:val="0"/>
        </w:rPr>
        <w:t>万股增加至</w:t>
      </w:r>
      <w:r>
        <w:rPr>
          <w:rFonts w:ascii="Times New Roman" w:eastAsia="Times New Roman" w:hAnsi="Times New Roman" w:cs="Times New Roman"/>
          <w:color w:val="000000"/>
          <w:spacing w:val="0"/>
          <w:w w:val="100"/>
          <w:position w:val="0"/>
        </w:rPr>
        <w:t>5,600</w:t>
      </w:r>
      <w:r>
        <w:rPr>
          <w:color w:val="000000"/>
          <w:spacing w:val="0"/>
          <w:w w:val="100"/>
          <w:position w:val="0"/>
        </w:rPr>
        <w:t xml:space="preserve">万股。本次股份变动，对公司最近一年和 最近一期基本每股收益和稀释每股收益、归属于公司普通股股东的每股净资产等财务指标的影响如下：报告期内公司基本每 </w:t>
      </w:r>
      <w:r>
        <w:rPr>
          <w:color w:val="000000"/>
          <w:spacing w:val="0"/>
          <w:w w:val="100"/>
          <w:position w:val="0"/>
        </w:rPr>
        <w:t>股收益为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股，同比增长</w:t>
      </w:r>
      <w:r>
        <w:rPr>
          <w:rFonts w:ascii="Times New Roman" w:eastAsia="Times New Roman" w:hAnsi="Times New Roman" w:cs="Times New Roman"/>
          <w:color w:val="000000"/>
          <w:spacing w:val="0"/>
          <w:w w:val="100"/>
          <w:position w:val="0"/>
        </w:rPr>
        <w:t>8.28%</w:t>
      </w:r>
      <w:r>
        <w:rPr>
          <w:color w:val="000000"/>
          <w:spacing w:val="0"/>
          <w:w w:val="100"/>
          <w:position w:val="0"/>
        </w:rPr>
        <w:t>；稀释每股收益为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股，同比增长</w:t>
      </w:r>
      <w:r>
        <w:rPr>
          <w:rFonts w:ascii="Times New Roman" w:eastAsia="Times New Roman" w:hAnsi="Times New Roman" w:cs="Times New Roman"/>
          <w:color w:val="000000"/>
          <w:spacing w:val="0"/>
          <w:w w:val="100"/>
          <w:position w:val="0"/>
        </w:rPr>
        <w:t>8.28%</w:t>
      </w:r>
      <w:r>
        <w:rPr>
          <w:color w:val="000000"/>
          <w:spacing w:val="0"/>
          <w:w w:val="100"/>
          <w:position w:val="0"/>
        </w:rPr>
        <w:t>。报告期归属于上市公司股东的每股净资 产为</w:t>
      </w:r>
      <w:r>
        <w:rPr>
          <w:rFonts w:ascii="Times New Roman" w:eastAsia="Times New Roman" w:hAnsi="Times New Roman" w:cs="Times New Roman"/>
          <w:color w:val="000000"/>
          <w:spacing w:val="0"/>
          <w:w w:val="100"/>
          <w:position w:val="0"/>
        </w:rPr>
        <w:t>1L08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股，同比增长</w:t>
      </w:r>
      <w:r>
        <w:rPr>
          <w:rFonts w:ascii="Times New Roman" w:eastAsia="Times New Roman" w:hAnsi="Times New Roman" w:cs="Times New Roman"/>
          <w:color w:val="000000"/>
          <w:spacing w:val="0"/>
          <w:w w:val="100"/>
          <w:position w:val="0"/>
        </w:rPr>
        <w:t>96.44%</w:t>
      </w:r>
      <w:r>
        <w:rPr>
          <w:color w:val="000000"/>
          <w:spacing w:val="0"/>
          <w:w w:val="100"/>
          <w:position w:val="0"/>
        </w:rPr>
        <w:t>，主要系报告期内公司发行新股净资产大幅增加所致。</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公司认为必要或证券监管机构要求披露的其他内容</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、限售股份变动情况</w:t>
      </w:r>
      <w:bookmarkEnd w:id="490"/>
      <w:bookmarkEnd w:id="491"/>
      <w:bookmarkEnd w:id="493"/>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二</w:t>
      </w:r>
      <w:bookmarkEnd w:id="496"/>
      <w:r>
        <w:rPr>
          <w:color w:val="000000"/>
          <w:spacing w:val="0"/>
          <w:w w:val="100"/>
          <w:position w:val="0"/>
          <w:sz w:val="24"/>
          <w:szCs w:val="24"/>
        </w:rPr>
        <w:t>、</w:t>
        <w:tab/>
        <w:t>证券发行与上市情况</w:t>
      </w:r>
      <w:bookmarkEnd w:id="494"/>
      <w:bookmarkEnd w:id="495"/>
      <w:bookmarkEnd w:id="497"/>
    </w:p>
    <w:p>
      <w:pPr>
        <w:pStyle w:val="Style21"/>
        <w:keepNext/>
        <w:keepLines/>
        <w:widowControl w:val="0"/>
        <w:shd w:val="clear" w:color="auto" w:fill="auto"/>
        <w:tabs>
          <w:tab w:pos="382" w:val="left"/>
        </w:tabs>
        <w:bidi w:val="0"/>
        <w:spacing w:before="0" w:after="2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w:t>
        <w:tab/>
        <w:t>报告期内证券发行（不含优先股）情况</w:t>
      </w:r>
      <w:bookmarkEnd w:id="498"/>
      <w:bookmarkEnd w:id="499"/>
      <w:bookmarkEnd w:id="501"/>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82" w:val="left"/>
        </w:tabs>
        <w:bidi w:val="0"/>
        <w:spacing w:before="0" w:after="2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公司股份总数及股东结构的变动、公司资产和负债结构的变动情况说明</w:t>
      </w:r>
      <w:bookmarkEnd w:id="502"/>
      <w:bookmarkEnd w:id="503"/>
      <w:bookmarkEnd w:id="505"/>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V </w:t>
      </w:r>
      <w:r>
        <w:rPr>
          <w:color w:val="000000"/>
          <w:spacing w:val="0"/>
          <w:w w:val="100"/>
          <w:position w:val="0"/>
        </w:rPr>
        <w:t>适用 □ 不适用</w:t>
      </w:r>
    </w:p>
    <w:p>
      <w:pPr>
        <w:pStyle w:val="Style9"/>
        <w:keepNext w:val="0"/>
        <w:keepLines w:val="0"/>
        <w:widowControl w:val="0"/>
        <w:shd w:val="clear" w:color="auto" w:fill="auto"/>
        <w:bidi w:val="0"/>
        <w:spacing w:before="0" w:after="360" w:line="312" w:lineRule="exact"/>
        <w:ind w:left="0" w:right="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[2016]2434</w:t>
      </w:r>
      <w:r>
        <w:rPr>
          <w:color w:val="000000"/>
          <w:spacing w:val="0"/>
          <w:w w:val="100"/>
          <w:position w:val="0"/>
        </w:rPr>
        <w:t>号文《关于核准珠海汇金科技股份有限公司首次公开发行股票的批 复》，本次发行总量为</w:t>
      </w:r>
      <w:r>
        <w:rPr>
          <w:rFonts w:ascii="Times New Roman" w:eastAsia="Times New Roman" w:hAnsi="Times New Roman" w:cs="Times New Roman"/>
          <w:color w:val="000000"/>
          <w:spacing w:val="0"/>
          <w:w w:val="100"/>
          <w:position w:val="0"/>
        </w:rPr>
        <w:t>1,400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26.11</w:t>
      </w:r>
      <w:r>
        <w:rPr>
          <w:color w:val="000000"/>
          <w:spacing w:val="0"/>
          <w:w w:val="100"/>
          <w:position w:val="0"/>
        </w:rPr>
        <w:t>元，募集资金净额人民币</w:t>
      </w:r>
      <w:r>
        <w:rPr>
          <w:rFonts w:ascii="Times New Roman" w:eastAsia="Times New Roman" w:hAnsi="Times New Roman" w:cs="Times New Roman"/>
          <w:color w:val="000000"/>
          <w:spacing w:val="0"/>
          <w:w w:val="100"/>
          <w:position w:val="0"/>
        </w:rPr>
        <w:t xml:space="preserve">332,966,137.48 </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14,000,000.00</w:t>
      </w:r>
      <w:r>
        <w:rPr>
          <w:color w:val="000000"/>
          <w:spacing w:val="0"/>
          <w:w w:val="100"/>
          <w:position w:val="0"/>
        </w:rPr>
        <w:t>元，余额计人民币</w:t>
      </w:r>
      <w:r>
        <w:rPr>
          <w:rFonts w:ascii="Times New Roman" w:eastAsia="Times New Roman" w:hAnsi="Times New Roman" w:cs="Times New Roman"/>
          <w:color w:val="000000"/>
          <w:spacing w:val="0"/>
          <w:w w:val="100"/>
          <w:position w:val="0"/>
        </w:rPr>
        <w:t>318,966,137.48</w:t>
      </w:r>
      <w:r>
        <w:rPr>
          <w:color w:val="000000"/>
          <w:spacing w:val="0"/>
          <w:w w:val="100"/>
          <w:position w:val="0"/>
        </w:rPr>
        <w:t>元转入资本公积。</w:t>
      </w:r>
    </w:p>
    <w:p>
      <w:pPr>
        <w:pStyle w:val="Style21"/>
        <w:keepNext/>
        <w:keepLines/>
        <w:widowControl w:val="0"/>
        <w:shd w:val="clear" w:color="auto" w:fill="auto"/>
        <w:tabs>
          <w:tab w:pos="382"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现存的内部职工股情况</w:t>
      </w:r>
      <w:bookmarkEnd w:id="506"/>
      <w:bookmarkEnd w:id="507"/>
      <w:bookmarkEnd w:id="509"/>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三</w:t>
      </w:r>
      <w:bookmarkEnd w:id="512"/>
      <w:r>
        <w:rPr>
          <w:color w:val="000000"/>
          <w:spacing w:val="0"/>
          <w:w w:val="100"/>
          <w:position w:val="0"/>
          <w:sz w:val="24"/>
          <w:szCs w:val="24"/>
        </w:rPr>
        <w:t>、</w:t>
        <w:tab/>
        <w:t>股东和实际控制人情况</w:t>
      </w:r>
      <w:bookmarkEnd w:id="510"/>
      <w:bookmarkEnd w:id="511"/>
      <w:bookmarkEnd w:id="513"/>
    </w:p>
    <w:p>
      <w:pPr>
        <w:pStyle w:val="Style21"/>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、公司股东数量及持股情况</w:t>
      </w:r>
      <w:bookmarkEnd w:id="514"/>
      <w:bookmarkEnd w:id="515"/>
      <w:bookmarkEnd w:id="5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49"/>
        <w:gridCol w:w="1128"/>
        <w:gridCol w:w="974"/>
        <w:gridCol w:w="384"/>
        <w:gridCol w:w="610"/>
        <w:gridCol w:w="456"/>
        <w:gridCol w:w="538"/>
        <w:gridCol w:w="787"/>
        <w:gridCol w:w="202"/>
        <w:gridCol w:w="864"/>
      </w:tblGrid>
      <w:tr>
        <w:trPr>
          <w:trHeight w:val="165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报告期末普通股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13,774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13,774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报告期末表决权 恢复的优先股股 东总数（如有）</w:t>
            </w:r>
          </w:p>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持有有限售</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0" w:firstLine="300"/>
              <w:jc w:val="left"/>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持有无限售 条件的股份 数量</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21,450,000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13,533,000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13,533,000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1070"/>
        <w:gridCol w:w="994"/>
        <w:gridCol w:w="994"/>
        <w:gridCol w:w="144"/>
        <w:gridCol w:w="850"/>
        <w:gridCol w:w="499"/>
        <w:gridCol w:w="490"/>
        <w:gridCol w:w="864"/>
      </w:tblGrid>
      <w:tr>
        <w:trPr>
          <w:trHeight w:val="10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苏州衡赢真盛创 业投资中心（有限 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珠海瑞信投资管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梁铁民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中国工商银行股 份有限公司一金 鹰核心资源混合 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宋昌林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王永健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161,960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战略投资者或一般法人因配售新股 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4</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公司控股股东、实际控制人陈喆持有珠海瑞信投资管理有限公司</w:t>
            </w:r>
            <w:r>
              <w:rPr>
                <w:color w:val="000000"/>
                <w:spacing w:val="0"/>
                <w:w w:val="100"/>
                <w:position w:val="0"/>
              </w:rPr>
              <w:t>65.13%</w:t>
            </w:r>
            <w:r>
              <w:rPr>
                <w:rFonts w:ascii="SimSun" w:eastAsia="SimSun" w:hAnsi="SimSun" w:cs="SimSun"/>
                <w:color w:val="000000"/>
                <w:spacing w:val="0"/>
                <w:w w:val="100"/>
                <w:position w:val="0"/>
              </w:rPr>
              <w:t>的股份，为珠 海瑞信投资管理有限公司的实际控制人。</w:t>
            </w:r>
          </w:p>
        </w:tc>
      </w:tr>
      <w:tr>
        <w:trPr>
          <w:trHeight w:val="398"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中国工商银行股份有限公司一金鹰 核心资源混合型证券投资基金</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781,700</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王永健</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390,000</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陈强</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100,002</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周志存</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97,300</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吴明</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86,955</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陈丰土</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82,100</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廖永胜</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79,005</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刘艳红</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w:t>
            </w: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陈海清</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74,700</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吴志强</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1339"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9"/>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公司未知上述股东之间是否存在关联关系，也未知是否属于《上市公司收购管理办法》 规定的一致行动人。</w:t>
            </w:r>
          </w:p>
        </w:tc>
      </w:tr>
    </w:tbl>
    <w:tbl>
      <w:tblPr>
        <w:tblOverlap w:val="never"/>
        <w:jc w:val="center"/>
        <w:tblLayout w:type="fixed"/>
      </w:tblPr>
      <w:tblGrid>
        <w:gridCol w:w="2885"/>
        <w:gridCol w:w="6691"/>
      </w:tblGrid>
      <w:tr>
        <w:trPr>
          <w:trHeight w:val="146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参与融资融券业务股东情况说明（如 有）（参见注</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259" w:val="left"/>
              </w:tabs>
              <w:bidi w:val="0"/>
              <w:spacing w:before="0" w:after="12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陈丰土通过申万宏源证券有限公司客户信用交易担保证券账户持有</w:t>
            </w:r>
            <w:r>
              <w:rPr>
                <w:color w:val="000000"/>
                <w:spacing w:val="0"/>
                <w:w w:val="100"/>
                <w:position w:val="0"/>
              </w:rPr>
              <w:t>49,900</w:t>
            </w:r>
            <w:r>
              <w:rPr>
                <w:rFonts w:ascii="SimSun" w:eastAsia="SimSun" w:hAnsi="SimSun" w:cs="SimSun"/>
                <w:color w:val="000000"/>
                <w:spacing w:val="0"/>
                <w:w w:val="100"/>
                <w:position w:val="0"/>
              </w:rPr>
              <w:t>股；</w:t>
            </w:r>
          </w:p>
          <w:p>
            <w:pPr>
              <w:pStyle w:val="Style28"/>
              <w:keepNext w:val="0"/>
              <w:keepLines w:val="0"/>
              <w:widowControl w:val="0"/>
              <w:shd w:val="clear" w:color="auto" w:fill="auto"/>
              <w:tabs>
                <w:tab w:pos="274" w:val="left"/>
              </w:tabs>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永胜通过国信证券股份有限公司客户信用交易担保证券账户持有</w:t>
            </w:r>
            <w:r>
              <w:rPr>
                <w:color w:val="000000"/>
                <w:spacing w:val="0"/>
                <w:w w:val="100"/>
                <w:position w:val="0"/>
              </w:rPr>
              <w:t>79,005</w:t>
            </w:r>
            <w:r>
              <w:rPr>
                <w:rFonts w:ascii="SimSun" w:eastAsia="SimSun" w:hAnsi="SimSun" w:cs="SimSun"/>
                <w:color w:val="000000"/>
                <w:spacing w:val="0"/>
                <w:w w:val="100"/>
                <w:position w:val="0"/>
              </w:rPr>
              <w:t>股；</w:t>
            </w:r>
          </w:p>
          <w:p>
            <w:pPr>
              <w:pStyle w:val="Style28"/>
              <w:keepNext w:val="0"/>
              <w:keepLines w:val="0"/>
              <w:widowControl w:val="0"/>
              <w:shd w:val="clear" w:color="auto" w:fill="auto"/>
              <w:tabs>
                <w:tab w:pos="264" w:val="left"/>
              </w:tabs>
              <w:bidi w:val="0"/>
              <w:spacing w:before="0" w:after="12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刘艳红通过华泰证券股份有限公司客户信用交易担保证券账户持有</w:t>
            </w:r>
            <w:r>
              <w:rPr>
                <w:color w:val="000000"/>
                <w:spacing w:val="0"/>
                <w:w w:val="100"/>
                <w:position w:val="0"/>
              </w:rPr>
              <w:t>79,000</w:t>
            </w:r>
            <w:r>
              <w:rPr>
                <w:rFonts w:ascii="SimSun" w:eastAsia="SimSun" w:hAnsi="SimSun" w:cs="SimSun"/>
                <w:color w:val="000000"/>
                <w:spacing w:val="0"/>
                <w:w w:val="100"/>
                <w:position w:val="0"/>
              </w:rPr>
              <w:t>股；</w:t>
            </w:r>
          </w:p>
          <w:p>
            <w:pPr>
              <w:pStyle w:val="Style28"/>
              <w:keepNext w:val="0"/>
              <w:keepLines w:val="0"/>
              <w:widowControl w:val="0"/>
              <w:shd w:val="clear" w:color="auto" w:fill="auto"/>
              <w:tabs>
                <w:tab w:pos="274" w:val="left"/>
              </w:tabs>
              <w:bidi w:val="0"/>
              <w:spacing w:before="0" w:after="12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tab/>
              <w:t>吴志强通过国金证券股份有限公司客户信用交易担保证券账户持有</w:t>
            </w:r>
            <w:r>
              <w:rPr>
                <w:color w:val="000000"/>
                <w:spacing w:val="0"/>
                <w:w w:val="100"/>
                <w:position w:val="0"/>
              </w:rPr>
              <w:t>70000</w:t>
            </w:r>
            <w:r>
              <w:rPr>
                <w:rFonts w:ascii="SimSun" w:eastAsia="SimSun" w:hAnsi="SimSun" w:cs="SimSun"/>
                <w:color w:val="000000"/>
                <w:spacing w:val="0"/>
                <w:w w:val="100"/>
                <w:position w:val="0"/>
              </w:rPr>
              <w:t>股。</w:t>
            </w:r>
          </w:p>
        </w:tc>
      </w:tr>
    </w:tbl>
    <w:p>
      <w:pPr>
        <w:pStyle w:val="Style9"/>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1"/>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、公司控股股东情况</w:t>
      </w:r>
      <w:bookmarkEnd w:id="518"/>
      <w:bookmarkEnd w:id="519"/>
      <w:bookmarkEnd w:id="52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担任汇金科技董事长兼总经理</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1"/>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、公司实际控制人情况</w:t>
      </w:r>
      <w:bookmarkEnd w:id="522"/>
      <w:bookmarkEnd w:id="523"/>
      <w:bookmarkEnd w:id="525"/>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1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担任汇金科技董事长兼总经理</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139440" cy="28041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3139440" cy="2804160"/>
                    </a:xfrm>
                    <a:prstGeom prst="rect"/>
                  </pic:spPr>
                </pic:pic>
              </a:graphicData>
            </a:graphic>
          </wp:inline>
        </w:drawing>
      </w:r>
    </w:p>
    <w:p>
      <w:pPr>
        <w:widowControl w:val="0"/>
        <w:spacing w:after="379" w:line="1" w:lineRule="exact"/>
      </w:pP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6"/>
      <w:bookmarkEnd w:id="527"/>
      <w:bookmarkEnd w:id="52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控股股东、实际控制人、重组方及其他承诺主体股份限制减持情况</w:t>
      </w:r>
      <w:bookmarkEnd w:id="530"/>
      <w:bookmarkEnd w:id="531"/>
      <w:bookmarkEnd w:id="533"/>
    </w:p>
    <w:p>
      <w:pPr>
        <w:pStyle w:val="Style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55" w:bottom="1465" w:left="108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pgSz w:w="11900" w:h="16840"/>
          <w:pgMar w:top="1364" w:right="1049" w:bottom="1532" w:left="1079"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2708910</wp:posOffset>
                </wp:positionH>
                <wp:positionV relativeFrom="paragraph">
                  <wp:posOffset>0</wp:posOffset>
                </wp:positionV>
                <wp:extent cx="2167255" cy="243840"/>
                <wp:wrapTopAndBottom/>
                <wp:docPr id="12" name="Shape 12"/>
                <a:graphic xmlns:a="http://schemas.openxmlformats.org/drawingml/2006/main">
                  <a:graphicData uri="http://schemas.microsoft.com/office/word/2010/wordprocessingShape">
                    <wps:wsp>
                      <wps:cNvSpPr txBox="1"/>
                      <wps:spPr>
                        <a:xfrm>
                          <a:ext cx="2167255"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wps:txbx>
                      <wps:bodyPr wrap="none" lIns="0" tIns="0" rIns="0" bIns="0">
                        <a:noAutoFit/>
                      </wps:bodyPr>
                    </wps:wsp>
                  </a:graphicData>
                </a:graphic>
              </wp:anchor>
            </w:drawing>
          </mc:Choice>
          <mc:Fallback>
            <w:pict>
              <v:shape id="_x0000_s1038" type="#_x0000_t202" style="position:absolute;margin-left:213.30000000000001pt;margin-top:0;width:170.65000000000001pt;height:19.199999999999999pt;z-index:-125829375;mso-wrap-distance-left:0;mso-wrap-distance-right:0;mso-wrap-distance-bottom:14.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v:textbox>
                <w10:wrap type="topAndBottom" anchorx="page"/>
              </v:shape>
            </w:pict>
          </mc:Fallback>
        </mc:AlternateContent>
      </w:r>
    </w:p>
    <w:p>
      <w:pPr>
        <w:pStyle w:val="Style9"/>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r>
        <w:br w:type="page"/>
      </w:r>
    </w:p>
    <w:p>
      <w:pPr>
        <w:pStyle w:val="Style13"/>
        <w:keepNext/>
        <w:keepLines/>
        <w:widowControl w:val="0"/>
        <w:shd w:val="clear" w:color="auto" w:fill="auto"/>
        <w:bidi w:val="0"/>
        <w:spacing w:before="0" w:after="520" w:line="240" w:lineRule="auto"/>
        <w:ind w:left="0" w:right="0" w:firstLine="0"/>
        <w:jc w:val="center"/>
      </w:pPr>
      <w:bookmarkStart w:id="537" w:name="bookmark537"/>
      <w:bookmarkStart w:id="538" w:name="bookmark538"/>
      <w:bookmarkStart w:id="539" w:name="bookmark539"/>
      <w:r>
        <w:rPr>
          <w:color w:val="000000"/>
          <w:spacing w:val="0"/>
          <w:w w:val="100"/>
          <w:position w:val="0"/>
        </w:rPr>
        <w:t>第八节董事、监事、高级管理人员和员工情况</w:t>
      </w:r>
      <w:bookmarkEnd w:id="537"/>
      <w:bookmarkEnd w:id="538"/>
      <w:bookmarkEnd w:id="539"/>
    </w:p>
    <w:p>
      <w:pPr>
        <w:pStyle w:val="Style19"/>
        <w:keepNext/>
        <w:keepLines/>
        <w:widowControl w:val="0"/>
        <w:shd w:val="clear" w:color="auto" w:fill="auto"/>
        <w:bidi w:val="0"/>
        <w:spacing w:before="0" w:line="240" w:lineRule="auto"/>
        <w:ind w:left="0" w:right="0" w:firstLine="240"/>
        <w:jc w:val="left"/>
      </w:pPr>
      <w:bookmarkStart w:id="540" w:name="bookmark540"/>
      <w:bookmarkStart w:id="541" w:name="bookmark541"/>
      <w:bookmarkStart w:id="542" w:name="bookmark542"/>
      <w:r>
        <w:rPr>
          <w:color w:val="000000"/>
          <w:spacing w:val="0"/>
          <w:w w:val="100"/>
          <w:position w:val="0"/>
          <w:sz w:val="24"/>
          <w:szCs w:val="24"/>
        </w:rPr>
        <w:t>、董事、监事和高级管理人员持股变动</w:t>
      </w:r>
      <w:bookmarkEnd w:id="540"/>
      <w:bookmarkEnd w:id="541"/>
      <w:bookmarkEnd w:id="542"/>
    </w:p>
    <w:tbl>
      <w:tblPr>
        <w:tblOverlap w:val="never"/>
        <w:jc w:val="center"/>
        <w:tblLayout w:type="fixed"/>
      </w:tblPr>
      <w:tblGrid>
        <w:gridCol w:w="802"/>
        <w:gridCol w:w="797"/>
        <w:gridCol w:w="797"/>
        <w:gridCol w:w="504"/>
        <w:gridCol w:w="571"/>
        <w:gridCol w:w="850"/>
        <w:gridCol w:w="850"/>
        <w:gridCol w:w="994"/>
        <w:gridCol w:w="850"/>
        <w:gridCol w:w="850"/>
        <w:gridCol w:w="710"/>
        <w:gridCol w:w="100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任期起始</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任期终止</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期初持股数</w:t>
            </w:r>
          </w:p>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12" w:lineRule="exact"/>
              <w:ind w:left="0" w:right="0" w:firstLine="0"/>
              <w:jc w:val="center"/>
            </w:pPr>
            <w:r>
              <w:rPr>
                <w:rFonts w:ascii="SimSun" w:eastAsia="SimSun" w:hAnsi="SimSun" w:cs="SimSun"/>
                <w:color w:val="000000"/>
                <w:spacing w:val="0"/>
                <w:w w:val="100"/>
                <w:position w:val="0"/>
              </w:rPr>
              <w:t>本期增持 股份数量</w:t>
            </w:r>
          </w:p>
          <w:p>
            <w:pPr>
              <w:pStyle w:val="Style28"/>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98" w:lineRule="exact"/>
              <w:ind w:left="0" w:right="0" w:firstLine="0"/>
              <w:jc w:val="center"/>
            </w:pPr>
            <w:r>
              <w:rPr>
                <w:rFonts w:ascii="SimSun" w:eastAsia="SimSun" w:hAnsi="SimSun" w:cs="SimSun"/>
                <w:color w:val="000000"/>
                <w:spacing w:val="0"/>
                <w:w w:val="100"/>
                <w:position w:val="0"/>
              </w:rPr>
              <w:t>本期减持 股份数量</w:t>
            </w:r>
          </w:p>
          <w:p>
            <w:pPr>
              <w:pStyle w:val="Style28"/>
              <w:keepNext w:val="0"/>
              <w:keepLines w:val="0"/>
              <w:widowControl w:val="0"/>
              <w:shd w:val="clear" w:color="auto" w:fill="auto"/>
              <w:bidi w:val="0"/>
              <w:spacing w:before="0" w:after="0" w:line="298" w:lineRule="exact"/>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其他增</w:t>
            </w:r>
          </w:p>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减变动</w:t>
            </w:r>
          </w:p>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期末持股数</w:t>
            </w:r>
          </w:p>
          <w:p>
            <w:pPr>
              <w:pStyle w:val="Style28"/>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21,450,000</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董事会秘 书、副总 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13,533,000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肖志宏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董事、副</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宋京生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于风政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杨大贺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陈家贤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罗秀红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马晓丽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财务负责</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35,022,000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35,022,000</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、公司董事、监事、高级管理人员变动情况</w:t>
      </w:r>
      <w:bookmarkEnd w:id="543"/>
      <w:bookmarkEnd w:id="544"/>
      <w:bookmarkEnd w:id="546"/>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bl>
    <w:p>
      <w:pPr>
        <w:pStyle w:val="Style19"/>
        <w:keepNext/>
        <w:keepLines/>
        <w:widowControl w:val="0"/>
        <w:shd w:val="clear" w:color="auto" w:fill="auto"/>
        <w:bidi w:val="0"/>
        <w:spacing w:before="0" w:after="26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三</w:t>
      </w:r>
      <w:bookmarkEnd w:id="549"/>
      <w:r>
        <w:rPr>
          <w:color w:val="000000"/>
          <w:spacing w:val="0"/>
          <w:w w:val="100"/>
          <w:position w:val="0"/>
          <w:sz w:val="24"/>
          <w:szCs w:val="24"/>
        </w:rPr>
        <w:t>、任职情况</w:t>
      </w:r>
      <w:bookmarkEnd w:id="547"/>
      <w:bookmarkEnd w:id="548"/>
      <w:bookmarkEnd w:id="550"/>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9"/>
        <w:keepNext w:val="0"/>
        <w:keepLines w:val="0"/>
        <w:widowControl w:val="0"/>
        <w:shd w:val="clear" w:color="auto" w:fill="auto"/>
        <w:bidi w:val="0"/>
        <w:spacing w:before="0" w:after="40" w:line="315" w:lineRule="exact"/>
        <w:ind w:left="0" w:right="0"/>
        <w:jc w:val="both"/>
      </w:pPr>
      <w:r>
        <w:rPr>
          <w:color w:val="000000"/>
          <w:spacing w:val="0"/>
          <w:w w:val="100"/>
          <w:position w:val="0"/>
        </w:rPr>
        <w:t>陈喆女士，</w:t>
      </w:r>
      <w:r>
        <w:rPr>
          <w:rFonts w:ascii="Times New Roman" w:eastAsia="Times New Roman" w:hAnsi="Times New Roman" w:cs="Times New Roman"/>
          <w:color w:val="000000"/>
          <w:spacing w:val="0"/>
          <w:w w:val="100"/>
          <w:position w:val="0"/>
        </w:rPr>
        <w:t>1963</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62010219630308</w:t>
      </w:r>
      <w:r>
        <w:rPr>
          <w:color w:val="000000"/>
          <w:spacing w:val="0"/>
          <w:w w:val="100"/>
          <w:position w:val="0"/>
        </w:rPr>
        <w:t xml:space="preserve">万，无永久境外居留权，撒拉族，中共党员，本科学历。 </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1989</w:t>
      </w:r>
      <w:r>
        <w:rPr>
          <w:color w:val="000000"/>
          <w:spacing w:val="0"/>
          <w:w w:val="100"/>
          <w:position w:val="0"/>
        </w:rPr>
        <w:t>年，于青海省统计局经济统计处任职；</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年，历任中国银行甘肃省分行人事处科员、副科长；</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年，历任中国银行广东省珠海湾仔支行副行长、行长；</w:t>
      </w:r>
      <w:r>
        <w:rPr>
          <w:rFonts w:ascii="Times New Roman" w:eastAsia="Times New Roman" w:hAnsi="Times New Roman" w:cs="Times New Roman"/>
          <w:color w:val="000000"/>
          <w:spacing w:val="0"/>
          <w:w w:val="100"/>
          <w:position w:val="0"/>
        </w:rPr>
        <w:t>2005</w:t>
      </w:r>
      <w:r>
        <w:rPr>
          <w:color w:val="000000"/>
          <w:spacing w:val="0"/>
          <w:w w:val="100"/>
          <w:position w:val="0"/>
        </w:rPr>
        <w:t>年创立本公司，任执行董事，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月至今任董事长 兼总经理。</w:t>
      </w:r>
    </w:p>
    <w:p>
      <w:pPr>
        <w:pStyle w:val="Style9"/>
        <w:keepNext w:val="0"/>
        <w:keepLines w:val="0"/>
        <w:widowControl w:val="0"/>
        <w:shd w:val="clear" w:color="auto" w:fill="auto"/>
        <w:bidi w:val="0"/>
        <w:spacing w:before="0" w:after="40" w:line="317" w:lineRule="exact"/>
        <w:ind w:left="0" w:right="0"/>
        <w:jc w:val="both"/>
      </w:pPr>
      <w:r>
        <w:rPr>
          <w:color w:val="000000"/>
          <w:spacing w:val="0"/>
          <w:w w:val="100"/>
          <w:position w:val="0"/>
        </w:rPr>
        <w:t>马铮先生，</w:t>
      </w:r>
      <w:r>
        <w:rPr>
          <w:rFonts w:ascii="Times New Roman" w:eastAsia="Times New Roman" w:hAnsi="Times New Roman" w:cs="Times New Roman"/>
          <w:color w:val="000000"/>
          <w:spacing w:val="0"/>
          <w:w w:val="100"/>
          <w:position w:val="0"/>
        </w:rPr>
        <w:t>1957</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11010519570303</w:t>
      </w:r>
      <w:r>
        <w:rPr>
          <w:color w:val="000000"/>
          <w:spacing w:val="0"/>
          <w:w w:val="100"/>
          <w:position w:val="0"/>
        </w:rPr>
        <w:t xml:space="preserve">万，无永久境外居留权，汉族，中共党员，研究生学历。 </w:t>
      </w:r>
      <w:r>
        <w:rPr>
          <w:rFonts w:ascii="Times New Roman" w:eastAsia="Times New Roman" w:hAnsi="Times New Roman" w:cs="Times New Roman"/>
          <w:color w:val="000000"/>
          <w:spacing w:val="0"/>
          <w:w w:val="100"/>
          <w:position w:val="0"/>
        </w:rPr>
        <w:t>1976</w:t>
      </w:r>
      <w:r>
        <w:rPr>
          <w:color w:val="000000"/>
          <w:spacing w:val="0"/>
          <w:w w:val="100"/>
          <w:position w:val="0"/>
        </w:rPr>
        <w:t>年至</w:t>
      </w:r>
      <w:r>
        <w:rPr>
          <w:rFonts w:ascii="Times New Roman" w:eastAsia="Times New Roman" w:hAnsi="Times New Roman" w:cs="Times New Roman"/>
          <w:color w:val="000000"/>
          <w:spacing w:val="0"/>
          <w:w w:val="100"/>
          <w:position w:val="0"/>
        </w:rPr>
        <w:t>1987</w:t>
      </w:r>
      <w:r>
        <w:rPr>
          <w:color w:val="000000"/>
          <w:spacing w:val="0"/>
          <w:w w:val="100"/>
          <w:position w:val="0"/>
        </w:rPr>
        <w:t>年，于空军某部服役；</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年，历任中国银行总行人力资源部副处长、处长、中国银行（香港）有限 公司人力资源部助理总经理、副总经理、俄罗斯中国银行监事等职务；现任本公司董事、副总经理兼董事会秘书。</w:t>
      </w:r>
    </w:p>
    <w:p>
      <w:pPr>
        <w:pStyle w:val="Style9"/>
        <w:keepNext w:val="0"/>
        <w:keepLines w:val="0"/>
        <w:widowControl w:val="0"/>
        <w:shd w:val="clear" w:color="auto" w:fill="auto"/>
        <w:bidi w:val="0"/>
        <w:spacing w:before="0" w:after="40" w:line="315" w:lineRule="exact"/>
        <w:ind w:left="0" w:right="0"/>
        <w:jc w:val="both"/>
      </w:pPr>
      <w:r>
        <w:rPr>
          <w:color w:val="000000"/>
          <w:spacing w:val="0"/>
          <w:w w:val="100"/>
          <w:position w:val="0"/>
        </w:rPr>
        <w:t>肖志宏先生，</w:t>
      </w:r>
      <w:r>
        <w:rPr>
          <w:rFonts w:ascii="Times New Roman" w:eastAsia="Times New Roman" w:hAnsi="Times New Roman" w:cs="Times New Roman"/>
          <w:color w:val="000000"/>
          <w:spacing w:val="0"/>
          <w:w w:val="100"/>
          <w:position w:val="0"/>
        </w:rPr>
        <w:t>1975</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43020419750421</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，无永久境外居留权，汉族，群众，硕士学位。</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年，任珠海优特电力科技股份有限公司系统工程师；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年，任博世（珠海）安保系统有限公司软件工程 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年，任珠海优特电力科技股份有限公司系统工程师；</w:t>
      </w:r>
      <w:r>
        <w:rPr>
          <w:rFonts w:ascii="Times New Roman" w:eastAsia="Times New Roman" w:hAnsi="Times New Roman" w:cs="Times New Roman"/>
          <w:color w:val="000000"/>
          <w:spacing w:val="0"/>
          <w:w w:val="100"/>
          <w:position w:val="0"/>
        </w:rPr>
        <w:t>2010</w:t>
      </w:r>
      <w:r>
        <w:rPr>
          <w:color w:val="000000"/>
          <w:spacing w:val="0"/>
          <w:w w:val="100"/>
          <w:position w:val="0"/>
        </w:rPr>
        <w:t>年加入本公司，现任本公司董事、副总经理兼研 发总监。</w:t>
      </w:r>
    </w:p>
    <w:p>
      <w:pPr>
        <w:pStyle w:val="Style9"/>
        <w:keepNext w:val="0"/>
        <w:keepLines w:val="0"/>
        <w:widowControl w:val="0"/>
        <w:shd w:val="clear" w:color="auto" w:fill="auto"/>
        <w:bidi w:val="0"/>
        <w:spacing w:before="0" w:after="40" w:line="314" w:lineRule="exact"/>
        <w:ind w:left="0" w:right="0"/>
        <w:jc w:val="both"/>
      </w:pPr>
      <w:r>
        <w:rPr>
          <w:color w:val="000000"/>
          <w:spacing w:val="0"/>
          <w:w w:val="100"/>
          <w:position w:val="0"/>
        </w:rPr>
        <w:t>宋京生先生，</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11010819580509</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 xml:space="preserve">,无永久境外居留权，汉族，中共党员，研究生学历。 </w:t>
      </w:r>
      <w:r>
        <w:rPr>
          <w:rFonts w:ascii="Times New Roman" w:eastAsia="Times New Roman" w:hAnsi="Times New Roman" w:cs="Times New Roman"/>
          <w:color w:val="000000"/>
          <w:spacing w:val="0"/>
          <w:w w:val="100"/>
          <w:position w:val="0"/>
        </w:rPr>
        <w:t>1981</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年，于中国银行北京分行工作，曾担任处长；</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年，任广发银行股份有限公司北京分行副行长；</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年，任交大铭泰软件有限公司独立董事；</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月，任银创控股有限公司执行董事；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月成为本公 司股东，任本公司董事。</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于风政先生，</w:t>
      </w:r>
      <w:r>
        <w:rPr>
          <w:rFonts w:ascii="Times New Roman" w:eastAsia="Times New Roman" w:hAnsi="Times New Roman" w:cs="Times New Roman"/>
          <w:color w:val="000000"/>
          <w:spacing w:val="0"/>
          <w:w w:val="100"/>
          <w:position w:val="0"/>
        </w:rPr>
        <w:t>1956</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61010319560925</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 xml:space="preserve">，无永久境外居留权，汉族，中共党员，法学博士。 </w:t>
      </w:r>
      <w:r>
        <w:rPr>
          <w:rFonts w:ascii="Times New Roman" w:eastAsia="Times New Roman" w:hAnsi="Times New Roman" w:cs="Times New Roman"/>
          <w:color w:val="000000"/>
          <w:spacing w:val="0"/>
          <w:w w:val="100"/>
          <w:position w:val="0"/>
        </w:rPr>
        <w:t>1972</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年，于长沙铁道兵学院、解放军西安政治学院服役；</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年，历任北京师范大学讲师、副教授、教授、 研究生院副院长等职务；</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年，历任北京师范大学珠海分校副校长、副书记，现任北京师范大学珠海分校法律与 行政学院院长；</w:t>
      </w:r>
      <w:r>
        <w:rPr>
          <w:rFonts w:ascii="Times New Roman" w:eastAsia="Times New Roman" w:hAnsi="Times New Roman" w:cs="Times New Roman"/>
          <w:color w:val="000000"/>
          <w:spacing w:val="0"/>
          <w:w w:val="100"/>
          <w:position w:val="0"/>
        </w:rPr>
        <w:t>2004</w:t>
      </w:r>
      <w:r>
        <w:rPr>
          <w:color w:val="000000"/>
          <w:spacing w:val="0"/>
          <w:w w:val="100"/>
          <w:position w:val="0"/>
        </w:rPr>
        <w:t>年起，曾兼任珠海市第六届、第七届人大常委会法律顾问、广东省法学教育研究会副会长、珠海市法学 会副会长；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月起，兼任本公司独立董事。</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侯平先生，</w:t>
      </w:r>
      <w:r>
        <w:rPr>
          <w:rFonts w:ascii="Times New Roman" w:eastAsia="Times New Roman" w:hAnsi="Times New Roman" w:cs="Times New Roman"/>
          <w:color w:val="000000"/>
          <w:spacing w:val="0"/>
          <w:w w:val="100"/>
          <w:position w:val="0"/>
        </w:rPr>
        <w:t>1960</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11010319600524</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,无永久境外居留权，汉族，中共党员，硕士学位。</w:t>
      </w:r>
      <w:r>
        <w:rPr>
          <w:rFonts w:ascii="Times New Roman" w:eastAsia="Times New Roman" w:hAnsi="Times New Roman" w:cs="Times New Roman"/>
          <w:color w:val="000000"/>
          <w:spacing w:val="0"/>
          <w:w w:val="100"/>
          <w:position w:val="0"/>
        </w:rPr>
        <w:t xml:space="preserve">1981 </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年就职于中国银行，历任个人银行助理经理、总行信用卡部副总经理、中银信用卡（国际）有限公司于香港的副总 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年，任德意志银行（中国）有限公司北京分行信用卡总管，同时兼任意志银行（中国）有限公司与华夏 银行股份有限公司合作的信用卡中心首席执行官；</w:t>
      </w:r>
      <w:r>
        <w:rPr>
          <w:rFonts w:ascii="Times New Roman" w:eastAsia="Times New Roman" w:hAnsi="Times New Roman" w:cs="Times New Roman"/>
          <w:color w:val="000000"/>
          <w:spacing w:val="0"/>
          <w:w w:val="100"/>
          <w:position w:val="0"/>
        </w:rPr>
        <w:t>2011</w:t>
      </w:r>
      <w:r>
        <w:rPr>
          <w:color w:val="000000"/>
          <w:spacing w:val="0"/>
          <w:w w:val="100"/>
          <w:position w:val="0"/>
        </w:rPr>
        <w:t>年至今，任金邦达宝嘉控股有限公司</w:t>
      </w:r>
      <w:r>
        <w:rPr>
          <w:rFonts w:ascii="Times New Roman" w:eastAsia="Times New Roman" w:hAnsi="Times New Roman" w:cs="Times New Roman"/>
          <w:color w:val="000000"/>
          <w:spacing w:val="0"/>
          <w:w w:val="100"/>
          <w:position w:val="0"/>
        </w:rPr>
        <w:t>［03315HK］</w:t>
      </w:r>
      <w:r>
        <w:rPr>
          <w:color w:val="000000"/>
          <w:spacing w:val="0"/>
          <w:w w:val="100"/>
          <w:position w:val="0"/>
        </w:rPr>
        <w:t>执行董事兼首席执 行官，并任其全资子公司金邦达数据有限公司董事兼首席执行官，及全资子公司珠海市金邦达保密卡有限公司董事；</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月起，兼任本公司独立董事。</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杨大贺先生，</w:t>
      </w:r>
      <w:r>
        <w:rPr>
          <w:rFonts w:ascii="Times New Roman" w:eastAsia="Times New Roman" w:hAnsi="Times New Roman" w:cs="Times New Roman"/>
          <w:color w:val="000000"/>
          <w:spacing w:val="0"/>
          <w:w w:val="100"/>
          <w:position w:val="0"/>
        </w:rPr>
        <w:t>1972</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21100219720214</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，无永久境外居留权，汉族，群众，大专学历，注册 会计师。</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年，任辽阳市运输管理处会计；</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年，任深圳市会计师事务所项目经理；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年，任深圳华鹏会计师事务所项目经理；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年，任中华财务咨询有限公司高级经理；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年，北京立信 会计师事务所部门副经理；</w:t>
      </w:r>
      <w:r>
        <w:rPr>
          <w:rFonts w:ascii="Times New Roman" w:eastAsia="Times New Roman" w:hAnsi="Times New Roman" w:cs="Times New Roman"/>
          <w:color w:val="000000"/>
          <w:spacing w:val="0"/>
          <w:w w:val="100"/>
          <w:position w:val="0"/>
        </w:rPr>
        <w:t>2008</w:t>
      </w:r>
      <w:r>
        <w:rPr>
          <w:color w:val="000000"/>
          <w:spacing w:val="0"/>
          <w:w w:val="100"/>
          <w:position w:val="0"/>
        </w:rPr>
        <w:t>年至今，任中勤万信会计师事务所部门经理；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月起，兼任本公司独立董事。</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何锋先生，</w:t>
      </w:r>
      <w:r>
        <w:rPr>
          <w:rFonts w:ascii="Times New Roman" w:eastAsia="Times New Roman" w:hAnsi="Times New Roman" w:cs="Times New Roman"/>
          <w:color w:val="000000"/>
          <w:spacing w:val="0"/>
          <w:w w:val="100"/>
          <w:position w:val="0"/>
        </w:rPr>
        <w:t>1977</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36233019770808</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,无永久境外居留权，汉族，中共党员，本科学历。</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年，于中国人民解放军某部服役；</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年，任珠海外经贸专修学院远程教育处副处长；</w:t>
      </w:r>
      <w:r>
        <w:rPr>
          <w:rFonts w:ascii="Times New Roman" w:eastAsia="Times New Roman" w:hAnsi="Times New Roman" w:cs="Times New Roman"/>
          <w:color w:val="000000"/>
          <w:spacing w:val="0"/>
          <w:w w:val="100"/>
          <w:position w:val="0"/>
        </w:rPr>
        <w:t>2005</w:t>
      </w:r>
      <w:r>
        <w:rPr>
          <w:color w:val="000000"/>
          <w:spacing w:val="0"/>
          <w:w w:val="100"/>
          <w:position w:val="0"/>
        </w:rPr>
        <w:t>年加入本公司， 任产品供应部经理；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月选聘为本公司监事，现任本公司监事会主席，供应链部经理。</w:t>
      </w:r>
    </w:p>
    <w:p>
      <w:pPr>
        <w:pStyle w:val="Style9"/>
        <w:keepNext w:val="0"/>
        <w:keepLines w:val="0"/>
        <w:widowControl w:val="0"/>
        <w:shd w:val="clear" w:color="auto" w:fill="auto"/>
        <w:bidi w:val="0"/>
        <w:spacing w:before="0" w:after="40" w:line="312" w:lineRule="exact"/>
        <w:ind w:left="0" w:right="0"/>
        <w:jc w:val="both"/>
      </w:pPr>
      <w:r>
        <w:rPr>
          <w:color w:val="000000"/>
          <w:spacing w:val="0"/>
          <w:w w:val="100"/>
          <w:position w:val="0"/>
        </w:rPr>
        <w:t>陈家贤先生，</w:t>
      </w:r>
      <w:r>
        <w:rPr>
          <w:rFonts w:ascii="Times New Roman" w:eastAsia="Times New Roman" w:hAnsi="Times New Roman" w:cs="Times New Roman"/>
          <w:color w:val="000000"/>
          <w:spacing w:val="0"/>
          <w:w w:val="100"/>
          <w:position w:val="0"/>
        </w:rPr>
        <w:t>1975</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52242619750926</w:t>
      </w:r>
      <w:r>
        <w:rPr>
          <w:rFonts w:ascii="Times New Roman" w:eastAsia="Times New Roman" w:hAnsi="Times New Roman" w:cs="Times New Roman"/>
          <w:color w:val="000000"/>
          <w:spacing w:val="0"/>
          <w:w w:val="100"/>
          <w:position w:val="0"/>
          <w:sz w:val="19"/>
          <w:szCs w:val="19"/>
        </w:rPr>
        <w:t>77</w:t>
      </w:r>
      <w:r>
        <w:rPr>
          <w:color w:val="000000"/>
          <w:spacing w:val="0"/>
          <w:w w:val="100"/>
          <w:position w:val="0"/>
        </w:rPr>
        <w:t>,无永久境外居留权，大专学历，具有多年电力安全 和金融安全领域从业经验以及锁类结构研发经验。</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年，先后于珠海金电电源工业有限公司、长园共创电力安全 技术股份有限公司、珠海优特电力科技股份有限公司任结构工程师；</w:t>
      </w:r>
      <w:r>
        <w:rPr>
          <w:rFonts w:ascii="Times New Roman" w:eastAsia="Times New Roman" w:hAnsi="Times New Roman" w:cs="Times New Roman"/>
          <w:color w:val="000000"/>
          <w:spacing w:val="0"/>
          <w:w w:val="100"/>
          <w:position w:val="0"/>
        </w:rPr>
        <w:t>2010</w:t>
      </w:r>
      <w:r>
        <w:rPr>
          <w:color w:val="000000"/>
          <w:spacing w:val="0"/>
          <w:w w:val="100"/>
          <w:position w:val="0"/>
        </w:rPr>
        <w:t>年加入本公司，现任研发中心高级结构工程师， 从事电子密码锁、机械密码锁的结构研究工作；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月，选聘为公司监事。</w:t>
      </w:r>
    </w:p>
    <w:p>
      <w:pPr>
        <w:pStyle w:val="Style9"/>
        <w:keepNext w:val="0"/>
        <w:keepLines w:val="0"/>
        <w:widowControl w:val="0"/>
        <w:shd w:val="clear" w:color="auto" w:fill="auto"/>
        <w:bidi w:val="0"/>
        <w:spacing w:before="0" w:line="317" w:lineRule="exact"/>
        <w:ind w:left="0" w:right="0"/>
        <w:jc w:val="both"/>
      </w:pPr>
      <w:r>
        <w:rPr>
          <w:color w:val="000000"/>
          <w:spacing w:val="0"/>
          <w:w w:val="100"/>
          <w:position w:val="0"/>
        </w:rPr>
        <w:t>罗秀红女士，</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44128319841118</w:t>
      </w:r>
      <w:r>
        <w:rPr>
          <w:rFonts w:ascii="Times New Roman" w:eastAsia="Times New Roman" w:hAnsi="Times New Roman" w:cs="Times New Roman"/>
          <w:color w:val="000000"/>
          <w:spacing w:val="0"/>
          <w:w w:val="100"/>
          <w:position w:val="0"/>
          <w:sz w:val="19"/>
          <w:szCs w:val="19"/>
        </w:rPr>
        <w:t>77</w:t>
      </w:r>
      <w:r>
        <w:rPr>
          <w:color w:val="000000"/>
          <w:spacing w:val="0"/>
          <w:w w:val="100"/>
          <w:position w:val="0"/>
        </w:rPr>
        <w:t>,无永久境外居留权，汉族，大专学历。</w:t>
      </w:r>
      <w:r>
        <w:rPr>
          <w:rFonts w:ascii="Times New Roman" w:eastAsia="Times New Roman" w:hAnsi="Times New Roman" w:cs="Times New Roman"/>
          <w:color w:val="000000"/>
          <w:spacing w:val="0"/>
          <w:w w:val="100"/>
          <w:position w:val="0"/>
        </w:rPr>
        <w:t>2009</w:t>
      </w:r>
      <w:r>
        <w:rPr>
          <w:color w:val="000000"/>
          <w:spacing w:val="0"/>
          <w:w w:val="100"/>
          <w:position w:val="0"/>
        </w:rPr>
        <w:t>年加入 本公司，历任办公室综合文员、行政部机要秘书；现任本公司总经理秘书，兼任监事职务。</w:t>
      </w:r>
    </w:p>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马晓丽女士，</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年生，中国国籍，身份证号码</w:t>
      </w:r>
      <w:r>
        <w:rPr>
          <w:rFonts w:ascii="Times New Roman" w:eastAsia="Times New Roman" w:hAnsi="Times New Roman" w:cs="Times New Roman"/>
          <w:color w:val="000000"/>
          <w:spacing w:val="0"/>
          <w:w w:val="100"/>
          <w:position w:val="0"/>
        </w:rPr>
        <w:t>22040319731202</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,无永久境外居留权，汉族，群众，大专学历，中级</w:t>
        <w:br w:type="page"/>
      </w:r>
      <w:r>
        <w:rPr>
          <w:color w:val="000000"/>
          <w:spacing w:val="0"/>
          <w:w w:val="100"/>
          <w:position w:val="0"/>
        </w:rPr>
        <w:t>会计师，注册会计师。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年，任吉林省辽源市龙泉酒厂会计；</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年，任上海金星液压件有限公司财务 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月，任中勤万信会计师事务所深圳分所项目经理；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月加入本公司，现任财务负责人。 在股东单位任职情况</w:t>
      </w:r>
    </w:p>
    <w:p>
      <w:pPr>
        <w:pStyle w:val="Style9"/>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line="334" w:lineRule="exact"/>
        <w:ind w:left="0" w:right="0" w:firstLine="0"/>
        <w:jc w:val="left"/>
      </w:pPr>
      <w:r>
        <w:rPr>
          <w:color w:val="000000"/>
          <w:spacing w:val="0"/>
          <w:w w:val="100"/>
          <w:position w:val="0"/>
        </w:rPr>
        <w:t>在其他单位任职情况</w:t>
      </w:r>
    </w:p>
    <w:p>
      <w:pPr>
        <w:pStyle w:val="Style9"/>
        <w:keepNext w:val="0"/>
        <w:keepLines w:val="0"/>
        <w:widowControl w:val="0"/>
        <w:shd w:val="clear" w:color="auto" w:fill="auto"/>
        <w:bidi w:val="0"/>
        <w:spacing w:before="0" w:after="100" w:line="334"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59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任职人员姓</w:t>
            </w:r>
          </w:p>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在其他单位是否</w:t>
            </w:r>
          </w:p>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领取报酬津贴</w:t>
            </w:r>
          </w:p>
        </w:tc>
      </w:tr>
      <w:tr>
        <w:trPr>
          <w:trHeight w:val="44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金邦达宝嘉控股有限公司</w:t>
            </w:r>
            <w:r>
              <w:rPr>
                <w:color w:val="000000"/>
                <w:spacing w:val="0"/>
                <w:w w:val="100"/>
                <w:position w:val="0"/>
              </w:rPr>
              <w:t xml:space="preserve">[03315.HK] </w:t>
            </w:r>
            <w:r>
              <w:rPr>
                <w:rFonts w:ascii="SimSun" w:eastAsia="SimSun" w:hAnsi="SimSun" w:cs="SimSun"/>
                <w:color w:val="000000"/>
                <w:spacing w:val="0"/>
                <w:w w:val="100"/>
                <w:position w:val="0"/>
              </w:rPr>
              <w:t>及其全资子公司金邦达数据有限公司、 全资子公司珠海市金邦达保密卡有限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首席执行 官兼执行 董事，并任 其全资子 公司金邦 达数据有 限公司首 席执行官 兼董事，及 全资子公 司珠海市 金邦达保 密卡有限 公司董事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于风政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北京师范大学珠海分校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法律与行</w:t>
            </w:r>
          </w:p>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政学院院</w:t>
            </w:r>
          </w:p>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杨大贺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中勤万信会计师事务所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部门经理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四</w:t>
      </w:r>
      <w:bookmarkEnd w:id="553"/>
      <w:r>
        <w:rPr>
          <w:color w:val="000000"/>
          <w:spacing w:val="0"/>
          <w:w w:val="100"/>
          <w:position w:val="0"/>
          <w:sz w:val="24"/>
          <w:szCs w:val="24"/>
        </w:rPr>
        <w:t>、董事、监事、高级管理人员报酬情况</w:t>
      </w:r>
      <w:bookmarkEnd w:id="551"/>
      <w:bookmarkEnd w:id="552"/>
      <w:bookmarkEnd w:id="554"/>
    </w:p>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董事、监事、高级管理人员报酬的决策程序、确定依据、实际支付情况</w:t>
      </w:r>
    </w:p>
    <w:p>
      <w:pPr>
        <w:pStyle w:val="Style9"/>
        <w:keepNext w:val="0"/>
        <w:keepLines w:val="0"/>
        <w:widowControl w:val="0"/>
        <w:shd w:val="clear" w:color="auto" w:fill="auto"/>
        <w:tabs>
          <w:tab w:pos="536" w:val="left"/>
        </w:tabs>
        <w:bidi w:val="0"/>
        <w:spacing w:before="0" w:after="0" w:line="305" w:lineRule="exact"/>
        <w:ind w:left="0" w:right="0" w:firstLine="0"/>
        <w:jc w:val="left"/>
      </w:pPr>
      <w:bookmarkStart w:id="555" w:name="bookmark555"/>
      <w:r>
        <w:rPr>
          <w:color w:val="000000"/>
          <w:spacing w:val="0"/>
          <w:w w:val="100"/>
          <w:position w:val="0"/>
        </w:rPr>
        <w:t>（</w:t>
      </w:r>
      <w:bookmarkEnd w:id="555"/>
      <w:r>
        <w:rPr>
          <w:color w:val="000000"/>
          <w:spacing w:val="0"/>
          <w:w w:val="100"/>
          <w:position w:val="0"/>
        </w:rPr>
        <w:t>一）</w:t>
        <w:tab/>
        <w:t>董事、监事、高级管理人员报酬的决策程序</w:t>
      </w:r>
    </w:p>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公司董事、监事报酬由股东大会决定，高级管理人员报酬由董事会决定；在公司担任职务的董事、监事、高级管理人员报酬 由公司支付，董事、监事不另外支付津贴。独立董事及不在公司任职的非独立董事津贴根据股东大会通过的决议进行支付。</w:t>
      </w:r>
    </w:p>
    <w:p>
      <w:pPr>
        <w:pStyle w:val="Style9"/>
        <w:keepNext w:val="0"/>
        <w:keepLines w:val="0"/>
        <w:widowControl w:val="0"/>
        <w:shd w:val="clear" w:color="auto" w:fill="auto"/>
        <w:tabs>
          <w:tab w:pos="536" w:val="left"/>
        </w:tabs>
        <w:bidi w:val="0"/>
        <w:spacing w:before="0" w:after="0" w:line="305" w:lineRule="exact"/>
        <w:ind w:left="0" w:right="0" w:firstLine="0"/>
        <w:jc w:val="left"/>
      </w:pPr>
      <w:bookmarkStart w:id="556" w:name="bookmark556"/>
      <w:r>
        <w:rPr>
          <w:color w:val="000000"/>
          <w:spacing w:val="0"/>
          <w:w w:val="100"/>
          <w:position w:val="0"/>
        </w:rPr>
        <w:t>（</w:t>
      </w:r>
      <w:bookmarkEnd w:id="556"/>
      <w:r>
        <w:rPr>
          <w:color w:val="000000"/>
          <w:spacing w:val="0"/>
          <w:w w:val="100"/>
          <w:position w:val="0"/>
        </w:rPr>
        <w:t>二）</w:t>
        <w:tab/>
        <w:t>董事、监事、高级管理人员报酬确定依据</w:t>
      </w:r>
    </w:p>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依据公司盈利水平及董事、监事、高级管理人员的职责履行情况并结合年度绩效完成情况综合确定。</w:t>
      </w:r>
    </w:p>
    <w:p>
      <w:pPr>
        <w:pStyle w:val="Style9"/>
        <w:keepNext w:val="0"/>
        <w:keepLines w:val="0"/>
        <w:widowControl w:val="0"/>
        <w:shd w:val="clear" w:color="auto" w:fill="auto"/>
        <w:tabs>
          <w:tab w:pos="536" w:val="left"/>
        </w:tabs>
        <w:bidi w:val="0"/>
        <w:spacing w:before="0" w:after="0" w:line="305" w:lineRule="exact"/>
        <w:ind w:left="0" w:right="0" w:firstLine="0"/>
        <w:jc w:val="left"/>
      </w:pPr>
      <w:bookmarkStart w:id="557" w:name="bookmark557"/>
      <w:r>
        <w:rPr>
          <w:color w:val="000000"/>
          <w:spacing w:val="0"/>
          <w:w w:val="100"/>
          <w:position w:val="0"/>
        </w:rPr>
        <w:t>（</w:t>
      </w:r>
      <w:bookmarkEnd w:id="557"/>
      <w:r>
        <w:rPr>
          <w:color w:val="000000"/>
          <w:spacing w:val="0"/>
          <w:w w:val="100"/>
          <w:position w:val="0"/>
        </w:rPr>
        <w:t>三）</w:t>
        <w:tab/>
        <w:t>董事、监事、高级管理人员报酬的实际支付情况</w:t>
      </w:r>
    </w:p>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公司高级管理人员基本工资已发放，年度绩效考核薪酬在董事会审议通过后按时发放；公司独立董事及不在公司任职的非独 立董事津贴将于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w:t>
      </w:r>
      <w:r>
        <w:br w:type="page"/>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469"/>
        <w:gridCol w:w="1267"/>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是否在公司关</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193.25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董事、副总经 理、董事会秘书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肖志宏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宋京生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于风政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杨大贺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马晓丽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陈家贤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罗秀红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527.67</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五</w:t>
      </w:r>
      <w:bookmarkEnd w:id="560"/>
      <w:r>
        <w:rPr>
          <w:color w:val="000000"/>
          <w:spacing w:val="0"/>
          <w:w w:val="100"/>
          <w:position w:val="0"/>
          <w:sz w:val="24"/>
          <w:szCs w:val="24"/>
        </w:rPr>
        <w:t>、公司员工情况</w:t>
      </w:r>
      <w:bookmarkEnd w:id="558"/>
      <w:bookmarkEnd w:id="559"/>
      <w:bookmarkEnd w:id="561"/>
    </w:p>
    <w:p>
      <w:pPr>
        <w:pStyle w:val="Style21"/>
        <w:keepNext/>
        <w:keepLines/>
        <w:widowControl w:val="0"/>
        <w:shd w:val="clear" w:color="auto" w:fill="auto"/>
        <w:bidi w:val="0"/>
        <w:spacing w:before="0" w:after="32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、员工数量、专业构成及教育程度</w:t>
      </w:r>
      <w:bookmarkEnd w:id="562"/>
      <w:bookmarkEnd w:id="563"/>
      <w:bookmarkEnd w:id="56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349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left"/>
            </w:pP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12</w:t>
            </w: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31</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349</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159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349</w:t>
            </w:r>
          </w:p>
        </w:tc>
      </w:tr>
    </w:tbl>
    <w:p>
      <w:pPr>
        <w:widowControl w:val="0"/>
        <w:spacing w:after="279" w:line="1" w:lineRule="exact"/>
      </w:pPr>
    </w:p>
    <w:p>
      <w:pPr>
        <w:pStyle w:val="Style21"/>
        <w:keepNext/>
        <w:keepLines/>
        <w:widowControl w:val="0"/>
        <w:shd w:val="clear" w:color="auto" w:fill="auto"/>
        <w:tabs>
          <w:tab w:pos="378" w:val="left"/>
        </w:tabs>
        <w:bidi w:val="0"/>
        <w:spacing w:before="0" w:after="2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薪酬政策</w:t>
      </w:r>
      <w:bookmarkEnd w:id="566"/>
      <w:bookmarkEnd w:id="567"/>
      <w:bookmarkEnd w:id="569"/>
    </w:p>
    <w:p>
      <w:pPr>
        <w:pStyle w:val="Style9"/>
        <w:keepNext w:val="0"/>
        <w:keepLines w:val="0"/>
        <w:widowControl w:val="0"/>
        <w:shd w:val="clear" w:color="auto" w:fill="auto"/>
        <w:bidi w:val="0"/>
        <w:spacing w:before="0" w:after="40" w:line="317" w:lineRule="exact"/>
        <w:ind w:left="0" w:right="0"/>
        <w:jc w:val="left"/>
      </w:pPr>
      <w:r>
        <w:rPr>
          <w:color w:val="000000"/>
          <w:spacing w:val="0"/>
          <w:w w:val="100"/>
          <w:position w:val="0"/>
        </w:rPr>
        <w:t>公司本着鼓励各级员工恪尽职守，且能为公司赢利与发展积极贡献的目的，实行以责任、能力、绩效为核心计酬依据的 薪酬制度。</w:t>
      </w:r>
    </w:p>
    <w:p>
      <w:pPr>
        <w:pStyle w:val="Style9"/>
        <w:keepNext w:val="0"/>
        <w:keepLines w:val="0"/>
        <w:widowControl w:val="0"/>
        <w:shd w:val="clear" w:color="auto" w:fill="auto"/>
        <w:tabs>
          <w:tab w:pos="896" w:val="left"/>
        </w:tabs>
        <w:bidi w:val="0"/>
        <w:spacing w:before="0" w:after="40" w:line="312" w:lineRule="exact"/>
        <w:ind w:left="0" w:right="0"/>
        <w:jc w:val="left"/>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使员工能合理分享公司经营成果，充分发挥薪酬的激励作用，从而激励员工改善工作表现，加强和提升员工的工 作绩效和公司的经营业绩，以实现公司发展战略目标。</w:t>
      </w:r>
    </w:p>
    <w:p>
      <w:pPr>
        <w:pStyle w:val="Style9"/>
        <w:keepNext w:val="0"/>
        <w:keepLines w:val="0"/>
        <w:widowControl w:val="0"/>
        <w:shd w:val="clear" w:color="auto" w:fill="auto"/>
        <w:tabs>
          <w:tab w:pos="896" w:val="left"/>
        </w:tabs>
        <w:bidi w:val="0"/>
        <w:spacing w:before="0" w:after="360" w:line="317" w:lineRule="exact"/>
        <w:ind w:left="0" w:right="0"/>
        <w:jc w:val="left"/>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w:t>
        <w:tab/>
        <w:t>公司严格遵守劳动法律法规，遵循合法、平等、自愿的原则与员工签订书面劳动合同，依法进行劳动合同的履行、 变更、解除和终止。报告期内，员工劳动合同签订率为</w:t>
      </w:r>
      <w:r>
        <w:rPr>
          <w:rFonts w:ascii="Times New Roman" w:eastAsia="Times New Roman" w:hAnsi="Times New Roman" w:cs="Times New Roman"/>
          <w:color w:val="000000"/>
          <w:spacing w:val="0"/>
          <w:w w:val="100"/>
          <w:position w:val="0"/>
        </w:rPr>
        <w:t>100%</w:t>
      </w:r>
      <w:r>
        <w:rPr>
          <w:color w:val="000000"/>
          <w:spacing w:val="0"/>
          <w:w w:val="100"/>
          <w:position w:val="0"/>
        </w:rPr>
        <w:t>。公司严格遵照国家相关法律法规为员工缴纳社会保险和住房 公积金。</w:t>
      </w:r>
    </w:p>
    <w:p>
      <w:pPr>
        <w:pStyle w:val="Style21"/>
        <w:keepNext/>
        <w:keepLines/>
        <w:widowControl w:val="0"/>
        <w:shd w:val="clear" w:color="auto" w:fill="auto"/>
        <w:tabs>
          <w:tab w:pos="378" w:val="left"/>
        </w:tabs>
        <w:bidi w:val="0"/>
        <w:spacing w:before="0" w:after="2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培训计划</w:t>
      </w:r>
      <w:bookmarkEnd w:id="572"/>
      <w:bookmarkEnd w:id="573"/>
      <w:bookmarkEnd w:id="575"/>
    </w:p>
    <w:p>
      <w:pPr>
        <w:pStyle w:val="Style9"/>
        <w:keepNext w:val="0"/>
        <w:keepLines w:val="0"/>
        <w:widowControl w:val="0"/>
        <w:shd w:val="clear" w:color="auto" w:fill="auto"/>
        <w:tabs>
          <w:tab w:pos="825" w:val="left"/>
        </w:tabs>
        <w:bidi w:val="0"/>
        <w:spacing w:before="0" w:after="40" w:line="316" w:lineRule="exact"/>
        <w:ind w:left="0" w:right="0"/>
        <w:jc w:val="left"/>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w:t>
        <w:tab/>
        <w:t>公司致力于打造全方位的人才培养体系，助力公司战略目标的顺利达成和员工综合能力的持续提高。</w:t>
      </w:r>
    </w:p>
    <w:p>
      <w:pPr>
        <w:pStyle w:val="Style9"/>
        <w:keepNext w:val="0"/>
        <w:keepLines w:val="0"/>
        <w:widowControl w:val="0"/>
        <w:shd w:val="clear" w:color="auto" w:fill="auto"/>
        <w:bidi w:val="0"/>
        <w:spacing w:before="0" w:after="0" w:line="314" w:lineRule="exact"/>
        <w:ind w:left="0" w:right="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 公司建立健全了培训体系，并有针对性地制定了 “新员工入职培训”、“通用技能培训”、“管理技能培训”、 “专业技能培训”，同时，与外部培训机构合作开发各类培训项目。其中：“新员工入职培训”帮助新入职员工了解与融入</w:t>
      </w:r>
    </w:p>
    <w:p>
      <w:pPr>
        <w:pStyle w:val="Style9"/>
        <w:keepNext w:val="0"/>
        <w:keepLines w:val="0"/>
        <w:widowControl w:val="0"/>
        <w:shd w:val="clear" w:color="auto" w:fill="auto"/>
        <w:bidi w:val="0"/>
        <w:spacing w:before="0" w:after="480" w:line="314" w:lineRule="exact"/>
        <w:ind w:left="0" w:right="0" w:firstLine="0"/>
        <w:jc w:val="left"/>
      </w:pPr>
      <w:r>
        <w:rPr>
          <w:color w:val="000000"/>
          <w:spacing w:val="0"/>
          <w:w w:val="100"/>
          <w:position w:val="0"/>
        </w:rPr>
        <w:t>公司，“通用技能培训”帮助员工提升职场通用技能，“管理技能培训”帮助各层级领导干部提升团队管理与统筹规划能力， “专业技能培训”从研发、销售、生产等专业角度提升岗位胜任力。</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企业薪酬成本情况</w:t>
      </w:r>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当期总体薪酬发生额（万元）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5,469.95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总体薪酬占当期营业收入比例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高管人均薪酬金额（万元</w:t>
            </w:r>
            <w:r>
              <w:rPr>
                <w:color w:val="000000"/>
                <w:spacing w:val="0"/>
                <w:w w:val="100"/>
                <w:position w:val="0"/>
              </w:rPr>
              <w:t>/</w:t>
            </w: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所有员工人均薪酬金额（万元</w:t>
            </w:r>
            <w:r>
              <w:rPr>
                <w:color w:val="000000"/>
                <w:spacing w:val="0"/>
                <w:w w:val="100"/>
                <w:position w:val="0"/>
              </w:rPr>
              <w:t>/</w:t>
            </w:r>
            <w:r>
              <w:rPr>
                <w:rFonts w:ascii="SimSun" w:eastAsia="SimSun" w:hAnsi="SimSun" w:cs="SimSun"/>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w:t>
            </w:r>
          </w:p>
        </w:tc>
      </w:tr>
    </w:tbl>
    <w:p>
      <w:pPr>
        <w:pStyle w:val="Style13"/>
        <w:keepNext/>
        <w:keepLines/>
        <w:widowControl w:val="0"/>
        <w:shd w:val="clear" w:color="auto" w:fill="auto"/>
        <w:bidi w:val="0"/>
        <w:spacing w:before="0" w:after="520" w:line="240" w:lineRule="auto"/>
        <w:ind w:left="0" w:right="0" w:firstLine="0"/>
        <w:jc w:val="center"/>
      </w:pPr>
      <w:bookmarkStart w:id="578" w:name="bookmark578"/>
      <w:bookmarkStart w:id="579" w:name="bookmark579"/>
      <w:bookmarkStart w:id="580" w:name="bookmark580"/>
      <w:r>
        <w:rPr>
          <w:color w:val="000000"/>
          <w:spacing w:val="0"/>
          <w:w w:val="100"/>
          <w:position w:val="0"/>
        </w:rPr>
        <w:t>第九节公司治理</w:t>
      </w:r>
      <w:bookmarkEnd w:id="578"/>
      <w:bookmarkEnd w:id="579"/>
      <w:bookmarkEnd w:id="580"/>
    </w:p>
    <w:p>
      <w:pPr>
        <w:pStyle w:val="Style19"/>
        <w:keepNext/>
        <w:keepLines/>
        <w:widowControl w:val="0"/>
        <w:shd w:val="clear" w:color="auto" w:fill="auto"/>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一</w:t>
      </w:r>
      <w:bookmarkEnd w:id="583"/>
      <w:r>
        <w:rPr>
          <w:color w:val="000000"/>
          <w:spacing w:val="0"/>
          <w:w w:val="100"/>
          <w:position w:val="0"/>
          <w:sz w:val="24"/>
          <w:szCs w:val="24"/>
        </w:rPr>
        <w:t>、公司治理的基本状况</w:t>
      </w:r>
      <w:bookmarkEnd w:id="581"/>
      <w:bookmarkEnd w:id="582"/>
      <w:bookmarkEnd w:id="584"/>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公司严格按照《公司法》、《证券法》、《上市公司治理准则》、《深圳证券交易所创业板股票上市规则》、《深圳证券交易所 创业板上市公司规范运作指引》等法律、法规和中国证监会有关法律法规的要求，确定了股东大会、董事会、监事会及经营 管理层的分层治理结构，不断完善公司法人治理结构，建立健全公司内部控制制度，进一步规范公司运作，提高公司治理水 平。公司治理各方面基本符合《上市公司治理准则》和《深圳证券交易所创业板上市公司规范运作指引》的要求。</w:t>
      </w:r>
    </w:p>
    <w:p>
      <w:pPr>
        <w:pStyle w:val="Style9"/>
        <w:keepNext w:val="0"/>
        <w:keepLines w:val="0"/>
        <w:widowControl w:val="0"/>
        <w:shd w:val="clear" w:color="auto" w:fill="auto"/>
        <w:bidi w:val="0"/>
        <w:spacing w:before="0" w:after="0" w:line="312" w:lineRule="exact"/>
        <w:ind w:left="0" w:right="0"/>
        <w:jc w:val="both"/>
      </w:pPr>
      <w:bookmarkStart w:id="585" w:name="bookmark585"/>
      <w:r>
        <w:rPr>
          <w:color w:val="000000"/>
          <w:spacing w:val="0"/>
          <w:w w:val="100"/>
          <w:position w:val="0"/>
        </w:rPr>
        <w:t>（</w:t>
      </w:r>
      <w:bookmarkEnd w:id="585"/>
      <w:r>
        <w:rPr>
          <w:color w:val="000000"/>
          <w:spacing w:val="0"/>
          <w:w w:val="100"/>
          <w:position w:val="0"/>
        </w:rPr>
        <w:t>一）股东与股东大会</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股东大会是公司的最高权力机构，决定公司的经营方针和投资计划，审批董事会、监事会报告，审批公司的年度财务预 算方案、决算方案等。公司股东大会均严格按照《上市公司股东大会规则》、《公司章程》、《股东大会议事规则》等规定召集、 召开股东大会，公司历次股东大会严格遵守表决事项和表决程序的有关规定，并尽可能为股东大会创造便利条件，对每一项 需要审议的事项均设定充裕的时间给股东表达意见，确保所有股东，特别是公众股东的平等地位，充分行使自己的权利，维 护了公司和股东的合法权益。同时，公司聘请专业律师见证股东大会，确保会议召集召开以及表决程序符合相关法律规定， 维护股东的合法权益。报告期内，公司共召开股东大会三次。</w:t>
      </w:r>
    </w:p>
    <w:p>
      <w:pPr>
        <w:pStyle w:val="Style9"/>
        <w:keepNext w:val="0"/>
        <w:keepLines w:val="0"/>
        <w:widowControl w:val="0"/>
        <w:shd w:val="clear" w:color="auto" w:fill="auto"/>
        <w:tabs>
          <w:tab w:pos="776" w:val="left"/>
        </w:tabs>
        <w:bidi w:val="0"/>
        <w:spacing w:before="0" w:after="0" w:line="312" w:lineRule="exact"/>
        <w:ind w:left="0" w:right="0" w:firstLine="300"/>
        <w:jc w:val="both"/>
      </w:pPr>
      <w:bookmarkStart w:id="586" w:name="bookmark586"/>
      <w:r>
        <w:rPr>
          <w:color w:val="000000"/>
          <w:spacing w:val="0"/>
          <w:w w:val="100"/>
          <w:position w:val="0"/>
        </w:rPr>
        <w:t>（</w:t>
      </w:r>
      <w:bookmarkEnd w:id="586"/>
      <w:r>
        <w:rPr>
          <w:color w:val="000000"/>
          <w:spacing w:val="0"/>
          <w:w w:val="100"/>
          <w:position w:val="0"/>
        </w:rPr>
        <w:t>二）</w:t>
        <w:tab/>
        <w:t>公司与控股股东</w:t>
      </w:r>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公司治理结构日臻完善，内部控制体系建设不断加强，并且拥有独立完整的主营业务和自主经营能力，在人员、资产、 业务、管理机构、财务核算体系独立于控股股东和实际控制人，公司董事会、监事会和内部机构独立运作。保证了公司的独 立运转、独立经营、独立承担责任和风险。</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公司控股股东和实际控制人陈喆女士能够依法行使权力，并承担相应义务。报告期内，陈喆女士在公司担任董事长、总 经理职务，严格规范自己的行为，未发生超越股东大会和董事会的授权权限，直接或间接干预公司决策和经营活动及利用期 控制地位侵害其他股东利益的行为出现，对公司治理结构、独立性等均没有产生不利影响，不存在控股股东占用资金以及公 司为控股股东提供担保的情形。</w:t>
      </w:r>
    </w:p>
    <w:p>
      <w:pPr>
        <w:pStyle w:val="Style9"/>
        <w:keepNext w:val="0"/>
        <w:keepLines w:val="0"/>
        <w:widowControl w:val="0"/>
        <w:shd w:val="clear" w:color="auto" w:fill="auto"/>
        <w:tabs>
          <w:tab w:pos="776" w:val="left"/>
        </w:tabs>
        <w:bidi w:val="0"/>
        <w:spacing w:before="0" w:after="0" w:line="312" w:lineRule="exact"/>
        <w:ind w:left="0" w:right="0" w:firstLine="300"/>
        <w:jc w:val="both"/>
      </w:pPr>
      <w:bookmarkStart w:id="587" w:name="bookmark587"/>
      <w:r>
        <w:rPr>
          <w:color w:val="000000"/>
          <w:spacing w:val="0"/>
          <w:w w:val="100"/>
          <w:position w:val="0"/>
        </w:rPr>
        <w:t>（</w:t>
      </w:r>
      <w:bookmarkEnd w:id="587"/>
      <w:r>
        <w:rPr>
          <w:color w:val="000000"/>
          <w:spacing w:val="0"/>
          <w:w w:val="100"/>
          <w:position w:val="0"/>
        </w:rPr>
        <w:t>三）</w:t>
        <w:tab/>
        <w:t>董事与董事会</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名。公司董事不存在《公 司法》第一百四十七条规定的不得担任公司董事的情形，其任免均严格履行董事会、股东大会批准程序，不存在与《公司章 程》及相关法律、法规相抵触的情形。公司选聘董事，董事会人数、构成及资格均符合法律、法规和公司规章的规定。公司 董事会均严格按照《公司章程》及《董事会议事规则》的程序召集、召开。公司董事能够依据《董事会议事规则》、《独立董 事工作制度》、《深圳证券交易所创业板上市公司规范运作指引》等开展工作，出席董事会和股东大会，依法行使职权，勤勉 尽责地履行职责和义务，能够持续关注公司经营状况，主动参加相关培训，提高规范运作水平，积极参加董事会会议，充分 发挥各自的专业特长，审慎决策，维护公司和广大股东的利益。同时积极参加相关培训，熟悉相关法律法则。公司制定了《董 事会议事规则》，严格规范董事会的议事方式和决策水平，促使董事和董事会有效地履行其职责，提高董事会规范运作和科 学决策水平。报告期内，公司共召开董事会会议四次。</w:t>
      </w:r>
    </w:p>
    <w:p>
      <w:pPr>
        <w:pStyle w:val="Style9"/>
        <w:keepNext w:val="0"/>
        <w:keepLines w:val="0"/>
        <w:widowControl w:val="0"/>
        <w:shd w:val="clear" w:color="auto" w:fill="auto"/>
        <w:tabs>
          <w:tab w:pos="776" w:val="left"/>
        </w:tabs>
        <w:bidi w:val="0"/>
        <w:spacing w:before="0" w:after="0" w:line="312" w:lineRule="exact"/>
        <w:ind w:left="0" w:right="0" w:firstLine="300"/>
        <w:jc w:val="both"/>
      </w:pPr>
      <w:bookmarkStart w:id="588" w:name="bookmark588"/>
      <w:r>
        <w:rPr>
          <w:color w:val="000000"/>
          <w:spacing w:val="0"/>
          <w:w w:val="100"/>
          <w:position w:val="0"/>
        </w:rPr>
        <w:t>（</w:t>
      </w:r>
      <w:bookmarkEnd w:id="588"/>
      <w:r>
        <w:rPr>
          <w:color w:val="000000"/>
          <w:spacing w:val="0"/>
          <w:w w:val="100"/>
          <w:position w:val="0"/>
        </w:rPr>
        <w:t>四）</w:t>
        <w:tab/>
        <w:t>监事与监事会</w:t>
      </w:r>
    </w:p>
    <w:p>
      <w:pPr>
        <w:pStyle w:val="Style9"/>
        <w:keepNext w:val="0"/>
        <w:keepLines w:val="0"/>
        <w:widowControl w:val="0"/>
        <w:shd w:val="clear" w:color="auto" w:fill="auto"/>
        <w:bidi w:val="0"/>
        <w:spacing w:before="0" w:line="312" w:lineRule="exact"/>
        <w:ind w:left="0" w:right="0"/>
        <w:jc w:val="both"/>
      </w:pPr>
      <w:r>
        <w:rPr>
          <w:color w:val="000000"/>
          <w:spacing w:val="0"/>
          <w:w w:val="100"/>
          <w:position w:val="0"/>
        </w:rPr>
        <w:t>根据《公司章程》规定，公司监事会由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名，设监事会主席</w:t>
      </w:r>
      <w:r>
        <w:rPr>
          <w:rFonts w:ascii="Times New Roman" w:eastAsia="Times New Roman" w:hAnsi="Times New Roman" w:cs="Times New Roman"/>
          <w:color w:val="000000"/>
          <w:spacing w:val="0"/>
          <w:w w:val="100"/>
          <w:position w:val="0"/>
        </w:rPr>
        <w:t>1</w:t>
      </w:r>
      <w:r>
        <w:rPr>
          <w:color w:val="000000"/>
          <w:spacing w:val="0"/>
          <w:w w:val="100"/>
          <w:position w:val="0"/>
        </w:rPr>
        <w:t>名。公司监事不存在《公司法》 第一百四十七条规定的不得担任公司监事的情形，其任免均严格履行《公司章程》及相关法律、法规在会批准程序，不存 在与《公司章程》及相关法律、法规相抵触的情形，其任免均严格履监事会、股东大会批准程序，不存在与《公司章程》及 相关法律、法规相抵触的情形。公司已制定《监事会议事规则》等制度确保监事会向全体股东负责，对公司财务以及公司董 事、经理及其他高级管理人员履行有职责的合法合规性进行有效监督，维护公司及股东的合法权益。公司也采取了有效措施 保障监事的知情权，能够独立有效地行使对董事、经理和其他高级管理人员进行监督。报告期内，公司共召开监事会会议 四次。</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9"/>
        <w:keepNext/>
        <w:keepLines/>
        <w:widowControl w:val="0"/>
        <w:shd w:val="clear" w:color="auto" w:fill="auto"/>
        <w:tabs>
          <w:tab w:pos="517" w:val="left"/>
        </w:tabs>
        <w:bidi w:val="0"/>
        <w:spacing w:before="0" w:after="24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w:t>
        <w:tab/>
        <w:t>公司相对于控股股东在业务、人员、资产、机构、财务等方面的独立情况</w:t>
      </w:r>
      <w:bookmarkEnd w:id="589"/>
      <w:bookmarkEnd w:id="590"/>
      <w:bookmarkEnd w:id="592"/>
    </w:p>
    <w:p>
      <w:pPr>
        <w:pStyle w:val="Style9"/>
        <w:keepNext w:val="0"/>
        <w:keepLines w:val="0"/>
        <w:widowControl w:val="0"/>
        <w:shd w:val="clear" w:color="auto" w:fill="auto"/>
        <w:bidi w:val="0"/>
        <w:spacing w:before="0" w:after="340" w:line="317" w:lineRule="exact"/>
        <w:ind w:left="0" w:right="0"/>
        <w:jc w:val="left"/>
      </w:pPr>
      <w:r>
        <w:rPr>
          <w:color w:val="000000"/>
          <w:spacing w:val="0"/>
          <w:w w:val="100"/>
          <w:position w:val="0"/>
        </w:rPr>
        <w:t>公司严格按照《公司法》、《证券法》等有关法律、法规和《公司章程》的要求规范运作，与控股股东在业务、人员、资 产、机构、财务等方面完全独立，具有独立完整的业务及自主经营能力。</w:t>
      </w:r>
    </w:p>
    <w:p>
      <w:pPr>
        <w:pStyle w:val="Style19"/>
        <w:keepNext/>
        <w:keepLines/>
        <w:widowControl w:val="0"/>
        <w:shd w:val="clear" w:color="auto" w:fill="auto"/>
        <w:tabs>
          <w:tab w:pos="522" w:val="left"/>
        </w:tabs>
        <w:bidi w:val="0"/>
        <w:spacing w:before="0" w:after="24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同业竞争情况</w:t>
      </w:r>
      <w:bookmarkEnd w:id="593"/>
      <w:bookmarkEnd w:id="594"/>
      <w:bookmarkEnd w:id="596"/>
    </w:p>
    <w:p>
      <w:pPr>
        <w:pStyle w:val="Style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、报告期内召开的年度股东大会和临时股东大会的有关情况</w:t>
      </w:r>
      <w:bookmarkEnd w:id="597"/>
      <w:bookmarkEnd w:id="598"/>
      <w:bookmarkEnd w:id="600"/>
    </w:p>
    <w:p>
      <w:pPr>
        <w:pStyle w:val="Style21"/>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、本报告期股东大会情况</w:t>
      </w:r>
      <w:bookmarkEnd w:id="601"/>
      <w:bookmarkEnd w:id="602"/>
      <w:bookmarkEnd w:id="604"/>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http: </w:t>
            </w:r>
            <w:r>
              <w:rPr>
                <w:color w:val="000000"/>
                <w:spacing w:val="0"/>
                <w:w w:val="100"/>
                <w:position w:val="0"/>
              </w:rPr>
              <w:t xml:space="preserve">// </w:t>
            </w:r>
            <w:r>
              <w:fldChar w:fldCharType="begin"/>
            </w:r>
            <w:r>
              <w:rPr/>
              <w:instrText> HYPERLINK "http://www.csrc" </w:instrText>
            </w:r>
            <w:r>
              <w:fldChar w:fldCharType="separate"/>
            </w:r>
            <w:r>
              <w:rPr>
                <w:color w:val="000000"/>
                <w:spacing w:val="0"/>
                <w:w w:val="100"/>
                <w:position w:val="0"/>
              </w:rPr>
              <w:t>www.csrc</w:t>
            </w:r>
            <w:r>
              <w:fldChar w:fldCharType="end"/>
            </w:r>
            <w:r>
              <w:rPr>
                <w:color w:val="000000"/>
                <w:spacing w:val="0"/>
                <w:w w:val="100"/>
                <w:position w:val="0"/>
              </w:rPr>
              <w:t>. go</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v.cn</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fldChar w:fldCharType="begin"/>
            </w:r>
            <w:r>
              <w:rPr/>
              <w:instrText> HYPERLINK "http://www.csrc.go" </w:instrText>
            </w:r>
            <w:r>
              <w:fldChar w:fldCharType="separate"/>
            </w:r>
            <w:r>
              <w:rPr>
                <w:color w:val="000000"/>
                <w:spacing w:val="0"/>
                <w:w w:val="100"/>
                <w:position w:val="0"/>
              </w:rPr>
              <w:t>http://www.csrc.go</w:t>
            </w:r>
            <w:r>
              <w:fldChar w:fldCharType="end"/>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v.cn</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73.40%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http: </w:t>
            </w:r>
            <w:r>
              <w:rPr>
                <w:color w:val="000000"/>
                <w:spacing w:val="0"/>
                <w:w w:val="100"/>
                <w:position w:val="0"/>
              </w:rPr>
              <w:t xml:space="preserve">/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com.cn</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机构投资者情况</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机构投资者名称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出任董事人数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股东大会参与次数</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基金管理机构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、表决权恢复的优先股股东请求召开临时股东大会</w:t>
      </w:r>
      <w:bookmarkEnd w:id="605"/>
      <w:bookmarkEnd w:id="606"/>
      <w:bookmarkEnd w:id="608"/>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五</w:t>
      </w:r>
      <w:bookmarkEnd w:id="611"/>
      <w:r>
        <w:rPr>
          <w:color w:val="000000"/>
          <w:spacing w:val="0"/>
          <w:w w:val="100"/>
          <w:position w:val="0"/>
          <w:sz w:val="24"/>
          <w:szCs w:val="24"/>
        </w:rPr>
        <w:t>、报告期内独立董事履行职责的情况</w:t>
      </w:r>
      <w:bookmarkEnd w:id="609"/>
      <w:bookmarkEnd w:id="610"/>
      <w:bookmarkEnd w:id="612"/>
    </w:p>
    <w:p>
      <w:pPr>
        <w:pStyle w:val="Style21"/>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、独立董事出席董事会及股东大会的情况</w:t>
      </w:r>
      <w:bookmarkEnd w:id="613"/>
      <w:bookmarkEnd w:id="614"/>
      <w:bookmarkEnd w:id="616"/>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以通讯方式参</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是否连续两次 未亲自参加会 议</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p>
    <w:tbl>
      <w:tblPr>
        <w:tblOverlap w:val="never"/>
        <w:jc w:val="center"/>
        <w:tblLayout w:type="fixed"/>
      </w:tblPr>
      <w:tblGrid>
        <w:gridCol w:w="1632"/>
        <w:gridCol w:w="1320"/>
        <w:gridCol w:w="1325"/>
        <w:gridCol w:w="1325"/>
        <w:gridCol w:w="1325"/>
        <w:gridCol w:w="1325"/>
        <w:gridCol w:w="1330"/>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于风政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杨大贺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1"/>
        <w:keepNext/>
        <w:keepLines/>
        <w:widowControl w:val="0"/>
        <w:shd w:val="clear" w:color="auto" w:fill="auto"/>
        <w:bidi w:val="0"/>
        <w:spacing w:before="0" w:after="2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、独立董事对公司有关事项提出异议的情况</w:t>
      </w:r>
      <w:bookmarkEnd w:id="617"/>
      <w:bookmarkEnd w:id="618"/>
      <w:bookmarkEnd w:id="620"/>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独立董事对公司有关事项是否提出异议</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21"/>
        <w:keepNext/>
        <w:keepLines/>
        <w:widowControl w:val="0"/>
        <w:shd w:val="clear" w:color="auto" w:fill="auto"/>
        <w:bidi w:val="0"/>
        <w:spacing w:before="0" w:after="260" w:line="240" w:lineRule="auto"/>
        <w:ind w:left="0" w:right="0" w:firstLine="0"/>
        <w:jc w:val="left"/>
      </w:pPr>
      <w:bookmarkStart w:id="621" w:name="bookmark621"/>
      <w:bookmarkStart w:id="622" w:name="bookmark622"/>
      <w:bookmarkStart w:id="623" w:name="bookmark623"/>
      <w:r>
        <w:rPr>
          <w:color w:val="000000"/>
          <w:spacing w:val="0"/>
          <w:w w:val="100"/>
          <w:position w:val="0"/>
        </w:rPr>
        <w:t>独立董事履行职责的其他说明</w:t>
      </w:r>
      <w:bookmarkEnd w:id="621"/>
      <w:bookmarkEnd w:id="622"/>
      <w:bookmarkEnd w:id="623"/>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独立董事对公司有关建议是否被采纳</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19"/>
        <w:keepNext/>
        <w:keepLines/>
        <w:widowControl w:val="0"/>
        <w:shd w:val="clear" w:color="auto" w:fill="auto"/>
        <w:tabs>
          <w:tab w:pos="569"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六</w:t>
      </w:r>
      <w:bookmarkEnd w:id="626"/>
      <w:r>
        <w:rPr>
          <w:color w:val="000000"/>
          <w:spacing w:val="0"/>
          <w:w w:val="100"/>
          <w:position w:val="0"/>
          <w:sz w:val="24"/>
          <w:szCs w:val="24"/>
        </w:rPr>
        <w:t>、</w:t>
        <w:tab/>
        <w:t>董事会下设专门委员会在报告期内履行职责情况</w:t>
      </w:r>
      <w:bookmarkEnd w:id="624"/>
      <w:bookmarkEnd w:id="625"/>
      <w:bookmarkEnd w:id="627"/>
    </w:p>
    <w:p>
      <w:pPr>
        <w:pStyle w:val="Style9"/>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年，公司董事会下设的四个专门委员会严格按照《公司章程》、《董事会议事规则》及各专门委员会的实施细则等相 关规定履行各项职责。现将</w:t>
      </w:r>
      <w:r>
        <w:rPr>
          <w:rFonts w:ascii="Times New Roman" w:eastAsia="Times New Roman" w:hAnsi="Times New Roman" w:cs="Times New Roman"/>
          <w:color w:val="000000"/>
          <w:spacing w:val="0"/>
          <w:w w:val="100"/>
          <w:position w:val="0"/>
        </w:rPr>
        <w:t>2016</w:t>
      </w:r>
      <w:r>
        <w:rPr>
          <w:color w:val="000000"/>
          <w:spacing w:val="0"/>
          <w:w w:val="100"/>
          <w:position w:val="0"/>
        </w:rPr>
        <w:t>年度公司董事会专门委员会履职情况报告如下：</w:t>
      </w:r>
    </w:p>
    <w:p>
      <w:pPr>
        <w:pStyle w:val="Style9"/>
        <w:keepNext w:val="0"/>
        <w:keepLines w:val="0"/>
        <w:widowControl w:val="0"/>
        <w:shd w:val="clear" w:color="auto" w:fill="auto"/>
        <w:tabs>
          <w:tab w:pos="714" w:val="left"/>
        </w:tabs>
        <w:bidi w:val="0"/>
        <w:spacing w:before="0" w:after="0" w:line="311" w:lineRule="exact"/>
        <w:ind w:left="0" w:right="0"/>
        <w:jc w:val="both"/>
      </w:pPr>
      <w:bookmarkStart w:id="628" w:name="bookmark628"/>
      <w:r>
        <w:rPr>
          <w:rFonts w:ascii="Times New Roman" w:eastAsia="Times New Roman" w:hAnsi="Times New Roman" w:cs="Times New Roman"/>
          <w:color w:val="000000"/>
          <w:spacing w:val="0"/>
          <w:w w:val="100"/>
          <w:position w:val="0"/>
        </w:rPr>
        <w:t>1</w:t>
      </w:r>
      <w:bookmarkEnd w:id="628"/>
      <w:r>
        <w:rPr>
          <w:color w:val="000000"/>
          <w:spacing w:val="0"/>
          <w:w w:val="100"/>
          <w:position w:val="0"/>
        </w:rPr>
        <w:t>、</w:t>
        <w:tab/>
        <w:t>审计委员会</w:t>
      </w:r>
    </w:p>
    <w:p>
      <w:pPr>
        <w:pStyle w:val="Style9"/>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报告期内，公司董事会审计委员会对公司募集资金使用、财务审计报告、定期报告、聘请年报审计机构、财务预算、利 润分配、公司内审报告、审计部工作等相关事项进行了审查与监督，重点对公司各定期报告工作进行了审核并出具了相关书 面意见。报告期内，审计委员会共召开</w:t>
      </w:r>
      <w:r>
        <w:rPr>
          <w:rFonts w:ascii="Times New Roman" w:eastAsia="Times New Roman" w:hAnsi="Times New Roman" w:cs="Times New Roman"/>
          <w:color w:val="000000"/>
          <w:spacing w:val="0"/>
          <w:w w:val="100"/>
          <w:position w:val="0"/>
        </w:rPr>
        <w:t>5</w:t>
      </w:r>
      <w:r>
        <w:rPr>
          <w:color w:val="000000"/>
          <w:spacing w:val="0"/>
          <w:w w:val="100"/>
          <w:position w:val="0"/>
        </w:rPr>
        <w:t>次会议，尤其在</w:t>
      </w:r>
      <w:r>
        <w:rPr>
          <w:rFonts w:ascii="Times New Roman" w:eastAsia="Times New Roman" w:hAnsi="Times New Roman" w:cs="Times New Roman"/>
          <w:color w:val="000000"/>
          <w:spacing w:val="0"/>
          <w:w w:val="100"/>
          <w:position w:val="0"/>
        </w:rPr>
        <w:t>2015</w:t>
      </w:r>
      <w:r>
        <w:rPr>
          <w:color w:val="000000"/>
          <w:spacing w:val="0"/>
          <w:w w:val="100"/>
          <w:position w:val="0"/>
        </w:rPr>
        <w:t>年度报告审核期间，审计委员会专门安排时间与会计师、财务 负责人等进行了沟通，并形成了书面沟通记录，并为上述期间审计报告等议案进行审议并形成了决议。</w:t>
      </w:r>
    </w:p>
    <w:p>
      <w:pPr>
        <w:pStyle w:val="Style9"/>
        <w:keepNext w:val="0"/>
        <w:keepLines w:val="0"/>
        <w:widowControl w:val="0"/>
        <w:shd w:val="clear" w:color="auto" w:fill="auto"/>
        <w:tabs>
          <w:tab w:pos="734" w:val="left"/>
        </w:tabs>
        <w:bidi w:val="0"/>
        <w:spacing w:before="0" w:after="0" w:line="311" w:lineRule="exact"/>
        <w:ind w:left="0" w:right="0"/>
        <w:jc w:val="left"/>
      </w:pPr>
      <w:bookmarkStart w:id="629" w:name="bookmark629"/>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薪酬与考核委员会</w:t>
      </w:r>
    </w:p>
    <w:p>
      <w:pPr>
        <w:pStyle w:val="Style9"/>
        <w:keepNext w:val="0"/>
        <w:keepLines w:val="0"/>
        <w:widowControl w:val="0"/>
        <w:shd w:val="clear" w:color="auto" w:fill="auto"/>
        <w:bidi w:val="0"/>
        <w:spacing w:before="0" w:after="0" w:line="298" w:lineRule="exact"/>
        <w:ind w:left="0" w:right="0"/>
        <w:jc w:val="left"/>
      </w:pPr>
      <w:r>
        <w:rPr>
          <w:color w:val="000000"/>
          <w:spacing w:val="0"/>
          <w:w w:val="100"/>
          <w:position w:val="0"/>
        </w:rPr>
        <w:t>报告期内，公司董事会薪酬与考核委员会召开会议</w:t>
      </w:r>
      <w:r>
        <w:rPr>
          <w:rFonts w:ascii="Times New Roman" w:eastAsia="Times New Roman" w:hAnsi="Times New Roman" w:cs="Times New Roman"/>
          <w:color w:val="000000"/>
          <w:spacing w:val="0"/>
          <w:w w:val="100"/>
          <w:position w:val="0"/>
        </w:rPr>
        <w:t>1</w:t>
      </w:r>
      <w:r>
        <w:rPr>
          <w:color w:val="000000"/>
          <w:spacing w:val="0"/>
          <w:w w:val="100"/>
          <w:position w:val="0"/>
        </w:rPr>
        <w:t>次，就公司董事津贴、高级管理人员薪酬及津贴、以及非独立董事、 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年度履职情况的报告事宜召开专门会议审议，审核无异议。</w:t>
      </w:r>
    </w:p>
    <w:p>
      <w:pPr>
        <w:pStyle w:val="Style9"/>
        <w:keepNext w:val="0"/>
        <w:keepLines w:val="0"/>
        <w:widowControl w:val="0"/>
        <w:shd w:val="clear" w:color="auto" w:fill="auto"/>
        <w:tabs>
          <w:tab w:pos="734" w:val="left"/>
        </w:tabs>
        <w:bidi w:val="0"/>
        <w:spacing w:before="0" w:after="0" w:line="298" w:lineRule="exact"/>
        <w:ind w:left="0" w:right="0"/>
        <w:jc w:val="both"/>
      </w:pPr>
      <w:bookmarkStart w:id="630" w:name="bookmark630"/>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战略委员会</w:t>
      </w:r>
    </w:p>
    <w:p>
      <w:pPr>
        <w:pStyle w:val="Style9"/>
        <w:keepNext w:val="0"/>
        <w:keepLines w:val="0"/>
        <w:widowControl w:val="0"/>
        <w:shd w:val="clear" w:color="auto" w:fill="auto"/>
        <w:bidi w:val="0"/>
        <w:spacing w:before="0" w:after="360" w:line="322" w:lineRule="exact"/>
        <w:ind w:left="0" w:right="0"/>
        <w:jc w:val="left"/>
      </w:pPr>
      <w:r>
        <w:rPr>
          <w:color w:val="000000"/>
          <w:spacing w:val="0"/>
          <w:w w:val="100"/>
          <w:position w:val="0"/>
        </w:rPr>
        <w:t>报告期内，公司战略委员会召开会议</w:t>
      </w:r>
      <w:r>
        <w:rPr>
          <w:rFonts w:ascii="Times New Roman" w:eastAsia="Times New Roman" w:hAnsi="Times New Roman" w:cs="Times New Roman"/>
          <w:color w:val="000000"/>
          <w:spacing w:val="0"/>
          <w:w w:val="100"/>
          <w:position w:val="0"/>
        </w:rPr>
        <w:t>2</w:t>
      </w:r>
      <w:r>
        <w:rPr>
          <w:color w:val="000000"/>
          <w:spacing w:val="0"/>
          <w:w w:val="100"/>
          <w:position w:val="0"/>
        </w:rPr>
        <w:t>次。就公司</w:t>
      </w:r>
      <w:r>
        <w:rPr>
          <w:rFonts w:ascii="Times New Roman" w:eastAsia="Times New Roman" w:hAnsi="Times New Roman" w:cs="Times New Roman"/>
          <w:color w:val="000000"/>
          <w:spacing w:val="0"/>
          <w:w w:val="100"/>
          <w:position w:val="0"/>
        </w:rPr>
        <w:t>2016</w:t>
      </w:r>
      <w:r>
        <w:rPr>
          <w:color w:val="000000"/>
          <w:spacing w:val="0"/>
          <w:w w:val="100"/>
          <w:position w:val="0"/>
        </w:rPr>
        <w:t>年度总体经营方针和投资计划、</w:t>
      </w:r>
      <w:r>
        <w:rPr>
          <w:rFonts w:ascii="Times New Roman" w:eastAsia="Times New Roman" w:hAnsi="Times New Roman" w:cs="Times New Roman"/>
          <w:color w:val="000000"/>
          <w:spacing w:val="0"/>
          <w:w w:val="100"/>
          <w:position w:val="0"/>
        </w:rPr>
        <w:t>ERP</w:t>
      </w:r>
      <w:r>
        <w:rPr>
          <w:color w:val="000000"/>
          <w:spacing w:val="0"/>
          <w:w w:val="100"/>
          <w:position w:val="0"/>
        </w:rPr>
        <w:t>建设分别召开专门会议审议， 审核无异议。</w:t>
      </w:r>
    </w:p>
    <w:p>
      <w:pPr>
        <w:pStyle w:val="Style19"/>
        <w:keepNext/>
        <w:keepLines/>
        <w:widowControl w:val="0"/>
        <w:shd w:val="clear" w:color="auto" w:fill="auto"/>
        <w:tabs>
          <w:tab w:pos="569" w:val="left"/>
        </w:tabs>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七</w:t>
      </w:r>
      <w:bookmarkEnd w:id="633"/>
      <w:r>
        <w:rPr>
          <w:color w:val="000000"/>
          <w:spacing w:val="0"/>
          <w:w w:val="100"/>
          <w:position w:val="0"/>
          <w:sz w:val="24"/>
          <w:szCs w:val="24"/>
        </w:rPr>
        <w:t>、</w:t>
        <w:tab/>
        <w:t>监事会工作情况</w:t>
      </w:r>
      <w:bookmarkEnd w:id="631"/>
      <w:bookmarkEnd w:id="632"/>
      <w:bookmarkEnd w:id="634"/>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监事会在报告期内的监督活动中发现公司是否存在风险</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公司监事会对报告期内的监督事项无异议。</w:t>
      </w:r>
    </w:p>
    <w:p>
      <w:pPr>
        <w:pStyle w:val="Style19"/>
        <w:keepNext/>
        <w:keepLines/>
        <w:widowControl w:val="0"/>
        <w:shd w:val="clear" w:color="auto" w:fill="auto"/>
        <w:tabs>
          <w:tab w:pos="569" w:val="left"/>
        </w:tabs>
        <w:bidi w:val="0"/>
        <w:spacing w:before="0" w:after="36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八</w:t>
      </w:r>
      <w:bookmarkEnd w:id="637"/>
      <w:r>
        <w:rPr>
          <w:color w:val="000000"/>
          <w:spacing w:val="0"/>
          <w:w w:val="100"/>
          <w:position w:val="0"/>
          <w:sz w:val="24"/>
          <w:szCs w:val="24"/>
        </w:rPr>
        <w:t>、</w:t>
        <w:tab/>
        <w:t>高级管理人员的考评及激励情况</w:t>
      </w:r>
      <w:bookmarkEnd w:id="635"/>
      <w:bookmarkEnd w:id="636"/>
      <w:bookmarkEnd w:id="638"/>
    </w:p>
    <w:p>
      <w:pPr>
        <w:pStyle w:val="Style9"/>
        <w:keepNext w:val="0"/>
        <w:keepLines w:val="0"/>
        <w:widowControl w:val="0"/>
        <w:shd w:val="clear" w:color="auto" w:fill="auto"/>
        <w:bidi w:val="0"/>
        <w:spacing w:before="0" w:after="340" w:line="240" w:lineRule="auto"/>
        <w:ind w:left="0" w:right="0"/>
        <w:jc w:val="both"/>
      </w:pPr>
      <w:r>
        <w:rPr>
          <w:color w:val="000000"/>
          <w:spacing w:val="0"/>
          <w:w w:val="100"/>
          <w:position w:val="0"/>
        </w:rPr>
        <w:t>公司董事会按年度对公司高级管理人员的业绩及履职情况进行考评，并工作业绩决定年度薪酬，以考核结果作为下一年</w:t>
        <w:br w:type="page"/>
      </w:r>
      <w:r>
        <w:rPr>
          <w:color w:val="000000"/>
          <w:spacing w:val="0"/>
          <w:w w:val="100"/>
          <w:position w:val="0"/>
        </w:rPr>
        <w:t>度的岗位安排、年薪档次、是否续聘及职位升降和下一届任免的依据。公司对高级管理人员实行年薪制，分基本工资及绩效 奖金两部分。董事会根据公司盈利水平和个人的岗位职责确定年度工资额；每年年终董事会根据高级管理人员本年度的工作 业绩进行考评后确定对高级管理人员的奖金总额。</w:t>
      </w:r>
    </w:p>
    <w:p>
      <w:pPr>
        <w:pStyle w:val="Style19"/>
        <w:keepNext/>
        <w:keepLines/>
        <w:widowControl w:val="0"/>
        <w:shd w:val="clear" w:color="auto" w:fill="auto"/>
        <w:bidi w:val="0"/>
        <w:spacing w:before="0" w:after="34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sz w:val="24"/>
          <w:szCs w:val="24"/>
        </w:rPr>
        <w:t>九</w:t>
      </w:r>
      <w:bookmarkEnd w:id="641"/>
      <w:r>
        <w:rPr>
          <w:color w:val="000000"/>
          <w:spacing w:val="0"/>
          <w:w w:val="100"/>
          <w:position w:val="0"/>
          <w:sz w:val="24"/>
          <w:szCs w:val="24"/>
        </w:rPr>
        <w:t>、内部控制评价报告</w:t>
      </w:r>
      <w:bookmarkEnd w:id="639"/>
      <w:bookmarkEnd w:id="640"/>
      <w:bookmarkEnd w:id="642"/>
    </w:p>
    <w:p>
      <w:pPr>
        <w:pStyle w:val="Style21"/>
        <w:keepNext/>
        <w:keepLines/>
        <w:widowControl w:val="0"/>
        <w:shd w:val="clear" w:color="auto" w:fill="auto"/>
        <w:bidi w:val="0"/>
        <w:spacing w:before="0" w:after="260" w:line="240" w:lineRule="auto"/>
        <w:ind w:left="0" w:right="0" w:firstLine="0"/>
        <w:jc w:val="both"/>
      </w:pPr>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43"/>
      <w:bookmarkEnd w:id="644"/>
      <w:bookmarkEnd w:id="645"/>
    </w:p>
    <w:p>
      <w:pPr>
        <w:pStyle w:val="Style9"/>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口是/否</w:t>
      </w:r>
    </w:p>
    <w:p>
      <w:pPr>
        <w:pStyle w:val="Style21"/>
        <w:keepNext/>
        <w:keepLines/>
        <w:widowControl w:val="0"/>
        <w:shd w:val="clear" w:color="auto" w:fill="auto"/>
        <w:bidi w:val="0"/>
        <w:spacing w:before="0" w:line="240" w:lineRule="auto"/>
        <w:ind w:left="0" w:right="0" w:firstLine="0"/>
        <w:jc w:val="both"/>
      </w:pP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46"/>
      <w:bookmarkEnd w:id="647"/>
      <w:bookmarkEnd w:id="648"/>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纳入评价范围单位资产总额占公司合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纳入评价范围单位营业收入占公司合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289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未依照公认会计准则选择和应用会计政 策；未建立反舞弊程序和控制措施；对 于非常规或特殊交易的账务处理没有建 立相应的控制机制或没有相应的补偿性 控制；对于期末财务报告过程的控制存 在一项或多项缺陷且不能合理保证编制 的财务报表达到真实、准确的目标。一 般缺陷是指除上述重大缺陷、重大缺陷 之外的其他控制缺陷。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非财务报告重大缺陷定性标准：违犯 国家法律法规或规范性文件、重大决 策程序不科学、制度缺失可能导致系 统性失效、重大或重要缺陷不能得到 整改、其他对公司负面影响重大的情 形。其他情形按影响程度分别确定为 重要缺陷或一般缺陷。</w:t>
            </w:r>
          </w:p>
        </w:tc>
      </w:tr>
      <w:tr>
        <w:trPr>
          <w:trHeight w:val="410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重大缺陷指考虑补偿性控制措施和实际 偏差率后，该缺陷总体影响水平高于营 业收入的</w:t>
            </w:r>
            <w:r>
              <w:rPr>
                <w:color w:val="000000"/>
                <w:spacing w:val="0"/>
                <w:w w:val="100"/>
                <w:position w:val="0"/>
              </w:rPr>
              <w:t>0.5%</w:t>
            </w:r>
            <w:r>
              <w:rPr>
                <w:rFonts w:ascii="SimSun" w:eastAsia="SimSun" w:hAnsi="SimSun" w:cs="SimSun"/>
                <w:color w:val="000000"/>
                <w:spacing w:val="0"/>
                <w:w w:val="100"/>
                <w:position w:val="0"/>
              </w:rPr>
              <w:t>；重要缺陷考虑补偿性控 制措施和实际偏差率后，该缺陷总体影 响水平低于营业收入的</w:t>
            </w:r>
            <w:r>
              <w:rPr>
                <w:color w:val="000000"/>
                <w:spacing w:val="0"/>
                <w:w w:val="100"/>
                <w:position w:val="0"/>
              </w:rPr>
              <w:t>0.5%</w:t>
            </w:r>
            <w:r>
              <w:rPr>
                <w:rFonts w:ascii="SimSun" w:eastAsia="SimSun" w:hAnsi="SimSun" w:cs="SimSun"/>
                <w:color w:val="000000"/>
                <w:spacing w:val="0"/>
                <w:w w:val="100"/>
                <w:position w:val="0"/>
              </w:rPr>
              <w:t>,但高于营 业收入的</w:t>
            </w:r>
            <w:r>
              <w:rPr>
                <w:color w:val="000000"/>
                <w:spacing w:val="0"/>
                <w:w w:val="100"/>
                <w:position w:val="0"/>
              </w:rPr>
              <w:t>0.1%</w:t>
            </w:r>
            <w:r>
              <w:rPr>
                <w:rFonts w:ascii="SimSun" w:eastAsia="SimSun" w:hAnsi="SimSun" w:cs="SimSun"/>
                <w:color w:val="000000"/>
                <w:spacing w:val="0"/>
                <w:w w:val="100"/>
                <w:position w:val="0"/>
              </w:rPr>
              <w:t>； 一般缺陷考虑补偿性控 制措施和实际偏差率后，该缺陷总体影 响水平低于营业收入的</w:t>
            </w:r>
            <w:r>
              <w:rPr>
                <w:color w:val="000000"/>
                <w:spacing w:val="0"/>
                <w:w w:val="100"/>
                <w:position w:val="0"/>
              </w:rPr>
              <w:t>0.1%</w:t>
            </w:r>
            <w:r>
              <w:rPr>
                <w:rFonts w:ascii="SimSun" w:eastAsia="SimSun" w:hAnsi="SimSun" w:cs="SimSun"/>
                <w:color w:val="000000"/>
                <w:spacing w:val="0"/>
                <w:w w:val="100"/>
                <w:position w:val="0"/>
              </w:rPr>
              <w:t>；公司确定 的财务报告内部控制缺陷评价的定性标 准如下：财务报告重大缺陷的定性标准： 公司董事、监事和高级管理人员的舞弊 行为；公司更正已公布的财务报告；注 册会计师发现的却未被公司内部控制识</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已经对外正式披露并对公司定期报 告披露造成负面影响、企业关键岗位 人员流失严重、重大决策失误、重大 安全事故、受到国家政府部门处罚 等，造成直接财产损失或潜在负面影 响</w:t>
            </w:r>
            <w:r>
              <w:rPr>
                <w:color w:val="000000"/>
                <w:spacing w:val="0"/>
                <w:w w:val="100"/>
                <w:position w:val="0"/>
              </w:rPr>
              <w:t>500</w:t>
            </w:r>
            <w:r>
              <w:rPr>
                <w:rFonts w:ascii="SimSun" w:eastAsia="SimSun" w:hAnsi="SimSun" w:cs="SimSun"/>
                <w:color w:val="000000"/>
                <w:spacing w:val="0"/>
                <w:w w:val="100"/>
                <w:position w:val="0"/>
              </w:rPr>
              <w:t xml:space="preserve">万元（含）以上为重大缺陷； </w:t>
            </w:r>
            <w:r>
              <w:rPr>
                <w:color w:val="000000"/>
                <w:spacing w:val="0"/>
                <w:w w:val="100"/>
                <w:position w:val="0"/>
              </w:rPr>
              <w:t>50</w:t>
            </w:r>
            <w:r>
              <w:rPr>
                <w:rFonts w:ascii="SimSun" w:eastAsia="SimSun" w:hAnsi="SimSun" w:cs="SimSun"/>
                <w:color w:val="000000"/>
                <w:spacing w:val="0"/>
                <w:w w:val="100"/>
                <w:position w:val="0"/>
              </w:rPr>
              <w:t>万元（含）至</w:t>
            </w:r>
            <w:r>
              <w:rPr>
                <w:color w:val="000000"/>
                <w:spacing w:val="0"/>
                <w:w w:val="100"/>
                <w:position w:val="0"/>
              </w:rPr>
              <w:t>500</w:t>
            </w:r>
            <w:r>
              <w:rPr>
                <w:rFonts w:ascii="SimSun" w:eastAsia="SimSun" w:hAnsi="SimSun" w:cs="SimSun"/>
                <w:color w:val="000000"/>
                <w:spacing w:val="0"/>
                <w:w w:val="100"/>
                <w:position w:val="0"/>
              </w:rPr>
              <w:t xml:space="preserve">万元为重要缺陷； </w:t>
            </w:r>
            <w:r>
              <w:rPr>
                <w:color w:val="000000"/>
                <w:spacing w:val="0"/>
                <w:w w:val="100"/>
                <w:position w:val="0"/>
              </w:rPr>
              <w:t>50</w:t>
            </w:r>
            <w:r>
              <w:rPr>
                <w:rFonts w:ascii="SimSun" w:eastAsia="SimSun" w:hAnsi="SimSun" w:cs="SimSun"/>
                <w:color w:val="000000"/>
                <w:spacing w:val="0"/>
                <w:w w:val="100"/>
                <w:position w:val="0"/>
              </w:rPr>
              <w:t>万元以下为一般缺陷。</w:t>
            </w:r>
          </w:p>
        </w:tc>
      </w:tr>
    </w:tbl>
    <w:p>
      <w:pPr>
        <w:widowControl w:val="0"/>
        <w:spacing w:line="1" w:lineRule="exact"/>
      </w:pPr>
      <w:r>
        <w:br w:type="page"/>
      </w:r>
    </w:p>
    <w:tbl>
      <w:tblPr>
        <w:tblOverlap w:val="never"/>
        <w:jc w:val="center"/>
        <w:tblLayout w:type="fixed"/>
      </w:tblPr>
      <w:tblGrid>
        <w:gridCol w:w="3202"/>
        <w:gridCol w:w="3322"/>
        <w:gridCol w:w="30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别的当期财务报告中的重大错报；审计 委员会和审计部对公司的对外财务报告 和财务报告内部监督无效。</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十、内部控制审计报告或鉴证报告</w:t>
      </w:r>
      <w:bookmarkEnd w:id="649"/>
      <w:bookmarkEnd w:id="650"/>
      <w:bookmarkEnd w:id="651"/>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汇金科技于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日在所有重大方面保持了按照财政部颁布的《企业内部控制基本规范》的有关规范标准中 与财务报表相关的有效的内部控制。</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会计师事务所是否出具非标准意见的内部控制鉴证报告</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口是/否</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9"/>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364" w:right="1049" w:bottom="1532" w:left="1079" w:header="0" w:footer="3" w:gutter="0"/>
          <w:cols w:space="720"/>
          <w:noEndnote/>
          <w:rtlGutter w:val="0"/>
          <w:docGrid w:linePitch="360"/>
        </w:sectPr>
      </w:pPr>
      <w:r>
        <w:rPr>
          <w:color w:val="000000"/>
          <w:spacing w:val="0"/>
          <w:w w:val="100"/>
          <w:position w:val="0"/>
        </w:rPr>
        <w:t>/是□否</w:t>
      </w:r>
    </w:p>
    <w:p>
      <w:pPr>
        <w:pStyle w:val="Style13"/>
        <w:keepNext/>
        <w:keepLines/>
        <w:widowControl w:val="0"/>
        <w:shd w:val="clear" w:color="auto" w:fill="auto"/>
        <w:bidi w:val="0"/>
        <w:spacing w:before="0" w:after="560" w:line="240" w:lineRule="auto"/>
        <w:ind w:left="0" w:right="0" w:firstLine="0"/>
        <w:jc w:val="center"/>
      </w:pPr>
      <w:bookmarkStart w:id="652" w:name="bookmark652"/>
      <w:bookmarkStart w:id="653" w:name="bookmark653"/>
      <w:bookmarkStart w:id="654" w:name="bookmark654"/>
      <w:r>
        <w:rPr>
          <w:color w:val="000000"/>
          <w:spacing w:val="0"/>
          <w:w w:val="100"/>
          <w:position w:val="0"/>
        </w:rPr>
        <w:t>第十节公司债券相关情况</w:t>
      </w:r>
      <w:bookmarkEnd w:id="652"/>
      <w:bookmarkEnd w:id="653"/>
      <w:bookmarkEnd w:id="654"/>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00" w:after="520" w:line="240" w:lineRule="auto"/>
        <w:ind w:left="0" w:right="0" w:firstLine="0"/>
        <w:jc w:val="center"/>
      </w:pPr>
      <w:bookmarkStart w:id="655" w:name="bookmark655"/>
      <w:bookmarkStart w:id="656" w:name="bookmark656"/>
      <w:bookmarkStart w:id="657" w:name="bookmark657"/>
      <w:r>
        <w:rPr>
          <w:color w:val="000000"/>
          <w:spacing w:val="0"/>
          <w:w w:val="100"/>
          <w:position w:val="0"/>
        </w:rPr>
        <w:t>第十一节财务报告</w:t>
      </w:r>
      <w:bookmarkEnd w:id="655"/>
      <w:bookmarkEnd w:id="656"/>
      <w:bookmarkEnd w:id="657"/>
    </w:p>
    <w:p>
      <w:pPr>
        <w:pStyle w:val="Style19"/>
        <w:keepNext/>
        <w:keepLines/>
        <w:widowControl w:val="0"/>
        <w:shd w:val="clear" w:color="auto" w:fill="auto"/>
        <w:bidi w:val="0"/>
        <w:spacing w:before="0" w:after="300" w:line="240" w:lineRule="auto"/>
        <w:ind w:left="0" w:right="0" w:firstLine="240"/>
        <w:jc w:val="left"/>
      </w:pPr>
      <w:bookmarkStart w:id="658" w:name="bookmark658"/>
      <w:bookmarkStart w:id="659" w:name="bookmark659"/>
      <w:bookmarkStart w:id="660" w:name="bookmark660"/>
      <w:r>
        <w:rPr>
          <w:color w:val="000000"/>
          <w:spacing w:val="0"/>
          <w:w w:val="100"/>
          <w:position w:val="0"/>
          <w:sz w:val="24"/>
          <w:szCs w:val="24"/>
        </w:rPr>
        <w:t>、审计报告</w:t>
      </w:r>
      <w:bookmarkEnd w:id="658"/>
      <w:bookmarkEnd w:id="659"/>
      <w:bookmarkEnd w:id="66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[2017]40060001</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王远、邵桂荣</w:t>
            </w:r>
          </w:p>
        </w:tc>
      </w:tr>
    </w:tbl>
    <w:p>
      <w:pPr>
        <w:widowControl w:val="0"/>
        <w:spacing w:after="239" w:line="1" w:lineRule="exact"/>
      </w:pPr>
    </w:p>
    <w:p>
      <w:pPr>
        <w:pStyle w:val="Style19"/>
        <w:keepNext/>
        <w:keepLines/>
        <w:widowControl w:val="0"/>
        <w:shd w:val="clear" w:color="auto" w:fill="auto"/>
        <w:bidi w:val="0"/>
        <w:spacing w:before="0" w:after="240" w:line="240" w:lineRule="auto"/>
        <w:ind w:left="0" w:right="0" w:firstLine="0"/>
        <w:jc w:val="center"/>
      </w:pPr>
      <w:bookmarkStart w:id="661" w:name="bookmark661"/>
      <w:bookmarkStart w:id="662" w:name="bookmark662"/>
      <w:bookmarkStart w:id="663" w:name="bookmark663"/>
      <w:r>
        <w:rPr>
          <w:color w:val="000000"/>
          <w:spacing w:val="0"/>
          <w:w w:val="100"/>
          <w:position w:val="0"/>
          <w:sz w:val="24"/>
          <w:szCs w:val="24"/>
        </w:rPr>
        <w:t>审计报告正文</w:t>
      </w:r>
      <w:bookmarkEnd w:id="661"/>
      <w:bookmarkEnd w:id="662"/>
      <w:bookmarkEnd w:id="663"/>
    </w:p>
    <w:p>
      <w:pPr>
        <w:pStyle w:val="Style9"/>
        <w:keepNext w:val="0"/>
        <w:keepLines w:val="0"/>
        <w:widowControl w:val="0"/>
        <w:shd w:val="clear" w:color="auto" w:fill="auto"/>
        <w:bidi w:val="0"/>
        <w:spacing w:before="0" w:after="380" w:line="307" w:lineRule="exact"/>
        <w:ind w:left="0" w:right="0" w:firstLine="480"/>
        <w:jc w:val="left"/>
      </w:pPr>
      <w:r>
        <w:rPr>
          <w:color w:val="000000"/>
          <w:spacing w:val="0"/>
          <w:w w:val="100"/>
          <w:position w:val="0"/>
        </w:rPr>
        <w:t>我们认为，上述财务报表在所有重大方面按照企业会计准则的规定编制，公允反映了珠海汇金科技股份有限公司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年度的经营成果和现金流量。</w:t>
      </w:r>
    </w:p>
    <w:p>
      <w:pPr>
        <w:pStyle w:val="Style19"/>
        <w:keepNext/>
        <w:keepLines/>
        <w:widowControl w:val="0"/>
        <w:shd w:val="clear" w:color="auto" w:fill="auto"/>
        <w:bidi w:val="0"/>
        <w:spacing w:before="0" w:after="240" w:line="240" w:lineRule="auto"/>
        <w:ind w:left="0" w:right="0" w:firstLine="0"/>
        <w:jc w:val="left"/>
      </w:pPr>
      <w:bookmarkStart w:id="664" w:name="bookmark664"/>
      <w:bookmarkStart w:id="665" w:name="bookmark665"/>
      <w:bookmarkStart w:id="666" w:name="bookmark666"/>
      <w:r>
        <w:rPr>
          <w:color w:val="000000"/>
          <w:spacing w:val="0"/>
          <w:w w:val="100"/>
          <w:position w:val="0"/>
          <w:sz w:val="24"/>
          <w:szCs w:val="24"/>
        </w:rPr>
        <w:t>二、财务报表</w:t>
      </w:r>
      <w:bookmarkEnd w:id="664"/>
      <w:bookmarkEnd w:id="665"/>
      <w:bookmarkEnd w:id="666"/>
    </w:p>
    <w:p>
      <w:pPr>
        <w:pStyle w:val="Style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财务附注中报表的单位为：人民币元</w:t>
      </w:r>
    </w:p>
    <w:p>
      <w:pPr>
        <w:pStyle w:val="Style21"/>
        <w:keepNext/>
        <w:keepLines/>
        <w:widowControl w:val="0"/>
        <w:shd w:val="clear" w:color="auto" w:fill="auto"/>
        <w:bidi w:val="0"/>
        <w:spacing w:before="0" w:after="240" w:line="240" w:lineRule="auto"/>
        <w:ind w:left="0" w:right="0" w:firstLine="0"/>
        <w:jc w:val="left"/>
      </w:pPr>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r>
        <w:rPr>
          <w:color w:val="000000"/>
          <w:spacing w:val="0"/>
          <w:w w:val="100"/>
          <w:position w:val="0"/>
        </w:rPr>
        <w:t>、资产负债表</w:t>
      </w:r>
      <w:bookmarkEnd w:id="667"/>
      <w:bookmarkEnd w:id="668"/>
      <w:bookmarkEnd w:id="669"/>
    </w:p>
    <w:p>
      <w:pPr>
        <w:pStyle w:val="Style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编制单位：珠海汇金科技股份有限公司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138,688,374.25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176,134,612.15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10,280,540.00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44,808,957.69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30,928,809.71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1,907,307.39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1,266,973.04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706,917.81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1,305,054.23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1,229,714.42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54,306,320.13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58,173,256.45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405,231,960.87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12,863,815.82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657,235,432.37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280,597,181.59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16,410,128.45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16,552,975.04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5,282,345.07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1,093,230.03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10,663,057.41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10,989,338.81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1,345,937.22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2,457,611.81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2,093,659.25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1,250,343.59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36,619,913.72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32,343,499.28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693,855,346.09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312,940,680.87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12,128,641.82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12,899,342.15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36,187,046.22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44,225,528.27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14,914,314.89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12,673,260.61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3,996,919.74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1,914,601.03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244,935.32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422,341.92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67,471,857.99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72,135,073.98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5,869,564.50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3,893,504.65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5,869,564.50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3,893,504.65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73,341,422.49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76,028,578.63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56,000,000.00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359,721,226.28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38,980,896.58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28,417,518.75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20,531,369.58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176,375,178.57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135,399,836.08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620,513,923.60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236,912,102.24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620,513,923.60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236,912,102.24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693,855,346.09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312,940,680.87</w:t>
            </w:r>
          </w:p>
        </w:tc>
      </w:tr>
    </w:tbl>
    <w:p>
      <w:pPr>
        <w:pStyle w:val="Style2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070" simplePos="0" relativeHeight="125829380" behindDoc="0" locked="0" layoutInCell="1" allowOverlap="1">
                <wp:simplePos x="0" y="0"/>
                <wp:positionH relativeFrom="page">
                  <wp:posOffset>695960</wp:posOffset>
                </wp:positionH>
                <wp:positionV relativeFrom="margin">
                  <wp:posOffset>4822190</wp:posOffset>
                </wp:positionV>
                <wp:extent cx="935990" cy="146050"/>
                <wp:wrapTopAndBottom/>
                <wp:docPr id="14" name="Shape 14"/>
                <a:graphic xmlns:a="http://schemas.openxmlformats.org/drawingml/2006/main">
                  <a:graphicData uri="http://schemas.microsoft.com/office/word/2010/wordprocessingShape">
                    <wps:wsp>
                      <wps:cNvSpPr txBox="1"/>
                      <wps:spPr>
                        <a:xfrm>
                          <a:ext cx="93599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wps:txbx>
                      <wps:bodyPr wrap="none" lIns="0" tIns="0" rIns="0" bIns="0">
                        <a:noAutoFit/>
                      </wps:bodyPr>
                    </wps:wsp>
                  </a:graphicData>
                </a:graphic>
              </wp:anchor>
            </w:drawing>
          </mc:Choice>
          <mc:Fallback>
            <w:pict>
              <v:shape id="_x0000_s1040" type="#_x0000_t202" style="position:absolute;margin-left:54.800000000000004pt;margin-top:379.69999999999999pt;width:73.700000000000003pt;height:11.5pt;z-index:-125829373;mso-wrap-distance-left:9.pt;mso-wrap-distance-top:12.pt;mso-wrap-distance-right:414.10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v:textbox>
                <w10:wrap type="topAndBottom" anchorx="page" anchory="margin"/>
              </v:shape>
            </w:pict>
          </mc:Fallback>
        </mc:AlternateContent>
      </w:r>
      <w:r>
        <mc:AlternateContent>
          <mc:Choice Requires="wps">
            <w:drawing>
              <wp:anchor distT="152400" distB="5715" distL="2232660" distR="2571115" simplePos="0" relativeHeight="125829382" behindDoc="0" locked="0" layoutInCell="1" allowOverlap="1">
                <wp:simplePos x="0" y="0"/>
                <wp:positionH relativeFrom="page">
                  <wp:posOffset>2814320</wp:posOffset>
                </wp:positionH>
                <wp:positionV relativeFrom="margin">
                  <wp:posOffset>4822190</wp:posOffset>
                </wp:positionV>
                <wp:extent cx="1505585" cy="140335"/>
                <wp:wrapTopAndBottom/>
                <wp:docPr id="16" name="Shape 16"/>
                <a:graphic xmlns:a="http://schemas.openxmlformats.org/drawingml/2006/main">
                  <a:graphicData uri="http://schemas.microsoft.com/office/word/2010/wordprocessingShape">
                    <wps:wsp>
                      <wps:cNvSpPr txBox="1"/>
                      <wps:spPr>
                        <a:xfrm>
                          <a:ext cx="1505585"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主管会计工作负责人：马晓丽</w:t>
                            </w:r>
                          </w:p>
                        </w:txbxContent>
                      </wps:txbx>
                      <wps:bodyPr wrap="none" lIns="0" tIns="0" rIns="0" bIns="0">
                        <a:noAutoFit/>
                      </wps:bodyPr>
                    </wps:wsp>
                  </a:graphicData>
                </a:graphic>
              </wp:anchor>
            </w:drawing>
          </mc:Choice>
          <mc:Fallback>
            <w:pict>
              <v:shape id="_x0000_s1042" type="#_x0000_t202" style="position:absolute;margin-left:221.59999999999999pt;margin-top:379.69999999999999pt;width:118.55pt;height:11.050000000000001pt;z-index:-125829371;mso-wrap-distance-left:175.80000000000001pt;mso-wrap-distance-top:12.pt;mso-wrap-distance-right:202.45000000000002pt;mso-wrap-distance-bottom:0.45000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主管会计工作负责人：马晓丽</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5496560</wp:posOffset>
                </wp:positionH>
                <wp:positionV relativeFrom="margin">
                  <wp:posOffset>4822190</wp:posOffset>
                </wp:positionV>
                <wp:extent cx="1280160" cy="146050"/>
                <wp:wrapTopAndBottom/>
                <wp:docPr id="18" name="Shape 18"/>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会计机构负责人：马晓丽</w:t>
                            </w:r>
                          </w:p>
                        </w:txbxContent>
                      </wps:txbx>
                      <wps:bodyPr wrap="none" lIns="0" tIns="0" rIns="0" bIns="0">
                        <a:noAutoFit/>
                      </wps:bodyPr>
                    </wps:wsp>
                  </a:graphicData>
                </a:graphic>
              </wp:anchor>
            </w:drawing>
          </mc:Choice>
          <mc:Fallback>
            <w:pict>
              <v:shape id="_x0000_s1044" type="#_x0000_t202" style="position:absolute;margin-left:432.80000000000001pt;margin-top:379.69999999999999pt;width:100.8pt;height:11.5pt;z-index:-125829369;mso-wrap-distance-left:387.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会计机构负责人：马晓丽</w:t>
                      </w:r>
                    </w:p>
                  </w:txbxContent>
                </v:textbox>
                <w10:wrap type="topAndBottom" anchorx="page" anchory="margin"/>
              </v:shape>
            </w:pict>
          </mc:Fallback>
        </mc:AlternateContent>
      </w:r>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r>
        <w:rPr>
          <w:color w:val="000000"/>
          <w:spacing w:val="0"/>
          <w:w w:val="100"/>
          <w:position w:val="0"/>
        </w:rPr>
        <w:t>、利润表</w:t>
      </w:r>
      <w:bookmarkEnd w:id="670"/>
      <w:bookmarkEnd w:id="671"/>
      <w:bookmarkEnd w:id="6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218,054,407.37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170,234,699.84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218,054,407.37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170,234,699.84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152,956,961.86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113,871,780.09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58,607,292.52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43,852,733.01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3,127,439.96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2,807,922.92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47,621,708.76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38,017,742.27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39,771,605.89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27,688,380.22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-381,937.27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-193,666.13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4,210,852.00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1,698,667.80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both"/>
            </w:pPr>
            <w:r>
              <w:rPr>
                <w:rFonts w:ascii="SimSun" w:eastAsia="SimSun" w:hAnsi="SimSun" w:cs="SimSun"/>
                <w:color w:val="000000"/>
                <w:spacing w:val="0"/>
                <w:w w:val="100"/>
                <w:position w:val="0"/>
              </w:rPr>
              <w:t>加：公允价值变动收益（损失以</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投资收益（损失以“一”号</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3,195,224.41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4,141,158.05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820"/>
              <w:jc w:val="both"/>
            </w:pPr>
            <w:r>
              <w:rPr>
                <w:rFonts w:ascii="SimSun" w:eastAsia="SimSun" w:hAnsi="SimSun" w:cs="SimSun"/>
                <w:color w:val="000000"/>
                <w:spacing w:val="0"/>
                <w:w w:val="100"/>
                <w:position w:val="0"/>
              </w:rPr>
              <w:t>汇兑收益（损失以号填</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68,292,669.92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60,504,077.80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23,089,621.35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22,112,385.10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263,841.10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248,980.94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91,372,812.61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82,352,621.80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12,511,320.95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11,379,615.87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70,973,005.93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70,973,005.93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权益法下在被投资单位 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（二）以后将重分类进损益的其</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70,973,005.93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70,973,005.93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bl>
    <w:p>
      <w:pPr>
        <w:pStyle w:val="Style2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070" simplePos="0" relativeHeight="125829386" behindDoc="0" locked="0" layoutInCell="1" allowOverlap="1">
                <wp:simplePos x="0" y="0"/>
                <wp:positionH relativeFrom="page">
                  <wp:posOffset>695960</wp:posOffset>
                </wp:positionH>
                <wp:positionV relativeFrom="margin">
                  <wp:posOffset>5812790</wp:posOffset>
                </wp:positionV>
                <wp:extent cx="935990" cy="146050"/>
                <wp:wrapTopAndBottom/>
                <wp:docPr id="20" name="Shape 20"/>
                <a:graphic xmlns:a="http://schemas.openxmlformats.org/drawingml/2006/main">
                  <a:graphicData uri="http://schemas.microsoft.com/office/word/2010/wordprocessingShape">
                    <wps:wsp>
                      <wps:cNvSpPr txBox="1"/>
                      <wps:spPr>
                        <a:xfrm>
                          <a:ext cx="93599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wps:txbx>
                      <wps:bodyPr wrap="none" lIns="0" tIns="0" rIns="0" bIns="0">
                        <a:noAutoFit/>
                      </wps:bodyPr>
                    </wps:wsp>
                  </a:graphicData>
                </a:graphic>
              </wp:anchor>
            </w:drawing>
          </mc:Choice>
          <mc:Fallback>
            <w:pict>
              <v:shape id="_x0000_s1046" type="#_x0000_t202" style="position:absolute;margin-left:54.800000000000004pt;margin-top:457.69999999999999pt;width:73.700000000000003pt;height:11.5pt;z-index:-125829367;mso-wrap-distance-left:9.pt;mso-wrap-distance-top:12.pt;mso-wrap-distance-right:414.10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v:textbox>
                <w10:wrap type="topAndBottom" anchorx="page" anchory="margin"/>
              </v:shape>
            </w:pict>
          </mc:Fallback>
        </mc:AlternateContent>
      </w:r>
      <w:r>
        <mc:AlternateContent>
          <mc:Choice Requires="wps">
            <w:drawing>
              <wp:anchor distT="152400" distB="5715" distL="2232660" distR="2571115" simplePos="0" relativeHeight="125829388" behindDoc="0" locked="0" layoutInCell="1" allowOverlap="1">
                <wp:simplePos x="0" y="0"/>
                <wp:positionH relativeFrom="page">
                  <wp:posOffset>2814320</wp:posOffset>
                </wp:positionH>
                <wp:positionV relativeFrom="margin">
                  <wp:posOffset>5812790</wp:posOffset>
                </wp:positionV>
                <wp:extent cx="1505585" cy="140335"/>
                <wp:wrapTopAndBottom/>
                <wp:docPr id="22" name="Shape 22"/>
                <a:graphic xmlns:a="http://schemas.openxmlformats.org/drawingml/2006/main">
                  <a:graphicData uri="http://schemas.microsoft.com/office/word/2010/wordprocessingShape">
                    <wps:wsp>
                      <wps:cNvSpPr txBox="1"/>
                      <wps:spPr>
                        <a:xfrm>
                          <a:ext cx="1505585"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主管会计工作负责人：马晓丽</w:t>
                            </w:r>
                          </w:p>
                        </w:txbxContent>
                      </wps:txbx>
                      <wps:bodyPr wrap="none" lIns="0" tIns="0" rIns="0" bIns="0">
                        <a:noAutoFit/>
                      </wps:bodyPr>
                    </wps:wsp>
                  </a:graphicData>
                </a:graphic>
              </wp:anchor>
            </w:drawing>
          </mc:Choice>
          <mc:Fallback>
            <w:pict>
              <v:shape id="_x0000_s1048" type="#_x0000_t202" style="position:absolute;margin-left:221.59999999999999pt;margin-top:457.69999999999999pt;width:118.55pt;height:11.050000000000001pt;z-index:-125829365;mso-wrap-distance-left:175.80000000000001pt;mso-wrap-distance-top:12.pt;mso-wrap-distance-right:202.45000000000002pt;mso-wrap-distance-bottom:0.45000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主管会计工作负责人：马晓丽</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5496560</wp:posOffset>
                </wp:positionH>
                <wp:positionV relativeFrom="margin">
                  <wp:posOffset>5812790</wp:posOffset>
                </wp:positionV>
                <wp:extent cx="1280160" cy="146050"/>
                <wp:wrapTopAndBottom/>
                <wp:docPr id="24" name="Shape 24"/>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会计机构负责人：马晓丽</w:t>
                            </w:r>
                          </w:p>
                        </w:txbxContent>
                      </wps:txbx>
                      <wps:bodyPr wrap="none" lIns="0" tIns="0" rIns="0" bIns="0">
                        <a:noAutoFit/>
                      </wps:bodyPr>
                    </wps:wsp>
                  </a:graphicData>
                </a:graphic>
              </wp:anchor>
            </w:drawing>
          </mc:Choice>
          <mc:Fallback>
            <w:pict>
              <v:shape id="_x0000_s1050" type="#_x0000_t202" style="position:absolute;margin-left:432.80000000000001pt;margin-top:457.69999999999999pt;width:100.8pt;height:11.5pt;z-index:-125829363;mso-wrap-distance-left:387.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会计机构负责人：马晓丽</w:t>
                      </w:r>
                    </w:p>
                  </w:txbxContent>
                </v:textbox>
                <w10:wrap type="topAndBottom" anchorx="page" anchory="margin"/>
              </v:shape>
            </w:pict>
          </mc:Fallback>
        </mc:AlternateContent>
      </w: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、现金流量表</w:t>
      </w:r>
      <w:bookmarkEnd w:id="673"/>
      <w:bookmarkEnd w:id="674"/>
      <w:bookmarkEnd w:id="6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220,463,179.50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193,394,106.96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向其他金融机构拆入资金净增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收到原保险合同保费取得的现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22,085,744.87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17,818,146.73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收到其他与经营活动有关的现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1,532,572.23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4,535,199.74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244,081,496.60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215,747,453.43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59,186,677.89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68,662,946.23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both"/>
            </w:pPr>
            <w:r>
              <w:rPr>
                <w:rFonts w:ascii="SimSun" w:eastAsia="SimSun" w:hAnsi="SimSun" w:cs="SimSun"/>
                <w:color w:val="000000"/>
                <w:spacing w:val="0"/>
                <w:w w:val="100"/>
                <w:position w:val="0"/>
              </w:rPr>
              <w:t>支付原保险合同赔付款项的现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52,014,614.98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40,156,528.42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35,425,555.54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40,329,527.05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both"/>
            </w:pPr>
            <w:r>
              <w:rPr>
                <w:rFonts w:ascii="SimSun" w:eastAsia="SimSun" w:hAnsi="SimSun" w:cs="SimSun"/>
                <w:color w:val="000000"/>
                <w:spacing w:val="0"/>
                <w:w w:val="100"/>
                <w:position w:val="0"/>
              </w:rPr>
              <w:t>支付其他与经营活动有关的现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34,008,674.05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22,960,845.89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180,635,522.46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172,109,847.59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63,445,974.14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43,637,605.84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453,800,000.00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500,120,000.00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2,488,306.60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4,141,158.05</w:t>
            </w:r>
          </w:p>
        </w:tc>
      </w:tr>
      <w:tr>
        <w:trPr>
          <w:trHeight w:val="71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处置固定资产、无形资产和其</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421,650.49</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收到其他与投资活动有关的现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456,288,306.60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504,682,808.54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9,120,848.34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7,918,551.05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852,800,000.00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500,120,000.00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支付其他与投资活动有关的现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861,920,848.34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508,038,551.05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-405,632,541.74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-3,355,742.51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334,740,329.70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收到其他与筹资活动有关的现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334,740,329.70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60"/>
              <w:jc w:val="both"/>
            </w:pPr>
            <w:r>
              <w:rPr>
                <w:rFonts w:ascii="SimSun" w:eastAsia="SimSun" w:hAnsi="SimSun" w:cs="SimSun"/>
                <w:color w:val="000000"/>
                <w:spacing w:val="0"/>
                <w:w w:val="100"/>
                <w:position w:val="0"/>
              </w:rPr>
              <w:t>支付其他与筹资活动有关的现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304,740,329.70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-37,446,237.90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20,281,863.33</w:t>
            </w: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176,034,612.15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155,752,748.82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138,588,374.25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176,034,612.15</w:t>
            </w:r>
          </w:p>
        </w:tc>
      </w:tr>
    </w:tbl>
    <w:p>
      <w:pPr>
        <w:sectPr>
          <w:footnotePr>
            <w:pos w:val="pageBottom"/>
            <w:numFmt w:val="decimal"/>
            <w:numRestart w:val="continuous"/>
          </w:footnotePr>
          <w:pgSz w:w="11900" w:h="16840"/>
          <w:pgMar w:top="1441" w:right="1129" w:bottom="1446" w:left="1089" w:header="0" w:footer="3" w:gutter="0"/>
          <w:cols w:space="720"/>
          <w:noEndnote/>
          <w:rtlGutter w:val="0"/>
          <w:docGrid w:linePitch="360"/>
        </w:sectPr>
      </w:pPr>
    </w:p>
    <w:p>
      <w:pPr>
        <w:pStyle w:val="Style21"/>
        <w:keepNext/>
        <w:keepLines/>
        <w:widowControl w:val="0"/>
        <w:shd w:val="clear" w:color="auto" w:fill="auto"/>
        <w:bidi w:val="0"/>
        <w:spacing w:before="26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、所有者权益变动表</w:t>
      </w:r>
      <w:bookmarkEnd w:id="677"/>
      <w:bookmarkEnd w:id="678"/>
      <w:bookmarkEnd w:id="68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单位：元</w:t>
      </w:r>
    </w:p>
    <w:tbl>
      <w:tblPr>
        <w:tblOverlap w:val="never"/>
        <w:jc w:val="center"/>
        <w:tblLayout w:type="fixed"/>
      </w:tblPr>
      <w:tblGrid>
        <w:gridCol w:w="2102"/>
        <w:gridCol w:w="1224"/>
        <w:gridCol w:w="706"/>
        <w:gridCol w:w="710"/>
        <w:gridCol w:w="504"/>
        <w:gridCol w:w="1200"/>
        <w:gridCol w:w="989"/>
        <w:gridCol w:w="725"/>
        <w:gridCol w:w="835"/>
        <w:gridCol w:w="1104"/>
        <w:gridCol w:w="739"/>
        <w:gridCol w:w="1200"/>
        <w:gridCol w:w="787"/>
        <w:gridCol w:w="127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一般风</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38,980,896.58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20,531,369.58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135,399,836.08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236,912,102.24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同一控制下企业</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38,980,896.58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20,531,369.58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135,399,836.08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236,912,102.24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三、本期增减变动金额（减 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320,740,329.70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40,975,342.49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383,601,821.36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78,861,491.66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（二）所有者投入和减少 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320,740,329.70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334,740,329.70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320,740,329.70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334,740,329.70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2"/>
        <w:gridCol w:w="1224"/>
        <w:gridCol w:w="706"/>
        <w:gridCol w:w="710"/>
        <w:gridCol w:w="504"/>
        <w:gridCol w:w="1200"/>
        <w:gridCol w:w="989"/>
        <w:gridCol w:w="725"/>
        <w:gridCol w:w="835"/>
        <w:gridCol w:w="1104"/>
        <w:gridCol w:w="739"/>
        <w:gridCol w:w="1200"/>
        <w:gridCol w:w="787"/>
        <w:gridCol w:w="1277"/>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359,721,226.28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28,417,518.75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176,375,178.57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620,513,923.60</w:t>
            </w:r>
          </w:p>
        </w:tc>
      </w:tr>
    </w:tbl>
    <w:p>
      <w:pPr>
        <w:widowControl w:val="0"/>
        <w:spacing w:after="11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单位：元</w:t>
      </w:r>
    </w:p>
    <w:tbl>
      <w:tblPr>
        <w:tblOverlap w:val="never"/>
        <w:jc w:val="center"/>
        <w:tblLayout w:type="fixed"/>
      </w:tblPr>
      <w:tblGrid>
        <w:gridCol w:w="2093"/>
        <w:gridCol w:w="12091"/>
      </w:tblGrid>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2093"/>
        <w:gridCol w:w="1090"/>
        <w:gridCol w:w="710"/>
        <w:gridCol w:w="710"/>
        <w:gridCol w:w="624"/>
        <w:gridCol w:w="1219"/>
        <w:gridCol w:w="989"/>
        <w:gridCol w:w="710"/>
        <w:gridCol w:w="850"/>
        <w:gridCol w:w="1133"/>
        <w:gridCol w:w="710"/>
        <w:gridCol w:w="1277"/>
        <w:gridCol w:w="840"/>
        <w:gridCol w:w="122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一般风</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38,980,896.58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13,434,068.99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91,524,130.74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185,939,096.31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同一控制下企业</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38,980,896.58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13,434,068.99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91,524,130.74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185,939,096.31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7,097,300.59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43,875,705.34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50,973,005.93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70,973,005.93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70,973,005.93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7,097,300.59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-27,097,300.59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7,097,300.59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-7,097,300.59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93"/>
        <w:gridCol w:w="1090"/>
        <w:gridCol w:w="710"/>
        <w:gridCol w:w="710"/>
        <w:gridCol w:w="624"/>
        <w:gridCol w:w="1219"/>
        <w:gridCol w:w="989"/>
        <w:gridCol w:w="710"/>
        <w:gridCol w:w="850"/>
        <w:gridCol w:w="1133"/>
        <w:gridCol w:w="710"/>
        <w:gridCol w:w="1277"/>
        <w:gridCol w:w="840"/>
        <w:gridCol w:w="1229"/>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38,980,896.58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20,531,369.58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135,399,836.08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236,912,102.24</w:t>
            </w:r>
          </w:p>
        </w:tc>
      </w:tr>
    </w:tbl>
    <w:p>
      <w:pPr>
        <w:sectPr>
          <w:headerReference w:type="default" r:id="rId13"/>
          <w:footerReference w:type="default" r:id="rId14"/>
          <w:footnotePr>
            <w:pos w:val="pageBottom"/>
            <w:numFmt w:val="decimal"/>
            <w:numRestart w:val="continuous"/>
          </w:footnotePr>
          <w:pgSz w:w="16840" w:h="11900" w:orient="landscape"/>
          <w:pgMar w:top="1182" w:right="1148" w:bottom="1459" w:left="1507" w:header="0" w:footer="3" w:gutter="0"/>
          <w:cols w:space="720"/>
          <w:noEndnote/>
          <w:rtlGutter w:val="0"/>
          <w:docGrid w:linePitch="360"/>
        </w:sectPr>
      </w:pPr>
    </w:p>
    <w:p>
      <w:pPr>
        <w:pStyle w:val="Style19"/>
        <w:keepNext/>
        <w:keepLines/>
        <w:widowControl w:val="0"/>
        <w:shd w:val="clear" w:color="auto" w:fill="auto"/>
        <w:tabs>
          <w:tab w:pos="497" w:val="left"/>
        </w:tabs>
        <w:bidi w:val="0"/>
        <w:spacing w:before="340" w:after="26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sz w:val="24"/>
          <w:szCs w:val="24"/>
        </w:rPr>
        <w:t>三</w:t>
      </w:r>
      <w:bookmarkEnd w:id="683"/>
      <w:r>
        <w:rPr>
          <w:color w:val="000000"/>
          <w:spacing w:val="0"/>
          <w:w w:val="100"/>
          <w:position w:val="0"/>
          <w:sz w:val="24"/>
          <w:szCs w:val="24"/>
        </w:rPr>
        <w:t>、</w:t>
        <w:tab/>
        <w:t>公司基本情况</w:t>
      </w:r>
      <w:bookmarkEnd w:id="681"/>
      <w:bookmarkEnd w:id="682"/>
      <w:bookmarkEnd w:id="684"/>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珠海汇金科技股份有限公司前身为珠海汇金科技有限公司，系由陈喆、马铮以货币投资设立，于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日，由广 东省珠海市工商行政管理局核发企业法人营业执照，注册号为</w:t>
      </w:r>
      <w:r>
        <w:rPr>
          <w:rFonts w:ascii="Times New Roman" w:eastAsia="Times New Roman" w:hAnsi="Times New Roman" w:cs="Times New Roman"/>
          <w:color w:val="000000"/>
          <w:spacing w:val="0"/>
          <w:w w:val="100"/>
          <w:position w:val="0"/>
        </w:rPr>
        <w:t>40400000211322</w:t>
      </w:r>
      <w:r>
        <w:rPr>
          <w:color w:val="000000"/>
          <w:spacing w:val="0"/>
          <w:w w:val="100"/>
          <w:position w:val="0"/>
        </w:rPr>
        <w:t xml:space="preserve">,公司注册地址和总部地址为珠海市软件园路 </w:t>
      </w:r>
      <w:r>
        <w:rPr>
          <w:rFonts w:ascii="Times New Roman" w:eastAsia="Times New Roman" w:hAnsi="Times New Roman" w:cs="Times New Roman"/>
          <w:color w:val="000000"/>
          <w:spacing w:val="0"/>
          <w:w w:val="100"/>
          <w:position w:val="0"/>
        </w:rPr>
        <w:t>1</w:t>
      </w:r>
      <w:r>
        <w:rPr>
          <w:color w:val="000000"/>
          <w:spacing w:val="0"/>
          <w:w w:val="100"/>
          <w:position w:val="0"/>
        </w:rPr>
        <w:t>号会展中心</w:t>
      </w:r>
      <w:r>
        <w:rPr>
          <w:rFonts w:ascii="Times New Roman" w:eastAsia="Times New Roman" w:hAnsi="Times New Roman" w:cs="Times New Roman"/>
          <w:color w:val="000000"/>
          <w:spacing w:val="0"/>
          <w:w w:val="100"/>
          <w:position w:val="0"/>
        </w:rPr>
        <w:t>3#</w:t>
      </w:r>
      <w:r>
        <w:rPr>
          <w:color w:val="000000"/>
          <w:spacing w:val="0"/>
          <w:w w:val="100"/>
          <w:position w:val="0"/>
        </w:rPr>
        <w:t>第三层。成立时注册资本为人民币</w:t>
      </w:r>
      <w:r>
        <w:rPr>
          <w:rFonts w:ascii="Times New Roman" w:eastAsia="Times New Roman" w:hAnsi="Times New Roman" w:cs="Times New Roman"/>
          <w:color w:val="000000"/>
          <w:spacing w:val="0"/>
          <w:w w:val="100"/>
          <w:position w:val="0"/>
        </w:rPr>
        <w:t>300</w:t>
      </w:r>
      <w:r>
        <w:rPr>
          <w:color w:val="000000"/>
          <w:spacing w:val="0"/>
          <w:w w:val="100"/>
          <w:position w:val="0"/>
        </w:rPr>
        <w:t>万元，其中陈喆出资</w:t>
      </w:r>
      <w:r>
        <w:rPr>
          <w:rFonts w:ascii="Times New Roman" w:eastAsia="Times New Roman" w:hAnsi="Times New Roman" w:cs="Times New Roman"/>
          <w:color w:val="000000"/>
          <w:spacing w:val="0"/>
          <w:w w:val="100"/>
          <w:position w:val="0"/>
        </w:rPr>
        <w:t>180</w:t>
      </w:r>
      <w:r>
        <w:rPr>
          <w:color w:val="000000"/>
          <w:spacing w:val="0"/>
          <w:w w:val="100"/>
          <w:position w:val="0"/>
        </w:rPr>
        <w:t>万元，占</w:t>
      </w:r>
      <w:r>
        <w:rPr>
          <w:rFonts w:ascii="Times New Roman" w:eastAsia="Times New Roman" w:hAnsi="Times New Roman" w:cs="Times New Roman"/>
          <w:color w:val="000000"/>
          <w:spacing w:val="0"/>
          <w:w w:val="100"/>
          <w:position w:val="0"/>
        </w:rPr>
        <w:t>60%</w:t>
      </w:r>
      <w:r>
        <w:rPr>
          <w:color w:val="000000"/>
          <w:spacing w:val="0"/>
          <w:w w:val="100"/>
          <w:position w:val="0"/>
        </w:rPr>
        <w:t>，马铮出资</w:t>
      </w:r>
      <w:r>
        <w:rPr>
          <w:rFonts w:ascii="Times New Roman" w:eastAsia="Times New Roman" w:hAnsi="Times New Roman" w:cs="Times New Roman"/>
          <w:color w:val="000000"/>
          <w:spacing w:val="0"/>
          <w:w w:val="100"/>
          <w:position w:val="0"/>
        </w:rPr>
        <w:t>120</w:t>
      </w:r>
      <w:r>
        <w:rPr>
          <w:color w:val="000000"/>
          <w:spacing w:val="0"/>
          <w:w w:val="100"/>
          <w:position w:val="0"/>
        </w:rPr>
        <w:t>万元，占</w:t>
      </w:r>
      <w:r>
        <w:rPr>
          <w:rFonts w:ascii="Times New Roman" w:eastAsia="Times New Roman" w:hAnsi="Times New Roman" w:cs="Times New Roman"/>
          <w:color w:val="000000"/>
          <w:spacing w:val="0"/>
          <w:w w:val="100"/>
          <w:position w:val="0"/>
        </w:rPr>
        <w:t>40%</w:t>
      </w:r>
      <w:r>
        <w:rPr>
          <w:color w:val="000000"/>
          <w:spacing w:val="0"/>
          <w:w w:val="100"/>
          <w:position w:val="0"/>
        </w:rPr>
        <w:t>；此 次出资由珠海公信有限责任会计师事务所以珠海公信验字</w:t>
      </w:r>
      <w:r>
        <w:rPr>
          <w:rFonts w:ascii="Times New Roman" w:eastAsia="Times New Roman" w:hAnsi="Times New Roman" w:cs="Times New Roman"/>
          <w:color w:val="000000"/>
          <w:spacing w:val="0"/>
          <w:w w:val="100"/>
          <w:position w:val="0"/>
        </w:rPr>
        <w:t>［2005］</w:t>
      </w:r>
      <w:r>
        <w:rPr>
          <w:color w:val="000000"/>
          <w:spacing w:val="0"/>
          <w:w w:val="100"/>
          <w:position w:val="0"/>
        </w:rPr>
        <w:t>第</w:t>
      </w:r>
      <w:r>
        <w:rPr>
          <w:rFonts w:ascii="Times New Roman" w:eastAsia="Times New Roman" w:hAnsi="Times New Roman" w:cs="Times New Roman"/>
          <w:color w:val="000000"/>
          <w:spacing w:val="0"/>
          <w:w w:val="100"/>
          <w:position w:val="0"/>
        </w:rPr>
        <w:t>074</w:t>
      </w:r>
      <w:r>
        <w:rPr>
          <w:color w:val="000000"/>
          <w:spacing w:val="0"/>
          <w:w w:val="100"/>
          <w:position w:val="0"/>
        </w:rPr>
        <w:t>号验资报告验证确认。</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日本公司股东会作出决议，同意原股东马铮将其持有的股权转让给新股东陈宸。</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日本公司股东会作出决议，同意将注册资本由</w:t>
      </w:r>
      <w:r>
        <w:rPr>
          <w:rFonts w:ascii="Times New Roman" w:eastAsia="Times New Roman" w:hAnsi="Times New Roman" w:cs="Times New Roman"/>
          <w:color w:val="000000"/>
          <w:spacing w:val="0"/>
          <w:w w:val="100"/>
          <w:position w:val="0"/>
        </w:rPr>
        <w:t>300</w:t>
      </w:r>
      <w:r>
        <w:rPr>
          <w:color w:val="000000"/>
          <w:spacing w:val="0"/>
          <w:w w:val="100"/>
          <w:position w:val="0"/>
        </w:rPr>
        <w:t>万元增至</w:t>
      </w:r>
      <w:r>
        <w:rPr>
          <w:rFonts w:ascii="Times New Roman" w:eastAsia="Times New Roman" w:hAnsi="Times New Roman" w:cs="Times New Roman"/>
          <w:color w:val="000000"/>
          <w:spacing w:val="0"/>
          <w:w w:val="100"/>
          <w:position w:val="0"/>
        </w:rPr>
        <w:t>1,000</w:t>
      </w:r>
      <w:r>
        <w:rPr>
          <w:color w:val="000000"/>
          <w:spacing w:val="0"/>
          <w:w w:val="100"/>
          <w:position w:val="0"/>
        </w:rPr>
        <w:t>万元，各股东按同比例以货币增资。本次增 资由珠海国睿衡赋会计师事务所有限公司以珠海国赋内验字（</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Z068</w:t>
      </w:r>
      <w:r>
        <w:rPr>
          <w:color w:val="000000"/>
          <w:spacing w:val="0"/>
          <w:w w:val="100"/>
          <w:position w:val="0"/>
        </w:rPr>
        <w:t>号验资报告验证确认。</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日本公司股东会作出决议，同意股东陈宸将其持有的本公司</w:t>
      </w:r>
      <w:r>
        <w:rPr>
          <w:rFonts w:ascii="Times New Roman" w:eastAsia="Times New Roman" w:hAnsi="Times New Roman" w:cs="Times New Roman"/>
          <w:color w:val="000000"/>
          <w:spacing w:val="0"/>
          <w:w w:val="100"/>
          <w:position w:val="0"/>
        </w:rPr>
        <w:t>37%</w:t>
      </w:r>
      <w:r>
        <w:rPr>
          <w:color w:val="000000"/>
          <w:spacing w:val="0"/>
          <w:w w:val="100"/>
          <w:position w:val="0"/>
        </w:rPr>
        <w:t>股权转让给马铮；股东陈宸将其持有的 本公司</w:t>
      </w:r>
      <w:r>
        <w:rPr>
          <w:rFonts w:ascii="Times New Roman" w:eastAsia="Times New Roman" w:hAnsi="Times New Roman" w:cs="Times New Roman"/>
          <w:color w:val="000000"/>
          <w:spacing w:val="0"/>
          <w:w w:val="100"/>
          <w:position w:val="0"/>
        </w:rPr>
        <w:t>3%</w:t>
      </w:r>
      <w:r>
        <w:rPr>
          <w:color w:val="000000"/>
          <w:spacing w:val="0"/>
          <w:w w:val="100"/>
          <w:position w:val="0"/>
        </w:rPr>
        <w:t>股权转让给梁铁民。</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日本公司股东会作出决议，同意股东陈喆将其持有的本公司</w:t>
      </w:r>
      <w:r>
        <w:rPr>
          <w:rFonts w:ascii="Times New Roman" w:eastAsia="Times New Roman" w:hAnsi="Times New Roman" w:cs="Times New Roman"/>
          <w:color w:val="000000"/>
          <w:spacing w:val="0"/>
          <w:w w:val="100"/>
          <w:position w:val="0"/>
        </w:rPr>
        <w:t>5%</w:t>
      </w:r>
      <w:r>
        <w:rPr>
          <w:color w:val="000000"/>
          <w:spacing w:val="0"/>
          <w:w w:val="100"/>
          <w:position w:val="0"/>
        </w:rPr>
        <w:t>股权转让给珠海瑞信投资管理有限公司； 股东马铮将其持有的本公司</w:t>
      </w:r>
      <w:r>
        <w:rPr>
          <w:rFonts w:ascii="Times New Roman" w:eastAsia="Times New Roman" w:hAnsi="Times New Roman" w:cs="Times New Roman"/>
          <w:color w:val="000000"/>
          <w:spacing w:val="0"/>
          <w:w w:val="100"/>
          <w:position w:val="0"/>
        </w:rPr>
        <w:t>2.3%</w:t>
      </w:r>
      <w:r>
        <w:rPr>
          <w:color w:val="000000"/>
          <w:spacing w:val="0"/>
          <w:w w:val="100"/>
          <w:position w:val="0"/>
        </w:rPr>
        <w:t>股权分别转让给宋昌林、王毅、宋京生、李志良和李智勇。</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日本公司股东会作出决议，同意由有限责任公司整体改制变更为股份有限公司，注册资本变更为人民币 </w:t>
      </w:r>
      <w:r>
        <w:rPr>
          <w:rFonts w:ascii="Times New Roman" w:eastAsia="Times New Roman" w:hAnsi="Times New Roman" w:cs="Times New Roman"/>
          <w:color w:val="000000"/>
          <w:spacing w:val="0"/>
          <w:w w:val="100"/>
          <w:position w:val="0"/>
        </w:rPr>
        <w:t>3,900.00</w:t>
      </w:r>
      <w:r>
        <w:rPr>
          <w:color w:val="000000"/>
          <w:spacing w:val="0"/>
          <w:w w:val="100"/>
          <w:position w:val="0"/>
        </w:rPr>
        <w:t>万元，由各发起人以其拥有的珠海汇金科技有限公司截至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日止的净资产折股投入，净资产折合股本后的 余额转为资本公积。本公司整体变更的注册资本实收情况业经天衡会计师事务所有限公司验证并出具天衡验字（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 xml:space="preserve">00035 </w:t>
      </w:r>
      <w:r>
        <w:rPr>
          <w:color w:val="000000"/>
          <w:spacing w:val="0"/>
          <w:w w:val="100"/>
          <w:position w:val="0"/>
        </w:rPr>
        <w:t>号验资报告。</w:t>
      </w:r>
    </w:p>
    <w:p>
      <w:pPr>
        <w:pStyle w:val="Style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日本公司股东会作出决议，同意苏州衡赢真盛创业投资中心（有限合伙）投入资金</w:t>
      </w:r>
      <w:r>
        <w:rPr>
          <w:rFonts w:ascii="Times New Roman" w:eastAsia="Times New Roman" w:hAnsi="Times New Roman" w:cs="Times New Roman"/>
          <w:color w:val="000000"/>
          <w:spacing w:val="0"/>
          <w:w w:val="100"/>
          <w:position w:val="0"/>
        </w:rPr>
        <w:t>3,000</w:t>
      </w:r>
      <w:r>
        <w:rPr>
          <w:color w:val="000000"/>
          <w:spacing w:val="0"/>
          <w:w w:val="100"/>
          <w:position w:val="0"/>
        </w:rPr>
        <w:t>万元，其中</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万元作为注册资本，</w:t>
      </w:r>
      <w:r>
        <w:rPr>
          <w:rFonts w:ascii="Times New Roman" w:eastAsia="Times New Roman" w:hAnsi="Times New Roman" w:cs="Times New Roman"/>
          <w:color w:val="000000"/>
          <w:spacing w:val="0"/>
          <w:w w:val="100"/>
          <w:position w:val="0"/>
        </w:rPr>
        <w:t>2,700</w:t>
      </w:r>
      <w:r>
        <w:rPr>
          <w:color w:val="000000"/>
          <w:spacing w:val="0"/>
          <w:w w:val="100"/>
          <w:position w:val="0"/>
        </w:rPr>
        <w:t>万元作为资本公积。变更后注册资本为</w:t>
      </w:r>
      <w:r>
        <w:rPr>
          <w:rFonts w:ascii="Times New Roman" w:eastAsia="Times New Roman" w:hAnsi="Times New Roman" w:cs="Times New Roman"/>
          <w:color w:val="000000"/>
          <w:spacing w:val="0"/>
          <w:w w:val="100"/>
          <w:position w:val="0"/>
        </w:rPr>
        <w:t>4,200</w:t>
      </w:r>
      <w:r>
        <w:rPr>
          <w:color w:val="000000"/>
          <w:spacing w:val="0"/>
          <w:w w:val="100"/>
          <w:position w:val="0"/>
        </w:rPr>
        <w:t>万元。本次验资业经瑞华会计师事务所（特殊普通合 伙）珠海分所验证确认，并出具瑞华珠验字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846C0004</w:t>
      </w:r>
      <w:r>
        <w:rPr>
          <w:color w:val="000000"/>
          <w:spacing w:val="0"/>
          <w:w w:val="100"/>
          <w:position w:val="0"/>
        </w:rPr>
        <w:t>号验资报告。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次临时股东大会决议及中国证券监督管理委员会证监许可</w:t>
      </w:r>
      <w:r>
        <w:rPr>
          <w:rFonts w:ascii="Times New Roman" w:eastAsia="Times New Roman" w:hAnsi="Times New Roman" w:cs="Times New Roman"/>
          <w:color w:val="000000"/>
          <w:spacing w:val="0"/>
          <w:w w:val="100"/>
          <w:position w:val="0"/>
        </w:rPr>
        <w:t>［2016］2434</w:t>
      </w:r>
      <w:r>
        <w:rPr>
          <w:color w:val="000000"/>
          <w:spacing w:val="0"/>
          <w:w w:val="100"/>
          <w:position w:val="0"/>
        </w:rPr>
        <w:t>号文《关于核准珠海汇金科 技股份有限公司首次公开发行股票的批复》，本公司向社会公开发行新股</w:t>
      </w:r>
      <w:r>
        <w:rPr>
          <w:rFonts w:ascii="Times New Roman" w:eastAsia="Times New Roman" w:hAnsi="Times New Roman" w:cs="Times New Roman"/>
          <w:color w:val="000000"/>
          <w:spacing w:val="0"/>
          <w:w w:val="100"/>
          <w:position w:val="0"/>
        </w:rPr>
        <w:t>1,400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 人民币</w:t>
      </w:r>
      <w:r>
        <w:rPr>
          <w:rFonts w:ascii="Times New Roman" w:eastAsia="Times New Roman" w:hAnsi="Times New Roman" w:cs="Times New Roman"/>
          <w:color w:val="000000"/>
          <w:spacing w:val="0"/>
          <w:w w:val="100"/>
          <w:position w:val="0"/>
        </w:rPr>
        <w:t>26.11</w:t>
      </w:r>
      <w:r>
        <w:rPr>
          <w:color w:val="000000"/>
          <w:spacing w:val="0"/>
          <w:w w:val="100"/>
          <w:position w:val="0"/>
        </w:rPr>
        <w:t>元，共募集资金</w:t>
      </w:r>
      <w:r>
        <w:rPr>
          <w:rFonts w:ascii="Times New Roman" w:eastAsia="Times New Roman" w:hAnsi="Times New Roman" w:cs="Times New Roman"/>
          <w:color w:val="000000"/>
          <w:spacing w:val="0"/>
          <w:w w:val="100"/>
          <w:position w:val="0"/>
        </w:rPr>
        <w:t>365,540,000.00</w:t>
      </w:r>
      <w:r>
        <w:rPr>
          <w:color w:val="000000"/>
          <w:spacing w:val="0"/>
          <w:w w:val="100"/>
          <w:position w:val="0"/>
        </w:rPr>
        <w:t>元；发行后公司的注册资本为人民币</w:t>
      </w:r>
      <w:r>
        <w:rPr>
          <w:rFonts w:ascii="Times New Roman" w:eastAsia="Times New Roman" w:hAnsi="Times New Roman" w:cs="Times New Roman"/>
          <w:color w:val="000000"/>
          <w:spacing w:val="0"/>
          <w:w w:val="100"/>
          <w:position w:val="0"/>
        </w:rPr>
        <w:t>5,600</w:t>
      </w:r>
      <w:r>
        <w:rPr>
          <w:color w:val="000000"/>
          <w:spacing w:val="0"/>
          <w:w w:val="100"/>
          <w:position w:val="0"/>
        </w:rPr>
        <w:t>万元，本次验资业经瑞华会计师事务所 （特殊普通合伙）验证确认，并出具瑞华珠验字</w:t>
      </w:r>
      <w:r>
        <w:rPr>
          <w:rFonts w:ascii="Times New Roman" w:eastAsia="Times New Roman" w:hAnsi="Times New Roman" w:cs="Times New Roman"/>
          <w:color w:val="000000"/>
          <w:spacing w:val="0"/>
          <w:w w:val="100"/>
          <w:position w:val="0"/>
        </w:rPr>
        <w:t>［2016］40040014</w:t>
      </w:r>
      <w:r>
        <w:rPr>
          <w:color w:val="000000"/>
          <w:spacing w:val="0"/>
          <w:w w:val="100"/>
          <w:position w:val="0"/>
        </w:rPr>
        <w:t>号验资报告。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本公司所属行业：软件和信息技术服务业。</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本公司经营范围：电子计算机软硬件、电子产品、安全防范技术产品、通信设备的设计、研发、生产、批发、零售及 其他商业批发零售（不含许可经营项目）；卡封锁、卡封片、卡封箱、卡封包及其识别系统的设计、研发、生产、批发、零 售。</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本公司的主要产品：银行自助设备现金管理系统、银行现金流转内控系统、银行印章管理系统等。</w:t>
      </w:r>
    </w:p>
    <w:p>
      <w:pPr>
        <w:pStyle w:val="Style9"/>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本财务报表经本公司董事会于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日决议批准报出。根据本公司章程，本财务报表将提交股东大会审议。</w:t>
      </w:r>
    </w:p>
    <w:p>
      <w:pPr>
        <w:pStyle w:val="Style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本公司未编制合并财务报表。</w:t>
      </w:r>
    </w:p>
    <w:p>
      <w:pPr>
        <w:pStyle w:val="Style19"/>
        <w:keepNext/>
        <w:keepLines/>
        <w:widowControl w:val="0"/>
        <w:shd w:val="clear" w:color="auto" w:fill="auto"/>
        <w:tabs>
          <w:tab w:pos="497" w:val="left"/>
        </w:tabs>
        <w:bidi w:val="0"/>
        <w:spacing w:before="0" w:after="30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w:t>
        <w:tab/>
        <w:t>财务报表的编制基础</w:t>
      </w:r>
      <w:bookmarkEnd w:id="685"/>
      <w:bookmarkEnd w:id="686"/>
      <w:bookmarkEnd w:id="688"/>
    </w:p>
    <w:p>
      <w:pPr>
        <w:pStyle w:val="Style21"/>
        <w:keepNext/>
        <w:keepLines/>
        <w:widowControl w:val="0"/>
        <w:shd w:val="clear" w:color="auto" w:fill="auto"/>
        <w:bidi w:val="0"/>
        <w:spacing w:before="0" w:after="260" w:line="240" w:lineRule="auto"/>
        <w:ind w:left="0" w:right="0" w:firstLine="0"/>
        <w:jc w:val="left"/>
      </w:pPr>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89"/>
      <w:bookmarkEnd w:id="690"/>
      <w:bookmarkEnd w:id="691"/>
    </w:p>
    <w:p>
      <w:pPr>
        <w:pStyle w:val="Style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 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 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9"/>
        <w:keepNext w:val="0"/>
        <w:keepLines w:val="0"/>
        <w:widowControl w:val="0"/>
        <w:shd w:val="clear" w:color="auto" w:fill="auto"/>
        <w:bidi w:val="0"/>
        <w:spacing w:before="0" w:line="310"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21"/>
        <w:keepNext/>
        <w:keepLines/>
        <w:widowControl w:val="0"/>
        <w:shd w:val="clear" w:color="auto" w:fill="auto"/>
        <w:bidi w:val="0"/>
        <w:spacing w:before="0" w:after="260" w:line="240" w:lineRule="auto"/>
        <w:ind w:left="0" w:right="0" w:firstLine="0"/>
        <w:jc w:val="left"/>
      </w:pPr>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92"/>
      <w:bookmarkEnd w:id="693"/>
      <w:bookmarkEnd w:id="694"/>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19"/>
        <w:keepNext/>
        <w:keepLines/>
        <w:widowControl w:val="0"/>
        <w:shd w:val="clear" w:color="auto" w:fill="auto"/>
        <w:bidi w:val="0"/>
        <w:spacing w:before="0" w:after="26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五</w:t>
      </w:r>
      <w:bookmarkEnd w:id="697"/>
      <w:r>
        <w:rPr>
          <w:color w:val="000000"/>
          <w:spacing w:val="0"/>
          <w:w w:val="100"/>
          <w:position w:val="0"/>
          <w:sz w:val="24"/>
          <w:szCs w:val="24"/>
        </w:rPr>
        <w:t>、重要会计政策及会计估计</w:t>
      </w:r>
      <w:bookmarkEnd w:id="695"/>
      <w:bookmarkEnd w:id="696"/>
      <w:bookmarkEnd w:id="698"/>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9"/>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本公司从事银行安防系统产品的研发及销售。本公司根据实际生产经营特点，依据相关企业会计准则的规定，对收入 确认等交易和事项制定了若干项具体会计政策和会计估计，详见本附注四、</w:t>
      </w:r>
      <w:r>
        <w:rPr>
          <w:rFonts w:ascii="Times New Roman" w:eastAsia="Times New Roman" w:hAnsi="Times New Roman" w:cs="Times New Roman"/>
          <w:color w:val="000000"/>
          <w:spacing w:val="0"/>
          <w:w w:val="100"/>
          <w:position w:val="0"/>
        </w:rPr>
        <w:t>21“</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各项描述。关于管理层所作出的重大会 计判断和估计的说明，请参阅附注四、</w:t>
      </w:r>
      <w:r>
        <w:rPr>
          <w:rFonts w:ascii="Times New Roman" w:eastAsia="Times New Roman" w:hAnsi="Times New Roman" w:cs="Times New Roman"/>
          <w:color w:val="000000"/>
          <w:spacing w:val="0"/>
          <w:w w:val="100"/>
          <w:position w:val="0"/>
        </w:rPr>
        <w:t>25“</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keepLines/>
        <w:widowControl w:val="0"/>
        <w:shd w:val="clear" w:color="auto" w:fill="auto"/>
        <w:tabs>
          <w:tab w:pos="36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w:t>
        <w:tab/>
        <w:t>遵循企业会计准则的声明</w:t>
      </w:r>
      <w:bookmarkEnd w:id="699"/>
      <w:bookmarkEnd w:id="700"/>
      <w:bookmarkEnd w:id="702"/>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2016</w:t>
      </w:r>
      <w:r>
        <w:rPr>
          <w:color w:val="000000"/>
          <w:spacing w:val="0"/>
          <w:w w:val="100"/>
          <w:position w:val="0"/>
        </w:rPr>
        <w:t>年度 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21"/>
        <w:keepNext/>
        <w:keepLines/>
        <w:widowControl w:val="0"/>
        <w:shd w:val="clear" w:color="auto" w:fill="auto"/>
        <w:tabs>
          <w:tab w:pos="37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会计期间</w:t>
      </w:r>
      <w:bookmarkEnd w:id="703"/>
      <w:bookmarkEnd w:id="704"/>
      <w:bookmarkEnd w:id="706"/>
    </w:p>
    <w:p>
      <w:pPr>
        <w:pStyle w:val="Style9"/>
        <w:keepNext w:val="0"/>
        <w:keepLines w:val="0"/>
        <w:widowControl w:val="0"/>
        <w:shd w:val="clear" w:color="auto" w:fill="auto"/>
        <w:bidi w:val="0"/>
        <w:spacing w:before="0" w:after="360" w:line="298" w:lineRule="exact"/>
        <w:ind w:left="0" w:right="0" w:firstLine="44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1"/>
        <w:keepNext/>
        <w:keepLines/>
        <w:widowControl w:val="0"/>
        <w:shd w:val="clear" w:color="auto" w:fill="auto"/>
        <w:tabs>
          <w:tab w:pos="378"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营业周期</w:t>
      </w:r>
      <w:bookmarkEnd w:id="707"/>
      <w:bookmarkEnd w:id="708"/>
      <w:bookmarkEnd w:id="710"/>
    </w:p>
    <w:p>
      <w:pPr>
        <w:pStyle w:val="Style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21"/>
        <w:keepNext/>
        <w:keepLines/>
        <w:widowControl w:val="0"/>
        <w:shd w:val="clear" w:color="auto" w:fill="auto"/>
        <w:tabs>
          <w:tab w:pos="378"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w:t>
        <w:tab/>
        <w:t>记账本位币</w:t>
      </w:r>
      <w:bookmarkEnd w:id="711"/>
      <w:bookmarkEnd w:id="712"/>
      <w:bookmarkEnd w:id="714"/>
    </w:p>
    <w:p>
      <w:pPr>
        <w:pStyle w:val="Style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人民币为本公司经营所处的主要经济环境中的货币，本公司以人民币为记账本位币。本公司编制本财务报表时所采用 的货币为人民币。</w:t>
      </w:r>
    </w:p>
    <w:p>
      <w:pPr>
        <w:pStyle w:val="Style21"/>
        <w:keepNext/>
        <w:keepLines/>
        <w:widowControl w:val="0"/>
        <w:shd w:val="clear" w:color="auto" w:fill="auto"/>
        <w:tabs>
          <w:tab w:pos="378"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同一控制下和非同一控制下企业合并的会计处理方法</w:t>
      </w:r>
      <w:bookmarkEnd w:id="715"/>
      <w:bookmarkEnd w:id="716"/>
      <w:bookmarkEnd w:id="718"/>
    </w:p>
    <w:p>
      <w:pPr>
        <w:pStyle w:val="Style9"/>
        <w:keepNext w:val="0"/>
        <w:keepLines w:val="0"/>
        <w:widowControl w:val="0"/>
        <w:shd w:val="clear" w:color="auto" w:fill="auto"/>
        <w:bidi w:val="0"/>
        <w:spacing w:before="0" w:after="0" w:line="283"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9"/>
        <w:keepNext w:val="0"/>
        <w:keepLines w:val="0"/>
        <w:widowControl w:val="0"/>
        <w:shd w:val="clear" w:color="auto" w:fill="auto"/>
        <w:tabs>
          <w:tab w:pos="885" w:val="left"/>
        </w:tabs>
        <w:bidi w:val="0"/>
        <w:spacing w:before="0" w:after="0" w:line="312"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合并方为进行企业合并发生的各项直接费用，于发生时计入当期损益。</w:t>
      </w:r>
    </w:p>
    <w:p>
      <w:pPr>
        <w:pStyle w:val="Style9"/>
        <w:keepNext w:val="0"/>
        <w:keepLines w:val="0"/>
        <w:widowControl w:val="0"/>
        <w:shd w:val="clear" w:color="auto" w:fill="auto"/>
        <w:tabs>
          <w:tab w:pos="885" w:val="left"/>
        </w:tabs>
        <w:bidi w:val="0"/>
        <w:spacing w:before="0" w:after="0" w:line="312" w:lineRule="exact"/>
        <w:ind w:left="0" w:right="0" w:firstLine="4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参与合并的企业在合并前后不受同一方或相同的多方最终控制的，为非同一控制下的企业合并。非同一控制下的企业 </w:t>
      </w:r>
      <w:r>
        <w:rPr>
          <w:color w:val="000000"/>
          <w:spacing w:val="0"/>
          <w:w w:val="100"/>
          <w:position w:val="0"/>
        </w:rPr>
        <w:t>合并，在购买日取得对其他参与合并企业控制权的一方为购买方，参与合并的其他企业为被购买方。购买日，是指为购买方 实际取得对被购买方控制权的日期。</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号——合并财务报表》第五十一条关于“一揽子交易”的判断标准（参见本附注四、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判断该多次交易是否属于“一揽子交易”。属于“一揽子交易”的，参考本部分前面各段描述及本附注四、</w:t>
      </w:r>
      <w:r>
        <w:rPr>
          <w:rFonts w:ascii="Times New Roman" w:eastAsia="Times New Roman" w:hAnsi="Times New Roman" w:cs="Times New Roman"/>
          <w:color w:val="000000"/>
          <w:spacing w:val="0"/>
          <w:w w:val="100"/>
          <w:position w:val="0"/>
        </w:rPr>
        <w:t>12</w:t>
      </w:r>
      <w:r>
        <w:rPr>
          <w:color w:val="000000"/>
          <w:spacing w:val="0"/>
          <w:w w:val="100"/>
          <w:position w:val="0"/>
        </w:rPr>
        <w:t>“长期股权投 资”进行会计处理；不属于“一揽子交易”的，区分个别财务报表和合并财务报表进行相关会计处理：</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21"/>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、合并财务报表的编制方法</w:t>
      </w:r>
      <w:bookmarkEnd w:id="721"/>
      <w:bookmarkEnd w:id="722"/>
      <w:bookmarkEnd w:id="724"/>
    </w:p>
    <w:p>
      <w:pPr>
        <w:pStyle w:val="Style9"/>
        <w:keepNext w:val="0"/>
        <w:keepLines w:val="0"/>
        <w:widowControl w:val="0"/>
        <w:shd w:val="clear" w:color="auto" w:fill="auto"/>
        <w:tabs>
          <w:tab w:pos="825" w:val="left"/>
        </w:tabs>
        <w:bidi w:val="0"/>
        <w:spacing w:before="0" w:after="0" w:line="312" w:lineRule="exact"/>
        <w:ind w:left="0" w:right="0" w:firstLine="44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9"/>
        <w:keepNext w:val="0"/>
        <w:keepLines w:val="0"/>
        <w:widowControl w:val="0"/>
        <w:shd w:val="clear" w:color="auto" w:fill="auto"/>
        <w:tabs>
          <w:tab w:pos="825" w:val="left"/>
        </w:tabs>
        <w:bidi w:val="0"/>
        <w:spacing w:before="0" w:after="0" w:line="312"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中；当期处置的子公司，不调整合并资产负债表的年初余额。非同一控制下企业合并增加的子公司，其购买日后的经营成果 及现金流量已经适当地包括在合并利润表和合并现金流量表中，且不调整合并财务报表的年初余额和对比数。同一控制下企 业合并增加的子公司，其自合并当期期初至合并日的经营成果和现金流量已经适当地包括在合并利润表和合并现金流量表 中，并且同时调整合并财务报表的对比数。</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w:t>
      </w:r>
      <w:r>
        <w:rPr>
          <w:color w:val="000000"/>
          <w:spacing w:val="0"/>
          <w:w w:val="100"/>
          <w:position w:val="0"/>
        </w:rPr>
        <w:t>务报表进行调整。</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rPr>
        <w:t>12</w:t>
      </w:r>
      <w:r>
        <w:rPr>
          <w:color w:val="000000"/>
          <w:spacing w:val="0"/>
          <w:w w:val="100"/>
          <w:position w:val="0"/>
        </w:rPr>
        <w:t>“长期股 权投资”或本附注四、</w:t>
      </w:r>
      <w:r>
        <w:rPr>
          <w:rFonts w:ascii="Times New Roman" w:eastAsia="Times New Roman" w:hAnsi="Times New Roman" w:cs="Times New Roman"/>
          <w:color w:val="000000"/>
          <w:spacing w:val="0"/>
          <w:w w:val="100"/>
          <w:position w:val="0"/>
        </w:rPr>
        <w:t xml:space="preserve">9 </w:t>
      </w:r>
      <w:r>
        <w:rPr>
          <w:color w:val="000000"/>
          <w:spacing w:val="0"/>
          <w:w w:val="100"/>
          <w:position w:val="0"/>
        </w:rPr>
        <w:t>“金融工具”。</w:t>
      </w:r>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部分处置对子公司的长期股权投资”（详见本附注四、</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）④）和“因处置部分股权投资或其他原因丧失了对原有子公 司的控制权”（详见前段）适用的原则进行会计处理。处置对子公司股权投资直至丧失控制权的各项交易属于一揽子交易的，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21"/>
        <w:keepNext/>
        <w:keepLines/>
        <w:widowControl w:val="0"/>
        <w:shd w:val="clear" w:color="auto" w:fill="auto"/>
        <w:tabs>
          <w:tab w:pos="317"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w:t>
        <w:tab/>
        <w:t>合营安排分类及共同经营会计处理方法</w:t>
      </w:r>
      <w:bookmarkEnd w:id="727"/>
      <w:bookmarkEnd w:id="728"/>
      <w:bookmarkEnd w:id="730"/>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rPr>
        <w:t xml:space="preserve">12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权益法核算的长期股权投资”中所述的会计政 策处理。</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1"/>
        <w:keepNext/>
        <w:keepLines/>
        <w:widowControl w:val="0"/>
        <w:shd w:val="clear" w:color="auto" w:fill="auto"/>
        <w:tabs>
          <w:tab w:pos="31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w:t>
        <w:tab/>
        <w:t>现金及现金等价物的确定标准</w:t>
      </w:r>
      <w:bookmarkEnd w:id="731"/>
      <w:bookmarkEnd w:id="732"/>
      <w:bookmarkEnd w:id="734"/>
    </w:p>
    <w:p>
      <w:pPr>
        <w:pStyle w:val="Style9"/>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 个月内到期）、流动性强、易于转换为已知金额的现金、价值变动风险很小的投资。</w:t>
      </w:r>
    </w:p>
    <w:p>
      <w:pPr>
        <w:pStyle w:val="Style21"/>
        <w:keepNext/>
        <w:keepLines/>
        <w:widowControl w:val="0"/>
        <w:shd w:val="clear" w:color="auto" w:fill="auto"/>
        <w:tabs>
          <w:tab w:pos="370"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9</w:t>
      </w:r>
      <w:bookmarkEnd w:id="737"/>
      <w:r>
        <w:rPr>
          <w:color w:val="000000"/>
          <w:spacing w:val="0"/>
          <w:w w:val="100"/>
          <w:position w:val="0"/>
        </w:rPr>
        <w:t>、</w:t>
        <w:tab/>
        <w:t>外币业务和外币报表折算</w:t>
      </w:r>
      <w:bookmarkEnd w:id="735"/>
      <w:bookmarkEnd w:id="736"/>
      <w:bookmarkEnd w:id="738"/>
    </w:p>
    <w:p>
      <w:pPr>
        <w:pStyle w:val="Style9"/>
        <w:keepNext w:val="0"/>
        <w:keepLines w:val="0"/>
        <w:widowControl w:val="0"/>
        <w:shd w:val="clear" w:color="auto" w:fill="auto"/>
        <w:tabs>
          <w:tab w:pos="862" w:val="left"/>
        </w:tabs>
        <w:bidi w:val="0"/>
        <w:spacing w:before="0" w:after="0" w:line="314"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本公司发生的外币交易在初始确认时，按交易日的即期汇率折算为记账本位币金额，但公司发生的外币兑换业务或涉 及外币兑换的交易事项，按照实际采用的汇率折算为记账本位币金额。</w:t>
      </w:r>
    </w:p>
    <w:p>
      <w:pPr>
        <w:pStyle w:val="Style9"/>
        <w:keepNext w:val="0"/>
        <w:keepLines w:val="0"/>
        <w:widowControl w:val="0"/>
        <w:shd w:val="clear" w:color="auto" w:fill="auto"/>
        <w:tabs>
          <w:tab w:pos="862" w:val="left"/>
        </w:tabs>
        <w:bidi w:val="0"/>
        <w:spacing w:before="0" w:after="0" w:line="314"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资本化条件的资产相关的外币专门借款产生的汇兑差额按照借款费用资本化的原则处理；以及②可供出售的外币货币性项目 除摊余成本之外的其他账面余额变动产生的汇兑差额计入其他综合收益之外，均计入当期损益。</w:t>
      </w:r>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价值变动（含汇率变动）处理，计入当期损益或确认为其他综合收益并计入资本公积。</w:t>
      </w:r>
    </w:p>
    <w:p>
      <w:pPr>
        <w:pStyle w:val="Style21"/>
        <w:keepNext/>
        <w:keepLines/>
        <w:widowControl w:val="0"/>
        <w:shd w:val="clear" w:color="auto" w:fill="auto"/>
        <w:tabs>
          <w:tab w:pos="451"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1"/>
      <w:bookmarkEnd w:id="742"/>
      <w:bookmarkEnd w:id="744"/>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9"/>
        <w:keepNext w:val="0"/>
        <w:keepLines w:val="0"/>
        <w:widowControl w:val="0"/>
        <w:shd w:val="clear" w:color="auto" w:fill="auto"/>
        <w:tabs>
          <w:tab w:pos="862" w:val="left"/>
        </w:tabs>
        <w:bidi w:val="0"/>
        <w:spacing w:before="0" w:after="0" w:line="311" w:lineRule="exact"/>
        <w:ind w:left="0" w:right="0" w:firstLine="4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w:t>
      </w:r>
    </w:p>
    <w:p>
      <w:pPr>
        <w:pStyle w:val="Style9"/>
        <w:keepNext w:val="0"/>
        <w:keepLines w:val="0"/>
        <w:widowControl w:val="0"/>
        <w:shd w:val="clear" w:color="auto" w:fill="auto"/>
        <w:tabs>
          <w:tab w:pos="862" w:val="left"/>
        </w:tabs>
        <w:bidi w:val="0"/>
        <w:spacing w:before="0" w:after="0" w:line="311"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w:t>
      </w:r>
    </w:p>
    <w:p>
      <w:pPr>
        <w:pStyle w:val="Style9"/>
        <w:keepNext w:val="0"/>
        <w:keepLines w:val="0"/>
        <w:widowControl w:val="0"/>
        <w:numPr>
          <w:ilvl w:val="0"/>
          <w:numId w:val="13"/>
        </w:numPr>
        <w:shd w:val="clear" w:color="auto" w:fill="auto"/>
        <w:tabs>
          <w:tab w:pos="785" w:val="left"/>
        </w:tabs>
        <w:bidi w:val="0"/>
        <w:spacing w:before="0" w:after="0" w:line="311" w:lineRule="exact"/>
        <w:ind w:left="0" w:right="0" w:firstLine="440"/>
        <w:jc w:val="both"/>
      </w:pPr>
      <w:bookmarkStart w:id="747" w:name="bookmark747"/>
      <w:bookmarkEnd w:id="747"/>
      <w:r>
        <w:rPr>
          <w:color w:val="000000"/>
          <w:spacing w:val="0"/>
          <w:w w:val="100"/>
          <w:position w:val="0"/>
        </w:rPr>
        <w:t>以公允价值计量且其变动计入当期损益的金融资产</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 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 可以消除或明显减少由于该金融资产的计量基础不同所导致的相关利得或损失在确认或计量方面不一致的情况；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9"/>
        <w:keepNext w:val="0"/>
        <w:keepLines w:val="0"/>
        <w:widowControl w:val="0"/>
        <w:numPr>
          <w:ilvl w:val="0"/>
          <w:numId w:val="13"/>
        </w:numPr>
        <w:shd w:val="clear" w:color="auto" w:fill="auto"/>
        <w:tabs>
          <w:tab w:pos="785" w:val="left"/>
        </w:tabs>
        <w:bidi w:val="0"/>
        <w:spacing w:before="0" w:after="0" w:line="314" w:lineRule="exact"/>
        <w:ind w:left="0" w:right="0" w:firstLine="440"/>
        <w:jc w:val="both"/>
      </w:pPr>
      <w:bookmarkStart w:id="748" w:name="bookmark748"/>
      <w:bookmarkEnd w:id="748"/>
      <w:r>
        <w:rPr>
          <w:color w:val="000000"/>
          <w:spacing w:val="0"/>
          <w:w w:val="100"/>
          <w:position w:val="0"/>
        </w:rPr>
        <w:t>持有至到期投资</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是指到期日固定、回收金额固定或可确定，且本公司有明确意图和能力持有至到期的非衍生金融资产。</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实际利率法是指按照金融资产或金融负债（含一组金融资产或金融负债）的实际利率计算其摊余成本及各期利息收入 </w:t>
      </w:r>
      <w:r>
        <w:rPr>
          <w:color w:val="000000"/>
          <w:spacing w:val="0"/>
          <w:w w:val="100"/>
          <w:position w:val="0"/>
        </w:rPr>
        <w:t>或支出的方法。实际利率是指将金融资产或金融负债在预期存续期间或适用的更短期间内的未来现金流量，折现为该金融资 产或金融负债当前账面价值所使用的利率。</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9"/>
        <w:keepNext w:val="0"/>
        <w:keepLines w:val="0"/>
        <w:widowControl w:val="0"/>
        <w:numPr>
          <w:ilvl w:val="0"/>
          <w:numId w:val="13"/>
        </w:numPr>
        <w:shd w:val="clear" w:color="auto" w:fill="auto"/>
        <w:tabs>
          <w:tab w:pos="757" w:val="left"/>
        </w:tabs>
        <w:bidi w:val="0"/>
        <w:spacing w:before="0" w:after="0" w:line="312" w:lineRule="exact"/>
        <w:ind w:left="0" w:right="0" w:firstLine="440"/>
        <w:jc w:val="both"/>
      </w:pPr>
      <w:bookmarkStart w:id="749" w:name="bookmark749"/>
      <w:bookmarkEnd w:id="749"/>
      <w:r>
        <w:rPr>
          <w:color w:val="000000"/>
          <w:spacing w:val="0"/>
          <w:w w:val="100"/>
          <w:position w:val="0"/>
        </w:rPr>
        <w:t>贷款和应收款项</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9"/>
        <w:keepNext w:val="0"/>
        <w:keepLines w:val="0"/>
        <w:widowControl w:val="0"/>
        <w:numPr>
          <w:ilvl w:val="0"/>
          <w:numId w:val="13"/>
        </w:numPr>
        <w:shd w:val="clear" w:color="auto" w:fill="auto"/>
        <w:tabs>
          <w:tab w:pos="757" w:val="left"/>
        </w:tabs>
        <w:bidi w:val="0"/>
        <w:spacing w:before="0" w:after="0" w:line="312" w:lineRule="exact"/>
        <w:ind w:left="0" w:right="0" w:firstLine="440"/>
        <w:jc w:val="both"/>
      </w:pPr>
      <w:bookmarkStart w:id="750" w:name="bookmark750"/>
      <w:bookmarkEnd w:id="750"/>
      <w:r>
        <w:rPr>
          <w:color w:val="000000"/>
          <w:spacing w:val="0"/>
          <w:w w:val="100"/>
          <w:position w:val="0"/>
        </w:rPr>
        <w:t>可供出售金融资产</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可供出售债务工具投资的期末成本按照其摊余成本法确定，即初始确认金额扣除已偿还的本金，加上或减去采用实际 利率法将该初始确认金额与到期日金额之间的差额进行摊销形成的累计摊销额，并扣除已发生的减值损失后的金额。可供出 售权益工具投资的期末成本为其初始取得成本。</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在活跃市场中没有报价且其公允价值不能可靠计量的权益工具投资，以及与该权益工具挂钩并须通过交付该权益工具结算的 衍生金融资产，按照成本进行后续计量。</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可供出售金融资产持有期间取得的利息及被投资单位宣告发放的现金股利，计入投资收益。</w:t>
      </w:r>
    </w:p>
    <w:p>
      <w:pPr>
        <w:pStyle w:val="Style9"/>
        <w:keepNext w:val="0"/>
        <w:keepLines w:val="0"/>
        <w:widowControl w:val="0"/>
        <w:shd w:val="clear" w:color="auto" w:fill="auto"/>
        <w:bidi w:val="0"/>
        <w:spacing w:before="0" w:after="0" w:line="312"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3</w:t>
      </w:r>
      <w:r>
        <w:rPr>
          <w:color w:val="000000"/>
          <w:spacing w:val="0"/>
          <w:w w:val="100"/>
          <w:position w:val="0"/>
        </w:rPr>
        <w:t>）金融资产减值</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类似信用风险特征的金融资产组合中进行减值测试。</w:t>
      </w:r>
    </w:p>
    <w:p>
      <w:pPr>
        <w:pStyle w:val="Style9"/>
        <w:keepNext w:val="0"/>
        <w:keepLines w:val="0"/>
        <w:widowControl w:val="0"/>
        <w:numPr>
          <w:ilvl w:val="0"/>
          <w:numId w:val="15"/>
        </w:numPr>
        <w:shd w:val="clear" w:color="auto" w:fill="auto"/>
        <w:tabs>
          <w:tab w:pos="757" w:val="left"/>
        </w:tabs>
        <w:bidi w:val="0"/>
        <w:spacing w:before="0" w:after="0" w:line="322" w:lineRule="exact"/>
        <w:ind w:left="0" w:right="0" w:firstLine="440"/>
        <w:jc w:val="both"/>
      </w:pPr>
      <w:bookmarkStart w:id="752" w:name="bookmark752"/>
      <w:bookmarkEnd w:id="752"/>
      <w:r>
        <w:rPr>
          <w:color w:val="000000"/>
          <w:spacing w:val="0"/>
          <w:w w:val="100"/>
          <w:position w:val="0"/>
        </w:rPr>
        <w:t>持有至到期投资、贷款和应收款项减值</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9"/>
        <w:keepNext w:val="0"/>
        <w:keepLines w:val="0"/>
        <w:widowControl w:val="0"/>
        <w:numPr>
          <w:ilvl w:val="0"/>
          <w:numId w:val="15"/>
        </w:numPr>
        <w:shd w:val="clear" w:color="auto" w:fill="auto"/>
        <w:tabs>
          <w:tab w:pos="757" w:val="left"/>
        </w:tabs>
        <w:bidi w:val="0"/>
        <w:spacing w:before="0" w:after="0" w:line="316" w:lineRule="exact"/>
        <w:ind w:left="0" w:right="0" w:firstLine="440"/>
        <w:jc w:val="both"/>
      </w:pPr>
      <w:bookmarkStart w:id="753" w:name="bookmark753"/>
      <w:bookmarkEnd w:id="753"/>
      <w:r>
        <w:rPr>
          <w:color w:val="000000"/>
          <w:spacing w:val="0"/>
          <w:w w:val="100"/>
          <w:position w:val="0"/>
        </w:rPr>
        <w:t>可供出售金融资产减值</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当综合相关因素判断可供出售权益工具投资公允价值下跌是严重或非暂时性下跌时，表明该可供出售权益工具投资发 生减值。其中“严重下跌”是指公允价值下跌幅度累计超过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 “非暂时性下跌”是指公允价值连续下跌时间超过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 额。</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9"/>
        <w:keepNext w:val="0"/>
        <w:keepLines w:val="0"/>
        <w:widowControl w:val="0"/>
        <w:shd w:val="clear" w:color="auto" w:fill="auto"/>
        <w:tabs>
          <w:tab w:pos="844" w:val="left"/>
        </w:tabs>
        <w:bidi w:val="0"/>
        <w:spacing w:before="0" w:after="0" w:line="313"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9"/>
        <w:keepNext w:val="0"/>
        <w:keepLines w:val="0"/>
        <w:widowControl w:val="0"/>
        <w:shd w:val="clear" w:color="auto" w:fill="auto"/>
        <w:tabs>
          <w:tab w:pos="844" w:val="left"/>
        </w:tabs>
        <w:bidi w:val="0"/>
        <w:spacing w:before="0" w:after="0" w:line="313"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9"/>
        <w:keepNext w:val="0"/>
        <w:keepLines w:val="0"/>
        <w:widowControl w:val="0"/>
        <w:numPr>
          <w:ilvl w:val="0"/>
          <w:numId w:val="17"/>
        </w:numPr>
        <w:shd w:val="clear" w:color="auto" w:fill="auto"/>
        <w:tabs>
          <w:tab w:pos="767" w:val="left"/>
        </w:tabs>
        <w:bidi w:val="0"/>
        <w:spacing w:before="0" w:after="0" w:line="313" w:lineRule="exact"/>
        <w:ind w:left="0" w:right="0" w:firstLine="440"/>
        <w:jc w:val="both"/>
      </w:pPr>
      <w:bookmarkStart w:id="756" w:name="bookmark756"/>
      <w:bookmarkEnd w:id="756"/>
      <w:r>
        <w:rPr>
          <w:color w:val="000000"/>
          <w:spacing w:val="0"/>
          <w:w w:val="100"/>
          <w:position w:val="0"/>
        </w:rPr>
        <w:t>以公允价值计量且其变动计入当期损益的金融负债</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9"/>
        <w:keepNext w:val="0"/>
        <w:keepLines w:val="0"/>
        <w:widowControl w:val="0"/>
        <w:numPr>
          <w:ilvl w:val="0"/>
          <w:numId w:val="17"/>
        </w:numPr>
        <w:shd w:val="clear" w:color="auto" w:fill="auto"/>
        <w:tabs>
          <w:tab w:pos="767" w:val="left"/>
        </w:tabs>
        <w:bidi w:val="0"/>
        <w:spacing w:before="0" w:after="0" w:line="313" w:lineRule="exact"/>
        <w:ind w:left="0" w:right="0" w:firstLine="440"/>
        <w:jc w:val="both"/>
      </w:pPr>
      <w:bookmarkStart w:id="757" w:name="bookmark757"/>
      <w:bookmarkEnd w:id="757"/>
      <w:r>
        <w:rPr>
          <w:color w:val="000000"/>
          <w:spacing w:val="0"/>
          <w:w w:val="100"/>
          <w:position w:val="0"/>
        </w:rPr>
        <w:t>其他金融负债</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与在活跃市场中没有报价、公允价值不能可靠计量的权益工具挂钩并须通过交付该权益工具结算的衍生金融负债，按 照成本进行后续计量。其他金融负债采用实际利率法，按摊余成本进行后续计量，终止确认或摊销产生的利得或损失计入当 期损益。</w:t>
      </w:r>
    </w:p>
    <w:p>
      <w:pPr>
        <w:pStyle w:val="Style9"/>
        <w:keepNext w:val="0"/>
        <w:keepLines w:val="0"/>
        <w:widowControl w:val="0"/>
        <w:numPr>
          <w:ilvl w:val="0"/>
          <w:numId w:val="17"/>
        </w:numPr>
        <w:shd w:val="clear" w:color="auto" w:fill="auto"/>
        <w:tabs>
          <w:tab w:pos="767" w:val="left"/>
        </w:tabs>
        <w:bidi w:val="0"/>
        <w:spacing w:before="0" w:after="0" w:line="313" w:lineRule="exact"/>
        <w:ind w:left="0" w:right="0" w:firstLine="440"/>
        <w:jc w:val="both"/>
      </w:pPr>
      <w:bookmarkStart w:id="758" w:name="bookmark758"/>
      <w:bookmarkEnd w:id="758"/>
      <w:r>
        <w:rPr>
          <w:color w:val="000000"/>
          <w:spacing w:val="0"/>
          <w:w w:val="100"/>
          <w:position w:val="0"/>
        </w:rPr>
        <w:t>财务担保合同</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不属于指定为以公允价值计量且其变动计入当期损益的金融负债的财务担保合同，以公允价值进行初始确认，在初始 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 确定的累计摊销额后的余额之中的较高者进行后续计量。</w:t>
      </w:r>
    </w:p>
    <w:p>
      <w:pPr>
        <w:pStyle w:val="Style9"/>
        <w:keepNext w:val="0"/>
        <w:keepLines w:val="0"/>
        <w:widowControl w:val="0"/>
        <w:shd w:val="clear" w:color="auto" w:fill="auto"/>
        <w:tabs>
          <w:tab w:pos="844" w:val="left"/>
        </w:tabs>
        <w:bidi w:val="0"/>
        <w:spacing w:before="0" w:after="0" w:line="313" w:lineRule="exact"/>
        <w:ind w:left="0" w:right="0" w:firstLine="44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9"/>
        <w:keepNext w:val="0"/>
        <w:keepLines w:val="0"/>
        <w:widowControl w:val="0"/>
        <w:shd w:val="clear" w:color="auto" w:fill="auto"/>
        <w:tabs>
          <w:tab w:pos="844" w:val="left"/>
        </w:tabs>
        <w:bidi w:val="0"/>
        <w:spacing w:before="0" w:after="0" w:line="313" w:lineRule="exact"/>
        <w:ind w:left="0" w:right="0" w:firstLine="44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7</w:t>
      </w:r>
      <w:r>
        <w:rPr>
          <w:color w:val="000000"/>
          <w:spacing w:val="0"/>
          <w:w w:val="100"/>
          <w:position w:val="0"/>
        </w:rPr>
        <w:t>）</w:t>
        <w:tab/>
        <w:t>衍生工具及嵌入衍生工具</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衍生工具于相关合同签署日以公允价值进行初始计量，并以公允价值进行后续计量。除指定为套期工具且套期高度有 效的衍生工具，其公允价值变动形成的利得或损失将根据套期关系的性质按照套期会计的要求确定计入损益的期间外，其余 衍生工具的公允价值变动计入当期损益。</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对包含嵌入衍生工具的混合工具，如未指定为以公允价值计量且其变动计入当期损益的金融资产或金融负债，嵌入衍 </w:t>
      </w:r>
      <w:r>
        <w:rPr>
          <w:color w:val="000000"/>
          <w:spacing w:val="0"/>
          <w:w w:val="100"/>
          <w:position w:val="0"/>
        </w:rPr>
        <w:t>生工具与该主合同在经济特征及风险方面不存在紧密关系，且与嵌入衍生工具条件相同，单独存在的工具符合衍生工具定义 的，嵌入衍生工具从混合工具中分拆，作为单独的衍生金融工具处理。如果无法在取得时或后续的资产负债表日对嵌入衍生 工具进行单独计量，则将混合工具整体指定为以公允价值计量且其变动计入当期损益的金融资产或金融负债。</w:t>
      </w:r>
    </w:p>
    <w:p>
      <w:pPr>
        <w:pStyle w:val="Style9"/>
        <w:keepNext w:val="0"/>
        <w:keepLines w:val="0"/>
        <w:widowControl w:val="0"/>
        <w:shd w:val="clear" w:color="auto" w:fill="auto"/>
        <w:tabs>
          <w:tab w:pos="885" w:val="left"/>
        </w:tabs>
        <w:bidi w:val="0"/>
        <w:spacing w:before="0" w:after="0" w:line="314" w:lineRule="exact"/>
        <w:ind w:left="0" w:right="0" w:firstLine="440"/>
        <w:jc w:val="left"/>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9"/>
        <w:keepNext w:val="0"/>
        <w:keepLines w:val="0"/>
        <w:widowControl w:val="0"/>
        <w:shd w:val="clear" w:color="auto" w:fill="auto"/>
        <w:tabs>
          <w:tab w:pos="885" w:val="left"/>
        </w:tabs>
        <w:bidi w:val="0"/>
        <w:spacing w:before="0" w:after="0" w:line="314"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9</w:t>
      </w:r>
      <w:r>
        <w:rPr>
          <w:color w:val="000000"/>
          <w:spacing w:val="0"/>
          <w:w w:val="100"/>
          <w:position w:val="0"/>
        </w:rPr>
        <w:t>）</w:t>
        <w:tab/>
        <w:t>权益工具</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本公司对权益工具持有方的各种分配（不包括股票股利），减少股东权益。本公司不确认权益工具的公允价值变动额。</w:t>
      </w:r>
    </w:p>
    <w:p>
      <w:pPr>
        <w:pStyle w:val="Style21"/>
        <w:keepNext/>
        <w:keepLines/>
        <w:widowControl w:val="0"/>
        <w:shd w:val="clear" w:color="auto" w:fill="auto"/>
        <w:bidi w:val="0"/>
        <w:spacing w:before="0" w:after="32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3"/>
      <w:bookmarkEnd w:id="764"/>
      <w:bookmarkEnd w:id="766"/>
    </w:p>
    <w:p>
      <w:pPr>
        <w:pStyle w:val="Style21"/>
        <w:keepNext/>
        <w:keepLines/>
        <w:widowControl w:val="0"/>
        <w:shd w:val="clear" w:color="auto" w:fill="auto"/>
        <w:bidi w:val="0"/>
        <w:spacing w:before="0" w:after="320" w:line="240" w:lineRule="auto"/>
        <w:ind w:left="0" w:right="0" w:firstLine="140"/>
        <w:jc w:val="left"/>
      </w:pPr>
      <w:bookmarkStart w:id="763" w:name="bookmark763"/>
      <w:bookmarkStart w:id="764" w:name="bookmark764"/>
      <w:bookmarkStart w:id="767" w:name="bookmark767"/>
      <w:bookmarkStart w:id="768" w:name="bookmark768"/>
      <w:r>
        <w:rPr>
          <w:rFonts w:ascii="Times New Roman" w:eastAsia="Times New Roman" w:hAnsi="Times New Roman" w:cs="Times New Roman"/>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3"/>
      <w:bookmarkEnd w:id="764"/>
      <w:bookmarkEnd w:id="768"/>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本公司将金额为人民币</w:t>
            </w:r>
            <w:r>
              <w:rPr>
                <w:color w:val="000000"/>
                <w:spacing w:val="0"/>
                <w:w w:val="100"/>
                <w:position w:val="0"/>
              </w:rPr>
              <w:t>100</w:t>
            </w:r>
            <w:r>
              <w:rPr>
                <w:rFonts w:ascii="SimSun" w:eastAsia="SimSun" w:hAnsi="SimSun" w:cs="SimSun"/>
                <w:color w:val="000000"/>
                <w:spacing w:val="0"/>
                <w:w w:val="100"/>
                <w:position w:val="0"/>
              </w:rPr>
              <w:t>万元（含</w:t>
            </w:r>
            <w:r>
              <w:rPr>
                <w:color w:val="000000"/>
                <w:spacing w:val="0"/>
                <w:w w:val="100"/>
                <w:position w:val="0"/>
              </w:rPr>
              <w:t>100</w:t>
            </w:r>
            <w:r>
              <w:rPr>
                <w:rFonts w:ascii="SimSun" w:eastAsia="SimSun" w:hAnsi="SimSun" w:cs="SimSun"/>
                <w:color w:val="000000"/>
                <w:spacing w:val="0"/>
                <w:w w:val="100"/>
                <w:position w:val="0"/>
              </w:rPr>
              <w:t>万元）以上的应 收账款、金额为人民币</w:t>
            </w:r>
            <w:r>
              <w:rPr>
                <w:color w:val="000000"/>
                <w:spacing w:val="0"/>
                <w:w w:val="100"/>
                <w:position w:val="0"/>
              </w:rPr>
              <w:t>50</w:t>
            </w:r>
            <w:r>
              <w:rPr>
                <w:rFonts w:ascii="SimSun" w:eastAsia="SimSun" w:hAnsi="SimSun" w:cs="SimSun"/>
                <w:color w:val="000000"/>
                <w:spacing w:val="0"/>
                <w:w w:val="100"/>
                <w:position w:val="0"/>
              </w:rPr>
              <w:t>万元（含</w:t>
            </w:r>
            <w:r>
              <w:rPr>
                <w:color w:val="000000"/>
                <w:spacing w:val="0"/>
                <w:w w:val="100"/>
                <w:position w:val="0"/>
              </w:rPr>
              <w:t>50</w:t>
            </w:r>
            <w:r>
              <w:rPr>
                <w:rFonts w:ascii="SimSun" w:eastAsia="SimSun" w:hAnsi="SimSun" w:cs="SimSun"/>
                <w:color w:val="000000"/>
                <w:spacing w:val="0"/>
                <w:w w:val="100"/>
                <w:position w:val="0"/>
              </w:rPr>
              <w:t>万元）以上的其他 应收款确认为单项金额重大的应收款项。</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本公司对单项金额重大的应收款项单独进行减值测试，单 独测试未发生减值的应收款项在账龄组合中进行减值测 试。</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14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9"/>
      <w:bookmarkEnd w:id="770"/>
      <w:bookmarkEnd w:id="77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组合中，采用账龄分析法计提坏账准备的:</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 xml:space="preserve">— </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14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73"/>
      <w:bookmarkEnd w:id="774"/>
      <w:bookmarkEnd w:id="776"/>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本公司对单项金额不重大但个别信用风险特征明显不同， 已有客观证据表明其发生了减值的应收款项。</w:t>
            </w:r>
          </w:p>
        </w:tc>
      </w:tr>
      <w:tr>
        <w:trPr>
          <w:trHeight w:val="134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本公司对单项金额不重大但个别信用风险特征明显不同， 已有客观证据表明其发生了减值的应收款项，单独进行减 值测试，根据其未来现金流量现值低于其账面价值的差额， 确认减值损失，并据此计提相应的坏账准备。</w:t>
            </w:r>
          </w:p>
        </w:tc>
      </w:tr>
    </w:tbl>
    <w:p>
      <w:pPr>
        <w:widowControl w:val="0"/>
        <w:spacing w:after="279" w:line="1" w:lineRule="exact"/>
      </w:pPr>
    </w:p>
    <w:p>
      <w:pPr>
        <w:pStyle w:val="Style21"/>
        <w:keepNext/>
        <w:keepLines/>
        <w:widowControl w:val="0"/>
        <w:shd w:val="clear" w:color="auto" w:fill="auto"/>
        <w:tabs>
          <w:tab w:pos="474"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77"/>
      <w:bookmarkEnd w:id="778"/>
      <w:bookmarkEnd w:id="780"/>
    </w:p>
    <w:p>
      <w:pPr>
        <w:pStyle w:val="Style9"/>
        <w:keepNext w:val="0"/>
        <w:keepLines w:val="0"/>
        <w:widowControl w:val="0"/>
        <w:shd w:val="clear" w:color="auto" w:fill="auto"/>
        <w:tabs>
          <w:tab w:pos="885" w:val="left"/>
        </w:tabs>
        <w:bidi w:val="0"/>
        <w:spacing w:before="0" w:after="0" w:line="312" w:lineRule="exact"/>
        <w:ind w:left="0" w:right="0" w:firstLine="44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存货主要包括原材料、委托加工材料、包装物、低值易耗品、在产品及产成品；</w:t>
      </w:r>
    </w:p>
    <w:p>
      <w:pPr>
        <w:pStyle w:val="Style9"/>
        <w:keepNext w:val="0"/>
        <w:keepLines w:val="0"/>
        <w:widowControl w:val="0"/>
        <w:shd w:val="clear" w:color="auto" w:fill="auto"/>
        <w:tabs>
          <w:tab w:pos="885" w:val="left"/>
        </w:tabs>
        <w:bidi w:val="0"/>
        <w:spacing w:before="0" w:after="0" w:line="312" w:lineRule="exact"/>
        <w:ind w:left="0" w:right="0" w:firstLine="44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存货在取得时按实际成本计价，存货成本包括采购成本、加工成本和其他成本。领用和发出时按加权平均法计价。</w:t>
      </w:r>
    </w:p>
    <w:p>
      <w:pPr>
        <w:pStyle w:val="Style9"/>
        <w:keepNext w:val="0"/>
        <w:keepLines w:val="0"/>
        <w:widowControl w:val="0"/>
        <w:shd w:val="clear" w:color="auto" w:fill="auto"/>
        <w:tabs>
          <w:tab w:pos="885" w:val="left"/>
        </w:tabs>
        <w:bidi w:val="0"/>
        <w:spacing w:before="0" w:after="0" w:line="312" w:lineRule="exact"/>
        <w:ind w:left="0" w:right="0" w:firstLine="440"/>
        <w:jc w:val="left"/>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9"/>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9"/>
        <w:keepNext w:val="0"/>
        <w:keepLines w:val="0"/>
        <w:widowControl w:val="0"/>
        <w:shd w:val="clear" w:color="auto" w:fill="auto"/>
        <w:tabs>
          <w:tab w:pos="885" w:val="left"/>
        </w:tabs>
        <w:bidi w:val="0"/>
        <w:spacing w:before="0" w:after="0" w:line="312" w:lineRule="exact"/>
        <w:ind w:left="0" w:right="0" w:firstLine="44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9"/>
        <w:keepNext w:val="0"/>
        <w:keepLines w:val="0"/>
        <w:widowControl w:val="0"/>
        <w:shd w:val="clear" w:color="auto" w:fill="auto"/>
        <w:tabs>
          <w:tab w:pos="885" w:val="left"/>
        </w:tabs>
        <w:bidi w:val="0"/>
        <w:spacing w:before="0" w:after="0" w:line="312"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9"/>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低值易耗品于领用时按一次摊销法摊销；包装物于领用时按一次摊销法摊销。</w:t>
      </w:r>
    </w:p>
    <w:p>
      <w:pPr>
        <w:pStyle w:val="Style21"/>
        <w:keepNext/>
        <w:keepLines/>
        <w:widowControl w:val="0"/>
        <w:shd w:val="clear" w:color="auto" w:fill="auto"/>
        <w:tabs>
          <w:tab w:pos="474" w:val="left"/>
        </w:tabs>
        <w:bidi w:val="0"/>
        <w:spacing w:before="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6"/>
      <w:bookmarkEnd w:id="787"/>
      <w:bookmarkEnd w:id="789"/>
    </w:p>
    <w:p>
      <w:pPr>
        <w:pStyle w:val="Style21"/>
        <w:keepNext/>
        <w:keepLines/>
        <w:widowControl w:val="0"/>
        <w:shd w:val="clear" w:color="auto" w:fill="auto"/>
        <w:tabs>
          <w:tab w:pos="474" w:val="left"/>
        </w:tabs>
        <w:bidi w:val="0"/>
        <w:spacing w:before="0" w:after="280" w:line="240" w:lineRule="auto"/>
        <w:ind w:left="0" w:right="0" w:firstLine="0"/>
        <w:jc w:val="left"/>
      </w:pPr>
      <w:bookmarkStart w:id="786" w:name="bookmark786"/>
      <w:bookmarkStart w:id="787" w:name="bookmark787"/>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6"/>
      <w:bookmarkEnd w:id="787"/>
      <w:bookmarkEnd w:id="791"/>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对于同一控制下的企业合并取得的长期股权投资，在合并日按照被合并方所有者权益在最终控制方合并财务报表中的 账面价值的份额作为长期股权投资的初始投资成本。长期股权投资初始投资成本与支付的现金、转让的非现金资产以及所承 担债务账面价值之间的差额，调整资本公积；资本公积不足冲减的，调整留存收益。以发行权益性证券作为合并对价的，在 合并日按照被合并方所有者权益在最终控制方合并财务报表中的账面价值的份额作为长期股权投资的初始投资成本，按照发 行股份的面值总额作为股本，长期股权投资初始投资成本与所发行股份面值总额之间的差额，调整资本公积；资本公积不足 冲减的，调整留存收益。通过多次交易分步取得同一控制下被合并方的股权，最终形成同一控制下企业合并的，应分别是否 属于“一揽子交易”进行处理：属于“一揽子交易”的，将各项交易作为一项取得控制权的交易进行会计处理。不属于“一 </w:t>
      </w:r>
      <w:r>
        <w:rPr>
          <w:color w:val="000000"/>
          <w:spacing w:val="0"/>
          <w:w w:val="100"/>
          <w:position w:val="0"/>
        </w:rPr>
        <w:t>揽子交易”的，在合并日按照应享有被合并方所有者权益在最终控制方合并财务报表中的账面价值的份额作为长期股权投资 的初始投资成本，长期股权投资初始投资成本与达到合并前的长期股权投资账面价值加上合并日进一步取得股份新支付对价 的账面价值之和的差额，调整资本公积；资本公积不足冲减的，调整留存收益。合并日之前持有的股权投资因采用权益法核 算或为可供出售金融资产而确认的其他综合收益，暂不进行会计处理。</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成本包括包括购买方付出的资产、发生或承担的负债、发行的权益性证券的公允价值之和。通过多次交易分步取得被购买方 的股权，最终形成非同一控制下的企业合并的，应分别是否属于“一揽子交易”进行处理：属于“一揽子交易”的，将各项 交易作为一项取得控制权的交易进行会计处理。不属于“一揽子交易”的，按照原持有被购买方的股权投资账面价值加上新 增投资成本之和，作为改按成本法核算的长期股权投资的初始投资成本。原持有的股权采用权益法核算的，相关其他综合收 益暂不进行会计处理。原持有股权投资为可供出售金融资产的，其公允价值与账面价值之间的差额，以及原计入其他综合收 益的累计公允价值变动转入当期损益。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 上新增投资成本之和。</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9"/>
        <w:keepNext w:val="0"/>
        <w:keepLines w:val="0"/>
        <w:widowControl w:val="0"/>
        <w:numPr>
          <w:ilvl w:val="0"/>
          <w:numId w:val="19"/>
        </w:numPr>
        <w:shd w:val="clear" w:color="auto" w:fill="auto"/>
        <w:tabs>
          <w:tab w:pos="748" w:val="left"/>
        </w:tabs>
        <w:bidi w:val="0"/>
        <w:spacing w:before="0" w:after="0" w:line="312" w:lineRule="exact"/>
        <w:ind w:left="0" w:right="0" w:firstLine="440"/>
        <w:jc w:val="both"/>
      </w:pPr>
      <w:bookmarkStart w:id="792" w:name="bookmark792"/>
      <w:bookmarkEnd w:id="792"/>
      <w:r>
        <w:rPr>
          <w:color w:val="000000"/>
          <w:spacing w:val="0"/>
          <w:w w:val="100"/>
          <w:position w:val="0"/>
        </w:rPr>
        <w:t>成本法核算的长期股权投资</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9"/>
        <w:keepNext w:val="0"/>
        <w:keepLines w:val="0"/>
        <w:widowControl w:val="0"/>
        <w:numPr>
          <w:ilvl w:val="0"/>
          <w:numId w:val="19"/>
        </w:numPr>
        <w:shd w:val="clear" w:color="auto" w:fill="auto"/>
        <w:tabs>
          <w:tab w:pos="748" w:val="left"/>
        </w:tabs>
        <w:bidi w:val="0"/>
        <w:spacing w:before="0" w:after="0" w:line="312" w:lineRule="exact"/>
        <w:ind w:left="0" w:right="0" w:firstLine="440"/>
        <w:jc w:val="both"/>
      </w:pPr>
      <w:bookmarkStart w:id="793" w:name="bookmark793"/>
      <w:bookmarkEnd w:id="793"/>
      <w:r>
        <w:rPr>
          <w:color w:val="000000"/>
          <w:spacing w:val="0"/>
          <w:w w:val="100"/>
          <w:position w:val="0"/>
        </w:rPr>
        <w:t>权益法核算的长期股权投资</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 交易相关的利得或损失。</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在确认应分担被投资单位发生的净亏损时，以长期股权投资的账面价值和其他实质上构成对被投资单位净投资的长期 </w:t>
      </w:r>
      <w:r>
        <w:rPr>
          <w:color w:val="000000"/>
          <w:spacing w:val="0"/>
          <w:w w:val="100"/>
          <w:position w:val="0"/>
        </w:rPr>
        <w:t>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9"/>
        <w:keepNext w:val="0"/>
        <w:keepLines w:val="0"/>
        <w:widowControl w:val="0"/>
        <w:numPr>
          <w:ilvl w:val="0"/>
          <w:numId w:val="19"/>
        </w:numPr>
        <w:shd w:val="clear" w:color="auto" w:fill="auto"/>
        <w:tabs>
          <w:tab w:pos="748" w:val="left"/>
        </w:tabs>
        <w:bidi w:val="0"/>
        <w:spacing w:before="0" w:after="0" w:line="312" w:lineRule="exact"/>
        <w:ind w:left="0" w:right="0" w:firstLine="440"/>
        <w:jc w:val="left"/>
      </w:pPr>
      <w:bookmarkStart w:id="794" w:name="bookmark794"/>
      <w:bookmarkEnd w:id="794"/>
      <w:r>
        <w:rPr>
          <w:color w:val="000000"/>
          <w:spacing w:val="0"/>
          <w:w w:val="100"/>
          <w:position w:val="0"/>
        </w:rPr>
        <w:t>收购少数股权</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9"/>
        <w:keepNext w:val="0"/>
        <w:keepLines w:val="0"/>
        <w:widowControl w:val="0"/>
        <w:numPr>
          <w:ilvl w:val="0"/>
          <w:numId w:val="19"/>
        </w:numPr>
        <w:shd w:val="clear" w:color="auto" w:fill="auto"/>
        <w:tabs>
          <w:tab w:pos="748" w:val="left"/>
        </w:tabs>
        <w:bidi w:val="0"/>
        <w:spacing w:before="0" w:after="0" w:line="312" w:lineRule="exact"/>
        <w:ind w:left="0" w:right="0" w:firstLine="440"/>
        <w:jc w:val="both"/>
      </w:pPr>
      <w:bookmarkStart w:id="795" w:name="bookmark795"/>
      <w:bookmarkEnd w:id="795"/>
      <w:r>
        <w:rPr>
          <w:color w:val="000000"/>
          <w:spacing w:val="0"/>
          <w:w w:val="100"/>
          <w:position w:val="0"/>
        </w:rPr>
        <w:t>处置长期股权投资</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“合并财务报表编制的方法”中所述的相关会计政策处理。</w:t>
      </w:r>
    </w:p>
    <w:p>
      <w:pPr>
        <w:pStyle w:val="Style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其他情形下的长期股权投资处置，对于处置的股权，其账面价值与实际取得价款的差额，计入当期损益。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1"/>
        <w:keepNext/>
        <w:keepLines/>
        <w:widowControl w:val="0"/>
        <w:shd w:val="clear" w:color="auto" w:fill="auto"/>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6"/>
      <w:bookmarkEnd w:id="797"/>
      <w:bookmarkEnd w:id="799"/>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00"/>
      <w:bookmarkEnd w:id="801"/>
      <w:bookmarkEnd w:id="803"/>
    </w:p>
    <w:p>
      <w:pPr>
        <w:pStyle w:val="Style21"/>
        <w:keepNext/>
        <w:keepLines/>
        <w:widowControl w:val="0"/>
        <w:shd w:val="clear" w:color="auto" w:fill="auto"/>
        <w:bidi w:val="0"/>
        <w:spacing w:before="0" w:after="360" w:line="240" w:lineRule="auto"/>
        <w:ind w:left="0" w:right="0" w:firstLine="0"/>
        <w:jc w:val="left"/>
      </w:pPr>
      <w:bookmarkStart w:id="800" w:name="bookmark800"/>
      <w:bookmarkStart w:id="801" w:name="bookmark801"/>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0"/>
      <w:bookmarkEnd w:id="801"/>
      <w:bookmarkEnd w:id="805"/>
    </w:p>
    <w:p>
      <w:pPr>
        <w:pStyle w:val="Style9"/>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固定资产是指为生产商品、提供劳务、出租或经营管理而持有的，使用寿命超过一个会计年度的有形资产。</w:t>
      </w:r>
    </w:p>
    <w:p>
      <w:pPr>
        <w:pStyle w:val="Style21"/>
        <w:keepNext/>
        <w:keepLines/>
        <w:widowControl w:val="0"/>
        <w:shd w:val="clear" w:color="auto" w:fill="auto"/>
        <w:bidi w:val="0"/>
        <w:spacing w:before="0" w:after="360" w:line="240" w:lineRule="auto"/>
        <w:ind w:left="0" w:right="0" w:firstLine="14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6"/>
      <w:bookmarkEnd w:id="807"/>
      <w:bookmarkEnd w:id="809"/>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6.33-31.67%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0"/>
      <w:bookmarkEnd w:id="811"/>
      <w:bookmarkEnd w:id="813"/>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有权的在租赁资产使用寿命内计提折旧，无法合理确定租赁期届满能够取得租赁资产所有权的，在租赁期与租赁资产使用寿 命两者中较短的期间内计提折旧。</w:t>
      </w:r>
    </w:p>
    <w:p>
      <w:pPr>
        <w:pStyle w:val="Style21"/>
        <w:keepNext/>
        <w:keepLines/>
        <w:widowControl w:val="0"/>
        <w:shd w:val="clear" w:color="auto" w:fill="auto"/>
        <w:tabs>
          <w:tab w:pos="474"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4"/>
      <w:bookmarkEnd w:id="815"/>
      <w:bookmarkEnd w:id="817"/>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在建工程成本按实际工程支出确定，包括在建期间发生的各项工程支出（包括工程达到预定可使用状态前的资本化的 借款费用）以及其他相关费用等。在建工程在达到预定可使用状态后结转为固定资产。</w:t>
      </w:r>
    </w:p>
    <w:p>
      <w:pPr>
        <w:pStyle w:val="Style21"/>
        <w:keepNext/>
        <w:keepLines/>
        <w:widowControl w:val="0"/>
        <w:shd w:val="clear" w:color="auto" w:fill="auto"/>
        <w:tabs>
          <w:tab w:pos="474"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8"/>
      <w:bookmarkEnd w:id="819"/>
      <w:bookmarkEnd w:id="821"/>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 本化，直至资产的购建或生产活动重新开始。</w:t>
      </w:r>
    </w:p>
    <w:p>
      <w:pPr>
        <w:pStyle w:val="Style40"/>
        <w:keepNext w:val="0"/>
        <w:keepLines w:val="0"/>
        <w:widowControl w:val="0"/>
        <w:shd w:val="clear" w:color="auto" w:fill="auto"/>
        <w:tabs>
          <w:tab w:pos="474" w:val="left"/>
        </w:tabs>
        <w:bidi w:val="0"/>
        <w:spacing w:before="0" w:after="360" w:line="240" w:lineRule="auto"/>
        <w:ind w:left="0" w:right="0" w:firstLine="0"/>
        <w:jc w:val="left"/>
      </w:pPr>
      <w:bookmarkStart w:id="822" w:name="bookmark822"/>
      <w:r>
        <w:rPr>
          <w:rFonts w:ascii="Times New Roman" w:eastAsia="Times New Roman" w:hAnsi="Times New Roman" w:cs="Times New Roman"/>
          <w:b/>
          <w:bCs/>
          <w:color w:val="000000"/>
          <w:spacing w:val="0"/>
          <w:w w:val="100"/>
          <w:position w:val="0"/>
        </w:rPr>
        <w:t>1</w:t>
      </w:r>
      <w:bookmarkEnd w:id="822"/>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40"/>
        <w:keepNext w:val="0"/>
        <w:keepLines w:val="0"/>
        <w:widowControl w:val="0"/>
        <w:shd w:val="clear" w:color="auto" w:fill="auto"/>
        <w:tabs>
          <w:tab w:pos="483" w:val="left"/>
        </w:tabs>
        <w:bidi w:val="0"/>
        <w:spacing w:before="0" w:after="360" w:line="240" w:lineRule="auto"/>
        <w:ind w:left="0" w:right="0" w:firstLine="0"/>
        <w:jc w:val="left"/>
      </w:pPr>
      <w:bookmarkStart w:id="823" w:name="bookmark823"/>
      <w:r>
        <w:rPr>
          <w:rFonts w:ascii="Times New Roman" w:eastAsia="Times New Roman" w:hAnsi="Times New Roman" w:cs="Times New Roman"/>
          <w:b/>
          <w:bCs/>
          <w:color w:val="000000"/>
          <w:spacing w:val="0"/>
          <w:w w:val="100"/>
          <w:position w:val="0"/>
        </w:rPr>
        <w:t>2</w:t>
      </w:r>
      <w:bookmarkEnd w:id="823"/>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40"/>
        <w:keepNext w:val="0"/>
        <w:keepLines w:val="0"/>
        <w:widowControl w:val="0"/>
        <w:shd w:val="clear" w:color="auto" w:fill="auto"/>
        <w:tabs>
          <w:tab w:pos="483" w:val="left"/>
        </w:tabs>
        <w:bidi w:val="0"/>
        <w:spacing w:before="0" w:after="360" w:line="240" w:lineRule="auto"/>
        <w:ind w:left="0" w:right="0" w:firstLine="0"/>
        <w:jc w:val="left"/>
      </w:pPr>
      <w:bookmarkStart w:id="824" w:name="bookmark824"/>
      <w:r>
        <w:rPr>
          <w:rFonts w:ascii="Times New Roman" w:eastAsia="Times New Roman" w:hAnsi="Times New Roman" w:cs="Times New Roman"/>
          <w:b/>
          <w:bCs/>
          <w:color w:val="000000"/>
          <w:spacing w:val="0"/>
          <w:w w:val="100"/>
          <w:position w:val="0"/>
        </w:rPr>
        <w:t>2</w:t>
      </w:r>
      <w:bookmarkEnd w:id="82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40"/>
        <w:keepNext w:val="0"/>
        <w:keepLines w:val="0"/>
        <w:widowControl w:val="0"/>
        <w:shd w:val="clear" w:color="auto" w:fill="auto"/>
        <w:tabs>
          <w:tab w:pos="488" w:val="left"/>
        </w:tabs>
        <w:bidi w:val="0"/>
        <w:spacing w:before="0" w:line="240" w:lineRule="auto"/>
        <w:ind w:left="0" w:right="0" w:firstLine="0"/>
        <w:jc w:val="left"/>
      </w:pPr>
      <w:bookmarkStart w:id="825" w:name="bookmark825"/>
      <w:r>
        <w:rPr>
          <w:b/>
          <w:bCs/>
          <w:color w:val="000000"/>
          <w:spacing w:val="0"/>
          <w:w w:val="100"/>
          <w:position w:val="0"/>
        </w:rPr>
        <w:t>（</w:t>
      </w:r>
      <w:bookmarkEnd w:id="82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计价方法、使用寿命、减值测试</w:t>
      </w:r>
    </w:p>
    <w:p>
      <w:pPr>
        <w:pStyle w:val="Style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无形资产是指本公司拥有或者控制的没有实物形态的可辨认非货币性资产。</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40"/>
        <w:keepNext w:val="0"/>
        <w:keepLines w:val="0"/>
        <w:widowControl w:val="0"/>
        <w:shd w:val="clear" w:color="auto" w:fill="auto"/>
        <w:tabs>
          <w:tab w:pos="488" w:val="left"/>
        </w:tabs>
        <w:bidi w:val="0"/>
        <w:spacing w:before="0" w:line="240" w:lineRule="auto"/>
        <w:ind w:left="0" w:right="0" w:firstLine="0"/>
        <w:jc w:val="left"/>
      </w:pPr>
      <w:bookmarkStart w:id="826" w:name="bookmark826"/>
      <w:r>
        <w:rPr>
          <w:b/>
          <w:bCs/>
          <w:color w:val="000000"/>
          <w:spacing w:val="0"/>
          <w:w w:val="100"/>
          <w:position w:val="0"/>
        </w:rPr>
        <w:t>（</w:t>
      </w:r>
      <w:bookmarkEnd w:id="82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内部研究开发支出会计政策</w:t>
      </w:r>
    </w:p>
    <w:p>
      <w:pPr>
        <w:pStyle w:val="Style9"/>
        <w:keepNext w:val="0"/>
        <w:keepLines w:val="0"/>
        <w:widowControl w:val="0"/>
        <w:shd w:val="clear" w:color="auto" w:fill="auto"/>
        <w:bidi w:val="0"/>
        <w:spacing w:before="0" w:after="0" w:line="302" w:lineRule="exact"/>
        <w:ind w:left="0" w:right="0" w:firstLine="440"/>
        <w:jc w:val="left"/>
      </w:pPr>
      <w:r>
        <w:rPr>
          <w:color w:val="000000"/>
          <w:spacing w:val="0"/>
          <w:w w:val="100"/>
          <w:position w:val="0"/>
        </w:rPr>
        <w:t>本公司内部研究开发项目的支出分为研究阶段支出与开发阶段支出。</w:t>
      </w:r>
    </w:p>
    <w:p>
      <w:pPr>
        <w:pStyle w:val="Style9"/>
        <w:keepNext w:val="0"/>
        <w:keepLines w:val="0"/>
        <w:widowControl w:val="0"/>
        <w:shd w:val="clear" w:color="auto" w:fill="auto"/>
        <w:bidi w:val="0"/>
        <w:spacing w:before="0" w:after="0" w:line="302" w:lineRule="exact"/>
        <w:ind w:left="0" w:right="0" w:firstLine="440"/>
        <w:jc w:val="both"/>
      </w:pPr>
      <w:r>
        <w:rPr>
          <w:color w:val="000000"/>
          <w:spacing w:val="0"/>
          <w:w w:val="100"/>
          <w:position w:val="0"/>
        </w:rPr>
        <w:t>研究阶段的支出，于发生时计入当期损益。</w:t>
      </w:r>
    </w:p>
    <w:p>
      <w:pPr>
        <w:pStyle w:val="Style9"/>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9"/>
        <w:keepNext w:val="0"/>
        <w:keepLines w:val="0"/>
        <w:widowControl w:val="0"/>
        <w:numPr>
          <w:ilvl w:val="0"/>
          <w:numId w:val="21"/>
        </w:numPr>
        <w:shd w:val="clear" w:color="auto" w:fill="auto"/>
        <w:tabs>
          <w:tab w:pos="808" w:val="left"/>
        </w:tabs>
        <w:bidi w:val="0"/>
        <w:spacing w:before="0" w:after="0" w:line="302" w:lineRule="exact"/>
        <w:ind w:left="0" w:right="0" w:firstLine="440"/>
        <w:jc w:val="both"/>
      </w:pPr>
      <w:bookmarkStart w:id="827" w:name="bookmark827"/>
      <w:bookmarkEnd w:id="827"/>
      <w:r>
        <w:rPr>
          <w:color w:val="000000"/>
          <w:spacing w:val="0"/>
          <w:w w:val="100"/>
          <w:position w:val="0"/>
        </w:rPr>
        <w:t>完成该无形资产以使其能够使用或出售在技术上具有可行性；</w:t>
      </w:r>
    </w:p>
    <w:p>
      <w:pPr>
        <w:pStyle w:val="Style9"/>
        <w:keepNext w:val="0"/>
        <w:keepLines w:val="0"/>
        <w:widowControl w:val="0"/>
        <w:numPr>
          <w:ilvl w:val="0"/>
          <w:numId w:val="21"/>
        </w:numPr>
        <w:shd w:val="clear" w:color="auto" w:fill="auto"/>
        <w:tabs>
          <w:tab w:pos="808" w:val="left"/>
        </w:tabs>
        <w:bidi w:val="0"/>
        <w:spacing w:before="0" w:after="0" w:line="302" w:lineRule="exact"/>
        <w:ind w:left="0" w:right="0" w:firstLine="440"/>
        <w:jc w:val="both"/>
      </w:pPr>
      <w:bookmarkStart w:id="828" w:name="bookmark828"/>
      <w:bookmarkEnd w:id="828"/>
      <w:r>
        <w:rPr>
          <w:color w:val="000000"/>
          <w:spacing w:val="0"/>
          <w:w w:val="100"/>
          <w:position w:val="0"/>
        </w:rPr>
        <w:t>具有完成该无形资产并使用或出售的意图；</w:t>
      </w:r>
    </w:p>
    <w:p>
      <w:pPr>
        <w:pStyle w:val="Style9"/>
        <w:keepNext w:val="0"/>
        <w:keepLines w:val="0"/>
        <w:widowControl w:val="0"/>
        <w:numPr>
          <w:ilvl w:val="0"/>
          <w:numId w:val="21"/>
        </w:numPr>
        <w:shd w:val="clear" w:color="auto" w:fill="auto"/>
        <w:tabs>
          <w:tab w:pos="781" w:val="left"/>
        </w:tabs>
        <w:bidi w:val="0"/>
        <w:spacing w:before="0" w:after="0" w:line="302" w:lineRule="exact"/>
        <w:ind w:left="0" w:right="0" w:firstLine="440"/>
        <w:jc w:val="both"/>
      </w:pPr>
      <w:bookmarkStart w:id="829" w:name="bookmark829"/>
      <w:bookmarkEnd w:id="829"/>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9"/>
        <w:keepNext w:val="0"/>
        <w:keepLines w:val="0"/>
        <w:widowControl w:val="0"/>
        <w:numPr>
          <w:ilvl w:val="0"/>
          <w:numId w:val="21"/>
        </w:numPr>
        <w:shd w:val="clear" w:color="auto" w:fill="auto"/>
        <w:tabs>
          <w:tab w:pos="808" w:val="left"/>
        </w:tabs>
        <w:bidi w:val="0"/>
        <w:spacing w:before="0" w:after="0" w:line="302" w:lineRule="exact"/>
        <w:ind w:left="0" w:right="0" w:firstLine="440"/>
        <w:jc w:val="both"/>
      </w:pPr>
      <w:bookmarkStart w:id="830" w:name="bookmark830"/>
      <w:bookmarkEnd w:id="830"/>
      <w:r>
        <w:rPr>
          <w:color w:val="000000"/>
          <w:spacing w:val="0"/>
          <w:w w:val="100"/>
          <w:position w:val="0"/>
        </w:rPr>
        <w:t>有足够的技术、财务资源和其他资源支持，以完成该无形资产的开发，并有能力使用或出售该无形资产；</w:t>
      </w:r>
    </w:p>
    <w:p>
      <w:pPr>
        <w:pStyle w:val="Style9"/>
        <w:keepNext w:val="0"/>
        <w:keepLines w:val="0"/>
        <w:widowControl w:val="0"/>
        <w:numPr>
          <w:ilvl w:val="0"/>
          <w:numId w:val="21"/>
        </w:numPr>
        <w:shd w:val="clear" w:color="auto" w:fill="auto"/>
        <w:tabs>
          <w:tab w:pos="808" w:val="left"/>
        </w:tabs>
        <w:bidi w:val="0"/>
        <w:spacing w:before="0" w:after="0" w:line="302" w:lineRule="exact"/>
        <w:ind w:left="0" w:right="0" w:firstLine="440"/>
        <w:jc w:val="both"/>
      </w:pPr>
      <w:bookmarkStart w:id="831" w:name="bookmark831"/>
      <w:bookmarkEnd w:id="831"/>
      <w:r>
        <w:rPr>
          <w:color w:val="000000"/>
          <w:spacing w:val="0"/>
          <w:w w:val="100"/>
          <w:position w:val="0"/>
        </w:rPr>
        <w:t>归属于该无形资产开发阶段的支出能够可靠地计量。</w:t>
      </w:r>
    </w:p>
    <w:p>
      <w:pPr>
        <w:pStyle w:val="Style9"/>
        <w:keepNext w:val="0"/>
        <w:keepLines w:val="0"/>
        <w:widowControl w:val="0"/>
        <w:shd w:val="clear" w:color="auto" w:fill="auto"/>
        <w:bidi w:val="0"/>
        <w:spacing w:before="0" w:after="360" w:line="30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40"/>
        <w:keepNext w:val="0"/>
        <w:keepLines w:val="0"/>
        <w:widowControl w:val="0"/>
        <w:shd w:val="clear" w:color="auto" w:fill="auto"/>
        <w:tabs>
          <w:tab w:pos="483" w:val="left"/>
        </w:tabs>
        <w:bidi w:val="0"/>
        <w:spacing w:before="0" w:line="240" w:lineRule="auto"/>
        <w:ind w:left="0" w:right="0" w:firstLine="0"/>
        <w:jc w:val="left"/>
      </w:pPr>
      <w:bookmarkStart w:id="832" w:name="bookmark832"/>
      <w:r>
        <w:rPr>
          <w:rFonts w:ascii="Times New Roman" w:eastAsia="Times New Roman" w:hAnsi="Times New Roman" w:cs="Times New Roman"/>
          <w:b/>
          <w:bCs/>
          <w:color w:val="000000"/>
          <w:spacing w:val="0"/>
          <w:w w:val="100"/>
          <w:position w:val="0"/>
        </w:rPr>
        <w:t>2</w:t>
      </w:r>
      <w:bookmarkEnd w:id="8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长期资产减值</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w:t>
      </w:r>
      <w:r>
        <w:rPr>
          <w:color w:val="000000"/>
          <w:spacing w:val="0"/>
          <w:w w:val="100"/>
          <w:position w:val="0"/>
        </w:rPr>
        <w:t>认，如果难以对单项资产的可收回金额进行估计的，以该资产所属的资产组确定资产组的可收回金额。资产组是能够独立产 生现金流入的最小资产组合。</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9"/>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上述资产减值损失一经确认，以后期间不予转回价值得以恢复的部分。</w:t>
      </w:r>
    </w:p>
    <w:p>
      <w:pPr>
        <w:pStyle w:val="Style21"/>
        <w:keepNext/>
        <w:keepLines/>
        <w:widowControl w:val="0"/>
        <w:shd w:val="clear" w:color="auto" w:fill="auto"/>
        <w:tabs>
          <w:tab w:pos="483"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33"/>
      <w:bookmarkEnd w:id="834"/>
      <w:bookmarkEnd w:id="836"/>
    </w:p>
    <w:p>
      <w:pPr>
        <w:pStyle w:val="Style9"/>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长期待摊费用为已经发生但应由报告期和以后各期负担的分摊期限在一年以上的各项费用。长期待摊费用在预计受益 期间按直线法摊销，摊销年限为</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21"/>
        <w:keepNext/>
        <w:keepLines/>
        <w:widowControl w:val="0"/>
        <w:shd w:val="clear" w:color="auto" w:fill="auto"/>
        <w:tabs>
          <w:tab w:pos="483" w:val="left"/>
        </w:tabs>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37"/>
      <w:bookmarkEnd w:id="838"/>
      <w:bookmarkEnd w:id="840"/>
    </w:p>
    <w:p>
      <w:pPr>
        <w:pStyle w:val="Style21"/>
        <w:keepNext/>
        <w:keepLines/>
        <w:widowControl w:val="0"/>
        <w:shd w:val="clear" w:color="auto" w:fill="auto"/>
        <w:tabs>
          <w:tab w:pos="488" w:val="left"/>
        </w:tabs>
        <w:bidi w:val="0"/>
        <w:spacing w:before="0" w:after="280" w:line="240" w:lineRule="auto"/>
        <w:ind w:left="0" w:right="0" w:firstLine="0"/>
        <w:jc w:val="left"/>
      </w:pPr>
      <w:bookmarkStart w:id="837" w:name="bookmark837"/>
      <w:bookmarkStart w:id="838" w:name="bookmark838"/>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37"/>
      <w:bookmarkEnd w:id="838"/>
      <w:bookmarkEnd w:id="842"/>
    </w:p>
    <w:p>
      <w:pPr>
        <w:pStyle w:val="Style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21"/>
        <w:keepNext/>
        <w:keepLines/>
        <w:widowControl w:val="0"/>
        <w:shd w:val="clear" w:color="auto" w:fill="auto"/>
        <w:tabs>
          <w:tab w:pos="488"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3"/>
      <w:bookmarkEnd w:id="844"/>
      <w:bookmarkEnd w:id="846"/>
    </w:p>
    <w:p>
      <w:pPr>
        <w:pStyle w:val="Style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离职后福利主要包括设定提存计划。设定提存计划主要包括基本养老保险、失业保险等，相应的应缴存金额于发生时 计入相关资产成本或当期损益。</w:t>
      </w:r>
    </w:p>
    <w:p>
      <w:pPr>
        <w:pStyle w:val="Style21"/>
        <w:keepNext/>
        <w:keepLines/>
        <w:widowControl w:val="0"/>
        <w:shd w:val="clear" w:color="auto" w:fill="auto"/>
        <w:tabs>
          <w:tab w:pos="488"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7"/>
      <w:bookmarkEnd w:id="848"/>
      <w:bookmarkEnd w:id="850"/>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职工内部退休计划采用上述辞退福利相同的原则处理。本公司将自职工停止提供服务日至正常退休日的期间拟支付的 内退人员工资和缴纳的社会保险费等，在符合预计负债确认条件时，计入当期损益（辞退福利）。</w:t>
      </w:r>
    </w:p>
    <w:p>
      <w:pPr>
        <w:pStyle w:val="Style21"/>
        <w:keepNext/>
        <w:keepLines/>
        <w:widowControl w:val="0"/>
        <w:shd w:val="clear" w:color="auto" w:fill="auto"/>
        <w:tabs>
          <w:tab w:pos="488" w:val="left"/>
        </w:tabs>
        <w:bidi w:val="0"/>
        <w:spacing w:before="0" w:after="28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51"/>
      <w:bookmarkEnd w:id="852"/>
      <w:bookmarkEnd w:id="854"/>
    </w:p>
    <w:p>
      <w:pPr>
        <w:pStyle w:val="Style9"/>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收益计划进行会计处理。</w:t>
      </w:r>
    </w:p>
    <w:p>
      <w:pPr>
        <w:pStyle w:val="Style21"/>
        <w:keepNext/>
        <w:keepLines/>
        <w:widowControl w:val="0"/>
        <w:shd w:val="clear" w:color="auto" w:fill="auto"/>
        <w:tabs>
          <w:tab w:pos="483"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55"/>
      <w:bookmarkEnd w:id="856"/>
      <w:bookmarkEnd w:id="858"/>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在资产负债表日，考虑与或有事项有关的风险、不确定性和货币时间价值等因素，按照履行相关现时义务所需支出的 </w:t>
      </w:r>
      <w:r>
        <w:rPr>
          <w:color w:val="000000"/>
          <w:spacing w:val="0"/>
          <w:w w:val="100"/>
          <w:position w:val="0"/>
        </w:rPr>
        <w:t>最佳估计数对预计负债进行计量。</w:t>
      </w:r>
    </w:p>
    <w:p>
      <w:pPr>
        <w:pStyle w:val="Style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1"/>
        <w:keepNext/>
        <w:keepLines/>
        <w:widowControl w:val="0"/>
        <w:shd w:val="clear" w:color="auto" w:fill="auto"/>
        <w:tabs>
          <w:tab w:pos="483" w:val="left"/>
        </w:tabs>
        <w:bidi w:val="0"/>
        <w:spacing w:before="0" w:after="3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59"/>
      <w:bookmarkEnd w:id="860"/>
      <w:bookmarkEnd w:id="862"/>
    </w:p>
    <w:p>
      <w:pPr>
        <w:pStyle w:val="Style21"/>
        <w:keepNext/>
        <w:keepLines/>
        <w:widowControl w:val="0"/>
        <w:shd w:val="clear" w:color="auto" w:fill="auto"/>
        <w:tabs>
          <w:tab w:pos="483" w:val="left"/>
        </w:tabs>
        <w:bidi w:val="0"/>
        <w:spacing w:before="0" w:after="360" w:line="240" w:lineRule="auto"/>
        <w:ind w:left="0" w:right="0" w:firstLine="0"/>
        <w:jc w:val="left"/>
      </w:pPr>
      <w:bookmarkStart w:id="859" w:name="bookmark859"/>
      <w:bookmarkStart w:id="860" w:name="bookmark860"/>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59"/>
      <w:bookmarkEnd w:id="860"/>
      <w:bookmarkEnd w:id="864"/>
    </w:p>
    <w:p>
      <w:pPr>
        <w:pStyle w:val="Style21"/>
        <w:keepNext/>
        <w:keepLines/>
        <w:widowControl w:val="0"/>
        <w:shd w:val="clear" w:color="auto" w:fill="auto"/>
        <w:tabs>
          <w:tab w:pos="483" w:val="left"/>
        </w:tabs>
        <w:bidi w:val="0"/>
        <w:spacing w:before="0" w:after="260" w:line="240" w:lineRule="auto"/>
        <w:ind w:left="0" w:right="0" w:firstLine="0"/>
        <w:jc w:val="left"/>
      </w:pPr>
      <w:bookmarkStart w:id="859" w:name="bookmark859"/>
      <w:bookmarkStart w:id="860" w:name="bookmark860"/>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59"/>
      <w:bookmarkEnd w:id="860"/>
      <w:bookmarkEnd w:id="866"/>
    </w:p>
    <w:p>
      <w:pPr>
        <w:pStyle w:val="Style9"/>
        <w:keepNext w:val="0"/>
        <w:keepLines w:val="0"/>
        <w:widowControl w:val="0"/>
        <w:shd w:val="clear" w:color="auto" w:fill="auto"/>
        <w:bidi w:val="0"/>
        <w:spacing w:before="0" w:after="40" w:line="316" w:lineRule="exact"/>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否</w:t>
      </w:r>
    </w:p>
    <w:p>
      <w:pPr>
        <w:pStyle w:val="Style9"/>
        <w:keepNext w:val="0"/>
        <w:keepLines w:val="0"/>
        <w:widowControl w:val="0"/>
        <w:shd w:val="clear" w:color="auto" w:fill="auto"/>
        <w:tabs>
          <w:tab w:pos="770" w:val="left"/>
        </w:tabs>
        <w:bidi w:val="0"/>
        <w:spacing w:before="0" w:after="0" w:line="389" w:lineRule="auto"/>
        <w:ind w:left="0" w:right="0" w:firstLine="440"/>
        <w:jc w:val="left"/>
      </w:pPr>
      <w:bookmarkStart w:id="867" w:name="bookmark867"/>
      <w:r>
        <w:rPr>
          <w:rFonts w:ascii="Times New Roman" w:eastAsia="Times New Roman" w:hAnsi="Times New Roman" w:cs="Times New Roman"/>
          <w:color w:val="000000"/>
          <w:spacing w:val="0"/>
          <w:w w:val="100"/>
          <w:position w:val="0"/>
        </w:rPr>
        <w:t>1</w:t>
      </w:r>
      <w:bookmarkEnd w:id="867"/>
      <w:r>
        <w:rPr>
          <w:color w:val="000000"/>
          <w:spacing w:val="0"/>
          <w:w w:val="100"/>
          <w:position w:val="0"/>
        </w:rPr>
        <w:t>、</w:t>
        <w:tab/>
        <w:t>商品销售收入</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在已将商品所有权上的主要风险和报酬转移给买方，既没有保留通常与所有权相联系的继续管理权，也没有对已售商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9"/>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本公司商品销售主要有银行现金流转内控系统产品和银行自助设备现金管理系统产品，其收入的具体确认原则：</w:t>
      </w:r>
    </w:p>
    <w:p>
      <w:pPr>
        <w:pStyle w:val="Style9"/>
        <w:keepNext w:val="0"/>
        <w:keepLines w:val="0"/>
        <w:widowControl w:val="0"/>
        <w:shd w:val="clear" w:color="auto" w:fill="auto"/>
        <w:tabs>
          <w:tab w:pos="837" w:val="left"/>
        </w:tabs>
        <w:bidi w:val="0"/>
        <w:spacing w:before="0" w:after="0" w:line="389" w:lineRule="auto"/>
        <w:ind w:left="0" w:right="0" w:firstLine="440"/>
        <w:jc w:val="both"/>
      </w:pPr>
      <w:bookmarkStart w:id="868" w:name="bookmark868"/>
      <w:r>
        <w:rPr>
          <w:rFonts w:ascii="Times New Roman" w:eastAsia="Times New Roman" w:hAnsi="Times New Roman" w:cs="Times New Roman"/>
          <w:color w:val="000000"/>
          <w:spacing w:val="0"/>
          <w:w w:val="100"/>
          <w:position w:val="0"/>
        </w:rPr>
        <w:t>A</w:t>
      </w:r>
      <w:bookmarkEnd w:id="868"/>
      <w:r>
        <w:rPr>
          <w:color w:val="000000"/>
          <w:spacing w:val="0"/>
          <w:w w:val="100"/>
          <w:position w:val="0"/>
        </w:rPr>
        <w:t>、</w:t>
        <w:tab/>
      </w:r>
      <w:r>
        <w:rPr>
          <w:color w:val="000000"/>
          <w:spacing w:val="0"/>
          <w:w w:val="100"/>
          <w:position w:val="0"/>
        </w:rPr>
        <w:t>银行现金流转内控系统产品无需进行专门安装，在将产品交付给购买方后确认销售收入的实现。</w:t>
      </w:r>
    </w:p>
    <w:p>
      <w:pPr>
        <w:pStyle w:val="Style9"/>
        <w:keepNext w:val="0"/>
        <w:keepLines w:val="0"/>
        <w:widowControl w:val="0"/>
        <w:shd w:val="clear" w:color="auto" w:fill="auto"/>
        <w:tabs>
          <w:tab w:pos="810" w:val="left"/>
        </w:tabs>
        <w:bidi w:val="0"/>
        <w:spacing w:before="0" w:after="100" w:line="316" w:lineRule="exact"/>
        <w:ind w:left="0" w:right="0" w:firstLine="440"/>
        <w:jc w:val="both"/>
      </w:pPr>
      <w:bookmarkStart w:id="869" w:name="bookmark869"/>
      <w:r>
        <w:rPr>
          <w:rFonts w:ascii="Times New Roman" w:eastAsia="Times New Roman" w:hAnsi="Times New Roman" w:cs="Times New Roman"/>
          <w:color w:val="000000"/>
          <w:spacing w:val="0"/>
          <w:w w:val="100"/>
          <w:position w:val="0"/>
        </w:rPr>
        <w:t>B</w:t>
      </w:r>
      <w:bookmarkEnd w:id="869"/>
      <w:r>
        <w:rPr>
          <w:color w:val="000000"/>
          <w:spacing w:val="0"/>
          <w:w w:val="100"/>
          <w:position w:val="0"/>
        </w:rPr>
        <w:t>、</w:t>
        <w:tab/>
      </w:r>
      <w:r>
        <w:rPr>
          <w:color w:val="000000"/>
          <w:spacing w:val="0"/>
          <w:w w:val="100"/>
          <w:position w:val="0"/>
        </w:rPr>
        <w:t>银行自助设备现金管理系统产品通常按照合同约定向购买方移交，并完成安装、调试工作，取得了购买方验收确认 单据后确认销售收入的实现。</w:t>
      </w:r>
    </w:p>
    <w:p>
      <w:pPr>
        <w:pStyle w:val="Style9"/>
        <w:keepNext w:val="0"/>
        <w:keepLines w:val="0"/>
        <w:widowControl w:val="0"/>
        <w:shd w:val="clear" w:color="auto" w:fill="auto"/>
        <w:tabs>
          <w:tab w:pos="789" w:val="left"/>
        </w:tabs>
        <w:bidi w:val="0"/>
        <w:spacing w:before="0" w:after="0" w:line="389" w:lineRule="auto"/>
        <w:ind w:left="0" w:right="0" w:firstLine="440"/>
        <w:jc w:val="both"/>
      </w:pPr>
      <w:bookmarkStart w:id="870" w:name="bookmark870"/>
      <w:r>
        <w:rPr>
          <w:rFonts w:ascii="Times New Roman" w:eastAsia="Times New Roman" w:hAnsi="Times New Roman" w:cs="Times New Roman"/>
          <w:color w:val="000000"/>
          <w:spacing w:val="0"/>
          <w:w w:val="100"/>
          <w:position w:val="0"/>
        </w:rPr>
        <w:t>2</w:t>
      </w:r>
      <w:bookmarkEnd w:id="870"/>
      <w:r>
        <w:rPr>
          <w:color w:val="000000"/>
          <w:spacing w:val="0"/>
          <w:w w:val="100"/>
          <w:position w:val="0"/>
        </w:rPr>
        <w:t>、</w:t>
        <w:tab/>
        <w:t>提供劳务收入</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在提供劳务交易的结果能够可靠估计的情况下，于资产负债表日按照完工百分比法确认提供的劳务收入。</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9"/>
        <w:keepNext w:val="0"/>
        <w:keepLines w:val="0"/>
        <w:widowControl w:val="0"/>
        <w:shd w:val="clear" w:color="auto" w:fill="auto"/>
        <w:bidi w:val="0"/>
        <w:spacing w:before="0" w:after="100" w:line="329" w:lineRule="exact"/>
        <w:ind w:left="0" w:right="0" w:firstLine="440"/>
        <w:jc w:val="both"/>
      </w:pPr>
      <w:r>
        <w:rPr>
          <w:color w:val="000000"/>
          <w:spacing w:val="0"/>
          <w:w w:val="100"/>
          <w:position w:val="0"/>
        </w:rPr>
        <w:t>本公司与其他企业签订的合同或协议包括销售商品和提供劳务时，如销售商品部分和提供劳务部分能够区分并单独计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9"/>
        <w:keepNext w:val="0"/>
        <w:keepLines w:val="0"/>
        <w:widowControl w:val="0"/>
        <w:shd w:val="clear" w:color="auto" w:fill="auto"/>
        <w:tabs>
          <w:tab w:pos="789" w:val="left"/>
        </w:tabs>
        <w:bidi w:val="0"/>
        <w:spacing w:before="0" w:after="0" w:line="403" w:lineRule="auto"/>
        <w:ind w:left="0" w:right="0" w:firstLine="440"/>
        <w:jc w:val="both"/>
      </w:pPr>
      <w:bookmarkStart w:id="871" w:name="bookmark871"/>
      <w:r>
        <w:rPr>
          <w:rFonts w:ascii="Times New Roman" w:eastAsia="Times New Roman" w:hAnsi="Times New Roman" w:cs="Times New Roman"/>
          <w:color w:val="000000"/>
          <w:spacing w:val="0"/>
          <w:w w:val="100"/>
          <w:position w:val="0"/>
        </w:rPr>
        <w:t>3</w:t>
      </w:r>
      <w:bookmarkEnd w:id="871"/>
      <w:r>
        <w:rPr>
          <w:color w:val="000000"/>
          <w:spacing w:val="0"/>
          <w:w w:val="100"/>
          <w:position w:val="0"/>
        </w:rPr>
        <w:t>、</w:t>
        <w:tab/>
        <w:t>使用费收入</w:t>
      </w:r>
    </w:p>
    <w:p>
      <w:pPr>
        <w:pStyle w:val="Style9"/>
        <w:keepNext w:val="0"/>
        <w:keepLines w:val="0"/>
        <w:widowControl w:val="0"/>
        <w:shd w:val="clear" w:color="auto" w:fill="auto"/>
        <w:bidi w:val="0"/>
        <w:spacing w:before="0" w:after="100" w:line="329" w:lineRule="exact"/>
        <w:ind w:left="0" w:right="0" w:firstLine="440"/>
        <w:jc w:val="both"/>
      </w:pPr>
      <w:r>
        <w:rPr>
          <w:color w:val="000000"/>
          <w:spacing w:val="0"/>
          <w:w w:val="100"/>
          <w:position w:val="0"/>
        </w:rPr>
        <w:t>根据有关合同或协议，按权责发生制确认收入。</w:t>
      </w:r>
    </w:p>
    <w:p>
      <w:pPr>
        <w:pStyle w:val="Style9"/>
        <w:keepNext w:val="0"/>
        <w:keepLines w:val="0"/>
        <w:widowControl w:val="0"/>
        <w:shd w:val="clear" w:color="auto" w:fill="auto"/>
        <w:tabs>
          <w:tab w:pos="789" w:val="left"/>
        </w:tabs>
        <w:bidi w:val="0"/>
        <w:spacing w:before="0" w:after="0" w:line="389" w:lineRule="auto"/>
        <w:ind w:left="0" w:right="0" w:firstLine="440"/>
        <w:jc w:val="both"/>
      </w:pPr>
      <w:bookmarkStart w:id="872" w:name="bookmark872"/>
      <w:r>
        <w:rPr>
          <w:rFonts w:ascii="Times New Roman" w:eastAsia="Times New Roman" w:hAnsi="Times New Roman" w:cs="Times New Roman"/>
          <w:color w:val="000000"/>
          <w:spacing w:val="0"/>
          <w:w w:val="100"/>
          <w:position w:val="0"/>
        </w:rPr>
        <w:t>4</w:t>
      </w:r>
      <w:bookmarkEnd w:id="872"/>
      <w:r>
        <w:rPr>
          <w:color w:val="000000"/>
          <w:spacing w:val="0"/>
          <w:w w:val="100"/>
          <w:position w:val="0"/>
        </w:rPr>
        <w:t>、</w:t>
        <w:tab/>
        <w:t>利息收入</w:t>
      </w:r>
    </w:p>
    <w:p>
      <w:pPr>
        <w:pStyle w:val="Style9"/>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按照他人使用本公司货币资金的时间和实际利率计算确定</w:t>
      </w:r>
    </w:p>
    <w:p>
      <w:pPr>
        <w:pStyle w:val="Style21"/>
        <w:keepNext/>
        <w:keepLines/>
        <w:widowControl w:val="0"/>
        <w:shd w:val="clear" w:color="auto" w:fill="auto"/>
        <w:tabs>
          <w:tab w:pos="483" w:val="left"/>
        </w:tabs>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73"/>
      <w:bookmarkEnd w:id="874"/>
      <w:bookmarkEnd w:id="876"/>
    </w:p>
    <w:p>
      <w:pPr>
        <w:pStyle w:val="Style21"/>
        <w:keepNext/>
        <w:keepLines/>
        <w:widowControl w:val="0"/>
        <w:shd w:val="clear" w:color="auto" w:fill="auto"/>
        <w:bidi w:val="0"/>
        <w:spacing w:before="0" w:after="260" w:line="240" w:lineRule="auto"/>
        <w:ind w:left="0" w:right="0" w:firstLine="0"/>
        <w:jc w:val="left"/>
      </w:pPr>
      <w:bookmarkStart w:id="873" w:name="bookmark873"/>
      <w:bookmarkStart w:id="874" w:name="bookmark874"/>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73"/>
      <w:bookmarkEnd w:id="874"/>
      <w:bookmarkEnd w:id="878"/>
    </w:p>
    <w:p>
      <w:pPr>
        <w:pStyle w:val="Style9"/>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本公司将所取得的用于购建或以其他方式形成长期资产的政府补助界定为与资产相关的政府补助。政府补助为货币性 资产的，按照收到或应收的金额计量。政府补助为非货币性资产的，按照公允价值计量；公允价值不能够可靠取得的，按照 名义金额计量。按照名义金额计量的政府补助，直接计入当期损益。与资产相关的政府补助，确认为递延收益，并在相关资 产的使用寿命内平均分配计入当期损益。已确认的政府补助需要返还时，存在相关递延收益余额的，冲减相关递延收益账面 余额，超出部分计入当期损益；不存在相关递延收益的，直接计入当期损益。</w:t>
      </w:r>
    </w:p>
    <w:p>
      <w:pPr>
        <w:pStyle w:val="Style21"/>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79"/>
      <w:bookmarkEnd w:id="880"/>
      <w:bookmarkEnd w:id="882"/>
    </w:p>
    <w:p>
      <w:pPr>
        <w:pStyle w:val="Style9"/>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本公司将所取得的用于购建或以其他方式形成长期资产的政府补助界定为与资产相关的政府补助；其余政府补助界定 为与收益相关的政府补助。与收益相关的政府补助，用于补偿以后期间的相关费用和损失的，确认为递延收益，并在确认相 关费用的期间计入当期损益；用于补偿已经发生的相关费用和损失的，直接计入当期损益。</w:t>
      </w:r>
    </w:p>
    <w:p>
      <w:pPr>
        <w:pStyle w:val="Style21"/>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3"/>
      <w:bookmarkEnd w:id="884"/>
      <w:bookmarkEnd w:id="886"/>
    </w:p>
    <w:p>
      <w:pPr>
        <w:pStyle w:val="Style9"/>
        <w:keepNext w:val="0"/>
        <w:keepLines w:val="0"/>
        <w:widowControl w:val="0"/>
        <w:shd w:val="clear" w:color="auto" w:fill="auto"/>
        <w:tabs>
          <w:tab w:pos="842" w:val="left"/>
        </w:tabs>
        <w:bidi w:val="0"/>
        <w:spacing w:before="0" w:after="0" w:line="314" w:lineRule="exact"/>
        <w:ind w:left="0" w:right="0" w:firstLine="44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当期所得税</w:t>
      </w:r>
    </w:p>
    <w:p>
      <w:pPr>
        <w:pStyle w:val="Style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9"/>
        <w:keepNext w:val="0"/>
        <w:keepLines w:val="0"/>
        <w:widowControl w:val="0"/>
        <w:shd w:val="clear" w:color="auto" w:fill="auto"/>
        <w:tabs>
          <w:tab w:pos="842" w:val="left"/>
        </w:tabs>
        <w:bidi w:val="0"/>
        <w:spacing w:before="0" w:after="0" w:line="314" w:lineRule="exact"/>
        <w:ind w:left="0" w:right="0" w:firstLine="44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9"/>
        <w:keepNext w:val="0"/>
        <w:keepLines w:val="0"/>
        <w:widowControl w:val="0"/>
        <w:shd w:val="clear" w:color="auto" w:fill="auto"/>
        <w:tabs>
          <w:tab w:pos="842" w:val="left"/>
        </w:tabs>
        <w:bidi w:val="0"/>
        <w:spacing w:before="0" w:after="0" w:line="314" w:lineRule="exact"/>
        <w:ind w:left="0" w:right="0" w:firstLine="44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所得税费用包括当期所得税和递延所得税。</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9"/>
        <w:keepNext w:val="0"/>
        <w:keepLines w:val="0"/>
        <w:widowControl w:val="0"/>
        <w:shd w:val="clear" w:color="auto" w:fill="auto"/>
        <w:tabs>
          <w:tab w:pos="842" w:val="left"/>
        </w:tabs>
        <w:bidi w:val="0"/>
        <w:spacing w:before="0" w:after="0" w:line="314"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所得税的抵销</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9"/>
        <w:keepNext w:val="0"/>
        <w:keepLines w:val="0"/>
        <w:widowControl w:val="0"/>
        <w:shd w:val="clear" w:color="auto" w:fill="auto"/>
        <w:bidi w:val="0"/>
        <w:spacing w:before="0" w:after="140" w:line="325"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21"/>
        <w:keepNext/>
        <w:keepLines/>
        <w:widowControl w:val="0"/>
        <w:shd w:val="clear" w:color="auto" w:fill="auto"/>
        <w:tabs>
          <w:tab w:pos="483" w:val="left"/>
        </w:tabs>
        <w:bidi w:val="0"/>
        <w:spacing w:before="0" w:after="3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891"/>
      <w:bookmarkEnd w:id="892"/>
      <w:bookmarkEnd w:id="894"/>
    </w:p>
    <w:p>
      <w:pPr>
        <w:pStyle w:val="Style21"/>
        <w:keepNext/>
        <w:keepLines/>
        <w:widowControl w:val="0"/>
        <w:numPr>
          <w:ilvl w:val="0"/>
          <w:numId w:val="23"/>
        </w:numPr>
        <w:shd w:val="clear" w:color="auto" w:fill="auto"/>
        <w:tabs>
          <w:tab w:pos="488" w:val="left"/>
        </w:tabs>
        <w:bidi w:val="0"/>
        <w:spacing w:before="0" w:after="260" w:line="240" w:lineRule="auto"/>
        <w:ind w:left="0" w:right="0" w:firstLine="0"/>
        <w:jc w:val="left"/>
      </w:pPr>
      <w:bookmarkStart w:id="891" w:name="bookmark891"/>
      <w:bookmarkStart w:id="892" w:name="bookmark892"/>
      <w:bookmarkStart w:id="895" w:name="bookmark895"/>
      <w:bookmarkStart w:id="896" w:name="bookmark896"/>
      <w:bookmarkEnd w:id="895"/>
      <w:r>
        <w:rPr>
          <w:color w:val="000000"/>
          <w:spacing w:val="0"/>
          <w:w w:val="100"/>
          <w:position w:val="0"/>
        </w:rPr>
        <w:t>经营租赁的会计处理方法</w:t>
      </w:r>
      <w:bookmarkEnd w:id="891"/>
      <w:bookmarkEnd w:id="892"/>
      <w:bookmarkEnd w:id="896"/>
    </w:p>
    <w:p>
      <w:pPr>
        <w:pStyle w:val="Style9"/>
        <w:keepNext w:val="0"/>
        <w:keepLines w:val="0"/>
        <w:widowControl w:val="0"/>
        <w:shd w:val="clear" w:color="auto" w:fill="auto"/>
        <w:tabs>
          <w:tab w:pos="770" w:val="left"/>
        </w:tabs>
        <w:bidi w:val="0"/>
        <w:spacing w:before="0" w:after="0" w:line="313" w:lineRule="exact"/>
        <w:ind w:left="0" w:right="0" w:firstLine="440"/>
        <w:jc w:val="both"/>
      </w:pPr>
      <w:bookmarkStart w:id="897" w:name="bookmark897"/>
      <w:r>
        <w:rPr>
          <w:rFonts w:ascii="Times New Roman" w:eastAsia="Times New Roman" w:hAnsi="Times New Roman" w:cs="Times New Roman"/>
          <w:color w:val="000000"/>
          <w:spacing w:val="0"/>
          <w:w w:val="100"/>
          <w:position w:val="0"/>
        </w:rPr>
        <w:t>1</w:t>
      </w:r>
      <w:bookmarkEnd w:id="897"/>
      <w:r>
        <w:rPr>
          <w:color w:val="000000"/>
          <w:spacing w:val="0"/>
          <w:w w:val="100"/>
          <w:position w:val="0"/>
        </w:rPr>
        <w:t>、</w:t>
        <w:tab/>
        <w:t>本公司作为承租人记录经营租赁业务</w:t>
      </w:r>
    </w:p>
    <w:p>
      <w:pPr>
        <w:pStyle w:val="Style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9"/>
        <w:keepNext w:val="0"/>
        <w:keepLines w:val="0"/>
        <w:widowControl w:val="0"/>
        <w:shd w:val="clear" w:color="auto" w:fill="auto"/>
        <w:tabs>
          <w:tab w:pos="789" w:val="left"/>
        </w:tabs>
        <w:bidi w:val="0"/>
        <w:spacing w:before="0" w:after="0" w:line="309" w:lineRule="exact"/>
        <w:ind w:left="0" w:right="0" w:firstLine="440"/>
        <w:jc w:val="both"/>
      </w:pPr>
      <w:bookmarkStart w:id="898" w:name="bookmark898"/>
      <w:r>
        <w:rPr>
          <w:rFonts w:ascii="Times New Roman" w:eastAsia="Times New Roman" w:hAnsi="Times New Roman" w:cs="Times New Roman"/>
          <w:color w:val="000000"/>
          <w:spacing w:val="0"/>
          <w:w w:val="100"/>
          <w:position w:val="0"/>
        </w:rPr>
        <w:t>2</w:t>
      </w:r>
      <w:bookmarkEnd w:id="898"/>
      <w:r>
        <w:rPr>
          <w:color w:val="000000"/>
          <w:spacing w:val="0"/>
          <w:w w:val="100"/>
          <w:position w:val="0"/>
        </w:rPr>
        <w:t>、</w:t>
        <w:tab/>
        <w:t>本公司作为出租人记录经营租赁业务</w:t>
      </w:r>
    </w:p>
    <w:p>
      <w:pPr>
        <w:pStyle w:val="Style9"/>
        <w:keepNext w:val="0"/>
        <w:keepLines w:val="0"/>
        <w:widowControl w:val="0"/>
        <w:shd w:val="clear" w:color="auto" w:fill="auto"/>
        <w:bidi w:val="0"/>
        <w:spacing w:before="0" w:after="360" w:line="309" w:lineRule="exact"/>
        <w:ind w:left="0" w:right="0" w:firstLine="44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21"/>
        <w:keepNext/>
        <w:keepLines/>
        <w:widowControl w:val="0"/>
        <w:numPr>
          <w:ilvl w:val="0"/>
          <w:numId w:val="23"/>
        </w:numPr>
        <w:shd w:val="clear" w:color="auto" w:fill="auto"/>
        <w:tabs>
          <w:tab w:pos="488" w:val="left"/>
        </w:tabs>
        <w:bidi w:val="0"/>
        <w:spacing w:before="0" w:after="26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融资租赁的会计处理方法</w:t>
      </w:r>
      <w:bookmarkEnd w:id="899"/>
      <w:bookmarkEnd w:id="900"/>
      <w:bookmarkEnd w:id="902"/>
    </w:p>
    <w:p>
      <w:pPr>
        <w:pStyle w:val="Style9"/>
        <w:keepNext w:val="0"/>
        <w:keepLines w:val="0"/>
        <w:widowControl w:val="0"/>
        <w:shd w:val="clear" w:color="auto" w:fill="auto"/>
        <w:tabs>
          <w:tab w:pos="770" w:val="left"/>
        </w:tabs>
        <w:bidi w:val="0"/>
        <w:spacing w:before="0" w:after="0" w:line="313" w:lineRule="exact"/>
        <w:ind w:left="0" w:right="0" w:firstLine="440"/>
        <w:jc w:val="both"/>
      </w:pPr>
      <w:bookmarkStart w:id="903" w:name="bookmark903"/>
      <w:r>
        <w:rPr>
          <w:rFonts w:ascii="Times New Roman" w:eastAsia="Times New Roman" w:hAnsi="Times New Roman" w:cs="Times New Roman"/>
          <w:color w:val="000000"/>
          <w:spacing w:val="0"/>
          <w:w w:val="100"/>
          <w:position w:val="0"/>
        </w:rPr>
        <w:t>1</w:t>
      </w:r>
      <w:bookmarkEnd w:id="903"/>
      <w:r>
        <w:rPr>
          <w:color w:val="000000"/>
          <w:spacing w:val="0"/>
          <w:w w:val="100"/>
          <w:position w:val="0"/>
        </w:rPr>
        <w:t>、</w:t>
        <w:tab/>
        <w:t>本公司作为承租人记录融资租赁业务</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未确认融资费用在租赁期内采用实际利率法计算确认当期的融资费用。或有租金于实际发生时计入当期损益。</w:t>
      </w:r>
    </w:p>
    <w:p>
      <w:pPr>
        <w:pStyle w:val="Style9"/>
        <w:keepNext w:val="0"/>
        <w:keepLines w:val="0"/>
        <w:widowControl w:val="0"/>
        <w:shd w:val="clear" w:color="auto" w:fill="auto"/>
        <w:tabs>
          <w:tab w:pos="789" w:val="left"/>
        </w:tabs>
        <w:bidi w:val="0"/>
        <w:spacing w:before="0" w:after="0" w:line="313" w:lineRule="exact"/>
        <w:ind w:left="0" w:right="0" w:firstLine="440"/>
        <w:jc w:val="both"/>
      </w:pPr>
      <w:bookmarkStart w:id="904" w:name="bookmark904"/>
      <w:r>
        <w:rPr>
          <w:rFonts w:ascii="Times New Roman" w:eastAsia="Times New Roman" w:hAnsi="Times New Roman" w:cs="Times New Roman"/>
          <w:color w:val="000000"/>
          <w:spacing w:val="0"/>
          <w:w w:val="100"/>
          <w:position w:val="0"/>
        </w:rPr>
        <w:t>2</w:t>
      </w:r>
      <w:bookmarkEnd w:id="904"/>
      <w:r>
        <w:rPr>
          <w:color w:val="000000"/>
          <w:spacing w:val="0"/>
          <w:w w:val="100"/>
          <w:position w:val="0"/>
        </w:rPr>
        <w:t>、</w:t>
        <w:tab/>
        <w:t>本公司作为出租人记录融资租赁业务</w:t>
      </w:r>
    </w:p>
    <w:p>
      <w:pPr>
        <w:pStyle w:val="Style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未实现融资收益在租赁期内采用实际利率法计算确认当期的融资收入。或有租金于实际发生时计入当期损益。</w:t>
      </w:r>
    </w:p>
    <w:p>
      <w:pPr>
        <w:pStyle w:val="Style21"/>
        <w:keepNext/>
        <w:keepLines/>
        <w:widowControl w:val="0"/>
        <w:shd w:val="clear" w:color="auto" w:fill="auto"/>
        <w:tabs>
          <w:tab w:pos="483"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05"/>
      <w:bookmarkEnd w:id="906"/>
      <w:bookmarkEnd w:id="908"/>
    </w:p>
    <w:p>
      <w:pPr>
        <w:pStyle w:val="Style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无</w:t>
      </w:r>
    </w:p>
    <w:p>
      <w:pPr>
        <w:pStyle w:val="Style21"/>
        <w:keepNext/>
        <w:keepLines/>
        <w:widowControl w:val="0"/>
        <w:shd w:val="clear" w:color="auto" w:fill="auto"/>
        <w:tabs>
          <w:tab w:pos="483" w:val="left"/>
        </w:tabs>
        <w:bidi w:val="0"/>
        <w:spacing w:before="0" w:after="3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09"/>
      <w:bookmarkEnd w:id="910"/>
      <w:bookmarkEnd w:id="912"/>
    </w:p>
    <w:p>
      <w:pPr>
        <w:pStyle w:val="Style21"/>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909" w:name="bookmark909"/>
      <w:bookmarkStart w:id="910" w:name="bookmark910"/>
      <w:bookmarkStart w:id="913" w:name="bookmark913"/>
      <w:bookmarkStart w:id="914" w:name="bookmark914"/>
      <w:bookmarkEnd w:id="913"/>
      <w:r>
        <w:rPr>
          <w:color w:val="000000"/>
          <w:spacing w:val="0"/>
          <w:w w:val="100"/>
          <w:position w:val="0"/>
        </w:rPr>
        <w:t>重要会计政策变更</w:t>
      </w:r>
      <w:bookmarkEnd w:id="909"/>
      <w:bookmarkEnd w:id="910"/>
      <w:bookmarkEnd w:id="914"/>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重要会计估计变更</w:t>
      </w:r>
      <w:bookmarkEnd w:id="915"/>
      <w:bookmarkEnd w:id="916"/>
      <w:bookmarkEnd w:id="918"/>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19"/>
      <w:bookmarkEnd w:id="920"/>
      <w:bookmarkEnd w:id="922"/>
    </w:p>
    <w:p>
      <w:pPr>
        <w:pStyle w:val="Style9"/>
        <w:keepNext w:val="0"/>
        <w:keepLines w:val="0"/>
        <w:widowControl w:val="0"/>
        <w:shd w:val="clear" w:color="auto" w:fill="auto"/>
        <w:bidi w:val="0"/>
        <w:spacing w:before="0" w:after="320" w:line="313"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0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sz w:val="24"/>
          <w:szCs w:val="24"/>
        </w:rPr>
        <w:t>六</w:t>
      </w:r>
      <w:bookmarkEnd w:id="925"/>
      <w:r>
        <w:rPr>
          <w:color w:val="000000"/>
          <w:spacing w:val="0"/>
          <w:w w:val="100"/>
          <w:position w:val="0"/>
          <w:sz w:val="24"/>
          <w:szCs w:val="24"/>
        </w:rPr>
        <w:t>、税项</w:t>
      </w:r>
      <w:bookmarkEnd w:id="923"/>
      <w:bookmarkEnd w:id="924"/>
      <w:bookmarkEnd w:id="926"/>
    </w:p>
    <w:p>
      <w:pPr>
        <w:pStyle w:val="Style21"/>
        <w:keepNext/>
        <w:keepLines/>
        <w:widowControl w:val="0"/>
        <w:shd w:val="clear" w:color="auto" w:fill="auto"/>
        <w:bidi w:val="0"/>
        <w:spacing w:before="0" w:after="30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7"/>
      <w:bookmarkEnd w:id="928"/>
      <w:bookmarkEnd w:id="929"/>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实际缴纳流转税额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bl>
    <w:p>
      <w:pPr>
        <w:widowControl w:val="0"/>
        <w:spacing w:after="299" w:line="1" w:lineRule="exact"/>
      </w:pPr>
    </w:p>
    <w:p>
      <w:pPr>
        <w:pStyle w:val="Style21"/>
        <w:keepNext/>
        <w:keepLines/>
        <w:widowControl w:val="0"/>
        <w:shd w:val="clear" w:color="auto" w:fill="auto"/>
        <w:tabs>
          <w:tab w:pos="378" w:val="left"/>
        </w:tabs>
        <w:bidi w:val="0"/>
        <w:spacing w:before="0" w:after="30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color w:val="000000"/>
          <w:spacing w:val="0"/>
          <w:w w:val="100"/>
          <w:position w:val="0"/>
        </w:rPr>
        <w:t>、</w:t>
        <w:tab/>
        <w:t>税收优惠</w:t>
      </w:r>
      <w:bookmarkEnd w:id="930"/>
      <w:bookmarkEnd w:id="931"/>
      <w:bookmarkEnd w:id="933"/>
    </w:p>
    <w:p>
      <w:pPr>
        <w:pStyle w:val="Style9"/>
        <w:keepNext w:val="0"/>
        <w:keepLines w:val="0"/>
        <w:widowControl w:val="0"/>
        <w:shd w:val="clear" w:color="auto" w:fill="auto"/>
        <w:tabs>
          <w:tab w:pos="770" w:val="left"/>
        </w:tabs>
        <w:bidi w:val="0"/>
        <w:spacing w:before="0" w:after="0" w:line="311" w:lineRule="exact"/>
        <w:ind w:left="0" w:right="0" w:firstLine="440"/>
        <w:jc w:val="both"/>
      </w:pPr>
      <w:bookmarkStart w:id="934" w:name="bookmark934"/>
      <w:r>
        <w:rPr>
          <w:rFonts w:ascii="Times New Roman" w:eastAsia="Times New Roman" w:hAnsi="Times New Roman" w:cs="Times New Roman"/>
          <w:color w:val="000000"/>
          <w:spacing w:val="0"/>
          <w:w w:val="100"/>
          <w:position w:val="0"/>
        </w:rPr>
        <w:t>1</w:t>
      </w:r>
      <w:bookmarkEnd w:id="934"/>
      <w:r>
        <w:rPr>
          <w:color w:val="000000"/>
          <w:spacing w:val="0"/>
          <w:w w:val="100"/>
          <w:position w:val="0"/>
        </w:rPr>
        <w:t>、</w:t>
        <w:tab/>
        <w:t>增值税</w:t>
      </w:r>
    </w:p>
    <w:p>
      <w:pPr>
        <w:pStyle w:val="Style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日经广东省信息产业厅认定为软件企业，取得粤</w:t>
      </w:r>
      <w:r>
        <w:rPr>
          <w:rFonts w:ascii="Times New Roman" w:eastAsia="Times New Roman" w:hAnsi="Times New Roman" w:cs="Times New Roman"/>
          <w:color w:val="000000"/>
          <w:spacing w:val="0"/>
          <w:w w:val="100"/>
          <w:position w:val="0"/>
        </w:rPr>
        <w:t>R-2010-013</w:t>
      </w:r>
      <w:r>
        <w:rPr>
          <w:rFonts w:ascii="Times New Roman" w:eastAsia="Times New Roman" w:hAnsi="Times New Roman" w:cs="Times New Roman"/>
          <w:color w:val="000000"/>
          <w:spacing w:val="0"/>
          <w:w w:val="100"/>
          <w:position w:val="0"/>
        </w:rPr>
        <w:t>1</w:t>
      </w:r>
      <w:r>
        <w:rPr>
          <w:color w:val="000000"/>
          <w:spacing w:val="0"/>
          <w:w w:val="100"/>
          <w:position w:val="0"/>
        </w:rPr>
        <w:t>号软件企业认定证书，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经重新认定，换领了粤</w:t>
      </w:r>
      <w:r>
        <w:rPr>
          <w:rFonts w:ascii="Times New Roman" w:eastAsia="Times New Roman" w:hAnsi="Times New Roman" w:cs="Times New Roman"/>
          <w:color w:val="000000"/>
          <w:spacing w:val="0"/>
          <w:w w:val="100"/>
          <w:position w:val="0"/>
        </w:rPr>
        <w:t>R-2013-0338</w:t>
      </w:r>
      <w:r>
        <w:rPr>
          <w:color w:val="000000"/>
          <w:spacing w:val="0"/>
          <w:w w:val="100"/>
          <w:position w:val="0"/>
        </w:rPr>
        <w:t>号软件企业认定证书。根据国发</w:t>
      </w:r>
      <w:r>
        <w:rPr>
          <w:rFonts w:ascii="Times New Roman" w:eastAsia="Times New Roman" w:hAnsi="Times New Roman" w:cs="Times New Roman"/>
          <w:color w:val="000000"/>
          <w:spacing w:val="0"/>
          <w:w w:val="100"/>
          <w:position w:val="0"/>
        </w:rPr>
        <w:t>[2011]4</w:t>
      </w:r>
      <w:r>
        <w:rPr>
          <w:color w:val="000000"/>
          <w:spacing w:val="0"/>
          <w:w w:val="100"/>
          <w:position w:val="0"/>
        </w:rPr>
        <w:t>号《国务院关于印发进一步鼓励软件产业和集成 电路产业发展若干政策的通知》、财税</w:t>
      </w:r>
      <w:r>
        <w:rPr>
          <w:rFonts w:ascii="Times New Roman" w:eastAsia="Times New Roman" w:hAnsi="Times New Roman" w:cs="Times New Roman"/>
          <w:color w:val="000000"/>
          <w:spacing w:val="0"/>
          <w:w w:val="100"/>
          <w:position w:val="0"/>
        </w:rPr>
        <w:t>[2011]10</w:t>
      </w:r>
      <w:r>
        <w:rPr>
          <w:color w:val="000000"/>
          <w:spacing w:val="0"/>
          <w:w w:val="100"/>
          <w:position w:val="0"/>
        </w:rPr>
        <w:t>。</w:t>
      </w:r>
      <w:r>
        <w:rPr>
          <w:color w:val="000000"/>
          <w:spacing w:val="0"/>
          <w:w w:val="100"/>
          <w:position w:val="0"/>
        </w:rPr>
        <w:t>号《关于软件产品增值税政策的通知》，本公司销售自行开发生产的软件产 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9"/>
        <w:keepNext w:val="0"/>
        <w:keepLines w:val="0"/>
        <w:widowControl w:val="0"/>
        <w:shd w:val="clear" w:color="auto" w:fill="auto"/>
        <w:tabs>
          <w:tab w:pos="789" w:val="left"/>
        </w:tabs>
        <w:bidi w:val="0"/>
        <w:spacing w:before="0" w:after="0" w:line="311" w:lineRule="exact"/>
        <w:ind w:left="0" w:right="0" w:firstLine="440"/>
        <w:jc w:val="both"/>
      </w:pPr>
      <w:bookmarkStart w:id="935" w:name="bookmark935"/>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企业所得税</w:t>
      </w:r>
    </w:p>
    <w:p>
      <w:pPr>
        <w:pStyle w:val="Style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日取得广东省科学技术厅、广东省财政厅、广东省国家税务局、广东省地方税务局颁发的编号为 </w:t>
      </w:r>
      <w:r>
        <w:rPr>
          <w:rFonts w:ascii="Times New Roman" w:eastAsia="Times New Roman" w:hAnsi="Times New Roman" w:cs="Times New Roman"/>
          <w:color w:val="000000"/>
          <w:spacing w:val="0"/>
          <w:w w:val="100"/>
          <w:position w:val="0"/>
        </w:rPr>
        <w:t>GR201144000043</w:t>
      </w:r>
      <w:r>
        <w:rPr>
          <w:color w:val="000000"/>
          <w:spacing w:val="0"/>
          <w:w w:val="100"/>
          <w:position w:val="0"/>
        </w:rPr>
        <w:t>的《高新技术企业证书》，被认定为高新技术企业，有效期为三年；公司于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日通过高新技术企 业复审，取得编号为</w:t>
      </w:r>
      <w:r>
        <w:rPr>
          <w:rFonts w:ascii="Times New Roman" w:eastAsia="Times New Roman" w:hAnsi="Times New Roman" w:cs="Times New Roman"/>
          <w:color w:val="000000"/>
          <w:spacing w:val="0"/>
          <w:w w:val="100"/>
          <w:position w:val="0"/>
        </w:rPr>
        <w:t>GF201444000315</w:t>
      </w:r>
      <w:r>
        <w:rPr>
          <w:color w:val="000000"/>
          <w:spacing w:val="0"/>
          <w:w w:val="100"/>
          <w:position w:val="0"/>
        </w:rPr>
        <w:t>的《高新技术企业证书》，有效期为三年。根据《中华人民共和国企业所得税法》第二 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的税率征收企业所得税”，本公司自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日开始连续六年 （即</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年）享受国家关于高新技术企业的相关优惠政策，按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1"/>
        <w:keepNext/>
        <w:keepLines/>
        <w:widowControl w:val="0"/>
        <w:shd w:val="clear" w:color="auto" w:fill="auto"/>
        <w:tabs>
          <w:tab w:pos="378" w:val="left"/>
        </w:tabs>
        <w:bidi w:val="0"/>
        <w:spacing w:before="0" w:after="3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color w:val="000000"/>
          <w:spacing w:val="0"/>
          <w:w w:val="100"/>
          <w:position w:val="0"/>
        </w:rPr>
        <w:t>、</w:t>
        <w:tab/>
        <w:t>其他</w:t>
      </w:r>
      <w:bookmarkEnd w:id="936"/>
      <w:bookmarkEnd w:id="937"/>
      <w:bookmarkEnd w:id="939"/>
    </w:p>
    <w:p>
      <w:pPr>
        <w:pStyle w:val="Style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无。</w:t>
      </w:r>
    </w:p>
    <w:p>
      <w:pPr>
        <w:pStyle w:val="Style19"/>
        <w:keepNext/>
        <w:keepLines/>
        <w:widowControl w:val="0"/>
        <w:shd w:val="clear" w:color="auto" w:fill="auto"/>
        <w:bidi w:val="0"/>
        <w:spacing w:before="0" w:after="30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sz w:val="24"/>
          <w:szCs w:val="24"/>
        </w:rPr>
        <w:t>七</w:t>
      </w:r>
      <w:bookmarkEnd w:id="942"/>
      <w:r>
        <w:rPr>
          <w:color w:val="000000"/>
          <w:spacing w:val="0"/>
          <w:w w:val="100"/>
          <w:position w:val="0"/>
          <w:sz w:val="24"/>
          <w:szCs w:val="24"/>
        </w:rPr>
        <w:t>、合并财务报表项目注释</w:t>
      </w:r>
      <w:bookmarkEnd w:id="940"/>
      <w:bookmarkEnd w:id="941"/>
      <w:bookmarkEnd w:id="943"/>
    </w:p>
    <w:p>
      <w:pPr>
        <w:pStyle w:val="Style21"/>
        <w:keepNext/>
        <w:keepLines/>
        <w:widowControl w:val="0"/>
        <w:shd w:val="clear" w:color="auto" w:fill="auto"/>
        <w:bidi w:val="0"/>
        <w:spacing w:before="0" w:after="380" w:line="240" w:lineRule="auto"/>
        <w:ind w:left="0" w:right="0" w:firstLine="0"/>
        <w:jc w:val="left"/>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4"/>
      <w:bookmarkEnd w:id="945"/>
      <w:bookmarkEnd w:id="9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74,885.80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138,581,503.95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175,959,726.35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138,688,374.25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176,134,612.15</w:t>
            </w:r>
          </w:p>
        </w:tc>
      </w:tr>
    </w:tbl>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日止，其他货币资金</w:t>
      </w:r>
      <w:r>
        <w:rPr>
          <w:rFonts w:ascii="Times New Roman" w:eastAsia="Times New Roman" w:hAnsi="Times New Roman" w:cs="Times New Roman"/>
          <w:color w:val="000000"/>
          <w:spacing w:val="0"/>
          <w:w w:val="100"/>
          <w:position w:val="0"/>
        </w:rPr>
        <w:t>100,000.00</w:t>
      </w:r>
      <w:r>
        <w:rPr>
          <w:color w:val="000000"/>
          <w:spacing w:val="0"/>
          <w:w w:val="100"/>
          <w:position w:val="0"/>
        </w:rPr>
        <w:t>元为受限的保证金，已从现金流量表的现金及现金等价物中扣除。</w:t>
      </w:r>
    </w:p>
    <w:p>
      <w:pPr>
        <w:pStyle w:val="Style21"/>
        <w:keepNext/>
        <w:keepLines/>
        <w:widowControl w:val="0"/>
        <w:shd w:val="clear" w:color="auto" w:fill="auto"/>
        <w:tabs>
          <w:tab w:pos="378" w:val="left"/>
        </w:tabs>
        <w:bidi w:val="0"/>
        <w:spacing w:before="0" w:after="3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以公允价值计量且其变动计入当期损益的金融资产</w:t>
      </w:r>
      <w:bookmarkEnd w:id="947"/>
      <w:bookmarkEnd w:id="948"/>
      <w:bookmarkEnd w:id="95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color w:val="000000"/>
          <w:spacing w:val="0"/>
          <w:w w:val="100"/>
          <w:position w:val="0"/>
        </w:rPr>
        <w:t>、</w:t>
        <w:tab/>
        <w:t>衍生金融资产</w:t>
      </w:r>
      <w:bookmarkEnd w:id="951"/>
      <w:bookmarkEnd w:id="952"/>
      <w:bookmarkEnd w:id="95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2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color w:val="000000"/>
          <w:spacing w:val="0"/>
          <w:w w:val="100"/>
          <w:position w:val="0"/>
        </w:rPr>
        <w:t>、</w:t>
        <w:tab/>
        <w:t>应收票据</w:t>
      </w:r>
      <w:bookmarkEnd w:id="955"/>
      <w:bookmarkEnd w:id="956"/>
      <w:bookmarkEnd w:id="958"/>
    </w:p>
    <w:p>
      <w:pPr>
        <w:pStyle w:val="Style21"/>
        <w:keepNext/>
        <w:keepLines/>
        <w:widowControl w:val="0"/>
        <w:numPr>
          <w:ilvl w:val="0"/>
          <w:numId w:val="27"/>
        </w:numPr>
        <w:shd w:val="clear" w:color="auto" w:fill="auto"/>
        <w:bidi w:val="0"/>
        <w:spacing w:before="0" w:after="380" w:line="240" w:lineRule="auto"/>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应收票据分类列示</w:t>
      </w:r>
      <w:bookmarkEnd w:id="955"/>
      <w:bookmarkEnd w:id="956"/>
      <w:bookmarkEnd w:id="9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10,280,540.00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10,280,540.00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numPr>
          <w:ilvl w:val="0"/>
          <w:numId w:val="27"/>
        </w:numPr>
        <w:shd w:val="clear" w:color="auto" w:fill="auto"/>
        <w:bidi w:val="0"/>
        <w:spacing w:before="0" w:after="380" w:line="240" w:lineRule="auto"/>
        <w:ind w:left="0" w:right="0" w:firstLine="140"/>
        <w:jc w:val="left"/>
      </w:pPr>
      <w:bookmarkStart w:id="961" w:name="bookmark961"/>
      <w:bookmarkStart w:id="962" w:name="bookmark962"/>
      <w:bookmarkStart w:id="963" w:name="bookmark963"/>
      <w:bookmarkStart w:id="964" w:name="bookmark964"/>
      <w:bookmarkEnd w:id="963"/>
      <w:r>
        <w:rPr>
          <w:color w:val="000000"/>
          <w:spacing w:val="0"/>
          <w:w w:val="100"/>
          <w:position w:val="0"/>
        </w:rPr>
        <w:t>期末公司已质押的应收票据</w:t>
      </w:r>
      <w:bookmarkEnd w:id="961"/>
      <w:bookmarkEnd w:id="962"/>
      <w:bookmarkEnd w:id="9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0.00</w:t>
            </w:r>
          </w:p>
        </w:tc>
      </w:tr>
    </w:tbl>
    <w:p>
      <w:pPr>
        <w:widowControl w:val="0"/>
        <w:spacing w:after="319" w:line="1" w:lineRule="exact"/>
      </w:pPr>
    </w:p>
    <w:p>
      <w:pPr>
        <w:pStyle w:val="Style21"/>
        <w:keepNext/>
        <w:keepLines/>
        <w:widowControl w:val="0"/>
        <w:numPr>
          <w:ilvl w:val="0"/>
          <w:numId w:val="27"/>
        </w:numPr>
        <w:shd w:val="clear" w:color="auto" w:fill="auto"/>
        <w:bidi w:val="0"/>
        <w:spacing w:before="0" w:after="38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期末公司已背书或贴现且在资产负债表日尚未到期的应收票据</w:t>
      </w:r>
      <w:bookmarkEnd w:id="965"/>
      <w:bookmarkEnd w:id="966"/>
      <w:bookmarkEnd w:id="9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r>
    </w:tbl>
    <w:p>
      <w:pPr>
        <w:widowControl w:val="0"/>
        <w:spacing w:after="319" w:line="1" w:lineRule="exact"/>
      </w:pPr>
    </w:p>
    <w:p>
      <w:pPr>
        <w:pStyle w:val="Style21"/>
        <w:keepNext/>
        <w:keepLines/>
        <w:widowControl w:val="0"/>
        <w:numPr>
          <w:ilvl w:val="0"/>
          <w:numId w:val="27"/>
        </w:numPr>
        <w:shd w:val="clear" w:color="auto" w:fill="auto"/>
        <w:bidi w:val="0"/>
        <w:spacing w:before="0" w:after="380" w:line="240" w:lineRule="auto"/>
        <w:ind w:left="0" w:right="0" w:firstLine="140"/>
        <w:jc w:val="left"/>
      </w:pPr>
      <w:bookmarkStart w:id="969" w:name="bookmark969"/>
      <w:bookmarkStart w:id="970" w:name="bookmark970"/>
      <w:bookmarkStart w:id="971" w:name="bookmark971"/>
      <w:bookmarkStart w:id="972" w:name="bookmark972"/>
      <w:bookmarkEnd w:id="971"/>
      <w:r>
        <w:rPr>
          <w:color w:val="000000"/>
          <w:spacing w:val="0"/>
          <w:w w:val="100"/>
          <w:position w:val="0"/>
        </w:rPr>
        <w:t>期末公司因出票人未履约而将其转应收账款的票据</w:t>
      </w:r>
      <w:bookmarkEnd w:id="969"/>
      <w:bookmarkEnd w:id="970"/>
      <w:bookmarkEnd w:id="972"/>
    </w:p>
    <w:p>
      <w:pPr>
        <w:pStyle w:val="Style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5</w:t>
      </w:r>
      <w:bookmarkEnd w:id="975"/>
      <w:r>
        <w:rPr>
          <w:color w:val="000000"/>
          <w:spacing w:val="0"/>
          <w:w w:val="100"/>
          <w:position w:val="0"/>
        </w:rPr>
        <w:t>、应收账款</w:t>
      </w:r>
      <w:bookmarkEnd w:id="973"/>
      <w:bookmarkEnd w:id="974"/>
      <w:bookmarkEnd w:id="976"/>
    </w:p>
    <w:p>
      <w:pPr>
        <w:pStyle w:val="Style21"/>
        <w:keepNext/>
        <w:keepLines/>
        <w:widowControl w:val="0"/>
        <w:shd w:val="clear" w:color="auto" w:fill="auto"/>
        <w:bidi w:val="0"/>
        <w:spacing w:before="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73"/>
      <w:bookmarkEnd w:id="974"/>
      <w:bookmarkEnd w:id="9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89"/>
        <w:gridCol w:w="710"/>
        <w:gridCol w:w="994"/>
        <w:gridCol w:w="566"/>
        <w:gridCol w:w="994"/>
        <w:gridCol w:w="989"/>
        <w:gridCol w:w="710"/>
        <w:gridCol w:w="994"/>
        <w:gridCol w:w="634"/>
        <w:gridCol w:w="93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50,780,736.28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5,971,778.59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44,808,957.69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34,651,134.23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3,722,324.52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30,928,809.71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50,780,736.28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5,971,778.59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44,808,957.69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34,651,134.23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3,722,324.52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30,928,809.71</w:t>
            </w:r>
          </w:p>
        </w:tc>
      </w:tr>
    </w:tbl>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组合中，按账龄分析法计提坏账准备的应收账款：</w:t>
      </w:r>
    </w:p>
    <w:p>
      <w:pPr>
        <w:pStyle w:val="Style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30,081,540.94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1,504,077.05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7,556,284.40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755,628.44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6,277,224.61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1,255,444.92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5,401,042.00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1,620,312.60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1,256,657.50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628,328.75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207,986.83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207,986.83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50,780,736.28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5,971,778.59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11.76%</w:t>
            </w:r>
          </w:p>
        </w:tc>
      </w:tr>
    </w:tbl>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已单独计提减值准备的应收账款除外，公司根据以前年度与之相同或相类似的、按账龄段划分的具有类似信用风险特征的应 收账款组合的实际损失率为基础，结合现时情况分析法确定坏账准备计提的比例。</w:t>
      </w:r>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组合中，采用余额百分比法计提坏账准备的应收账款：</w:t>
      </w:r>
    </w:p>
    <w:p>
      <w:pPr>
        <w:pStyle w:val="Style9"/>
        <w:keepNext w:val="0"/>
        <w:keepLines w:val="0"/>
        <w:widowControl w:val="0"/>
        <w:shd w:val="clear" w:color="auto" w:fill="auto"/>
        <w:bidi w:val="0"/>
        <w:spacing w:before="0" w:after="8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21"/>
        <w:keepNext/>
        <w:keepLines/>
        <w:widowControl w:val="0"/>
        <w:shd w:val="clear" w:color="auto" w:fill="auto"/>
        <w:tabs>
          <w:tab w:pos="488" w:val="left"/>
        </w:tabs>
        <w:bidi w:val="0"/>
        <w:spacing w:before="0" w:after="3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9"/>
      <w:bookmarkEnd w:id="980"/>
      <w:bookmarkEnd w:id="98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2,515,103.76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keepLines/>
        <w:widowControl w:val="0"/>
        <w:shd w:val="clear" w:color="auto" w:fill="auto"/>
        <w:tabs>
          <w:tab w:pos="488" w:val="left"/>
        </w:tabs>
        <w:bidi w:val="0"/>
        <w:spacing w:before="0" w:after="38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83"/>
      <w:bookmarkEnd w:id="984"/>
      <w:bookmarkEnd w:id="9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265,649.69</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核销的应收账款为单户金额较小，账龄较长的货款，预计无法收回。</w:t>
      </w:r>
    </w:p>
    <w:p>
      <w:pPr>
        <w:pStyle w:val="Style21"/>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7"/>
      <w:bookmarkEnd w:id="988"/>
      <w:bookmarkEnd w:id="990"/>
    </w:p>
    <w:p>
      <w:pPr>
        <w:pStyle w:val="Style9"/>
        <w:keepNext w:val="0"/>
        <w:keepLines w:val="0"/>
        <w:widowControl w:val="0"/>
        <w:shd w:val="clear" w:color="auto" w:fill="auto"/>
        <w:bidi w:val="0"/>
        <w:spacing w:before="0" w:after="80" w:line="240" w:lineRule="auto"/>
        <w:ind w:left="0" w:right="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18,738,552.16</w:t>
      </w:r>
      <w:r>
        <w:rPr>
          <w:color w:val="000000"/>
          <w:spacing w:val="0"/>
          <w:w w:val="100"/>
          <w:position w:val="0"/>
        </w:rPr>
        <w:t>元，占应收账款年末余额合计数的比例为</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36.90%</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,553,990.77</w:t>
      </w:r>
      <w:r>
        <w:rPr>
          <w:color w:val="000000"/>
          <w:spacing w:val="0"/>
          <w:w w:val="100"/>
          <w:position w:val="0"/>
        </w:rPr>
        <w:t>元。</w:t>
      </w:r>
    </w:p>
    <w:p>
      <w:pPr>
        <w:pStyle w:val="Style21"/>
        <w:keepNext/>
        <w:keepLines/>
        <w:widowControl w:val="0"/>
        <w:shd w:val="clear" w:color="auto" w:fill="auto"/>
        <w:tabs>
          <w:tab w:pos="488" w:val="left"/>
        </w:tabs>
        <w:bidi w:val="0"/>
        <w:spacing w:before="0" w:after="38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91"/>
      <w:bookmarkEnd w:id="992"/>
      <w:bookmarkEnd w:id="99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本年无因金融资产转移而终止确认的应收账款。</w:t>
      </w:r>
    </w:p>
    <w:p>
      <w:pPr>
        <w:pStyle w:val="Style21"/>
        <w:keepNext/>
        <w:keepLines/>
        <w:widowControl w:val="0"/>
        <w:shd w:val="clear" w:color="auto" w:fill="auto"/>
        <w:tabs>
          <w:tab w:pos="488"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95"/>
      <w:bookmarkEnd w:id="996"/>
      <w:bookmarkEnd w:id="99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本年无转移应收账款且继续涉入形成的资产、负债金额。</w:t>
      </w:r>
    </w:p>
    <w:p>
      <w:pPr>
        <w:pStyle w:val="Style21"/>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6</w:t>
      </w:r>
      <w:bookmarkEnd w:id="1001"/>
      <w:r>
        <w:rPr>
          <w:color w:val="000000"/>
          <w:spacing w:val="0"/>
          <w:w w:val="100"/>
          <w:position w:val="0"/>
        </w:rPr>
        <w:t>、预付款项</w:t>
      </w:r>
      <w:bookmarkEnd w:id="1000"/>
      <w:bookmarkEnd w:id="1002"/>
      <w:bookmarkEnd w:id="999"/>
    </w:p>
    <w:p>
      <w:pPr>
        <w:pStyle w:val="Style21"/>
        <w:keepNext/>
        <w:keepLines/>
        <w:widowControl w:val="0"/>
        <w:shd w:val="clear" w:color="auto" w:fill="auto"/>
        <w:bidi w:val="0"/>
        <w:spacing w:before="0" w:after="380" w:line="240" w:lineRule="auto"/>
        <w:ind w:left="0" w:right="0" w:firstLine="0"/>
        <w:jc w:val="left"/>
      </w:pPr>
      <w:bookmarkStart w:id="1000" w:name="bookmark1000"/>
      <w:bookmarkStart w:id="1003" w:name="bookmark1003"/>
      <w:bookmarkStart w:id="1004" w:name="bookmark1004"/>
      <w:bookmarkStart w:id="999" w:name="bookmark999"/>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0"/>
      <w:bookmarkEnd w:id="1004"/>
      <w:bookmarkEnd w:id="9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1,895,419.31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1,198,769.84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1,907,307.39</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1,266,973.04</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1"/>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5"/>
      <w:bookmarkEnd w:id="1006"/>
      <w:bookmarkEnd w:id="1008"/>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rPr>
        <w:t>1,414,383.29</w:t>
      </w:r>
      <w:r>
        <w:rPr>
          <w:color w:val="000000"/>
          <w:spacing w:val="0"/>
          <w:w w:val="100"/>
          <w:position w:val="0"/>
        </w:rPr>
        <w:t>元，占预付账款年末余额合计数的比例为</w:t>
      </w:r>
    </w:p>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rPr>
        <w:t>74.16%</w:t>
      </w:r>
      <w:r>
        <w:rPr>
          <w:rFonts w:ascii="SimSun" w:eastAsia="SimSun" w:hAnsi="SimSun" w:cs="SimSun"/>
          <w:color w:val="000000"/>
          <w:spacing w:val="0"/>
          <w:w w:val="100"/>
          <w:position w:val="0"/>
        </w:rPr>
        <w:t>。</w:t>
      </w:r>
    </w:p>
    <w:p>
      <w:pPr>
        <w:pStyle w:val="Style21"/>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7</w:t>
      </w:r>
      <w:bookmarkEnd w:id="1011"/>
      <w:r>
        <w:rPr>
          <w:color w:val="000000"/>
          <w:spacing w:val="0"/>
          <w:w w:val="100"/>
          <w:position w:val="0"/>
        </w:rPr>
        <w:t>、应收利息</w:t>
      </w:r>
      <w:bookmarkEnd w:id="1009"/>
      <w:bookmarkEnd w:id="1010"/>
      <w:bookmarkEnd w:id="1012"/>
    </w:p>
    <w:p>
      <w:pPr>
        <w:pStyle w:val="Style21"/>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9"/>
      <w:bookmarkEnd w:id="1010"/>
      <w:bookmarkEnd w:id="10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706,917.81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706,917.81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15"/>
      <w:bookmarkEnd w:id="1016"/>
      <w:bookmarkEnd w:id="1018"/>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是否发生减值及其判</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断依据</w:t>
            </w:r>
          </w:p>
        </w:tc>
      </w:tr>
    </w:tbl>
    <w:p>
      <w:pPr>
        <w:widowControl w:val="0"/>
        <w:spacing w:after="339" w:line="1" w:lineRule="exact"/>
      </w:pPr>
    </w:p>
    <w:p>
      <w:pPr>
        <w:pStyle w:val="Style21"/>
        <w:keepNext/>
        <w:keepLines/>
        <w:widowControl w:val="0"/>
        <w:shd w:val="clear" w:color="auto" w:fill="auto"/>
        <w:tabs>
          <w:tab w:pos="378" w:val="left"/>
        </w:tabs>
        <w:bidi w:val="0"/>
        <w:spacing w:before="0" w:after="40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8</w:t>
      </w:r>
      <w:bookmarkEnd w:id="1021"/>
      <w:r>
        <w:rPr>
          <w:color w:val="000000"/>
          <w:spacing w:val="0"/>
          <w:w w:val="100"/>
          <w:position w:val="0"/>
        </w:rPr>
        <w:t>、</w:t>
        <w:tab/>
        <w:t>应收股利</w:t>
      </w:r>
      <w:bookmarkEnd w:id="1019"/>
      <w:bookmarkEnd w:id="1020"/>
      <w:bookmarkEnd w:id="1022"/>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9</w:t>
      </w:r>
      <w:bookmarkEnd w:id="1025"/>
      <w:r>
        <w:rPr>
          <w:color w:val="000000"/>
          <w:spacing w:val="0"/>
          <w:w w:val="100"/>
          <w:position w:val="0"/>
        </w:rPr>
        <w:t>、</w:t>
        <w:tab/>
        <w:t>其他应收款</w:t>
      </w:r>
      <w:bookmarkEnd w:id="1023"/>
      <w:bookmarkEnd w:id="1024"/>
      <w:bookmarkEnd w:id="1026"/>
    </w:p>
    <w:p>
      <w:pPr>
        <w:pStyle w:val="Style21"/>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23"/>
      <w:bookmarkEnd w:id="1024"/>
      <w:bookmarkEnd w:id="10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850"/>
        <w:gridCol w:w="706"/>
        <w:gridCol w:w="854"/>
        <w:gridCol w:w="706"/>
        <w:gridCol w:w="854"/>
        <w:gridCol w:w="989"/>
        <w:gridCol w:w="710"/>
        <w:gridCol w:w="850"/>
        <w:gridCol w:w="710"/>
        <w:gridCol w:w="10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1,569,569.60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264,515.37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1,305,054.23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1,383,163.17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153,448.75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1,229,714.42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1,569,569.60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264,515.37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1,305,054.23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1,383,163.17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153,448.75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1,229,714.42</w:t>
            </w:r>
          </w:p>
        </w:tc>
      </w:tr>
    </w:tbl>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组合中，按账龄分析法计提坏账准备的其他应收款：</w:t>
      </w:r>
    </w:p>
    <w:p>
      <w:pPr>
        <w:pStyle w:val="Style9"/>
        <w:keepNext w:val="0"/>
        <w:keepLines w:val="0"/>
        <w:widowControl w:val="0"/>
        <w:shd w:val="clear" w:color="auto" w:fill="auto"/>
        <w:bidi w:val="0"/>
        <w:spacing w:before="0" w:after="160" w:line="346" w:lineRule="exact"/>
        <w:ind w:left="0" w:right="0" w:firstLine="0"/>
        <w:jc w:val="left"/>
      </w:pPr>
      <w:r>
        <w:rPr>
          <w:color w:val="000000"/>
          <w:spacing w:val="0"/>
          <w:w w:val="100"/>
          <w:position w:val="0"/>
        </w:rPr>
        <w:t>V</w:t>
      </w:r>
      <w:r>
        <w:rPr>
          <w:color w:val="000000"/>
          <w:spacing w:val="0"/>
          <w:w w:val="100"/>
          <w:position w:val="0"/>
        </w:rPr>
        <w:t>适用口不适用</w:t>
      </w:r>
    </w:p>
    <w:p>
      <w:pPr>
        <w:pStyle w:val="Style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627,737.88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31,386.89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357,899.68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35,789.97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308,511.00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61,702.20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85,371.04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25,611.31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160,050.00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80,025.00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1,569,569.60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264,515.37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16.85%</w:t>
            </w:r>
          </w:p>
        </w:tc>
      </w:tr>
    </w:tbl>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已单独计提减值准备的其他应收账款除外，公司根据以前年度与之相同或相类似的、按账龄段划分的具有类似信用风险特征 的其他应收账款组合的实际损失率为基础，结合现时情况分析法确定坏账准备计提的比例。</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组合中，采用余额百分比法计提坏账准备的其他应收款：</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组合中，采用其他方法计提坏账准备的其他应收款：</w:t>
      </w:r>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29"/>
        </w:numPr>
        <w:shd w:val="clear" w:color="auto" w:fill="auto"/>
        <w:tabs>
          <w:tab w:pos="488"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本期计提、收回或转回的坏账准备情况</w:t>
      </w:r>
      <w:bookmarkEnd w:id="1029"/>
      <w:bookmarkEnd w:id="1030"/>
      <w:bookmarkEnd w:id="1032"/>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111,066.62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keepLines/>
        <w:widowControl w:val="0"/>
        <w:numPr>
          <w:ilvl w:val="0"/>
          <w:numId w:val="29"/>
        </w:numPr>
        <w:shd w:val="clear" w:color="auto" w:fill="auto"/>
        <w:tabs>
          <w:tab w:pos="488" w:val="left"/>
        </w:tabs>
        <w:bidi w:val="0"/>
        <w:spacing w:before="0" w:after="28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本期实际核销的其他应收款情况</w:t>
      </w:r>
      <w:bookmarkEnd w:id="1033"/>
      <w:bookmarkEnd w:id="1034"/>
      <w:bookmarkEnd w:id="1036"/>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29"/>
        </w:numPr>
        <w:shd w:val="clear" w:color="auto" w:fill="auto"/>
        <w:tabs>
          <w:tab w:pos="488" w:val="left"/>
        </w:tabs>
        <w:bidi w:val="0"/>
        <w:spacing w:before="0" w:after="38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其他应收款按款项性质分类情况</w:t>
      </w:r>
      <w:bookmarkEnd w:id="1037"/>
      <w:bookmarkEnd w:id="1038"/>
      <w:bookmarkEnd w:id="10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1,197,634.84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1,073,408.12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257,924.92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60,941.06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51,830.13</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1,569,569.60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1,383,163.17</w:t>
            </w:r>
          </w:p>
        </w:tc>
      </w:tr>
    </w:tbl>
    <w:p>
      <w:pPr>
        <w:widowControl w:val="0"/>
        <w:spacing w:after="279" w:line="1" w:lineRule="exact"/>
      </w:pPr>
    </w:p>
    <w:p>
      <w:pPr>
        <w:pStyle w:val="Style21"/>
        <w:keepNext/>
        <w:keepLines/>
        <w:widowControl w:val="0"/>
        <w:numPr>
          <w:ilvl w:val="0"/>
          <w:numId w:val="29"/>
        </w:numPr>
        <w:shd w:val="clear" w:color="auto" w:fill="auto"/>
        <w:bidi w:val="0"/>
        <w:spacing w:before="0" w:after="380" w:line="240" w:lineRule="auto"/>
        <w:ind w:left="0" w:right="0" w:firstLine="14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按欠款方归集的期末余额前五名的其他应收款情况</w:t>
      </w:r>
      <w:bookmarkEnd w:id="1041"/>
      <w:bookmarkEnd w:id="1042"/>
      <w:bookmarkEnd w:id="10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占其他应收款期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1</w:t>
            </w:r>
            <w:r>
              <w:rPr>
                <w:rFonts w:ascii="SimSun" w:eastAsia="SimSun" w:hAnsi="SimSun" w:cs="SimSun"/>
                <w:color w:val="000000"/>
                <w:spacing w:val="0"/>
                <w:w w:val="100"/>
                <w:position w:val="0"/>
              </w:rPr>
              <w:t>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299,600.00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59,920.00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2</w:t>
            </w:r>
            <w:r>
              <w:rPr>
                <w:rFonts w:ascii="SimSun" w:eastAsia="SimSun" w:hAnsi="SimSun" w:cs="SimSun"/>
                <w:color w:val="000000"/>
                <w:spacing w:val="0"/>
                <w:w w:val="100"/>
                <w:position w:val="0"/>
              </w:rPr>
              <w:t>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278,923.84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19,673.68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150,050.00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75,025.00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4</w:t>
            </w:r>
            <w:r>
              <w:rPr>
                <w:rFonts w:ascii="SimSun" w:eastAsia="SimSun" w:hAnsi="SimSun" w:cs="SimSun"/>
                <w:color w:val="000000"/>
                <w:spacing w:val="0"/>
                <w:w w:val="100"/>
                <w:position w:val="0"/>
              </w:rPr>
              <w:t>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5</w:t>
            </w:r>
            <w:r>
              <w:rPr>
                <w:rFonts w:ascii="SimSun" w:eastAsia="SimSun" w:hAnsi="SimSun" w:cs="SimSun"/>
                <w:color w:val="000000"/>
                <w:spacing w:val="0"/>
                <w:w w:val="100"/>
                <w:position w:val="0"/>
              </w:rPr>
              <w:t>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938,573.84</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218,618.68</w:t>
            </w:r>
          </w:p>
        </w:tc>
      </w:tr>
    </w:tbl>
    <w:p>
      <w:pPr>
        <w:widowControl w:val="0"/>
        <w:spacing w:after="319" w:line="1" w:lineRule="exact"/>
      </w:pPr>
    </w:p>
    <w:p>
      <w:pPr>
        <w:pStyle w:val="Style21"/>
        <w:keepNext/>
        <w:keepLines/>
        <w:widowControl w:val="0"/>
        <w:numPr>
          <w:ilvl w:val="0"/>
          <w:numId w:val="29"/>
        </w:numPr>
        <w:shd w:val="clear" w:color="auto" w:fill="auto"/>
        <w:tabs>
          <w:tab w:pos="488" w:val="left"/>
        </w:tabs>
        <w:bidi w:val="0"/>
        <w:spacing w:before="0" w:after="3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涉及政府补助的应收款项</w:t>
      </w:r>
      <w:bookmarkEnd w:id="1045"/>
      <w:bookmarkEnd w:id="1046"/>
      <w:bookmarkEnd w:id="104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29"/>
        </w:numPr>
        <w:shd w:val="clear" w:color="auto" w:fill="auto"/>
        <w:tabs>
          <w:tab w:pos="488" w:val="left"/>
        </w:tabs>
        <w:bidi w:val="0"/>
        <w:spacing w:before="0" w:after="38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因金融资产转移而终止确认的其他应收款</w:t>
      </w:r>
      <w:bookmarkEnd w:id="1049"/>
      <w:bookmarkEnd w:id="1050"/>
      <w:bookmarkEnd w:id="105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numPr>
          <w:ilvl w:val="0"/>
          <w:numId w:val="29"/>
        </w:numPr>
        <w:shd w:val="clear" w:color="auto" w:fill="auto"/>
        <w:tabs>
          <w:tab w:pos="488" w:val="left"/>
        </w:tabs>
        <w:bidi w:val="0"/>
        <w:spacing w:before="0" w:after="38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转移其他应收款且继续涉入形成的资产、负债金额</w:t>
      </w:r>
      <w:bookmarkEnd w:id="1053"/>
      <w:bookmarkEnd w:id="1054"/>
      <w:bookmarkEnd w:id="1056"/>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2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57"/>
      <w:bookmarkEnd w:id="1058"/>
      <w:bookmarkEnd w:id="1060"/>
    </w:p>
    <w:p>
      <w:pPr>
        <w:pStyle w:val="Style21"/>
        <w:keepNext/>
        <w:keepLines/>
        <w:widowControl w:val="0"/>
        <w:numPr>
          <w:ilvl w:val="0"/>
          <w:numId w:val="31"/>
        </w:numPr>
        <w:shd w:val="clear" w:color="auto" w:fill="auto"/>
        <w:bidi w:val="0"/>
        <w:spacing w:before="0" w:after="380" w:line="240" w:lineRule="auto"/>
        <w:ind w:left="0" w:right="0" w:firstLine="0"/>
        <w:jc w:val="left"/>
      </w:pPr>
      <w:bookmarkStart w:id="1057" w:name="bookmark1057"/>
      <w:bookmarkStart w:id="1058" w:name="bookmark1058"/>
      <w:bookmarkStart w:id="1061" w:name="bookmark1061"/>
      <w:bookmarkStart w:id="1062" w:name="bookmark1062"/>
      <w:bookmarkEnd w:id="1061"/>
      <w:r>
        <w:rPr>
          <w:color w:val="000000"/>
          <w:spacing w:val="0"/>
          <w:w w:val="100"/>
          <w:position w:val="0"/>
        </w:rPr>
        <w:t>存货分类</w:t>
      </w:r>
      <w:bookmarkEnd w:id="1057"/>
      <w:bookmarkEnd w:id="1058"/>
      <w:bookmarkEnd w:id="10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15,000,326.23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1,179,504.51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13,820,821.72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13,082,634.74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270,001.24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12,812,633.50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202,070.21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202,070.21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2,480,445.13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2,480,445.13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19,229,125.41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672,365.28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18,556,760.13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11,930,853.86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296,344.79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11,634,509.07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19,389,385.83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19,389,385.83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30,051,129.83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30,051,129.83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2,337,282.24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2,337,282.24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1,194,538.92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1,194,538.92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56,158,189.92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1,851,869.79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54,306,320.13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58,739,602.48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566,346.03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58,173,256.45</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上市公司从种业、种植业务》的披露要求</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号——上市公司从事广播电影电视业务》的披露要求</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21"/>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63"/>
      <w:bookmarkEnd w:id="1064"/>
      <w:bookmarkEnd w:id="10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270,001.24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1,199,959.26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1,179,504.51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296,344.79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384,722.36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672,365.28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566,346.03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1,584,681.62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299,157.86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1,851,869.79</w:t>
            </w:r>
          </w:p>
        </w:tc>
      </w:tr>
    </w:tbl>
    <w:p>
      <w:pPr>
        <w:pStyle w:val="Style31"/>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7"/>
          <w:szCs w:val="17"/>
        </w:rPr>
        <w:t>原材料、库存商品计提存货跌价准备的具体依据是呆滞品、无使用价值或变现价值，本年转销存货跌价准备的原因是进行报 废处置</w:t>
      </w:r>
      <w:r>
        <w:rPr>
          <w:color w:val="000000"/>
          <w:spacing w:val="0"/>
          <w:w w:val="100"/>
          <w:position w:val="0"/>
          <w:sz w:val="20"/>
          <w:szCs w:val="20"/>
        </w:rPr>
        <w:t>。</w:t>
      </w:r>
    </w:p>
    <w:p>
      <w:pPr>
        <w:pStyle w:val="Style21"/>
        <w:keepNext/>
        <w:keepLines/>
        <w:widowControl w:val="0"/>
        <w:shd w:val="clear" w:color="auto" w:fill="auto"/>
        <w:tabs>
          <w:tab w:pos="598" w:val="left"/>
        </w:tabs>
        <w:bidi w:val="0"/>
        <w:spacing w:before="0" w:after="380" w:line="610" w:lineRule="exact"/>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shd w:val="clear" w:color="auto" w:fill="FFFFFF"/>
        </w:rPr>
        <w:t>（</w:t>
      </w:r>
      <w:bookmarkEnd w:id="1069"/>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tab/>
        <w:t>存货期末余额含有借款费用资本化金额的说明</w:t>
      </w:r>
      <w:bookmarkEnd w:id="1067"/>
      <w:bookmarkEnd w:id="1068"/>
      <w:bookmarkEnd w:id="1070"/>
    </w:p>
    <w:p>
      <w:pPr>
        <w:pStyle w:val="Style9"/>
        <w:keepNext w:val="0"/>
        <w:keepLines w:val="0"/>
        <w:widowControl w:val="0"/>
        <w:shd w:val="clear" w:color="auto" w:fill="auto"/>
        <w:tabs>
          <w:tab w:pos="523" w:val="left"/>
        </w:tabs>
        <w:bidi w:val="0"/>
        <w:spacing w:before="0" w:after="40" w:line="610" w:lineRule="exact"/>
        <w:ind w:left="0" w:right="0" w:firstLine="0"/>
        <w:jc w:val="left"/>
      </w:pPr>
      <w:r>
        <w:rPr>
          <w:color w:val="000000"/>
          <w:spacing w:val="0"/>
          <w:w w:val="100"/>
          <w:position w:val="0"/>
        </w:rPr>
        <w:t>无。</w:t>
      </w:r>
    </w:p>
    <w:p>
      <w:pPr>
        <w:pStyle w:val="Style21"/>
        <w:keepNext/>
        <w:keepLines/>
        <w:widowControl w:val="0"/>
        <w:shd w:val="clear" w:color="auto" w:fill="auto"/>
        <w:tabs>
          <w:tab w:pos="488" w:val="left"/>
        </w:tabs>
        <w:bidi w:val="0"/>
        <w:spacing w:before="0" w:after="0" w:line="610"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71"/>
      <w:bookmarkEnd w:id="1072"/>
      <w:bookmarkEnd w:id="1074"/>
    </w:p>
    <w:p>
      <w:pPr>
        <w:pStyle w:val="Style9"/>
        <w:keepNext w:val="0"/>
        <w:keepLines w:val="0"/>
        <w:widowControl w:val="0"/>
        <w:shd w:val="clear" w:color="auto" w:fill="auto"/>
        <w:bidi w:val="0"/>
        <w:spacing w:before="0" w:after="40" w:line="6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0" w:line="610" w:lineRule="exact"/>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75"/>
      <w:bookmarkEnd w:id="1076"/>
      <w:bookmarkEnd w:id="1078"/>
    </w:p>
    <w:p>
      <w:pPr>
        <w:pStyle w:val="Style9"/>
        <w:keepNext w:val="0"/>
        <w:keepLines w:val="0"/>
        <w:widowControl w:val="0"/>
        <w:shd w:val="clear" w:color="auto" w:fill="auto"/>
        <w:bidi w:val="0"/>
        <w:spacing w:before="0" w:after="40" w:line="6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0" w:line="610" w:lineRule="exact"/>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79"/>
      <w:bookmarkEnd w:id="1080"/>
      <w:bookmarkEnd w:id="1082"/>
    </w:p>
    <w:p>
      <w:pPr>
        <w:pStyle w:val="Style9"/>
        <w:keepNext w:val="0"/>
        <w:keepLines w:val="0"/>
        <w:widowControl w:val="0"/>
        <w:shd w:val="clear" w:color="auto" w:fill="auto"/>
        <w:bidi w:val="0"/>
        <w:spacing w:before="0" w:after="40" w:line="6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380" w:line="610" w:lineRule="exact"/>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083"/>
      <w:bookmarkEnd w:id="1084"/>
      <w:bookmarkEnd w:id="10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399,000,000.00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1,916,981.13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6,231,960.87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10,946,834.69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405,231,960.87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12,863,815.82</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87"/>
      <w:bookmarkEnd w:id="1088"/>
      <w:bookmarkEnd w:id="1090"/>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21"/>
        <w:keepNext/>
        <w:keepLines/>
        <w:widowControl w:val="0"/>
        <w:shd w:val="clear" w:color="auto" w:fill="auto"/>
        <w:tabs>
          <w:tab w:pos="474" w:val="left"/>
        </w:tabs>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091"/>
      <w:bookmarkEnd w:id="1092"/>
      <w:bookmarkEnd w:id="109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095"/>
      <w:bookmarkEnd w:id="1096"/>
      <w:bookmarkEnd w:id="109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099"/>
      <w:bookmarkEnd w:id="1100"/>
      <w:bookmarkEnd w:id="110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74" w:val="left"/>
        </w:tabs>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03"/>
      <w:bookmarkEnd w:id="1104"/>
      <w:bookmarkEnd w:id="1106"/>
    </w:p>
    <w:p>
      <w:pPr>
        <w:pStyle w:val="Style21"/>
        <w:keepNext/>
        <w:keepLines/>
        <w:widowControl w:val="0"/>
        <w:numPr>
          <w:ilvl w:val="0"/>
          <w:numId w:val="33"/>
        </w:numPr>
        <w:shd w:val="clear" w:color="auto" w:fill="auto"/>
        <w:tabs>
          <w:tab w:pos="488" w:val="left"/>
        </w:tabs>
        <w:bidi w:val="0"/>
        <w:spacing w:before="0" w:after="38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采用成本计量模式的投资性房地产</w:t>
      </w:r>
      <w:bookmarkEnd w:id="1103"/>
      <w:bookmarkEnd w:id="1104"/>
      <w:bookmarkEnd w:id="1108"/>
    </w:p>
    <w:p>
      <w:pPr>
        <w:pStyle w:val="Style9"/>
        <w:keepNext w:val="0"/>
        <w:keepLines w:val="0"/>
        <w:widowControl w:val="0"/>
        <w:numPr>
          <w:ilvl w:val="0"/>
          <w:numId w:val="35"/>
        </w:numPr>
        <w:shd w:val="clear" w:color="auto" w:fill="auto"/>
        <w:tabs>
          <w:tab w:pos="373" w:val="left"/>
        </w:tabs>
        <w:bidi w:val="0"/>
        <w:spacing w:before="0" w:after="380" w:line="240" w:lineRule="auto"/>
        <w:ind w:left="0" w:right="0" w:firstLine="0"/>
        <w:jc w:val="left"/>
      </w:pPr>
      <w:bookmarkStart w:id="1109" w:name="bookmark1109"/>
      <w:bookmarkEnd w:id="110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numPr>
          <w:ilvl w:val="0"/>
          <w:numId w:val="33"/>
        </w:numPr>
        <w:shd w:val="clear" w:color="auto" w:fill="auto"/>
        <w:tabs>
          <w:tab w:pos="488" w:val="left"/>
        </w:tabs>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采用公允价值计量模式的投资性房地产</w:t>
      </w:r>
      <w:bookmarkEnd w:id="1110"/>
      <w:bookmarkEnd w:id="1111"/>
      <w:bookmarkEnd w:id="1113"/>
    </w:p>
    <w:p>
      <w:pPr>
        <w:pStyle w:val="Style9"/>
        <w:keepNext w:val="0"/>
        <w:keepLines w:val="0"/>
        <w:widowControl w:val="0"/>
        <w:numPr>
          <w:ilvl w:val="0"/>
          <w:numId w:val="35"/>
        </w:numPr>
        <w:shd w:val="clear" w:color="auto" w:fill="auto"/>
        <w:tabs>
          <w:tab w:pos="373" w:val="left"/>
        </w:tabs>
        <w:bidi w:val="0"/>
        <w:spacing w:before="0" w:after="380" w:line="240" w:lineRule="auto"/>
        <w:ind w:left="0" w:right="0" w:firstLine="0"/>
        <w:jc w:val="both"/>
      </w:pPr>
      <w:bookmarkStart w:id="1114" w:name="bookmark1114"/>
      <w:bookmarkEnd w:id="111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numPr>
          <w:ilvl w:val="0"/>
          <w:numId w:val="33"/>
        </w:numPr>
        <w:shd w:val="clear" w:color="auto" w:fill="auto"/>
        <w:tabs>
          <w:tab w:pos="488" w:val="left"/>
        </w:tabs>
        <w:bidi w:val="0"/>
        <w:spacing w:before="0" w:after="380" w:line="240" w:lineRule="auto"/>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未办妥产权证书的投资性房地产情况</w:t>
      </w:r>
      <w:bookmarkEnd w:id="1115"/>
      <w:bookmarkEnd w:id="1116"/>
      <w:bookmarkEnd w:id="1118"/>
    </w:p>
    <w:p>
      <w:pPr>
        <w:pStyle w:val="Style9"/>
        <w:keepNext w:val="0"/>
        <w:keepLines w:val="0"/>
        <w:widowControl w:val="0"/>
        <w:numPr>
          <w:ilvl w:val="0"/>
          <w:numId w:val="35"/>
        </w:numPr>
        <w:shd w:val="clear" w:color="auto" w:fill="auto"/>
        <w:tabs>
          <w:tab w:pos="373" w:val="left"/>
        </w:tabs>
        <w:bidi w:val="0"/>
        <w:spacing w:before="0" w:after="380" w:line="240" w:lineRule="auto"/>
        <w:ind w:left="0" w:right="0" w:firstLine="0"/>
        <w:jc w:val="both"/>
      </w:pPr>
      <w:bookmarkStart w:id="1119" w:name="bookmark1119"/>
      <w:bookmarkEnd w:id="111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74" w:val="left"/>
        </w:tabs>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20"/>
      <w:bookmarkEnd w:id="1121"/>
      <w:bookmarkEnd w:id="1123"/>
    </w:p>
    <w:p>
      <w:pPr>
        <w:pStyle w:val="Style21"/>
        <w:keepNext/>
        <w:keepLines/>
        <w:widowControl w:val="0"/>
        <w:numPr>
          <w:ilvl w:val="0"/>
          <w:numId w:val="37"/>
        </w:numPr>
        <w:shd w:val="clear" w:color="auto" w:fill="auto"/>
        <w:bidi w:val="0"/>
        <w:spacing w:before="0" w:after="380" w:line="240" w:lineRule="auto"/>
        <w:ind w:left="0" w:right="0" w:firstLine="0"/>
        <w:jc w:val="both"/>
      </w:pPr>
      <w:bookmarkStart w:id="1120" w:name="bookmark1120"/>
      <w:bookmarkStart w:id="1121" w:name="bookmark1121"/>
      <w:bookmarkStart w:id="1124" w:name="bookmark1124"/>
      <w:bookmarkStart w:id="1125" w:name="bookmark1125"/>
      <w:bookmarkEnd w:id="1124"/>
      <w:r>
        <w:rPr>
          <w:color w:val="000000"/>
          <w:spacing w:val="0"/>
          <w:w w:val="100"/>
          <w:position w:val="0"/>
        </w:rPr>
        <w:t>固定资产情况</w:t>
      </w:r>
      <w:bookmarkEnd w:id="1120"/>
      <w:bookmarkEnd w:id="1121"/>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272"/>
        <w:gridCol w:w="1277"/>
        <w:gridCol w:w="1272"/>
        <w:gridCol w:w="1387"/>
        <w:gridCol w:w="11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生产设备</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10,927,042.34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6,637,116.93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4,870,239.26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3,431,236.91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25,865,635.44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2,025,094.28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3,047,872.05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2,025,094.28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3,047,872.05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130,902.51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130,902.51</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130,902.51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130,902.51</w:t>
            </w:r>
          </w:p>
        </w:tc>
      </w:tr>
    </w:tbl>
    <w:p>
      <w:pPr>
        <w:spacing w:lineRule="exact" w:line="1"/>
        <w:rPr>
          <w:sz w:val="2"/>
          <w:szCs w:val="2"/>
        </w:rPr>
      </w:pPr>
      <w:r>
        <w:br w:type="page"/>
      </w:r>
    </w:p>
    <w:tbl>
      <w:tblPr>
        <w:tblOverlap w:val="never"/>
        <w:jc w:val="center"/>
        <w:tblLayout w:type="fixed"/>
      </w:tblPr>
      <w:tblGrid>
        <w:gridCol w:w="3192"/>
        <w:gridCol w:w="1272"/>
        <w:gridCol w:w="1277"/>
        <w:gridCol w:w="1272"/>
        <w:gridCol w:w="1387"/>
        <w:gridCol w:w="1195"/>
      </w:tblGrid>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10,927,042.34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7,659,894.70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4,870,239.26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5,325,428.68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28,782,604.98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1,682,679.04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3,870,904.87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1,570,122.03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2,188,954.46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9,312,660.40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519,034.44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1,465,742.69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462,672.72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733,857.66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3,181,307.51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519,034.44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1,465,742.69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462,672.72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733,857.66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3,181,307.51</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121,491.38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121,491.38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2,201,713.48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5,336,647.56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2,032,794.75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2,801,320.74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12,372,476.53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8,725,328.86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2,323,247.14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2,837,444.51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2,524,107.94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16,410,128.45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9,244,363.30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2,766,212.06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3,300,117.23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1,242,282.45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16,552,975.04</w:t>
            </w:r>
          </w:p>
        </w:tc>
      </w:tr>
    </w:tbl>
    <w:p>
      <w:pPr>
        <w:widowControl w:val="0"/>
        <w:spacing w:after="299" w:line="1" w:lineRule="exact"/>
      </w:pPr>
    </w:p>
    <w:p>
      <w:pPr>
        <w:pStyle w:val="Style21"/>
        <w:keepNext/>
        <w:keepLines/>
        <w:widowControl w:val="0"/>
        <w:numPr>
          <w:ilvl w:val="0"/>
          <w:numId w:val="37"/>
        </w:numPr>
        <w:shd w:val="clear" w:color="auto" w:fill="auto"/>
        <w:tabs>
          <w:tab w:pos="488" w:val="left"/>
        </w:tabs>
        <w:bidi w:val="0"/>
        <w:spacing w:before="0" w:after="38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暂时闲置的固定资产情况</w:t>
      </w:r>
      <w:bookmarkEnd w:id="1126"/>
      <w:bookmarkEnd w:id="1127"/>
      <w:bookmarkEnd w:id="112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37"/>
        </w:numPr>
        <w:shd w:val="clear" w:color="auto" w:fill="auto"/>
        <w:tabs>
          <w:tab w:pos="488" w:val="left"/>
        </w:tabs>
        <w:bidi w:val="0"/>
        <w:spacing w:before="0" w:after="38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通过融资租赁租入的固定资产情况</w:t>
      </w:r>
      <w:bookmarkEnd w:id="1130"/>
      <w:bookmarkEnd w:id="1131"/>
      <w:bookmarkEnd w:id="1133"/>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37"/>
        </w:numPr>
        <w:shd w:val="clear" w:color="auto" w:fill="auto"/>
        <w:tabs>
          <w:tab w:pos="488" w:val="left"/>
        </w:tabs>
        <w:bidi w:val="0"/>
        <w:spacing w:before="0" w:after="380" w:line="240" w:lineRule="auto"/>
        <w:ind w:left="0" w:right="0" w:firstLine="0"/>
        <w:jc w:val="both"/>
      </w:pPr>
      <w:bookmarkStart w:id="1134" w:name="bookmark1134"/>
      <w:bookmarkStart w:id="1135" w:name="bookmark1135"/>
      <w:bookmarkStart w:id="1136" w:name="bookmark1136"/>
      <w:bookmarkStart w:id="1137" w:name="bookmark1137"/>
      <w:bookmarkEnd w:id="1136"/>
      <w:r>
        <w:rPr>
          <w:color w:val="000000"/>
          <w:spacing w:val="0"/>
          <w:w w:val="100"/>
          <w:position w:val="0"/>
        </w:rPr>
        <w:t>通过经营租赁租出的固定资产</w:t>
      </w:r>
      <w:bookmarkEnd w:id="1134"/>
      <w:bookmarkEnd w:id="1135"/>
      <w:bookmarkEnd w:id="1137"/>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37"/>
        </w:numPr>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未办妥产权证书的固定资产情况</w:t>
      </w:r>
      <w:bookmarkEnd w:id="1138"/>
      <w:bookmarkEnd w:id="1139"/>
      <w:bookmarkEnd w:id="114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bookmarkEnd w:id="114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42"/>
      <w:bookmarkEnd w:id="1143"/>
      <w:bookmarkEnd w:id="1145"/>
    </w:p>
    <w:p>
      <w:pPr>
        <w:pStyle w:val="Style21"/>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42"/>
      <w:bookmarkEnd w:id="1143"/>
      <w:bookmarkEnd w:id="11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创新科技海岸</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5,282,345.07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5,282,345.07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1,093,230.03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1,093,230.03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5,282,345.07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5,282,345.07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1,093,230.03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1,093,230.03</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7"/>
      <w:bookmarkEnd w:id="1148"/>
      <w:bookmarkEnd w:id="11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4"/>
        <w:gridCol w:w="1133"/>
        <w:gridCol w:w="854"/>
        <w:gridCol w:w="850"/>
        <w:gridCol w:w="566"/>
        <w:gridCol w:w="566"/>
        <w:gridCol w:w="850"/>
        <w:gridCol w:w="710"/>
        <w:gridCol w:w="706"/>
        <w:gridCol w:w="566"/>
        <w:gridCol w:w="710"/>
        <w:gridCol w:w="686"/>
        <w:gridCol w:w="739"/>
      </w:tblGrid>
      <w:tr>
        <w:trPr>
          <w:trHeight w:val="165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本期增加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资金来</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源</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创新科 技海岸 厂房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101,213,400.00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1,093,230.03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4,189,115.04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5,282,345.07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募股资金</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101,213,400.00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1,093,230.03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4,189,115.04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5,282,345.07</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bl>
    <w:p>
      <w:pPr>
        <w:widowControl w:val="0"/>
        <w:spacing w:after="359" w:line="1" w:lineRule="exact"/>
      </w:pPr>
    </w:p>
    <w:p>
      <w:pPr>
        <w:pStyle w:val="Style21"/>
        <w:keepNext/>
        <w:keepLines/>
        <w:widowControl w:val="0"/>
        <w:numPr>
          <w:ilvl w:val="0"/>
          <w:numId w:val="39"/>
        </w:numPr>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本期计提在建工程减值准备情况</w:t>
      </w:r>
      <w:bookmarkEnd w:id="1150"/>
      <w:bookmarkEnd w:id="1151"/>
      <w:bookmarkEnd w:id="1153"/>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54"/>
      <w:bookmarkEnd w:id="1155"/>
      <w:bookmarkEnd w:id="115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58"/>
      <w:bookmarkEnd w:id="1159"/>
      <w:bookmarkEnd w:id="116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62"/>
      <w:bookmarkEnd w:id="1163"/>
      <w:bookmarkEnd w:id="1165"/>
    </w:p>
    <w:p>
      <w:pPr>
        <w:pStyle w:val="Style21"/>
        <w:keepNext/>
        <w:keepLines/>
        <w:widowControl w:val="0"/>
        <w:numPr>
          <w:ilvl w:val="0"/>
          <w:numId w:val="41"/>
        </w:numPr>
        <w:shd w:val="clear" w:color="auto" w:fill="auto"/>
        <w:tabs>
          <w:tab w:pos="488" w:val="left"/>
        </w:tabs>
        <w:bidi w:val="0"/>
        <w:spacing w:before="0" w:after="36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采用成本计量模式的生产性生物资产</w:t>
      </w:r>
      <w:bookmarkEnd w:id="1162"/>
      <w:bookmarkEnd w:id="1163"/>
      <w:bookmarkEnd w:id="116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41"/>
        </w:numPr>
        <w:shd w:val="clear" w:color="auto" w:fill="auto"/>
        <w:tabs>
          <w:tab w:pos="488" w:val="left"/>
        </w:tabs>
        <w:bidi w:val="0"/>
        <w:spacing w:before="0" w:after="36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采用公允价值计量模式的生产性生物资产</w:t>
      </w:r>
      <w:bookmarkEnd w:id="1168"/>
      <w:bookmarkEnd w:id="1169"/>
      <w:bookmarkEnd w:id="117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72"/>
      <w:bookmarkEnd w:id="1173"/>
      <w:bookmarkEnd w:id="1175"/>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76"/>
      <w:bookmarkEnd w:id="1177"/>
      <w:bookmarkEnd w:id="1179"/>
    </w:p>
    <w:p>
      <w:pPr>
        <w:pStyle w:val="Style21"/>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80" w:name="bookmark11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6"/>
      <w:bookmarkEnd w:id="1177"/>
      <w:bookmarkEnd w:id="118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10,228,141.60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1,730,008.67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11,958,150.27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217,948.72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217,948.72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217,948.72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217,948.72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10,228,141.60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1,947,957.39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12,176,098.99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339,338.37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629,473.09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968,811.46</w:t>
            </w:r>
          </w:p>
        </w:tc>
      </w:tr>
      <w:tr>
        <w:trPr>
          <w:trHeight w:val="3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204,595.92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339,634.20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544,230.12</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204,595.92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339,634.20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544,230.12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543,934.29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969,107.29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1,513,041.58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9,684,207.31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978,850.10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10,663,057.41</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9,888,803.23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1,100,535.58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10,989,338.81</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21"/>
        <w:keepNext/>
        <w:keepLines/>
        <w:widowControl w:val="0"/>
        <w:shd w:val="clear" w:color="auto" w:fill="auto"/>
        <w:bidi w:val="0"/>
        <w:spacing w:before="0" w:after="380" w:line="240" w:lineRule="auto"/>
        <w:ind w:left="0" w:right="0" w:firstLine="0"/>
        <w:jc w:val="both"/>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81"/>
      <w:bookmarkEnd w:id="1182"/>
      <w:bookmarkEnd w:id="1183"/>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w:t>
        <w:tab/>
        <w:t>开发支出</w:t>
      </w:r>
      <w:bookmarkEnd w:id="1184"/>
      <w:bookmarkEnd w:id="1185"/>
      <w:bookmarkEnd w:id="1187"/>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188"/>
      <w:bookmarkEnd w:id="1189"/>
      <w:bookmarkEnd w:id="1191"/>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92"/>
      <w:bookmarkEnd w:id="1193"/>
      <w:bookmarkEnd w:id="1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2,457,611.81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323,440.00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1,435,114.59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1,345,937.22</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2,457,611.81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323,440.00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1,435,114.59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1,345,937.22</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6"/>
      <w:bookmarkEnd w:id="1197"/>
      <w:bookmarkEnd w:id="1199"/>
    </w:p>
    <w:p>
      <w:pPr>
        <w:pStyle w:val="Style21"/>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6"/>
      <w:bookmarkEnd w:id="1197"/>
      <w:bookmarkEnd w:id="12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8,088,163.75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1,213,224.57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4,442,119.30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666,317.89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5,869,564.50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880,434.68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3,893,504.65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584,025.70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13,957,728.25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2,093,659.25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8,335,623.95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1,250,343.59</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1"/>
      <w:bookmarkEnd w:id="1202"/>
      <w:bookmarkEnd w:id="1203"/>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41"/>
        </w:numPr>
        <w:shd w:val="clear" w:color="auto" w:fill="auto"/>
        <w:bidi w:val="0"/>
        <w:spacing w:before="0" w:after="380" w:line="240" w:lineRule="auto"/>
        <w:ind w:left="0" w:right="0" w:firstLine="14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以抵销后净额列示的递延所得税资产或负债</w:t>
      </w:r>
      <w:bookmarkEnd w:id="1204"/>
      <w:bookmarkEnd w:id="1205"/>
      <w:bookmarkEnd w:id="12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2,093,659.25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1,250,343.59</w:t>
            </w:r>
          </w:p>
        </w:tc>
      </w:tr>
    </w:tbl>
    <w:p>
      <w:pPr>
        <w:widowControl w:val="0"/>
        <w:spacing w:after="319" w:line="1" w:lineRule="exact"/>
      </w:pPr>
    </w:p>
    <w:p>
      <w:pPr>
        <w:pStyle w:val="Style21"/>
        <w:keepNext/>
        <w:keepLines/>
        <w:widowControl w:val="0"/>
        <w:numPr>
          <w:ilvl w:val="0"/>
          <w:numId w:val="41"/>
        </w:numPr>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未确认递延所得税资产明细</w:t>
      </w:r>
      <w:bookmarkEnd w:id="1208"/>
      <w:bookmarkEnd w:id="1209"/>
      <w:bookmarkEnd w:id="121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41"/>
        </w:numPr>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未确认递延所得税资产的可抵扣亏损将于以下年度到期</w:t>
      </w:r>
      <w:bookmarkEnd w:id="1212"/>
      <w:bookmarkEnd w:id="1213"/>
      <w:bookmarkEnd w:id="121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16"/>
      <w:bookmarkEnd w:id="1217"/>
      <w:bookmarkEnd w:id="1219"/>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预付软件购置款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824,786.32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824,786.32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tabs>
          <w:tab w:pos="483" w:val="left"/>
        </w:tabs>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220"/>
      <w:bookmarkEnd w:id="1221"/>
      <w:bookmarkEnd w:id="122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24"/>
      <w:bookmarkEnd w:id="1225"/>
      <w:bookmarkEnd w:id="122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28"/>
      <w:bookmarkEnd w:id="1229"/>
      <w:bookmarkEnd w:id="123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32"/>
      <w:bookmarkEnd w:id="1233"/>
      <w:bookmarkEnd w:id="123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w:t>
        <w:tab/>
        <w:t>应付账款</w:t>
      </w:r>
      <w:bookmarkEnd w:id="1236"/>
      <w:bookmarkEnd w:id="1237"/>
      <w:bookmarkEnd w:id="1239"/>
    </w:p>
    <w:p>
      <w:pPr>
        <w:pStyle w:val="Style21"/>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6"/>
      <w:bookmarkEnd w:id="1237"/>
      <w:bookmarkEnd w:id="12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10,724,330.00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10,588,305.86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1,404,311.82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2,311,036.29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12,128,641.82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12,899,342.15</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14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41"/>
      <w:bookmarkEnd w:id="1242"/>
      <w:bookmarkEnd w:id="124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p>
    <w:p>
      <w:pPr>
        <w:pStyle w:val="Style2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44"/>
      <w:bookmarkEnd w:id="1245"/>
      <w:bookmarkEnd w:id="1247"/>
    </w:p>
    <w:p>
      <w:pPr>
        <w:pStyle w:val="Style2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44"/>
      <w:bookmarkEnd w:id="1245"/>
      <w:bookmarkEnd w:id="12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36,187,046.22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44,225,528.27</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36,187,046.22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44,225,528.27</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9"/>
      <w:bookmarkEnd w:id="1250"/>
      <w:bookmarkEnd w:id="125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52"/>
      <w:bookmarkEnd w:id="1253"/>
      <w:bookmarkEnd w:id="1255"/>
    </w:p>
    <w:p>
      <w:pPr>
        <w:pStyle w:val="Style21"/>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2"/>
      <w:bookmarkEnd w:id="1253"/>
      <w:bookmarkEnd w:id="12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12,662,984.67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52,889,536.41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50,650,489.07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14,902,032.01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10,275.94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1,809,990.30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1,807,983.36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12,282.88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12,673,260.61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54,699,526.71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52,458,472.43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14,914,314.89</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14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7"/>
      <w:bookmarkEnd w:id="1258"/>
      <w:bookmarkEnd w:id="12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12,607,106.90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48,715,072.69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46,489,363.93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14,832,815.66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1,548,320.36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1,548,320.36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2,488.31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1,052,792.66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1,052,531.67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1,944.32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964,227.23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24,231.36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24,268.73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64,334.07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64,334.07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501,858.09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501,908.09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53,339.46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1,071,492.61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1,058,365.02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66,467.05</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12,662,984.67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52,889,536.41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50,650,489.07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14,902,032.01</w:t>
            </w:r>
          </w:p>
        </w:tc>
      </w:tr>
    </w:tbl>
    <w:p>
      <w:pPr>
        <w:widowControl w:val="0"/>
        <w:spacing w:after="319" w:line="1" w:lineRule="exact"/>
      </w:pPr>
    </w:p>
    <w:p>
      <w:pPr>
        <w:pStyle w:val="Style21"/>
        <w:keepNext/>
        <w:keepLines/>
        <w:widowControl w:val="0"/>
        <w:numPr>
          <w:ilvl w:val="0"/>
          <w:numId w:val="43"/>
        </w:numPr>
        <w:shd w:val="clear" w:color="auto" w:fill="auto"/>
        <w:bidi w:val="0"/>
        <w:spacing w:before="0" w:after="380" w:line="240" w:lineRule="auto"/>
        <w:ind w:left="0" w:right="0" w:firstLine="14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设定提存计划列示</w:t>
      </w:r>
      <w:bookmarkEnd w:id="1260"/>
      <w:bookmarkEnd w:id="1261"/>
      <w:bookmarkEnd w:id="12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9,704.24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1,723,012.07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1,721,005.13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11,711.18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86,978.23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10,275.94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1,809,990.30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1,807,983.36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12,282.88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9"/>
        <w:keepNext w:val="0"/>
        <w:keepLines w:val="0"/>
        <w:widowControl w:val="0"/>
        <w:shd w:val="clear" w:color="auto" w:fill="auto"/>
        <w:bidi w:val="0"/>
        <w:spacing w:before="0" w:after="380" w:line="310" w:lineRule="exact"/>
        <w:ind w:left="0" w:right="0"/>
        <w:jc w:val="both"/>
      </w:pPr>
      <w:r>
        <w:rPr>
          <w:color w:val="000000"/>
          <w:spacing w:val="0"/>
          <w:w w:val="100"/>
          <w:position w:val="0"/>
        </w:rPr>
        <w:t>本公司按规定参加由政府机构设立的养老保险、失业保险计划，根据该等计划，本公司以员工基本工资为基数按规定的 缴纳比例每月向该等计划缴存费用。除上述每月缴存费用外，本公司不再承担进一步支付义务。相应的支出于发生时计入当 期损益或相关资产的成本。</w:t>
      </w:r>
    </w:p>
    <w:p>
      <w:pPr>
        <w:pStyle w:val="Style21"/>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64"/>
      <w:bookmarkEnd w:id="1265"/>
      <w:bookmarkEnd w:id="12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2,695,384.96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1,067,889.40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298,923.37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212,852.43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420,434.28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350,486.43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180,186.12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150,208.47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120,124.08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100,138.98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33,025.32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215,002.20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51,492.73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15,372.00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3,996,919.74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1,914,601.03</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68"/>
      <w:bookmarkEnd w:id="1269"/>
      <w:bookmarkEnd w:id="127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272"/>
      <w:bookmarkEnd w:id="1273"/>
      <w:bookmarkEnd w:id="127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276"/>
      <w:bookmarkEnd w:id="1277"/>
      <w:bookmarkEnd w:id="1279"/>
    </w:p>
    <w:p>
      <w:pPr>
        <w:pStyle w:val="Style21"/>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6"/>
      <w:bookmarkEnd w:id="1277"/>
      <w:bookmarkEnd w:id="12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员工垫付款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226,935.32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394,341.92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244,935.32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422,341.92</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1"/>
      <w:bookmarkEnd w:id="1282"/>
      <w:bookmarkEnd w:id="128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284"/>
      <w:bookmarkEnd w:id="1285"/>
      <w:bookmarkEnd w:id="128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288"/>
      <w:bookmarkEnd w:id="1289"/>
      <w:bookmarkEnd w:id="129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292"/>
      <w:bookmarkEnd w:id="1293"/>
      <w:bookmarkEnd w:id="129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296"/>
      <w:bookmarkEnd w:id="1297"/>
      <w:bookmarkEnd w:id="1299"/>
    </w:p>
    <w:p>
      <w:pPr>
        <w:pStyle w:val="Style9"/>
        <w:keepNext w:val="0"/>
        <w:keepLines w:val="0"/>
        <w:widowControl w:val="0"/>
        <w:numPr>
          <w:ilvl w:val="0"/>
          <w:numId w:val="35"/>
        </w:numPr>
        <w:shd w:val="clear" w:color="auto" w:fill="auto"/>
        <w:tabs>
          <w:tab w:pos="363" w:val="left"/>
        </w:tabs>
        <w:bidi w:val="0"/>
        <w:spacing w:before="0" w:after="380" w:line="240" w:lineRule="auto"/>
        <w:ind w:left="0" w:right="0" w:firstLine="0"/>
        <w:jc w:val="left"/>
      </w:pPr>
      <w:bookmarkStart w:id="1300" w:name="bookmark1300"/>
      <w:bookmarkEnd w:id="130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01"/>
      <w:bookmarkEnd w:id="1302"/>
      <w:bookmarkEnd w:id="1304"/>
    </w:p>
    <w:p>
      <w:pPr>
        <w:pStyle w:val="Style9"/>
        <w:keepNext w:val="0"/>
        <w:keepLines w:val="0"/>
        <w:widowControl w:val="0"/>
        <w:numPr>
          <w:ilvl w:val="0"/>
          <w:numId w:val="35"/>
        </w:numPr>
        <w:shd w:val="clear" w:color="auto" w:fill="auto"/>
        <w:tabs>
          <w:tab w:pos="363" w:val="left"/>
        </w:tabs>
        <w:bidi w:val="0"/>
        <w:spacing w:before="0" w:after="380" w:line="240" w:lineRule="auto"/>
        <w:ind w:left="0" w:right="0" w:firstLine="0"/>
        <w:jc w:val="left"/>
      </w:pPr>
      <w:bookmarkStart w:id="1305" w:name="bookmark1305"/>
      <w:bookmarkEnd w:id="130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06"/>
      <w:bookmarkEnd w:id="1307"/>
      <w:bookmarkEnd w:id="1309"/>
    </w:p>
    <w:p>
      <w:pPr>
        <w:pStyle w:val="Style9"/>
        <w:keepNext w:val="0"/>
        <w:keepLines w:val="0"/>
        <w:widowControl w:val="0"/>
        <w:numPr>
          <w:ilvl w:val="0"/>
          <w:numId w:val="35"/>
        </w:numPr>
        <w:shd w:val="clear" w:color="auto" w:fill="auto"/>
        <w:tabs>
          <w:tab w:pos="363" w:val="left"/>
        </w:tabs>
        <w:bidi w:val="0"/>
        <w:spacing w:before="0" w:after="380" w:line="240" w:lineRule="auto"/>
        <w:ind w:left="0" w:right="0" w:firstLine="0"/>
        <w:jc w:val="left"/>
      </w:pPr>
      <w:bookmarkStart w:id="1310" w:name="bookmark1310"/>
      <w:bookmarkEnd w:id="131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11"/>
      <w:bookmarkEnd w:id="1312"/>
      <w:bookmarkEnd w:id="1314"/>
    </w:p>
    <w:p>
      <w:pPr>
        <w:pStyle w:val="Style9"/>
        <w:keepNext w:val="0"/>
        <w:keepLines w:val="0"/>
        <w:widowControl w:val="0"/>
        <w:numPr>
          <w:ilvl w:val="0"/>
          <w:numId w:val="35"/>
        </w:numPr>
        <w:shd w:val="clear" w:color="auto" w:fill="auto"/>
        <w:tabs>
          <w:tab w:pos="363" w:val="left"/>
        </w:tabs>
        <w:bidi w:val="0"/>
        <w:spacing w:before="0" w:after="380" w:line="240" w:lineRule="auto"/>
        <w:ind w:left="0" w:right="0" w:firstLine="0"/>
        <w:jc w:val="left"/>
      </w:pPr>
      <w:bookmarkStart w:id="1315" w:name="bookmark1315"/>
      <w:bookmarkEnd w:id="131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16"/>
      <w:bookmarkEnd w:id="1317"/>
      <w:bookmarkEnd w:id="1319"/>
    </w:p>
    <w:p>
      <w:pPr>
        <w:pStyle w:val="Style9"/>
        <w:keepNext w:val="0"/>
        <w:keepLines w:val="0"/>
        <w:widowControl w:val="0"/>
        <w:numPr>
          <w:ilvl w:val="0"/>
          <w:numId w:val="35"/>
        </w:numPr>
        <w:shd w:val="clear" w:color="auto" w:fill="auto"/>
        <w:tabs>
          <w:tab w:pos="363" w:val="left"/>
        </w:tabs>
        <w:bidi w:val="0"/>
        <w:spacing w:before="0" w:after="380" w:line="240" w:lineRule="auto"/>
        <w:ind w:left="0" w:right="0" w:firstLine="0"/>
        <w:jc w:val="left"/>
      </w:pPr>
      <w:bookmarkStart w:id="1320" w:name="bookmark1320"/>
      <w:bookmarkEnd w:id="132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5</w:t>
      </w:r>
      <w:bookmarkEnd w:id="132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21"/>
      <w:bookmarkEnd w:id="1322"/>
      <w:bookmarkEnd w:id="13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5,869,564.50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3,893,504.65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银行自助设备现金管理系 统、银行印章管理系统相关 质量保证金</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5,869,564.50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3,893,504.65</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其他说明，包括重要预计负债的相关重要假设、估计说明：</w:t>
      </w:r>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本公司产品质量保证金主要针对银行自助设备现金管理系统、银行印章管理系统进行计提，按预计故障率对销售产品数量进 行估算，主要包括维修该类产品所需的差旅费、材料费等。</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5</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325"/>
      <w:bookmarkEnd w:id="1326"/>
      <w:bookmarkEnd w:id="132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5</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329"/>
      <w:bookmarkEnd w:id="1330"/>
      <w:bookmarkEnd w:id="133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5</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33"/>
      <w:bookmarkEnd w:id="1334"/>
      <w:bookmarkEnd w:id="13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5</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37"/>
      <w:bookmarkEnd w:id="1338"/>
      <w:bookmarkEnd w:id="134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38,980,896.58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320,740,329.70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359,721,226.28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38,980,896.58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320,740,329.70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359,721,226.28</w:t>
            </w:r>
          </w:p>
        </w:tc>
      </w:tr>
    </w:tbl>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其他说明，包括本期增减变动情况、变动原因说明：</w:t>
      </w:r>
    </w:p>
    <w:p>
      <w:pPr>
        <w:pStyle w:val="Style9"/>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资本溢价为本公司向社会公开发行新股</w:t>
      </w:r>
      <w:r>
        <w:rPr>
          <w:rFonts w:ascii="Times New Roman" w:eastAsia="Times New Roman" w:hAnsi="Times New Roman" w:cs="Times New Roman"/>
          <w:color w:val="000000"/>
          <w:spacing w:val="0"/>
          <w:w w:val="100"/>
          <w:position w:val="0"/>
        </w:rPr>
        <w:t>1,400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26.11</w:t>
      </w:r>
      <w:r>
        <w:rPr>
          <w:color w:val="000000"/>
          <w:spacing w:val="0"/>
          <w:w w:val="100"/>
          <w:position w:val="0"/>
        </w:rPr>
        <w:t xml:space="preserve">元，共募集资金 </w:t>
      </w:r>
      <w:r>
        <w:rPr>
          <w:rFonts w:ascii="Times New Roman" w:eastAsia="Times New Roman" w:hAnsi="Times New Roman" w:cs="Times New Roman"/>
          <w:color w:val="000000"/>
          <w:spacing w:val="0"/>
          <w:w w:val="100"/>
          <w:position w:val="0"/>
        </w:rPr>
        <w:t>365,540,000.00</w:t>
      </w:r>
      <w:r>
        <w:rPr>
          <w:color w:val="000000"/>
          <w:spacing w:val="0"/>
          <w:w w:val="100"/>
          <w:position w:val="0"/>
        </w:rPr>
        <w:t>元，扣除发行费用和股本后的净额计入资本公积。</w:t>
      </w:r>
    </w:p>
    <w:p>
      <w:pPr>
        <w:pStyle w:val="Style21"/>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45"/>
      <w:bookmarkEnd w:id="1346"/>
      <w:bookmarkEnd w:id="1348"/>
    </w:p>
    <w:p>
      <w:pPr>
        <w:pStyle w:val="Style9"/>
        <w:keepNext w:val="0"/>
        <w:keepLines w:val="0"/>
        <w:widowControl w:val="0"/>
        <w:numPr>
          <w:ilvl w:val="0"/>
          <w:numId w:val="35"/>
        </w:numPr>
        <w:shd w:val="clear" w:color="auto" w:fill="auto"/>
        <w:tabs>
          <w:tab w:pos="355" w:val="left"/>
        </w:tabs>
        <w:bidi w:val="0"/>
        <w:spacing w:before="0" w:after="380" w:line="240" w:lineRule="auto"/>
        <w:ind w:left="0" w:right="0" w:firstLine="0"/>
        <w:jc w:val="both"/>
      </w:pPr>
      <w:bookmarkStart w:id="1349" w:name="bookmark1349"/>
      <w:bookmarkEnd w:id="134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5</w:t>
      </w:r>
      <w:bookmarkEnd w:id="135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50"/>
      <w:bookmarkEnd w:id="1351"/>
      <w:bookmarkEnd w:id="1353"/>
    </w:p>
    <w:p>
      <w:pPr>
        <w:pStyle w:val="Style9"/>
        <w:keepNext w:val="0"/>
        <w:keepLines w:val="0"/>
        <w:widowControl w:val="0"/>
        <w:numPr>
          <w:ilvl w:val="0"/>
          <w:numId w:val="35"/>
        </w:numPr>
        <w:shd w:val="clear" w:color="auto" w:fill="auto"/>
        <w:tabs>
          <w:tab w:pos="355" w:val="left"/>
        </w:tabs>
        <w:bidi w:val="0"/>
        <w:spacing w:before="0" w:after="380" w:line="240" w:lineRule="auto"/>
        <w:ind w:left="0" w:right="0" w:firstLine="0"/>
        <w:jc w:val="both"/>
      </w:pPr>
      <w:bookmarkStart w:id="1354" w:name="bookmark1354"/>
      <w:bookmarkEnd w:id="135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55"/>
      <w:bookmarkEnd w:id="1356"/>
      <w:bookmarkEnd w:id="1358"/>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59"/>
      <w:bookmarkEnd w:id="1360"/>
      <w:bookmarkEnd w:id="13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20,531,369.58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7,886,149.17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28,417,518.75</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20,531,369.58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7,886,149.17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28,417,518.75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rPr>
        <w:t xml:space="preserve">50% </w:t>
      </w:r>
      <w:r>
        <w:rPr>
          <w:color w:val="000000"/>
          <w:spacing w:val="0"/>
          <w:w w:val="100"/>
          <w:position w:val="0"/>
        </w:rPr>
        <w:t>以上的，可不再提取。</w:t>
      </w:r>
    </w:p>
    <w:p>
      <w:pPr>
        <w:pStyle w:val="Style21"/>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6</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63"/>
      <w:bookmarkEnd w:id="1364"/>
      <w:bookmarkEnd w:id="13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135,399,836.08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91,524,130.74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135,399,836.08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91,524,130.74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70,973,005.93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7,886,149.17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7,097,300.59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20,000,000.00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176,375,178.57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135,399,836.08</w:t>
            </w:r>
          </w:p>
        </w:tc>
      </w:tr>
    </w:tbl>
    <w:p>
      <w:pPr>
        <w:widowControl w:val="0"/>
        <w:spacing w:after="11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调整期初未分配利润明细：</w:t>
      </w:r>
    </w:p>
    <w:p>
      <w:pPr>
        <w:pStyle w:val="Style9"/>
        <w:keepNext w:val="0"/>
        <w:keepLines w:val="0"/>
        <w:widowControl w:val="0"/>
        <w:shd w:val="clear" w:color="auto" w:fill="auto"/>
        <w:tabs>
          <w:tab w:pos="325" w:val="left"/>
        </w:tabs>
        <w:bidi w:val="0"/>
        <w:spacing w:before="0" w:line="240" w:lineRule="auto"/>
        <w:ind w:left="0" w:right="0" w:firstLine="0"/>
        <w:jc w:val="both"/>
      </w:pPr>
      <w:bookmarkStart w:id="1367" w:name="bookmark1367"/>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4" w:val="left"/>
        </w:tabs>
        <w:bidi w:val="0"/>
        <w:spacing w:before="0" w:line="240" w:lineRule="auto"/>
        <w:ind w:left="0" w:right="0" w:firstLine="0"/>
        <w:jc w:val="both"/>
      </w:pPr>
      <w:bookmarkStart w:id="1368" w:name="bookmark1368"/>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4" w:val="left"/>
        </w:tabs>
        <w:bidi w:val="0"/>
        <w:spacing w:before="0" w:line="240" w:lineRule="auto"/>
        <w:ind w:left="0" w:right="0" w:firstLine="0"/>
        <w:jc w:val="both"/>
      </w:pPr>
      <w:bookmarkStart w:id="1369" w:name="bookmark1369"/>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4" w:val="left"/>
        </w:tabs>
        <w:bidi w:val="0"/>
        <w:spacing w:before="0" w:line="240" w:lineRule="auto"/>
        <w:ind w:left="0" w:right="0" w:firstLine="0"/>
        <w:jc w:val="both"/>
      </w:pPr>
      <w:bookmarkStart w:id="1370" w:name="bookmark1370"/>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4" w:val="left"/>
        </w:tabs>
        <w:bidi w:val="0"/>
        <w:spacing w:before="0" w:after="380" w:line="240" w:lineRule="auto"/>
        <w:ind w:left="0" w:right="0" w:firstLine="0"/>
        <w:jc w:val="both"/>
      </w:pPr>
      <w:bookmarkStart w:id="1371" w:name="bookmark1371"/>
      <w:r>
        <w:rPr>
          <w:rFonts w:ascii="Times New Roman" w:eastAsia="Times New Roman" w:hAnsi="Times New Roman" w:cs="Times New Roman"/>
          <w:color w:val="000000"/>
          <w:spacing w:val="0"/>
          <w:w w:val="100"/>
          <w:position w:val="0"/>
        </w:rPr>
        <w:t>5</w:t>
      </w:r>
      <w:bookmarkEnd w:id="137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6</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72"/>
      <w:bookmarkEnd w:id="1373"/>
      <w:bookmarkEnd w:id="13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218,054,407.37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58,607,292.52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170,234,699.84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43,852,733.01</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218,054,407.37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58,607,292.52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170,234,699.84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43,852,733.01</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6</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76"/>
      <w:bookmarkEnd w:id="1377"/>
      <w:bookmarkEnd w:id="1379"/>
    </w:p>
    <w:p>
      <w:pPr>
        <w:pStyle w:val="Style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1,535,728.73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1,560,699.87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658,169.44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668,871.36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82,902.94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51,492.73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348,552.65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438,779.62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445,914.25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11,813.85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132,437.44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3,127,439.96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2,807,922.92</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6</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80"/>
      <w:bookmarkEnd w:id="1381"/>
      <w:bookmarkEnd w:id="13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22,069,795.98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18,373,999.73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安装维保费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11,374,826.40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7,817,019.83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2,834,734.89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1,939,010.60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3,984,383.77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4,297,748.06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宣传推广费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1,231,177.38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631,521.00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2,159,484.94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1,386,301.62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1,598,541.35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1,604,625.43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905,403.59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895,534.51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874,702.24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741,393.87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588,658.22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330,587.62</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47,621,708.76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38,017,742.27</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84"/>
      <w:bookmarkEnd w:id="1385"/>
      <w:bookmarkEnd w:id="13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6,760,427.41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6,738,462.02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1,533,475.22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1,059,525.67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1,626,601.66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263,294.61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979,364.91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592,896.88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529,854.22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425,257.20</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交通运输费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365,043.34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357,958.76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25,245,949.57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17,244,325.22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289,855.95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95,446.78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72,058.16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115,976.18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2,368,975.45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795,236.90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39,771,605.89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27,688,380.22</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6</w:t>
      </w:r>
      <w:bookmarkEnd w:id="139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88"/>
      <w:bookmarkEnd w:id="1389"/>
      <w:bookmarkEnd w:id="13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425,940.42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237,982.65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44,316.52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-381,937.27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-193,666.13</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92"/>
      <w:bookmarkEnd w:id="1393"/>
      <w:bookmarkEnd w:id="13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2,626,170.38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1,756,025.36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1,584,681.62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-57,357.56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4,210,852.00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1,698,667.80</w:t>
            </w:r>
          </w:p>
        </w:tc>
      </w:tr>
    </w:tbl>
    <w:p>
      <w:pPr>
        <w:widowControl w:val="0"/>
        <w:spacing w:after="299" w:line="1" w:lineRule="exact"/>
      </w:pPr>
    </w:p>
    <w:p>
      <w:pPr>
        <w:pStyle w:val="Style21"/>
        <w:keepNext/>
        <w:keepLines/>
        <w:widowControl w:val="0"/>
        <w:shd w:val="clear" w:color="auto" w:fill="auto"/>
        <w:tabs>
          <w:tab w:pos="483" w:val="left"/>
        </w:tabs>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6</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396"/>
      <w:bookmarkEnd w:id="1397"/>
      <w:bookmarkEnd w:id="1399"/>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3" w:val="left"/>
        </w:tabs>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00"/>
      <w:bookmarkEnd w:id="1401"/>
      <w:bookmarkEnd w:id="14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3,195,224.41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4,141,158.05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3,195,224.41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4,141,158.05</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6</w:t>
      </w:r>
      <w:bookmarkEnd w:id="140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04"/>
      <w:bookmarkEnd w:id="1405"/>
      <w:bookmarkEnd w:id="1407"/>
    </w:p>
    <w:p>
      <w:pPr>
        <w:pStyle w:val="Style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22,775,043.17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22,029,646.73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689,298.30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314,578.18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82,738.37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314,578.18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23,089,621.35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22,112,385.10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1,003,876.48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840"/>
        <w:gridCol w:w="1133"/>
        <w:gridCol w:w="1214"/>
        <w:gridCol w:w="1066"/>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是否特殊</w:t>
            </w:r>
          </w:p>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补贴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增值税即征</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即退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珠海市国家 税务局高新 区税务分局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22,085,744.87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17,818,146.73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信息产业发 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珠海市财政 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研究开发费</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890,400.00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上市实施奖</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奖励上市而 给予的政府 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技术奖励专</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项资金项目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珠海市财政</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珠海市财政</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840"/>
        <w:gridCol w:w="1133"/>
        <w:gridCol w:w="1214"/>
        <w:gridCol w:w="1066"/>
      </w:tblGrid>
      <w:tr>
        <w:trPr>
          <w:trHeight w:val="9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势企业奖励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软件和集成 电路设计产 业专项资金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珠海市财政 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技术标准战 略补助资金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珠海市财政</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知识产权资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珠海市人力 资源和社会 保障局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高新区奖励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22,775,043.17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22,029,646.73</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7</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08"/>
      <w:bookmarkEnd w:id="1409"/>
      <w:bookmarkEnd w:id="1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滞纳金及罚款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9,411.13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263,841.10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9,478.66</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7</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12"/>
      <w:bookmarkEnd w:id="1413"/>
      <w:bookmarkEnd w:id="1415"/>
    </w:p>
    <w:p>
      <w:pPr>
        <w:pStyle w:val="Style21"/>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2"/>
      <w:bookmarkEnd w:id="1413"/>
      <w:bookmarkEnd w:id="14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13,354,636.61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11,766,200.08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-843,315.66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-386,584.21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12,511,320.95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11,379,615.87</w:t>
            </w:r>
          </w:p>
        </w:tc>
      </w:tr>
    </w:tbl>
    <w:p>
      <w:pPr>
        <w:widowControl w:val="0"/>
        <w:spacing w:after="339" w:line="1" w:lineRule="exact"/>
      </w:pPr>
    </w:p>
    <w:p>
      <w:pPr>
        <w:pStyle w:val="Style21"/>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7"/>
      <w:bookmarkEnd w:id="1418"/>
      <w:bookmarkEnd w:id="14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pPr>
            <w:r>
              <w:rPr>
                <w:color w:val="000000"/>
                <w:spacing w:val="0"/>
                <w:w w:val="100"/>
                <w:position w:val="0"/>
              </w:rPr>
              <w:t>91,372,812.61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13,705,921.89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110,324.48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273,809.87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-1,694,770.12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116,034.83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12,511,320.95</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1"/>
        <w:keepNext/>
        <w:keepLines/>
        <w:widowControl w:val="0"/>
        <w:shd w:val="clear" w:color="auto" w:fill="auto"/>
        <w:tabs>
          <w:tab w:pos="478"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7</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20"/>
      <w:bookmarkEnd w:id="1421"/>
      <w:bookmarkEnd w:id="1423"/>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21"/>
        <w:keepNext/>
        <w:keepLines/>
        <w:widowControl w:val="0"/>
        <w:shd w:val="clear" w:color="auto" w:fill="auto"/>
        <w:tabs>
          <w:tab w:pos="478" w:val="left"/>
        </w:tabs>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7</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24"/>
      <w:bookmarkEnd w:id="1425"/>
      <w:bookmarkEnd w:id="1427"/>
    </w:p>
    <w:p>
      <w:pPr>
        <w:pStyle w:val="Style21"/>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4"/>
      <w:bookmarkEnd w:id="1425"/>
      <w:bookmarkEnd w:id="14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425,940.42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237,982.65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689,298.30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4,211,500.00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387,633.51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85,717.09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1,532,572.23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4,535,199.74</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9"/>
      <w:bookmarkEnd w:id="1430"/>
      <w:bookmarkEnd w:id="1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1,326,601.66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451,973.85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3,814,099.80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2,531,907.48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2,375,802.17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1,944,306.42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4,744,477.07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4,795,012.81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3,394,276.49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2,071,278.99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2,449,340.89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1,481,748.40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946,760.40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857,370.05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宣传推广费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1,231,177.38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631,521.00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安装维保费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10,471,973.05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6,680,605.43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44,316.52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163,926.72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398,447.12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53,068.78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185,179.61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罚款及滞纳金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14,860.16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2,993,098.96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872,318.05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34,008,674.05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22,960,845.89</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1"/>
        <w:keepNext/>
        <w:keepLines/>
        <w:widowControl w:val="0"/>
        <w:numPr>
          <w:ilvl w:val="0"/>
          <w:numId w:val="45"/>
        </w:numPr>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收到的其他与投资活动有关的现金</w:t>
      </w:r>
      <w:bookmarkEnd w:id="1432"/>
      <w:bookmarkEnd w:id="1433"/>
      <w:bookmarkEnd w:id="143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45"/>
        </w:numPr>
        <w:shd w:val="clear" w:color="auto" w:fill="auto"/>
        <w:tabs>
          <w:tab w:pos="488"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支付的其他与投资活动有关的现金</w:t>
      </w:r>
      <w:bookmarkEnd w:id="1436"/>
      <w:bookmarkEnd w:id="1437"/>
      <w:bookmarkEnd w:id="143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45"/>
        </w:numPr>
        <w:shd w:val="clear" w:color="auto" w:fill="auto"/>
        <w:tabs>
          <w:tab w:pos="488"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收到的其他与筹资活动有关的现金</w:t>
      </w:r>
      <w:bookmarkEnd w:id="1440"/>
      <w:bookmarkEnd w:id="1441"/>
      <w:bookmarkEnd w:id="1443"/>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4"/>
      <w:bookmarkEnd w:id="1445"/>
      <w:bookmarkEnd w:id="144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7</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48"/>
      <w:bookmarkEnd w:id="1449"/>
      <w:bookmarkEnd w:id="1451"/>
    </w:p>
    <w:p>
      <w:pPr>
        <w:pStyle w:val="Style21"/>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8"/>
      <w:bookmarkEnd w:id="1449"/>
      <w:bookmarkEnd w:id="14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78,861,491.66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70,973,005.93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4,210,852.00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1,698,667.80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3,181,307.51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2,621,000.24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544,230.12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464,304.17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1,435,114.59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1,004,908.10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248,980.94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固定资产报废损失（收益以“一”号填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-3,195,224.41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-4,141,158.05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-843,315.66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-386,584.21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2,282,254.70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-28,789,334.35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经营性应收项目的减少（增加以“一”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-20,870,677.57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-10,678,945.52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经营性应付项目的增加（减少以“一”</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-2,169,469.93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10,622,760.79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63,445,974.14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43,637,605.84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138,588,374.25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176,034,612.15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176,034,612.15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155,752,748.82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-37,446,237.90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20,281,863.33</w:t>
            </w:r>
          </w:p>
        </w:tc>
      </w:tr>
    </w:tbl>
    <w:p>
      <w:pPr>
        <w:pStyle w:val="Style21"/>
        <w:keepNext/>
        <w:keepLines/>
        <w:widowControl w:val="0"/>
        <w:numPr>
          <w:ilvl w:val="0"/>
          <w:numId w:val="31"/>
        </w:numPr>
        <w:shd w:val="clear" w:color="auto" w:fill="auto"/>
        <w:tabs>
          <w:tab w:pos="488" w:val="left"/>
        </w:tabs>
        <w:bidi w:val="0"/>
        <w:spacing w:before="0" w:after="38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本期支付的取得子公司的现金净额</w:t>
      </w:r>
      <w:bookmarkEnd w:id="1453"/>
      <w:bookmarkEnd w:id="1454"/>
      <w:bookmarkEnd w:id="1456"/>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31"/>
        </w:numPr>
        <w:shd w:val="clear" w:color="auto" w:fill="auto"/>
        <w:tabs>
          <w:tab w:pos="488" w:val="left"/>
        </w:tabs>
        <w:bidi w:val="0"/>
        <w:spacing w:before="0" w:after="38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本期收到的处置子公司的现金净额</w:t>
      </w:r>
      <w:bookmarkEnd w:id="1457"/>
      <w:bookmarkEnd w:id="1458"/>
      <w:bookmarkEnd w:id="146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numPr>
          <w:ilvl w:val="0"/>
          <w:numId w:val="31"/>
        </w:numPr>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现金和现金等价物的构成</w:t>
      </w:r>
      <w:bookmarkEnd w:id="1461"/>
      <w:bookmarkEnd w:id="1462"/>
      <w:bookmarkEnd w:id="1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138,588,374.25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176,034,612.15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74,885.80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138,581,503.95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175,959,726.35</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138,588,374.25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176,034,612.15</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7</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465"/>
      <w:bookmarkEnd w:id="1466"/>
      <w:bookmarkEnd w:id="146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7</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69"/>
      <w:bookmarkEnd w:id="1470"/>
      <w:bookmarkEnd w:id="14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受限的保证金</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7</w:t>
      </w:r>
      <w:bookmarkEnd w:id="147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73"/>
      <w:bookmarkEnd w:id="1474"/>
      <w:bookmarkEnd w:id="1476"/>
    </w:p>
    <w:p>
      <w:pPr>
        <w:pStyle w:val="Style21"/>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73"/>
      <w:bookmarkEnd w:id="1474"/>
      <w:bookmarkEnd w:id="1477"/>
    </w:p>
    <w:p>
      <w:pPr>
        <w:pStyle w:val="Style9"/>
        <w:keepNext w:val="0"/>
        <w:keepLines w:val="0"/>
        <w:widowControl w:val="0"/>
        <w:numPr>
          <w:ilvl w:val="0"/>
          <w:numId w:val="35"/>
        </w:numPr>
        <w:shd w:val="clear" w:color="auto" w:fill="auto"/>
        <w:tabs>
          <w:tab w:pos="330" w:val="left"/>
        </w:tabs>
        <w:bidi w:val="0"/>
        <w:spacing w:before="0" w:after="300" w:line="240" w:lineRule="auto"/>
        <w:ind w:left="0" w:right="0" w:firstLine="0"/>
        <w:jc w:val="left"/>
      </w:pPr>
      <w:bookmarkStart w:id="1478" w:name="bookmark1478"/>
      <w:bookmarkEnd w:id="1478"/>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80" w:line="326" w:lineRule="exact"/>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9"/>
      <w:bookmarkEnd w:id="1480"/>
      <w:bookmarkEnd w:id="1481"/>
    </w:p>
    <w:p>
      <w:pPr>
        <w:pStyle w:val="Style9"/>
        <w:keepNext w:val="0"/>
        <w:keepLines w:val="0"/>
        <w:widowControl w:val="0"/>
        <w:numPr>
          <w:ilvl w:val="0"/>
          <w:numId w:val="35"/>
        </w:numPr>
        <w:shd w:val="clear" w:color="auto" w:fill="auto"/>
        <w:tabs>
          <w:tab w:pos="330" w:val="left"/>
        </w:tabs>
        <w:bidi w:val="0"/>
        <w:spacing w:before="0" w:after="300" w:line="240" w:lineRule="auto"/>
        <w:ind w:left="0" w:right="0" w:firstLine="0"/>
        <w:jc w:val="left"/>
      </w:pPr>
      <w:bookmarkStart w:id="1482" w:name="bookmark1482"/>
      <w:bookmarkEnd w:id="148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80" w:line="326" w:lineRule="exact"/>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7</w:t>
      </w:r>
      <w:bookmarkEnd w:id="1485"/>
      <w:r>
        <w:rPr>
          <w:rFonts w:ascii="Times New Roman" w:eastAsia="Times New Roman" w:hAnsi="Times New Roman" w:cs="Times New Roman"/>
          <w:color w:val="000000"/>
          <w:spacing w:val="0"/>
          <w:w w:val="100"/>
          <w:position w:val="0"/>
        </w:rPr>
        <w:t>8</w:t>
      </w:r>
      <w:r>
        <w:rPr>
          <w:color w:val="000000"/>
          <w:spacing w:val="0"/>
          <w:w w:val="100"/>
          <w:position w:val="0"/>
        </w:rPr>
        <w:t>、套期</w:t>
      </w:r>
      <w:bookmarkEnd w:id="1483"/>
      <w:bookmarkEnd w:id="1484"/>
      <w:bookmarkEnd w:id="1486"/>
    </w:p>
    <w:p>
      <w:pPr>
        <w:pStyle w:val="Style9"/>
        <w:keepNext w:val="0"/>
        <w:keepLines w:val="0"/>
        <w:widowControl w:val="0"/>
        <w:numPr>
          <w:ilvl w:val="0"/>
          <w:numId w:val="35"/>
        </w:numPr>
        <w:shd w:val="clear" w:color="auto" w:fill="auto"/>
        <w:tabs>
          <w:tab w:pos="330" w:val="left"/>
        </w:tabs>
        <w:bidi w:val="0"/>
        <w:spacing w:before="0" w:after="380" w:line="240" w:lineRule="auto"/>
        <w:ind w:left="0" w:right="0" w:firstLine="0"/>
        <w:jc w:val="left"/>
      </w:pPr>
      <w:bookmarkStart w:id="1487" w:name="bookmark1487"/>
      <w:bookmarkEnd w:id="148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7</w:t>
      </w:r>
      <w:bookmarkEnd w:id="1490"/>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488"/>
      <w:bookmarkEnd w:id="1489"/>
      <w:bookmarkEnd w:id="1491"/>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60" w:line="240" w:lineRule="auto"/>
        <w:ind w:left="0" w:right="0" w:firstLine="0"/>
        <w:jc w:val="both"/>
      </w:pPr>
      <w:bookmarkStart w:id="1492" w:name="bookmark1492"/>
      <w:bookmarkStart w:id="1493" w:name="bookmark1493"/>
      <w:bookmarkStart w:id="1494" w:name="bookmark1494"/>
      <w:bookmarkStart w:id="1495" w:name="bookmark1495"/>
      <w:r>
        <w:rPr>
          <w:color w:val="000000"/>
          <w:spacing w:val="0"/>
          <w:w w:val="100"/>
          <w:position w:val="0"/>
          <w:sz w:val="24"/>
          <w:szCs w:val="24"/>
        </w:rPr>
        <w:t>八</w:t>
      </w:r>
      <w:bookmarkEnd w:id="1494"/>
      <w:r>
        <w:rPr>
          <w:color w:val="000000"/>
          <w:spacing w:val="0"/>
          <w:w w:val="100"/>
          <w:position w:val="0"/>
          <w:sz w:val="24"/>
          <w:szCs w:val="24"/>
        </w:rPr>
        <w:t>、</w:t>
        <w:tab/>
        <w:t>合并范围的变更</w:t>
      </w:r>
      <w:bookmarkEnd w:id="1492"/>
      <w:bookmarkEnd w:id="1493"/>
      <w:bookmarkEnd w:id="1495"/>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报告期内公司合并范围无变化。</w:t>
      </w:r>
    </w:p>
    <w:p>
      <w:pPr>
        <w:pStyle w:val="Style19"/>
        <w:keepNext/>
        <w:keepLines/>
        <w:widowControl w:val="0"/>
        <w:shd w:val="clear" w:color="auto" w:fill="auto"/>
        <w:tabs>
          <w:tab w:pos="517" w:val="left"/>
        </w:tabs>
        <w:bidi w:val="0"/>
        <w:spacing w:before="0" w:after="360" w:line="240" w:lineRule="auto"/>
        <w:ind w:left="0" w:right="0" w:firstLine="0"/>
        <w:jc w:val="both"/>
      </w:pPr>
      <w:bookmarkStart w:id="1496" w:name="bookmark1496"/>
      <w:bookmarkStart w:id="1497" w:name="bookmark1497"/>
      <w:bookmarkStart w:id="1498" w:name="bookmark1498"/>
      <w:bookmarkStart w:id="1499" w:name="bookmark1499"/>
      <w:r>
        <w:rPr>
          <w:color w:val="000000"/>
          <w:spacing w:val="0"/>
          <w:w w:val="100"/>
          <w:position w:val="0"/>
          <w:sz w:val="24"/>
          <w:szCs w:val="24"/>
        </w:rPr>
        <w:t>九</w:t>
      </w:r>
      <w:bookmarkEnd w:id="1498"/>
      <w:r>
        <w:rPr>
          <w:color w:val="000000"/>
          <w:spacing w:val="0"/>
          <w:w w:val="100"/>
          <w:position w:val="0"/>
          <w:sz w:val="24"/>
          <w:szCs w:val="24"/>
        </w:rPr>
        <w:t>、</w:t>
        <w:tab/>
        <w:t>在其他主体中的权益</w:t>
      </w:r>
      <w:bookmarkEnd w:id="1496"/>
      <w:bookmarkEnd w:id="1497"/>
      <w:bookmarkEnd w:id="1499"/>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1500" w:name="bookmark1500"/>
      <w:bookmarkStart w:id="1501" w:name="bookmark1501"/>
      <w:bookmarkStart w:id="1502" w:name="bookmark1502"/>
      <w:r>
        <w:rPr>
          <w:color w:val="000000"/>
          <w:spacing w:val="0"/>
          <w:w w:val="100"/>
          <w:position w:val="0"/>
          <w:sz w:val="24"/>
          <w:szCs w:val="24"/>
        </w:rPr>
        <w:t>十、与金融工具相关的风险</w:t>
      </w:r>
      <w:bookmarkEnd w:id="1500"/>
      <w:bookmarkEnd w:id="1501"/>
      <w:bookmarkEnd w:id="1502"/>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1503" w:name="bookmark1503"/>
      <w:bookmarkStart w:id="1504" w:name="bookmark1504"/>
      <w:bookmarkStart w:id="1505" w:name="bookmark1505"/>
      <w:r>
        <w:rPr>
          <w:color w:val="000000"/>
          <w:spacing w:val="0"/>
          <w:w w:val="100"/>
          <w:position w:val="0"/>
          <w:sz w:val="24"/>
          <w:szCs w:val="24"/>
        </w:rPr>
        <w:t>十一、公允价值的披露</w:t>
      </w:r>
      <w:bookmarkEnd w:id="1503"/>
      <w:bookmarkEnd w:id="1504"/>
      <w:bookmarkEnd w:id="1505"/>
    </w:p>
    <w:p>
      <w:pPr>
        <w:pStyle w:val="Style9"/>
        <w:keepNext w:val="0"/>
        <w:keepLines w:val="0"/>
        <w:widowControl w:val="0"/>
        <w:numPr>
          <w:ilvl w:val="0"/>
          <w:numId w:val="35"/>
        </w:numPr>
        <w:shd w:val="clear" w:color="auto" w:fill="auto"/>
        <w:tabs>
          <w:tab w:pos="330" w:val="left"/>
        </w:tabs>
        <w:bidi w:val="0"/>
        <w:spacing w:before="0" w:after="360" w:line="240" w:lineRule="auto"/>
        <w:ind w:left="0" w:right="0" w:firstLine="0"/>
        <w:jc w:val="both"/>
      </w:pPr>
      <w:bookmarkStart w:id="1506" w:name="bookmark1506"/>
      <w:bookmarkEnd w:id="150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1507" w:name="bookmark1507"/>
      <w:bookmarkStart w:id="1508" w:name="bookmark1508"/>
      <w:bookmarkStart w:id="1509" w:name="bookmark1509"/>
      <w:r>
        <w:rPr>
          <w:color w:val="000000"/>
          <w:spacing w:val="0"/>
          <w:w w:val="100"/>
          <w:position w:val="0"/>
          <w:sz w:val="24"/>
          <w:szCs w:val="24"/>
        </w:rPr>
        <w:t>十二、关联方及关联交易</w:t>
      </w:r>
      <w:bookmarkEnd w:id="1507"/>
      <w:bookmarkEnd w:id="1508"/>
      <w:bookmarkEnd w:id="1509"/>
    </w:p>
    <w:p>
      <w:pPr>
        <w:pStyle w:val="Style21"/>
        <w:keepNext/>
        <w:keepLines/>
        <w:widowControl w:val="0"/>
        <w:shd w:val="clear" w:color="auto" w:fill="auto"/>
        <w:tabs>
          <w:tab w:pos="368" w:val="left"/>
        </w:tabs>
        <w:bidi w:val="0"/>
        <w:spacing w:before="0" w:after="36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bookmarkEnd w:id="1512"/>
      <w:r>
        <w:rPr>
          <w:color w:val="000000"/>
          <w:spacing w:val="0"/>
          <w:w w:val="100"/>
          <w:position w:val="0"/>
        </w:rPr>
        <w:t>、</w:t>
        <w:tab/>
        <w:t>本企业的母公司情况</w:t>
      </w:r>
      <w:bookmarkEnd w:id="1510"/>
      <w:bookmarkEnd w:id="1511"/>
      <w:bookmarkEnd w:id="1513"/>
    </w:p>
    <w:p>
      <w:pPr>
        <w:pStyle w:val="Style9"/>
        <w:keepNext w:val="0"/>
        <w:keepLines w:val="0"/>
        <w:widowControl w:val="0"/>
        <w:numPr>
          <w:ilvl w:val="0"/>
          <w:numId w:val="35"/>
        </w:numPr>
        <w:shd w:val="clear" w:color="auto" w:fill="auto"/>
        <w:tabs>
          <w:tab w:pos="330" w:val="left"/>
        </w:tabs>
        <w:bidi w:val="0"/>
        <w:spacing w:before="0" w:after="360" w:line="240" w:lineRule="auto"/>
        <w:ind w:left="0" w:right="0" w:firstLine="0"/>
        <w:jc w:val="both"/>
      </w:pPr>
      <w:bookmarkStart w:id="1514" w:name="bookmark1514"/>
      <w:bookmarkEnd w:id="151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color w:val="000000"/>
          <w:spacing w:val="0"/>
          <w:w w:val="100"/>
          <w:position w:val="0"/>
        </w:rPr>
        <w:t>、</w:t>
        <w:tab/>
        <w:t>本企业的子公司情况</w:t>
      </w:r>
      <w:bookmarkEnd w:id="1515"/>
      <w:bookmarkEnd w:id="1516"/>
      <w:bookmarkEnd w:id="1518"/>
    </w:p>
    <w:p>
      <w:pPr>
        <w:pStyle w:val="Style9"/>
        <w:keepNext w:val="0"/>
        <w:keepLines w:val="0"/>
        <w:widowControl w:val="0"/>
        <w:numPr>
          <w:ilvl w:val="0"/>
          <w:numId w:val="35"/>
        </w:numPr>
        <w:shd w:val="clear" w:color="auto" w:fill="auto"/>
        <w:tabs>
          <w:tab w:pos="330" w:val="left"/>
        </w:tabs>
        <w:bidi w:val="0"/>
        <w:spacing w:before="0" w:after="360" w:line="240" w:lineRule="auto"/>
        <w:ind w:left="0" w:right="0" w:firstLine="0"/>
        <w:jc w:val="both"/>
      </w:pPr>
      <w:bookmarkStart w:id="1519" w:name="bookmark1519"/>
      <w:bookmarkEnd w:id="151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color w:val="000000"/>
          <w:spacing w:val="0"/>
          <w:w w:val="100"/>
          <w:position w:val="0"/>
        </w:rPr>
        <w:t>、</w:t>
        <w:tab/>
        <w:t>本企业合营和联营企业情况</w:t>
      </w:r>
      <w:bookmarkEnd w:id="1520"/>
      <w:bookmarkEnd w:id="1521"/>
      <w:bookmarkEnd w:id="1523"/>
    </w:p>
    <w:p>
      <w:pPr>
        <w:pStyle w:val="Style9"/>
        <w:keepNext w:val="0"/>
        <w:keepLines w:val="0"/>
        <w:widowControl w:val="0"/>
        <w:numPr>
          <w:ilvl w:val="0"/>
          <w:numId w:val="35"/>
        </w:numPr>
        <w:shd w:val="clear" w:color="auto" w:fill="auto"/>
        <w:tabs>
          <w:tab w:pos="330" w:val="left"/>
        </w:tabs>
        <w:bidi w:val="0"/>
        <w:spacing w:before="0" w:after="360" w:line="240" w:lineRule="auto"/>
        <w:ind w:left="0" w:right="0" w:firstLine="0"/>
        <w:jc w:val="both"/>
      </w:pPr>
      <w:bookmarkStart w:id="1524" w:name="bookmark1524"/>
      <w:bookmarkEnd w:id="152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color w:val="000000"/>
          <w:spacing w:val="0"/>
          <w:w w:val="100"/>
          <w:position w:val="0"/>
        </w:rPr>
        <w:t>、其他关联方情况</w:t>
      </w:r>
      <w:bookmarkEnd w:id="1525"/>
      <w:bookmarkEnd w:id="1526"/>
      <w:bookmarkEnd w:id="152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以上股东、董事、副总经理、董事会秘书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苏州衡赢真盛创业投资中心（有限合伙）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肖志宏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宋京生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于风政</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侯平</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杨大贺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马晓丽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陈家贤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罗秀红</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color w:val="000000"/>
          <w:spacing w:val="0"/>
          <w:w w:val="100"/>
          <w:position w:val="0"/>
        </w:rPr>
        <w:t>、关联交易情况</w:t>
      </w:r>
      <w:bookmarkEnd w:id="1529"/>
      <w:bookmarkEnd w:id="1530"/>
      <w:bookmarkEnd w:id="1532"/>
    </w:p>
    <w:p>
      <w:pPr>
        <w:pStyle w:val="Style21"/>
        <w:keepNext/>
        <w:keepLines/>
        <w:widowControl w:val="0"/>
        <w:shd w:val="clear" w:color="auto" w:fill="auto"/>
        <w:tabs>
          <w:tab w:pos="488" w:val="left"/>
        </w:tabs>
        <w:bidi w:val="0"/>
        <w:spacing w:before="0" w:after="380" w:line="240" w:lineRule="auto"/>
        <w:ind w:left="0" w:right="0" w:firstLine="0"/>
        <w:jc w:val="left"/>
      </w:pPr>
      <w:bookmarkStart w:id="1529" w:name="bookmark1529"/>
      <w:bookmarkStart w:id="1530" w:name="bookmark1530"/>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w:t>
        <w:tab/>
        <w:t>购销商品、提供和接受劳务的关联交易</w:t>
      </w:r>
      <w:bookmarkEnd w:id="1529"/>
      <w:bookmarkEnd w:id="1530"/>
      <w:bookmarkEnd w:id="153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35"/>
      <w:bookmarkEnd w:id="1536"/>
      <w:bookmarkEnd w:id="153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39"/>
      <w:bookmarkEnd w:id="1540"/>
      <w:bookmarkEnd w:id="154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43"/>
      <w:bookmarkEnd w:id="1544"/>
      <w:bookmarkEnd w:id="1546"/>
    </w:p>
    <w:p>
      <w:pPr>
        <w:pStyle w:val="Style9"/>
        <w:keepNext w:val="0"/>
        <w:keepLines w:val="0"/>
        <w:widowControl w:val="0"/>
        <w:numPr>
          <w:ilvl w:val="0"/>
          <w:numId w:val="35"/>
        </w:numPr>
        <w:shd w:val="clear" w:color="auto" w:fill="auto"/>
        <w:tabs>
          <w:tab w:pos="368" w:val="left"/>
        </w:tabs>
        <w:bidi w:val="0"/>
        <w:spacing w:before="0" w:after="380" w:line="240" w:lineRule="auto"/>
        <w:ind w:left="0" w:right="0" w:firstLine="0"/>
        <w:jc w:val="left"/>
      </w:pPr>
      <w:bookmarkStart w:id="1547" w:name="bookmark1547"/>
      <w:bookmarkEnd w:id="154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48"/>
      <w:bookmarkEnd w:id="1549"/>
      <w:bookmarkEnd w:id="1551"/>
    </w:p>
    <w:p>
      <w:pPr>
        <w:pStyle w:val="Style9"/>
        <w:keepNext w:val="0"/>
        <w:keepLines w:val="0"/>
        <w:widowControl w:val="0"/>
        <w:numPr>
          <w:ilvl w:val="0"/>
          <w:numId w:val="35"/>
        </w:numPr>
        <w:shd w:val="clear" w:color="auto" w:fill="auto"/>
        <w:tabs>
          <w:tab w:pos="368" w:val="left"/>
        </w:tabs>
        <w:bidi w:val="0"/>
        <w:spacing w:before="0" w:after="380" w:line="240" w:lineRule="auto"/>
        <w:ind w:left="0" w:right="0" w:firstLine="0"/>
        <w:jc w:val="left"/>
      </w:pPr>
      <w:bookmarkStart w:id="1552" w:name="bookmark1552"/>
      <w:bookmarkEnd w:id="155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53"/>
      <w:bookmarkEnd w:id="1554"/>
      <w:bookmarkEnd w:id="1556"/>
    </w:p>
    <w:p>
      <w:pPr>
        <w:pStyle w:val="Style9"/>
        <w:keepNext w:val="0"/>
        <w:keepLines w:val="0"/>
        <w:widowControl w:val="0"/>
        <w:numPr>
          <w:ilvl w:val="0"/>
          <w:numId w:val="35"/>
        </w:numPr>
        <w:shd w:val="clear" w:color="auto" w:fill="auto"/>
        <w:tabs>
          <w:tab w:pos="368" w:val="left"/>
        </w:tabs>
        <w:bidi w:val="0"/>
        <w:spacing w:before="0" w:after="380" w:line="240" w:lineRule="auto"/>
        <w:ind w:left="0" w:right="0" w:firstLine="0"/>
        <w:jc w:val="left"/>
      </w:pPr>
      <w:bookmarkStart w:id="1557" w:name="bookmark1557"/>
      <w:bookmarkEnd w:id="155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488" w:val="left"/>
        </w:tabs>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558"/>
      <w:bookmarkEnd w:id="1559"/>
      <w:bookmarkEnd w:id="15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5,276,700.00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4,406,700.00</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14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562"/>
      <w:bookmarkEnd w:id="1563"/>
      <w:bookmarkEnd w:id="156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6</w:t>
      </w:r>
      <w:bookmarkEnd w:id="1568"/>
      <w:r>
        <w:rPr>
          <w:color w:val="000000"/>
          <w:spacing w:val="0"/>
          <w:w w:val="100"/>
          <w:position w:val="0"/>
        </w:rPr>
        <w:t>、</w:t>
        <w:tab/>
        <w:t>关联方应收应付款项</w:t>
      </w:r>
      <w:bookmarkEnd w:id="1566"/>
      <w:bookmarkEnd w:id="1567"/>
      <w:bookmarkEnd w:id="1569"/>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日本公司无关联方应收应付款项。</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7</w:t>
      </w:r>
      <w:bookmarkEnd w:id="1572"/>
      <w:r>
        <w:rPr>
          <w:color w:val="000000"/>
          <w:spacing w:val="0"/>
          <w:w w:val="100"/>
          <w:position w:val="0"/>
        </w:rPr>
        <w:t>、</w:t>
        <w:tab/>
        <w:t>关联方承诺</w:t>
      </w:r>
      <w:bookmarkEnd w:id="1570"/>
      <w:bookmarkEnd w:id="1571"/>
      <w:bookmarkEnd w:id="1573"/>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8</w:t>
      </w:r>
      <w:bookmarkEnd w:id="1576"/>
      <w:r>
        <w:rPr>
          <w:color w:val="000000"/>
          <w:spacing w:val="0"/>
          <w:w w:val="100"/>
          <w:position w:val="0"/>
        </w:rPr>
        <w:t>、</w:t>
        <w:tab/>
        <w:t>其他</w:t>
      </w:r>
      <w:bookmarkEnd w:id="1574"/>
      <w:bookmarkEnd w:id="1575"/>
      <w:bookmarkEnd w:id="157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r>
        <w:rPr>
          <w:color w:val="000000"/>
          <w:spacing w:val="0"/>
          <w:w w:val="100"/>
          <w:position w:val="0"/>
          <w:sz w:val="24"/>
          <w:szCs w:val="24"/>
        </w:rPr>
        <w:t>十三、股份支付</w:t>
      </w:r>
      <w:bookmarkEnd w:id="1578"/>
      <w:bookmarkEnd w:id="1579"/>
      <w:bookmarkEnd w:id="1580"/>
    </w:p>
    <w:p>
      <w:pPr>
        <w:pStyle w:val="Style21"/>
        <w:keepNext/>
        <w:keepLines/>
        <w:widowControl w:val="0"/>
        <w:shd w:val="clear" w:color="auto" w:fill="auto"/>
        <w:tabs>
          <w:tab w:pos="368" w:val="left"/>
        </w:tabs>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bookmarkEnd w:id="1583"/>
      <w:r>
        <w:rPr>
          <w:color w:val="000000"/>
          <w:spacing w:val="0"/>
          <w:w w:val="100"/>
          <w:position w:val="0"/>
        </w:rPr>
        <w:t>、</w:t>
        <w:tab/>
        <w:t>股份支付总体情况</w:t>
      </w:r>
      <w:bookmarkEnd w:id="1581"/>
      <w:bookmarkEnd w:id="1582"/>
      <w:bookmarkEnd w:id="1584"/>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bookmarkEnd w:id="1587"/>
      <w:r>
        <w:rPr>
          <w:color w:val="000000"/>
          <w:spacing w:val="0"/>
          <w:w w:val="100"/>
          <w:position w:val="0"/>
        </w:rPr>
        <w:t>、</w:t>
        <w:tab/>
        <w:t>以权益结算的股份支付情况</w:t>
      </w:r>
      <w:bookmarkEnd w:id="1585"/>
      <w:bookmarkEnd w:id="1586"/>
      <w:bookmarkEnd w:id="1588"/>
    </w:p>
    <w:p>
      <w:pPr>
        <w:pStyle w:val="Style9"/>
        <w:keepNext w:val="0"/>
        <w:keepLines w:val="0"/>
        <w:widowControl w:val="0"/>
        <w:numPr>
          <w:ilvl w:val="0"/>
          <w:numId w:val="47"/>
        </w:numPr>
        <w:shd w:val="clear" w:color="auto" w:fill="auto"/>
        <w:tabs>
          <w:tab w:pos="330" w:val="left"/>
        </w:tabs>
        <w:bidi w:val="0"/>
        <w:spacing w:before="0" w:after="360" w:line="240" w:lineRule="auto"/>
        <w:ind w:left="0" w:right="0" w:firstLine="0"/>
        <w:jc w:val="left"/>
      </w:pPr>
      <w:bookmarkStart w:id="1589" w:name="bookmark1589"/>
      <w:bookmarkEnd w:id="158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color w:val="000000"/>
          <w:spacing w:val="0"/>
          <w:w w:val="100"/>
          <w:position w:val="0"/>
        </w:rPr>
        <w:t>、</w:t>
        <w:tab/>
        <w:t>以现金结算的股份支付情况</w:t>
      </w:r>
      <w:bookmarkEnd w:id="1590"/>
      <w:bookmarkEnd w:id="1591"/>
      <w:bookmarkEnd w:id="1593"/>
    </w:p>
    <w:p>
      <w:pPr>
        <w:pStyle w:val="Style9"/>
        <w:keepNext w:val="0"/>
        <w:keepLines w:val="0"/>
        <w:widowControl w:val="0"/>
        <w:numPr>
          <w:ilvl w:val="0"/>
          <w:numId w:val="47"/>
        </w:numPr>
        <w:shd w:val="clear" w:color="auto" w:fill="auto"/>
        <w:tabs>
          <w:tab w:pos="330" w:val="left"/>
        </w:tabs>
        <w:bidi w:val="0"/>
        <w:spacing w:before="0" w:after="360" w:line="240" w:lineRule="auto"/>
        <w:ind w:left="0" w:right="0" w:firstLine="0"/>
        <w:jc w:val="left"/>
      </w:pPr>
      <w:bookmarkStart w:id="1594" w:name="bookmark1594"/>
      <w:bookmarkEnd w:id="159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color w:val="000000"/>
          <w:spacing w:val="0"/>
          <w:w w:val="100"/>
          <w:position w:val="0"/>
        </w:rPr>
        <w:t>、</w:t>
        <w:tab/>
        <w:t>股份支付的修改、终止情况</w:t>
      </w:r>
      <w:bookmarkEnd w:id="1595"/>
      <w:bookmarkEnd w:id="1596"/>
      <w:bookmarkEnd w:id="1598"/>
    </w:p>
    <w:p>
      <w:pPr>
        <w:pStyle w:val="Style21"/>
        <w:keepNext/>
        <w:keepLines/>
        <w:widowControl w:val="0"/>
        <w:shd w:val="clear" w:color="auto" w:fill="auto"/>
        <w:tabs>
          <w:tab w:pos="378" w:val="left"/>
        </w:tabs>
        <w:bidi w:val="0"/>
        <w:spacing w:before="0" w:after="360" w:line="240" w:lineRule="auto"/>
        <w:ind w:left="0" w:right="0" w:firstLine="0"/>
        <w:jc w:val="left"/>
      </w:pPr>
      <w:bookmarkStart w:id="1595" w:name="bookmark1595"/>
      <w:bookmarkStart w:id="1596" w:name="bookmark1596"/>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color w:val="000000"/>
          <w:spacing w:val="0"/>
          <w:w w:val="100"/>
          <w:position w:val="0"/>
        </w:rPr>
        <w:t>、</w:t>
        <w:tab/>
        <w:t>其他</w:t>
      </w:r>
      <w:bookmarkEnd w:id="1595"/>
      <w:bookmarkEnd w:id="1596"/>
      <w:bookmarkEnd w:id="1600"/>
    </w:p>
    <w:p>
      <w:pPr>
        <w:pStyle w:val="Style19"/>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r>
        <w:rPr>
          <w:color w:val="000000"/>
          <w:spacing w:val="0"/>
          <w:w w:val="100"/>
          <w:position w:val="0"/>
          <w:sz w:val="24"/>
          <w:szCs w:val="24"/>
        </w:rPr>
        <w:t>十四、承诺及或有事项</w:t>
      </w:r>
      <w:bookmarkEnd w:id="1601"/>
      <w:bookmarkEnd w:id="1602"/>
      <w:bookmarkEnd w:id="1603"/>
    </w:p>
    <w:p>
      <w:pPr>
        <w:pStyle w:val="Style21"/>
        <w:keepNext/>
        <w:keepLines/>
        <w:widowControl w:val="0"/>
        <w:shd w:val="clear" w:color="auto" w:fill="auto"/>
        <w:tabs>
          <w:tab w:pos="368" w:val="left"/>
        </w:tabs>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bookmarkEnd w:id="1606"/>
      <w:r>
        <w:rPr>
          <w:color w:val="000000"/>
          <w:spacing w:val="0"/>
          <w:w w:val="100"/>
          <w:position w:val="0"/>
        </w:rPr>
        <w:t>、</w:t>
        <w:tab/>
        <w:t>重要承诺事项</w:t>
      </w:r>
      <w:bookmarkEnd w:id="1604"/>
      <w:bookmarkEnd w:id="1605"/>
      <w:bookmarkEnd w:id="160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日止，本公司无需要披露的重大承诺事项。</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bookmarkEnd w:id="1610"/>
      <w:r>
        <w:rPr>
          <w:color w:val="000000"/>
          <w:spacing w:val="0"/>
          <w:w w:val="100"/>
          <w:position w:val="0"/>
        </w:rPr>
        <w:t>、</w:t>
        <w:tab/>
        <w:t>或有事项</w:t>
      </w:r>
      <w:bookmarkEnd w:id="1608"/>
      <w:bookmarkEnd w:id="1609"/>
      <w:bookmarkEnd w:id="1611"/>
    </w:p>
    <w:p>
      <w:pPr>
        <w:pStyle w:val="Style21"/>
        <w:keepNext/>
        <w:keepLines/>
        <w:widowControl w:val="0"/>
        <w:numPr>
          <w:ilvl w:val="0"/>
          <w:numId w:val="49"/>
        </w:numPr>
        <w:shd w:val="clear" w:color="auto" w:fill="auto"/>
        <w:tabs>
          <w:tab w:pos="488" w:val="left"/>
        </w:tabs>
        <w:bidi w:val="0"/>
        <w:spacing w:before="0" w:after="360" w:line="240" w:lineRule="auto"/>
        <w:ind w:left="0" w:right="0" w:firstLine="0"/>
        <w:jc w:val="left"/>
      </w:pPr>
      <w:bookmarkStart w:id="1608" w:name="bookmark1608"/>
      <w:bookmarkStart w:id="1609" w:name="bookmark1609"/>
      <w:bookmarkStart w:id="1612" w:name="bookmark1612"/>
      <w:bookmarkStart w:id="1613" w:name="bookmark1613"/>
      <w:bookmarkEnd w:id="1612"/>
      <w:r>
        <w:rPr>
          <w:color w:val="000000"/>
          <w:spacing w:val="0"/>
          <w:w w:val="100"/>
          <w:position w:val="0"/>
        </w:rPr>
        <w:t>资产负债表日存在的重要或有事项</w:t>
      </w:r>
      <w:bookmarkEnd w:id="1608"/>
      <w:bookmarkEnd w:id="1609"/>
      <w:bookmarkEnd w:id="1613"/>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日止，本公司无需披露的重大或有事项。</w:t>
      </w:r>
    </w:p>
    <w:p>
      <w:pPr>
        <w:pStyle w:val="Style21"/>
        <w:keepNext/>
        <w:keepLines/>
        <w:widowControl w:val="0"/>
        <w:numPr>
          <w:ilvl w:val="0"/>
          <w:numId w:val="49"/>
        </w:numPr>
        <w:shd w:val="clear" w:color="auto" w:fill="auto"/>
        <w:tabs>
          <w:tab w:pos="488" w:val="left"/>
        </w:tabs>
        <w:bidi w:val="0"/>
        <w:spacing w:before="0" w:after="36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公司没有需要披露的重要或有事项，也应予以说明</w:t>
      </w:r>
      <w:bookmarkEnd w:id="1614"/>
      <w:bookmarkEnd w:id="1615"/>
      <w:bookmarkEnd w:id="161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1"/>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color w:val="000000"/>
          <w:spacing w:val="0"/>
          <w:w w:val="100"/>
          <w:position w:val="0"/>
        </w:rPr>
        <w:t>、其他</w:t>
      </w:r>
      <w:bookmarkEnd w:id="1618"/>
      <w:bookmarkEnd w:id="1619"/>
      <w:bookmarkEnd w:id="162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r>
        <w:rPr>
          <w:color w:val="000000"/>
          <w:spacing w:val="0"/>
          <w:w w:val="100"/>
          <w:position w:val="0"/>
          <w:sz w:val="24"/>
          <w:szCs w:val="24"/>
        </w:rPr>
        <w:t>十五、资产负债表日后事项</w:t>
      </w:r>
      <w:bookmarkEnd w:id="1622"/>
      <w:bookmarkEnd w:id="1623"/>
      <w:bookmarkEnd w:id="1624"/>
    </w:p>
    <w:p>
      <w:pPr>
        <w:pStyle w:val="Style21"/>
        <w:keepNext/>
        <w:keepLines/>
        <w:widowControl w:val="0"/>
        <w:shd w:val="clear" w:color="auto" w:fill="auto"/>
        <w:tabs>
          <w:tab w:pos="368" w:val="left"/>
        </w:tabs>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bookmarkEnd w:id="1627"/>
      <w:r>
        <w:rPr>
          <w:color w:val="000000"/>
          <w:spacing w:val="0"/>
          <w:w w:val="100"/>
          <w:position w:val="0"/>
        </w:rPr>
        <w:t>、</w:t>
        <w:tab/>
        <w:t>重要的非调整事项</w:t>
      </w:r>
      <w:bookmarkEnd w:id="1625"/>
      <w:bookmarkEnd w:id="1626"/>
      <w:bookmarkEnd w:id="1628"/>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bookmarkEnd w:id="1631"/>
      <w:r>
        <w:rPr>
          <w:color w:val="000000"/>
          <w:spacing w:val="0"/>
          <w:w w:val="100"/>
          <w:position w:val="0"/>
        </w:rPr>
        <w:t>、</w:t>
        <w:tab/>
        <w:t>利润分配情况</w:t>
      </w:r>
      <w:bookmarkEnd w:id="1629"/>
      <w:bookmarkEnd w:id="1630"/>
      <w:bookmarkEnd w:id="16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4757"/>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20,160,000.00</w:t>
            </w:r>
          </w:p>
        </w:tc>
      </w:tr>
    </w:tbl>
    <w:p>
      <w:pPr>
        <w:widowControl w:val="0"/>
        <w:spacing w:after="259" w:line="1" w:lineRule="exact"/>
      </w:pPr>
    </w:p>
    <w:p>
      <w:pPr>
        <w:pStyle w:val="Style21"/>
        <w:keepNext/>
        <w:keepLines/>
        <w:widowControl w:val="0"/>
        <w:shd w:val="clear" w:color="auto" w:fill="auto"/>
        <w:tabs>
          <w:tab w:pos="378" w:val="left"/>
        </w:tabs>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color w:val="000000"/>
          <w:spacing w:val="0"/>
          <w:w w:val="100"/>
          <w:position w:val="0"/>
        </w:rPr>
        <w:t>、</w:t>
        <w:tab/>
        <w:t>销售退回</w:t>
      </w:r>
      <w:bookmarkEnd w:id="1633"/>
      <w:bookmarkEnd w:id="1634"/>
      <w:bookmarkEnd w:id="1636"/>
    </w:p>
    <w:p>
      <w:pPr>
        <w:pStyle w:val="Style21"/>
        <w:keepNext/>
        <w:keepLines/>
        <w:widowControl w:val="0"/>
        <w:shd w:val="clear" w:color="auto" w:fill="auto"/>
        <w:tabs>
          <w:tab w:pos="378" w:val="left"/>
        </w:tabs>
        <w:bidi w:val="0"/>
        <w:spacing w:before="0" w:after="260" w:line="240" w:lineRule="auto"/>
        <w:ind w:left="0" w:right="0" w:firstLine="0"/>
        <w:jc w:val="left"/>
      </w:pPr>
      <w:bookmarkStart w:id="1633" w:name="bookmark1633"/>
      <w:bookmarkStart w:id="1634" w:name="bookmark1634"/>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color w:val="000000"/>
          <w:spacing w:val="0"/>
          <w:w w:val="100"/>
          <w:position w:val="0"/>
        </w:rPr>
        <w:t>、</w:t>
        <w:tab/>
        <w:t>其他资产负债表日后事项说明</w:t>
      </w:r>
      <w:bookmarkEnd w:id="1633"/>
      <w:bookmarkEnd w:id="1634"/>
      <w:bookmarkEnd w:id="1638"/>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日公司股本总数</w:t>
      </w:r>
      <w:r>
        <w:rPr>
          <w:rFonts w:ascii="Times New Roman" w:eastAsia="Times New Roman" w:hAnsi="Times New Roman" w:cs="Times New Roman"/>
          <w:color w:val="000000"/>
          <w:spacing w:val="0"/>
          <w:w w:val="100"/>
          <w:position w:val="0"/>
        </w:rPr>
        <w:t>56,000,000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3.6</w:t>
      </w:r>
      <w:r>
        <w:rPr>
          <w:rFonts w:ascii="Times New Roman" w:eastAsia="Times New Roman" w:hAnsi="Times New Roman" w:cs="Times New Roman"/>
          <w:color w:val="000000"/>
          <w:spacing w:val="0"/>
          <w:w w:val="100"/>
          <w:position w:val="0"/>
        </w:rPr>
        <w:t>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19"/>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r>
        <w:rPr>
          <w:color w:val="000000"/>
          <w:spacing w:val="0"/>
          <w:w w:val="100"/>
          <w:position w:val="0"/>
          <w:sz w:val="24"/>
          <w:szCs w:val="24"/>
        </w:rPr>
        <w:t>十六、其他重要事项</w:t>
      </w:r>
      <w:bookmarkEnd w:id="1639"/>
      <w:bookmarkEnd w:id="1640"/>
      <w:bookmarkEnd w:id="1641"/>
    </w:p>
    <w:p>
      <w:pPr>
        <w:pStyle w:val="Style21"/>
        <w:keepNext/>
        <w:keepLines/>
        <w:widowControl w:val="0"/>
        <w:shd w:val="clear" w:color="auto" w:fill="auto"/>
        <w:tabs>
          <w:tab w:pos="368" w:val="left"/>
        </w:tabs>
        <w:bidi w:val="0"/>
        <w:spacing w:before="0" w:after="2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1</w:t>
      </w:r>
      <w:bookmarkEnd w:id="1644"/>
      <w:r>
        <w:rPr>
          <w:color w:val="000000"/>
          <w:spacing w:val="0"/>
          <w:w w:val="100"/>
          <w:position w:val="0"/>
        </w:rPr>
        <w:t>、</w:t>
        <w:tab/>
        <w:t>前期会计差错更正</w:t>
      </w:r>
      <w:bookmarkEnd w:id="1642"/>
      <w:bookmarkEnd w:id="1643"/>
      <w:bookmarkEnd w:id="1645"/>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378" w:val="left"/>
        </w:tabs>
        <w:bidi w:val="0"/>
        <w:spacing w:before="0" w:after="2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bookmarkEnd w:id="1648"/>
      <w:r>
        <w:rPr>
          <w:color w:val="000000"/>
          <w:spacing w:val="0"/>
          <w:w w:val="100"/>
          <w:position w:val="0"/>
        </w:rPr>
        <w:t>、</w:t>
        <w:tab/>
        <w:t>债务重组</w:t>
      </w:r>
      <w:bookmarkEnd w:id="1646"/>
      <w:bookmarkEnd w:id="1647"/>
      <w:bookmarkEnd w:id="1649"/>
    </w:p>
    <w:p>
      <w:pPr>
        <w:pStyle w:val="Style9"/>
        <w:keepNext w:val="0"/>
        <w:keepLines w:val="0"/>
        <w:widowControl w:val="0"/>
        <w:numPr>
          <w:ilvl w:val="0"/>
          <w:numId w:val="47"/>
        </w:numPr>
        <w:shd w:val="clear" w:color="auto" w:fill="auto"/>
        <w:tabs>
          <w:tab w:pos="330" w:val="left"/>
        </w:tabs>
        <w:bidi w:val="0"/>
        <w:spacing w:before="0" w:after="360" w:line="312" w:lineRule="exact"/>
        <w:ind w:left="0" w:right="0" w:firstLine="0"/>
        <w:jc w:val="left"/>
      </w:pPr>
      <w:bookmarkStart w:id="1650" w:name="bookmark1650"/>
      <w:bookmarkEnd w:id="165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26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color w:val="000000"/>
          <w:spacing w:val="0"/>
          <w:w w:val="100"/>
          <w:position w:val="0"/>
        </w:rPr>
        <w:t>、</w:t>
        <w:tab/>
        <w:t>资产置换</w:t>
      </w:r>
      <w:bookmarkEnd w:id="1651"/>
      <w:bookmarkEnd w:id="1652"/>
      <w:bookmarkEnd w:id="1654"/>
    </w:p>
    <w:p>
      <w:pPr>
        <w:pStyle w:val="Style9"/>
        <w:keepNext w:val="0"/>
        <w:keepLines w:val="0"/>
        <w:widowControl w:val="0"/>
        <w:numPr>
          <w:ilvl w:val="0"/>
          <w:numId w:val="47"/>
        </w:numPr>
        <w:shd w:val="clear" w:color="auto" w:fill="auto"/>
        <w:tabs>
          <w:tab w:pos="330" w:val="left"/>
        </w:tabs>
        <w:bidi w:val="0"/>
        <w:spacing w:before="0" w:after="360" w:line="312" w:lineRule="exact"/>
        <w:ind w:left="0" w:right="0" w:firstLine="0"/>
        <w:jc w:val="left"/>
      </w:pPr>
      <w:bookmarkStart w:id="1655" w:name="bookmark1655"/>
      <w:bookmarkEnd w:id="165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2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color w:val="000000"/>
          <w:spacing w:val="0"/>
          <w:w w:val="100"/>
          <w:position w:val="0"/>
        </w:rPr>
        <w:t>、</w:t>
        <w:tab/>
        <w:t>年金计划</w:t>
      </w:r>
      <w:bookmarkEnd w:id="1656"/>
      <w:bookmarkEnd w:id="1657"/>
      <w:bookmarkEnd w:id="1659"/>
    </w:p>
    <w:p>
      <w:pPr>
        <w:pStyle w:val="Style9"/>
        <w:keepNext w:val="0"/>
        <w:keepLines w:val="0"/>
        <w:widowControl w:val="0"/>
        <w:numPr>
          <w:ilvl w:val="0"/>
          <w:numId w:val="47"/>
        </w:numPr>
        <w:shd w:val="clear" w:color="auto" w:fill="auto"/>
        <w:tabs>
          <w:tab w:pos="330" w:val="left"/>
        </w:tabs>
        <w:bidi w:val="0"/>
        <w:spacing w:before="0" w:after="360" w:line="312" w:lineRule="exact"/>
        <w:ind w:left="0" w:right="0" w:firstLine="0"/>
        <w:jc w:val="left"/>
      </w:pPr>
      <w:bookmarkStart w:id="1660" w:name="bookmark1660"/>
      <w:bookmarkEnd w:id="166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26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color w:val="000000"/>
          <w:spacing w:val="0"/>
          <w:w w:val="100"/>
          <w:position w:val="0"/>
        </w:rPr>
        <w:t>、</w:t>
        <w:tab/>
        <w:t>终止经营</w:t>
      </w:r>
      <w:bookmarkEnd w:id="1661"/>
      <w:bookmarkEnd w:id="1662"/>
      <w:bookmarkEnd w:id="1664"/>
    </w:p>
    <w:p>
      <w:pPr>
        <w:pStyle w:val="Style9"/>
        <w:keepNext w:val="0"/>
        <w:keepLines w:val="0"/>
        <w:widowControl w:val="0"/>
        <w:numPr>
          <w:ilvl w:val="0"/>
          <w:numId w:val="47"/>
        </w:numPr>
        <w:shd w:val="clear" w:color="auto" w:fill="auto"/>
        <w:tabs>
          <w:tab w:pos="330" w:val="left"/>
        </w:tabs>
        <w:bidi w:val="0"/>
        <w:spacing w:before="0" w:after="360" w:line="312" w:lineRule="exact"/>
        <w:ind w:left="0" w:right="0" w:firstLine="0"/>
        <w:jc w:val="left"/>
      </w:pPr>
      <w:bookmarkStart w:id="1665" w:name="bookmark1665"/>
      <w:bookmarkEnd w:id="166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378" w:val="left"/>
        </w:tabs>
        <w:bidi w:val="0"/>
        <w:spacing w:before="0" w:after="360" w:line="240" w:lineRule="auto"/>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color w:val="000000"/>
          <w:spacing w:val="0"/>
          <w:w w:val="100"/>
          <w:position w:val="0"/>
        </w:rPr>
        <w:t>、</w:t>
        <w:tab/>
        <w:t>分部信息</w:t>
      </w:r>
      <w:bookmarkEnd w:id="1666"/>
      <w:bookmarkEnd w:id="1667"/>
      <w:bookmarkEnd w:id="1669"/>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本公司未设置业务分部。</w:t>
      </w:r>
    </w:p>
    <w:p>
      <w:pPr>
        <w:pStyle w:val="Style21"/>
        <w:keepNext/>
        <w:keepLines/>
        <w:widowControl w:val="0"/>
        <w:shd w:val="clear" w:color="auto" w:fill="auto"/>
        <w:tabs>
          <w:tab w:pos="378" w:val="left"/>
        </w:tabs>
        <w:bidi w:val="0"/>
        <w:spacing w:before="0" w:after="36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color w:val="000000"/>
          <w:spacing w:val="0"/>
          <w:w w:val="100"/>
          <w:position w:val="0"/>
        </w:rPr>
        <w:t>、</w:t>
        <w:tab/>
        <w:t>其他对投资者决策有影响的重要交易和事项</w:t>
      </w:r>
      <w:bookmarkEnd w:id="1670"/>
      <w:bookmarkEnd w:id="1671"/>
      <w:bookmarkEnd w:id="1673"/>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1"/>
        <w:keepNext/>
        <w:keepLines/>
        <w:widowControl w:val="0"/>
        <w:shd w:val="clear" w:color="auto" w:fill="auto"/>
        <w:tabs>
          <w:tab w:pos="378" w:val="left"/>
        </w:tabs>
        <w:bidi w:val="0"/>
        <w:spacing w:before="0" w:after="36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8</w:t>
      </w:r>
      <w:bookmarkEnd w:id="1676"/>
      <w:r>
        <w:rPr>
          <w:color w:val="000000"/>
          <w:spacing w:val="0"/>
          <w:w w:val="100"/>
          <w:position w:val="0"/>
        </w:rPr>
        <w:t>、</w:t>
        <w:tab/>
        <w:t>其他</w:t>
      </w:r>
      <w:bookmarkEnd w:id="1674"/>
      <w:bookmarkEnd w:id="1675"/>
      <w:bookmarkEnd w:id="1677"/>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日止，本公司无需要披露的其他重要事项。</w:t>
      </w:r>
    </w:p>
    <w:p>
      <w:pPr>
        <w:pStyle w:val="Style19"/>
        <w:keepNext/>
        <w:keepLines/>
        <w:widowControl w:val="0"/>
        <w:shd w:val="clear" w:color="auto" w:fill="auto"/>
        <w:bidi w:val="0"/>
        <w:spacing w:before="0" w:after="360" w:line="240" w:lineRule="auto"/>
        <w:ind w:left="0" w:right="0" w:firstLine="0"/>
        <w:jc w:val="both"/>
      </w:pPr>
      <w:bookmarkStart w:id="1678" w:name="bookmark1678"/>
      <w:bookmarkStart w:id="1679" w:name="bookmark1679"/>
      <w:bookmarkStart w:id="1680" w:name="bookmark1680"/>
      <w:r>
        <w:rPr>
          <w:color w:val="000000"/>
          <w:spacing w:val="0"/>
          <w:w w:val="100"/>
          <w:position w:val="0"/>
          <w:sz w:val="24"/>
          <w:szCs w:val="24"/>
        </w:rPr>
        <w:t>十七、母公司财务报表主要项目注释</w:t>
      </w:r>
      <w:bookmarkEnd w:id="1678"/>
      <w:bookmarkEnd w:id="1679"/>
      <w:bookmarkEnd w:id="1680"/>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1681" w:name="bookmark1681"/>
      <w:bookmarkStart w:id="1682" w:name="bookmark1682"/>
      <w:bookmarkStart w:id="1683" w:name="bookmark1683"/>
      <w:r>
        <w:rPr>
          <w:color w:val="000000"/>
          <w:spacing w:val="0"/>
          <w:w w:val="100"/>
          <w:position w:val="0"/>
          <w:sz w:val="24"/>
          <w:szCs w:val="24"/>
        </w:rPr>
        <w:t>十八、补充资料</w:t>
      </w:r>
      <w:bookmarkEnd w:id="1681"/>
      <w:bookmarkEnd w:id="1682"/>
      <w:bookmarkEnd w:id="1683"/>
    </w:p>
    <w:p>
      <w:pPr>
        <w:pStyle w:val="Style21"/>
        <w:keepNext/>
        <w:keepLines/>
        <w:widowControl w:val="0"/>
        <w:shd w:val="clear" w:color="auto" w:fill="auto"/>
        <w:bidi w:val="0"/>
        <w:spacing w:before="0" w:after="360" w:line="240" w:lineRule="auto"/>
        <w:ind w:left="0" w:right="0" w:firstLine="0"/>
        <w:jc w:val="both"/>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84"/>
      <w:bookmarkEnd w:id="1685"/>
      <w:bookmarkEnd w:id="1686"/>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689,298.30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305,099.52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主要为个人所得税手续费返还</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3,195,224.41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理财收益</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628,453.46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3,561,168.77</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87"/>
      <w:bookmarkEnd w:id="1688"/>
      <w:bookmarkEnd w:id="1689"/>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27.99%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bl>
    <w:tbl>
      <w:tblPr>
        <w:tblOverlap w:val="never"/>
        <w:jc w:val="center"/>
        <w:tblLayout w:type="fixed"/>
      </w:tblPr>
      <w:tblGrid>
        <w:gridCol w:w="2669"/>
        <w:gridCol w:w="3082"/>
        <w:gridCol w:w="1910"/>
        <w:gridCol w:w="1920"/>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扣除非经常性损益后归属于公</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26.73%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bl>
    <w:p>
      <w:pPr>
        <w:widowControl w:val="0"/>
        <w:spacing w:after="319" w:line="1" w:lineRule="exact"/>
      </w:pPr>
    </w:p>
    <w:p>
      <w:pPr>
        <w:pStyle w:val="Style40"/>
        <w:keepNext w:val="0"/>
        <w:keepLines w:val="0"/>
        <w:widowControl w:val="0"/>
        <w:shd w:val="clear" w:color="auto" w:fill="auto"/>
        <w:bidi w:val="0"/>
        <w:spacing w:before="0" w:after="320" w:line="240" w:lineRule="auto"/>
        <w:ind w:left="0" w:right="0" w:firstLine="0"/>
        <w:jc w:val="left"/>
      </w:pPr>
      <w:bookmarkStart w:id="1690" w:name="bookmark1690"/>
      <w:r>
        <w:rPr>
          <w:rFonts w:ascii="Times New Roman" w:eastAsia="Times New Roman" w:hAnsi="Times New Roman" w:cs="Times New Roman"/>
          <w:b/>
          <w:bCs/>
          <w:color w:val="000000"/>
          <w:spacing w:val="0"/>
          <w:w w:val="100"/>
          <w:position w:val="0"/>
        </w:rPr>
        <w:t>3</w:t>
      </w:r>
      <w:bookmarkEnd w:id="1690"/>
      <w:r>
        <w:rPr>
          <w:b/>
          <w:bCs/>
          <w:color w:val="000000"/>
          <w:spacing w:val="0"/>
          <w:w w:val="100"/>
          <w:position w:val="0"/>
        </w:rPr>
        <w:t>、境内外会计准则下会计数据差异</w:t>
      </w:r>
    </w:p>
    <w:p>
      <w:pPr>
        <w:pStyle w:val="Style4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)同时按照国际会计准则与按中国会计准则披露的财务报告中净利润和净资产差异情况</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val="0"/>
        <w:keepLines w:val="0"/>
        <w:widowControl w:val="0"/>
        <w:numPr>
          <w:ilvl w:val="0"/>
          <w:numId w:val="51"/>
        </w:numPr>
        <w:shd w:val="clear" w:color="auto" w:fill="auto"/>
        <w:tabs>
          <w:tab w:pos="488" w:val="left"/>
        </w:tabs>
        <w:bidi w:val="0"/>
        <w:spacing w:before="0" w:after="360" w:line="322" w:lineRule="exact"/>
        <w:ind w:left="0" w:right="0" w:firstLine="0"/>
        <w:jc w:val="left"/>
      </w:pPr>
      <w:bookmarkStart w:id="1691" w:name="bookmark1691"/>
      <w:bookmarkEnd w:id="1691"/>
      <w:r>
        <w:rPr>
          <w:b/>
          <w:bCs/>
          <w:color w:val="000000"/>
          <w:spacing w:val="0"/>
          <w:w w:val="100"/>
          <w:position w:val="0"/>
        </w:rPr>
        <w:t>同时按照境外会计准则与按中国会计准则披露的财务报告中净利润和净资产差异情况</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val="0"/>
        <w:keepLines w:val="0"/>
        <w:widowControl w:val="0"/>
        <w:numPr>
          <w:ilvl w:val="0"/>
          <w:numId w:val="51"/>
        </w:numPr>
        <w:shd w:val="clear" w:color="auto" w:fill="auto"/>
        <w:tabs>
          <w:tab w:pos="589" w:val="left"/>
        </w:tabs>
        <w:bidi w:val="0"/>
        <w:spacing w:before="0" w:after="320" w:line="322" w:lineRule="exact"/>
        <w:ind w:left="0" w:right="0" w:firstLine="0"/>
        <w:jc w:val="left"/>
      </w:pPr>
      <w:bookmarkStart w:id="1692" w:name="bookmark1692"/>
      <w:bookmarkEnd w:id="1692"/>
      <w:r>
        <w:rPr>
          <w:b/>
          <w:bCs/>
          <w:color w:val="000000"/>
          <w:spacing w:val="0"/>
          <w:w w:val="100"/>
          <w:position w:val="0"/>
        </w:rPr>
        <w:t>境内外会计准则下会计数据差异原因说明，对已经境外审计机构审计的数据进行差异调节的，应注 明该境外机构的名称</w:t>
      </w:r>
    </w:p>
    <w:p>
      <w:pPr>
        <w:pStyle w:val="Style40"/>
        <w:keepNext w:val="0"/>
        <w:keepLines w:val="0"/>
        <w:widowControl w:val="0"/>
        <w:shd w:val="clear" w:color="auto" w:fill="auto"/>
        <w:bidi w:val="0"/>
        <w:spacing w:before="0" w:after="320" w:line="322" w:lineRule="exact"/>
        <w:ind w:left="0" w:right="0" w:firstLine="0"/>
        <w:jc w:val="left"/>
        <w:sectPr>
          <w:headerReference w:type="default" r:id="rId15"/>
          <w:footerReference w:type="default" r:id="rId16"/>
          <w:footnotePr>
            <w:pos w:val="pageBottom"/>
            <w:numFmt w:val="decimal"/>
            <w:numRestart w:val="continuous"/>
          </w:footnotePr>
          <w:pgSz w:w="11900" w:h="16840"/>
          <w:pgMar w:top="1378" w:right="1056" w:bottom="1479" w:left="1072" w:header="0" w:footer="3" w:gutter="0"/>
          <w:cols w:space="720"/>
          <w:noEndnote/>
          <w:rtlGutter w:val="0"/>
          <w:docGrid w:linePitch="360"/>
        </w:sectPr>
      </w:pPr>
      <w:bookmarkStart w:id="1693" w:name="bookmark1693"/>
      <w:r>
        <w:rPr>
          <w:rFonts w:ascii="Times New Roman" w:eastAsia="Times New Roman" w:hAnsi="Times New Roman" w:cs="Times New Roman"/>
          <w:b/>
          <w:bCs/>
          <w:color w:val="000000"/>
          <w:spacing w:val="0"/>
          <w:w w:val="100"/>
          <w:position w:val="0"/>
        </w:rPr>
        <w:t>4</w:t>
      </w:r>
      <w:bookmarkEnd w:id="1693"/>
      <w:r>
        <w:rPr>
          <w:b/>
          <w:bCs/>
          <w:color w:val="000000"/>
          <w:spacing w:val="0"/>
          <w:w w:val="100"/>
          <w:position w:val="0"/>
        </w:rPr>
        <w:t>、其他</w:t>
      </w:r>
    </w:p>
    <w:p>
      <w:pPr>
        <w:pStyle w:val="Style13"/>
        <w:keepNext/>
        <w:keepLines/>
        <w:widowControl w:val="0"/>
        <w:shd w:val="clear" w:color="auto" w:fill="auto"/>
        <w:bidi w:val="0"/>
        <w:spacing w:before="0" w:after="580" w:line="240" w:lineRule="auto"/>
        <w:ind w:left="0" w:right="0" w:firstLine="0"/>
        <w:jc w:val="center"/>
      </w:pPr>
      <w:bookmarkStart w:id="1694" w:name="bookmark1694"/>
      <w:bookmarkStart w:id="1695" w:name="bookmark1695"/>
      <w:bookmarkStart w:id="1696" w:name="bookmark1696"/>
      <w:bookmarkStart w:id="1697" w:name="bookmark1697"/>
      <w:r>
        <w:rPr>
          <w:color w:val="000000"/>
          <w:spacing w:val="0"/>
          <w:w w:val="100"/>
          <w:position w:val="0"/>
        </w:rPr>
        <w:t>第十二节备查文件目录</w:t>
      </w:r>
      <w:bookmarkEnd w:id="1695"/>
      <w:bookmarkEnd w:id="1696"/>
      <w:bookmarkEnd w:id="1697"/>
      <w:bookmarkEnd w:id="1694"/>
    </w:p>
    <w:p>
      <w:pPr>
        <w:pStyle w:val="Style9"/>
        <w:keepNext w:val="0"/>
        <w:keepLines w:val="0"/>
        <w:widowControl w:val="0"/>
        <w:shd w:val="clear" w:color="auto" w:fill="auto"/>
        <w:tabs>
          <w:tab w:pos="334" w:val="left"/>
        </w:tabs>
        <w:bidi w:val="0"/>
        <w:spacing w:before="0" w:after="160" w:line="240" w:lineRule="auto"/>
        <w:ind w:left="0" w:right="0" w:firstLine="0"/>
        <w:jc w:val="left"/>
      </w:pPr>
      <w:bookmarkStart w:id="1698" w:name="bookmark1698"/>
      <w:r>
        <w:rPr>
          <w:color w:val="000000"/>
          <w:spacing w:val="0"/>
          <w:w w:val="100"/>
          <w:position w:val="0"/>
        </w:rPr>
        <w:t>1</w:t>
      </w:r>
      <w:bookmarkEnd w:id="1698"/>
      <w:r>
        <w:rPr>
          <w:color w:val="000000"/>
          <w:spacing w:val="0"/>
          <w:w w:val="100"/>
          <w:position w:val="0"/>
        </w:rPr>
        <w:t>、</w:t>
        <w:tab/>
        <w:t>载有公司法定代表人、主管会计工作的公司负责人、公司会计机构负责人（会计主管人员）签名并盖章的财务报表。</w:t>
      </w:r>
    </w:p>
    <w:p>
      <w:pPr>
        <w:pStyle w:val="Style9"/>
        <w:keepNext w:val="0"/>
        <w:keepLines w:val="0"/>
        <w:widowControl w:val="0"/>
        <w:shd w:val="clear" w:color="auto" w:fill="auto"/>
        <w:tabs>
          <w:tab w:pos="344" w:val="left"/>
        </w:tabs>
        <w:bidi w:val="0"/>
        <w:spacing w:before="0" w:after="160" w:line="240" w:lineRule="auto"/>
        <w:ind w:left="0" w:right="0" w:firstLine="0"/>
        <w:jc w:val="left"/>
      </w:pPr>
      <w:bookmarkStart w:id="1699" w:name="bookmark1699"/>
      <w:r>
        <w:rPr>
          <w:color w:val="000000"/>
          <w:spacing w:val="0"/>
          <w:w w:val="100"/>
          <w:position w:val="0"/>
        </w:rPr>
        <w:t>2</w:t>
      </w:r>
      <w:bookmarkEnd w:id="1699"/>
      <w:r>
        <w:rPr>
          <w:color w:val="000000"/>
          <w:spacing w:val="0"/>
          <w:w w:val="100"/>
          <w:position w:val="0"/>
        </w:rPr>
        <w:t>、</w:t>
        <w:tab/>
        <w:t>载有会计师事务所盖章、注册会计师签名并盖章的审计报告原件。</w:t>
      </w:r>
    </w:p>
    <w:p>
      <w:pPr>
        <w:pStyle w:val="Style9"/>
        <w:keepNext w:val="0"/>
        <w:keepLines w:val="0"/>
        <w:widowControl w:val="0"/>
        <w:shd w:val="clear" w:color="auto" w:fill="auto"/>
        <w:tabs>
          <w:tab w:pos="344" w:val="left"/>
        </w:tabs>
        <w:bidi w:val="0"/>
        <w:spacing w:before="0" w:after="160" w:line="240" w:lineRule="auto"/>
        <w:ind w:left="0" w:right="0" w:firstLine="0"/>
        <w:jc w:val="left"/>
      </w:pPr>
      <w:bookmarkStart w:id="1700" w:name="bookmark1700"/>
      <w:r>
        <w:rPr>
          <w:color w:val="000000"/>
          <w:spacing w:val="0"/>
          <w:w w:val="100"/>
          <w:position w:val="0"/>
        </w:rPr>
        <w:t>3</w:t>
      </w:r>
      <w:bookmarkEnd w:id="1700"/>
      <w:r>
        <w:rPr>
          <w:color w:val="000000"/>
          <w:spacing w:val="0"/>
          <w:w w:val="100"/>
          <w:position w:val="0"/>
        </w:rPr>
        <w:t>、</w:t>
        <w:tab/>
        <w:t>报告期内在中国证监会指定网站上公开披露过的所有公司文件的正本及公告的原稿。</w:t>
      </w:r>
    </w:p>
    <w:p>
      <w:pPr>
        <w:pStyle w:val="Style9"/>
        <w:keepNext w:val="0"/>
        <w:keepLines w:val="0"/>
        <w:widowControl w:val="0"/>
        <w:shd w:val="clear" w:color="auto" w:fill="auto"/>
        <w:tabs>
          <w:tab w:pos="349" w:val="left"/>
        </w:tabs>
        <w:bidi w:val="0"/>
        <w:spacing w:before="0" w:after="160" w:line="240" w:lineRule="auto"/>
        <w:ind w:left="0" w:right="0" w:firstLine="0"/>
        <w:jc w:val="left"/>
      </w:pPr>
      <w:bookmarkStart w:id="1701" w:name="bookmark1701"/>
      <w:r>
        <w:rPr>
          <w:color w:val="000000"/>
          <w:spacing w:val="0"/>
          <w:w w:val="100"/>
          <w:position w:val="0"/>
        </w:rPr>
        <w:t>4</w:t>
      </w:r>
      <w:bookmarkEnd w:id="1701"/>
      <w:r>
        <w:rPr>
          <w:color w:val="000000"/>
          <w:spacing w:val="0"/>
          <w:w w:val="100"/>
          <w:position w:val="0"/>
        </w:rPr>
        <w:t>、</w:t>
        <w:tab/>
        <w:t>经公司法定代表人签名的</w:t>
      </w:r>
      <w:r>
        <w:rPr>
          <w:color w:val="000000"/>
          <w:spacing w:val="0"/>
          <w:w w:val="100"/>
          <w:position w:val="0"/>
        </w:rPr>
        <w:t>2016</w:t>
      </w:r>
      <w:r>
        <w:rPr>
          <w:color w:val="000000"/>
          <w:spacing w:val="0"/>
          <w:w w:val="100"/>
          <w:position w:val="0"/>
        </w:rPr>
        <w:t>年年度报告文本原件。</w:t>
      </w:r>
    </w:p>
    <w:p>
      <w:pPr>
        <w:pStyle w:val="Style9"/>
        <w:keepNext w:val="0"/>
        <w:keepLines w:val="0"/>
        <w:widowControl w:val="0"/>
        <w:shd w:val="clear" w:color="auto" w:fill="auto"/>
        <w:bidi w:val="0"/>
        <w:spacing w:before="0" w:after="2180" w:line="240" w:lineRule="auto"/>
        <w:ind w:left="0" w:right="0" w:firstLine="0"/>
        <w:jc w:val="left"/>
      </w:pPr>
      <w:r>
        <w:rPr>
          <w:color w:val="000000"/>
          <w:spacing w:val="0"/>
          <w:w w:val="100"/>
          <w:position w:val="0"/>
        </w:rPr>
        <w:t>以上备查文件的备置地点：公司证券部</w:t>
      </w:r>
    </w:p>
    <w:p>
      <w:pPr>
        <w:pStyle w:val="Style9"/>
        <w:keepNext w:val="0"/>
        <w:keepLines w:val="0"/>
        <w:widowControl w:val="0"/>
        <w:shd w:val="clear" w:color="auto" w:fill="auto"/>
        <w:bidi w:val="0"/>
        <w:spacing w:before="0" w:after="1040" w:line="240" w:lineRule="auto"/>
        <w:ind w:left="7040" w:right="0" w:firstLine="0"/>
        <w:jc w:val="left"/>
      </w:pPr>
      <w:r>
        <w:rPr>
          <w:color w:val="000000"/>
          <w:spacing w:val="0"/>
          <w:w w:val="100"/>
          <w:position w:val="0"/>
        </w:rPr>
        <w:t>法定代表人：陈喆</w:t>
      </w:r>
    </w:p>
    <w:p>
      <w:pPr>
        <w:pStyle w:val="Style9"/>
        <w:keepNext w:val="0"/>
        <w:keepLines w:val="0"/>
        <w:widowControl w:val="0"/>
        <w:shd w:val="clear" w:color="auto" w:fill="auto"/>
        <w:bidi w:val="0"/>
        <w:spacing w:before="0" w:after="420" w:line="240" w:lineRule="auto"/>
        <w:ind w:left="7040" w:right="0" w:firstLine="0"/>
        <w:jc w:val="left"/>
      </w:pPr>
      <w:r>
        <w:rPr>
          <w:color w:val="000000"/>
          <w:spacing w:val="0"/>
          <w:w w:val="100"/>
          <w:position w:val="0"/>
        </w:rPr>
        <w:t>珠海汇金科技股份有限公司</w:t>
      </w:r>
    </w:p>
    <w:p>
      <w:pPr>
        <w:pStyle w:val="Style9"/>
        <w:keepNext w:val="0"/>
        <w:keepLines w:val="0"/>
        <w:widowControl w:val="0"/>
        <w:shd w:val="clear" w:color="auto" w:fill="auto"/>
        <w:bidi w:val="0"/>
        <w:spacing w:before="0" w:after="280" w:line="240" w:lineRule="auto"/>
        <w:ind w:left="704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w:t>
      </w:r>
    </w:p>
    <w:sectPr>
      <w:footnotePr>
        <w:pos w:val="pageBottom"/>
        <w:numFmt w:val="decimal"/>
        <w:numRestart w:val="continuous"/>
      </w:footnotePr>
      <w:pgSz w:w="11900" w:h="16840"/>
      <w:pgMar w:top="1666" w:right="1303" w:bottom="1666"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10107930</wp:posOffset>
              </wp:positionV>
              <wp:extent cx="30480" cy="76200"/>
              <wp:wrapNone/>
              <wp:docPr id="3" name="Shape 3"/>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29" type="#_x0000_t202" style="position:absolute;margin-left:57.5pt;margin-top:795.89999999999998pt;width:2.3999999999999999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710565</wp:posOffset>
              </wp:positionH>
              <wp:positionV relativeFrom="page">
                <wp:posOffset>9933940</wp:posOffset>
              </wp:positionV>
              <wp:extent cx="97790" cy="76200"/>
              <wp:wrapNone/>
              <wp:docPr id="9" name="Shape 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55.950000000000003pt;margin-top:782.20000000000005pt;width:7.7000000000000002pt;height:6.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911225</wp:posOffset>
              </wp:positionH>
              <wp:positionV relativeFrom="page">
                <wp:posOffset>6812915</wp:posOffset>
              </wp:positionV>
              <wp:extent cx="103505" cy="76200"/>
              <wp:wrapNone/>
              <wp:docPr id="28" name="Shape 28"/>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4" type="#_x0000_t202" style="position:absolute;margin-left:71.75pt;margin-top:536.45000000000005pt;width:8.1500000000000004pt;height:6.pt;z-index:-18874405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710565</wp:posOffset>
              </wp:positionH>
              <wp:positionV relativeFrom="page">
                <wp:posOffset>9933940</wp:posOffset>
              </wp:positionV>
              <wp:extent cx="97790" cy="76200"/>
              <wp:wrapNone/>
              <wp:docPr id="32" name="Shape 32"/>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8" type="#_x0000_t202" style="position:absolute;margin-left:55.950000000000003pt;margin-top:782.20000000000005pt;width:7.7000000000000002pt;height:6.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506730</wp:posOffset>
              </wp:positionV>
              <wp:extent cx="2444750" cy="103505"/>
              <wp:wrapNone/>
              <wp:docPr id="1" name="Shape 1"/>
              <a:graphic xmlns:a="http://schemas.openxmlformats.org/drawingml/2006/main">
                <a:graphicData uri="http://schemas.microsoft.com/office/word/2010/wordprocessingShape">
                  <wps:wsp>
                    <wps:cNvSpPr txBox="1"/>
                    <wps:spPr>
                      <a:xfrm>
                        <a:ext cx="244475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899999999999999pt;width:192.5pt;height:8.15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723900</wp:posOffset>
              </wp:positionH>
              <wp:positionV relativeFrom="page">
                <wp:posOffset>588645</wp:posOffset>
              </wp:positionV>
              <wp:extent cx="2444750" cy="103505"/>
              <wp:wrapNone/>
              <wp:docPr id="7" name="Shape 7"/>
              <a:graphic xmlns:a="http://schemas.openxmlformats.org/drawingml/2006/main">
                <a:graphicData uri="http://schemas.microsoft.com/office/word/2010/wordprocessingShape">
                  <wps:wsp>
                    <wps:cNvSpPr txBox="1"/>
                    <wps:spPr>
                      <a:xfrm>
                        <a:ext cx="244475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57.pt;margin-top:46.350000000000001pt;width:192.5pt;height:8.15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914400</wp:posOffset>
              </wp:positionH>
              <wp:positionV relativeFrom="page">
                <wp:posOffset>583565</wp:posOffset>
              </wp:positionV>
              <wp:extent cx="2444750" cy="103505"/>
              <wp:wrapNone/>
              <wp:docPr id="26" name="Shape 26"/>
              <a:graphic xmlns:a="http://schemas.openxmlformats.org/drawingml/2006/main">
                <a:graphicData uri="http://schemas.microsoft.com/office/word/2010/wordprocessingShape">
                  <wps:wsp>
                    <wps:cNvSpPr txBox="1"/>
                    <wps:spPr>
                      <a:xfrm>
                        <a:ext cx="2444750" cy="1035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72.pt;margin-top:45.950000000000003pt;width:192.5pt;height:8.1500000000000004pt;z-index:-18874405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723900</wp:posOffset>
              </wp:positionH>
              <wp:positionV relativeFrom="page">
                <wp:posOffset>588645</wp:posOffset>
              </wp:positionV>
              <wp:extent cx="2444750" cy="103505"/>
              <wp:wrapNone/>
              <wp:docPr id="30" name="Shape 30"/>
              <a:graphic xmlns:a="http://schemas.openxmlformats.org/drawingml/2006/main">
                <a:graphicData uri="http://schemas.microsoft.com/office/word/2010/wordprocessingShape">
                  <wps:wsp>
                    <wps:cNvSpPr txBox="1"/>
                    <wps:spPr>
                      <a:xfrm>
                        <a:ext cx="244475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6" type="#_x0000_t202" style="position:absolute;margin-left:57.pt;margin-top:46.350000000000001pt;width:192.5pt;height:8.15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10">
    <w:name w:val="正文文本_"/>
    <w:basedOn w:val="DefaultParagraphFont"/>
    <w:link w:val="Style9"/>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标题 #4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其他_"/>
    <w:basedOn w:val="DefaultParagraphFont"/>
    <w:link w:val="Style28"/>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正文文本 (6)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页眉或页脚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40" w:line="300" w:lineRule="auto"/>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9">
    <w:name w:val="正文文本"/>
    <w:basedOn w:val="Normal"/>
    <w:link w:val="CharStyle10"/>
    <w:pPr>
      <w:widowControl w:val="0"/>
      <w:shd w:val="clear" w:color="auto" w:fill="auto"/>
      <w:spacing w:after="12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180" w:after="4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3">
    <w:name w:val="标题 #2"/>
    <w:basedOn w:val="Normal"/>
    <w:link w:val="CharStyle14"/>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标题 #3"/>
    <w:basedOn w:val="Normal"/>
    <w:link w:val="CharStyle20"/>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1">
    <w:name w:val="标题 #4"/>
    <w:basedOn w:val="Normal"/>
    <w:link w:val="CharStyle22"/>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5">
    <w:name w:val="目录"/>
    <w:basedOn w:val="Normal"/>
    <w:link w:val="CharStyle2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8">
    <w:name w:val="其他"/>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正文文本 (6)"/>
    <w:basedOn w:val="Normal"/>
    <w:link w:val="CharStyle41"/>
    <w:pPr>
      <w:widowControl w:val="0"/>
      <w:shd w:val="clear" w:color="auto" w:fill="auto"/>
      <w:spacing w:after="28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页眉或页脚"/>
    <w:basedOn w:val="Normal"/>
    <w:link w:val="CharStyle4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