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70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10335" cy="4476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5" cy="447675"/>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3764" w:right="3764" w:firstLine="0"/>
        <w:jc w:val="center"/>
        <w:rPr>
          <w:rFonts w:ascii="宋体" w:hAnsi="宋体" w:cs="宋体" w:eastAsia="宋体" w:hint="default"/>
          <w:sz w:val="36"/>
          <w:szCs w:val="36"/>
        </w:rPr>
      </w:pPr>
      <w:r>
        <w:rPr>
          <w:rFonts w:ascii="宋体" w:hAnsi="宋体" w:cs="宋体" w:eastAsia="宋体" w:hint="default"/>
          <w:b/>
          <w:bCs/>
          <w:sz w:val="36"/>
          <w:szCs w:val="36"/>
        </w:rPr>
        <w:t>珠海汇金科技股份有限公司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76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3764" w:right="3763" w:firstLine="0"/>
        <w:jc w:val="center"/>
        <w:rPr>
          <w:rFonts w:ascii="Times New Roman" w:hAnsi="Times New Roman" w:cs="Times New Roman" w:eastAsia="Times New Roman" w:hint="default"/>
          <w:sz w:val="22"/>
          <w:szCs w:val="22"/>
        </w:rPr>
      </w:pPr>
      <w:r>
        <w:rPr>
          <w:rFonts w:ascii="Times New Roman"/>
          <w:b/>
          <w:sz w:val="22"/>
        </w:rPr>
        <w:t>2018-021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376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公司负责人陈喆、主管会计工作负责人马晓丽及会计机构负责人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马晓丽声明：保证年度报告中财务报告的真实、准确、完整。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本报告中涉及未来计划或经营规划等前瞻性陈述的，不构成公司对投资者</w:t>
      </w:r>
      <w:r>
        <w:rPr>
          <w:rFonts w:ascii="宋体" w:hAnsi="宋体" w:cs="宋体" w:eastAsia="宋体" w:hint="default"/>
          <w:spacing w:val="3"/>
          <w:sz w:val="28"/>
          <w:szCs w:val="28"/>
        </w:rPr>
      </w:r>
    </w:p>
    <w:p>
      <w:pPr>
        <w:spacing w:line="410" w:lineRule="auto" w:before="0"/>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的实质承诺，投资者及相关人士均应对此保持足够的风险认识，并且应当理解</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计划、预测与承诺之间的差异，敬请投资者注意投资风险。</w:t>
      </w:r>
      <w:r>
        <w:rPr>
          <w:rFonts w:ascii="宋体" w:hAnsi="宋体" w:cs="宋体" w:eastAsia="宋体" w:hint="default"/>
          <w:sz w:val="28"/>
          <w:szCs w:val="28"/>
        </w:rPr>
      </w:r>
    </w:p>
    <w:p>
      <w:pPr>
        <w:spacing w:line="460" w:lineRule="auto" w:before="159"/>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、新产品开发风险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随着银行业信息化及科技化进程的推进，银行系统内控风险管理对相关产</w:t>
      </w:r>
      <w:r>
        <w:rPr>
          <w:rFonts w:ascii="宋体" w:hAnsi="宋体" w:cs="宋体" w:eastAsia="宋体" w:hint="default"/>
          <w:spacing w:val="3"/>
          <w:sz w:val="28"/>
          <w:szCs w:val="28"/>
        </w:rPr>
      </w:r>
    </w:p>
    <w:p>
      <w:pPr>
        <w:spacing w:line="408" w:lineRule="auto" w:before="0"/>
        <w:ind w:left="113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品功能需求和技术参数提升等方面的要求不断提高；且不同银行系统由于管理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制度、操作习惯等差异对于产品的具体需求往往存在一定差异，这在一定程度</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pacing w:val="3"/>
          <w:w w:val="95"/>
          <w:sz w:val="28"/>
          <w:szCs w:val="28"/>
        </w:rPr>
        <w:t>上增加了新产品开发难度。银行内控风险管理整体解决方案及相关应用产品涉</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及多学科、多领域的技术应用。如果公司未来不能准确地把握行业技术的发展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趋势或前瞻性地预测客户需求，在产品开发方向的决策上发生失误，或不能及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时将新技术运用于产品开发和升级，将可能使公司丧失技术优势和市场地位。</w:t>
      </w:r>
      <w:r>
        <w:rPr>
          <w:rFonts w:ascii="宋体" w:hAnsi="宋体" w:cs="宋体" w:eastAsia="宋体" w:hint="default"/>
          <w:sz w:val="28"/>
          <w:szCs w:val="28"/>
        </w:rPr>
      </w:r>
    </w:p>
    <w:p>
      <w:pPr>
        <w:spacing w:before="162"/>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、新产品市场开拓风险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133" w:right="113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公司积极关注金融业改革和金融科技发展动向，聚焦需求，积极研究和开</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发适应银行业发展需求的新产品。银行风险管理整体解决方案及相关应用产品</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直接关系到银行业客户的资产安全和系统的可靠性，银行业客户采购时对于新</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产品的应用推广一般需要经过严格的考核；且在正式进入采购环节之前，银行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客户会重新梳理、制定业务流程相关管理办法以及进行员工培训，新产品上线</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的准备周期也较长；此外，各银行客户在采购管理体制方面也存在一定差异，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导致上述推广测试周期和上线准备周期的可预测性难度较高。因此，公司新产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品面临市场开拓推广过程较长、未来产生收益预期不确定性较高的风险。</w:t>
      </w:r>
      <w:r>
        <w:rPr>
          <w:rFonts w:ascii="宋体" w:hAnsi="宋体" w:cs="宋体" w:eastAsia="宋体" w:hint="default"/>
          <w:sz w:val="28"/>
          <w:szCs w:val="28"/>
        </w:rPr>
      </w:r>
    </w:p>
    <w:p>
      <w:pPr>
        <w:spacing w:line="448"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、对银行业依赖的风险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公司主营业务是基于银行现金、票据、印章等内控风险管理整体解决方案</w:t>
      </w:r>
      <w:r>
        <w:rPr>
          <w:rFonts w:ascii="宋体" w:hAnsi="宋体" w:cs="宋体" w:eastAsia="宋体" w:hint="default"/>
          <w:spacing w:val="3"/>
          <w:sz w:val="28"/>
          <w:szCs w:val="28"/>
        </w:rPr>
      </w:r>
    </w:p>
    <w:p>
      <w:pPr>
        <w:spacing w:line="410" w:lineRule="auto" w:before="14"/>
        <w:ind w:left="1133" w:right="1137"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的应用产品研发、生产和销售，市场需求直接受下游银行业变化影响。银行业</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的经营受到国内外宏观经济形势、货币金融政策、监管机关监管要求、产业发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展模式和人们的金融消费习惯等多种因素的影响。</w:t>
      </w:r>
      <w:r>
        <w:rPr>
          <w:rFonts w:ascii="宋体" w:hAnsi="宋体" w:cs="宋体" w:eastAsia="宋体" w:hint="default"/>
          <w:sz w:val="28"/>
          <w:szCs w:val="28"/>
        </w:rPr>
      </w:r>
    </w:p>
    <w:p>
      <w:pPr>
        <w:spacing w:line="408" w:lineRule="auto" w:before="157"/>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银行业客户的稳定和增长对公司经营的稳定性、成长性十分重要。若未来</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上述因素的变化导致银行业经营状况不景气致使其信息化、集约化建设速度放</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缓，或银行业客户的投资和采购方式、风险控制模式、经营情况等发生重大变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化，将会对公司的经营状况和业务发展产生较大影响，因而影响公司的持续盈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利能力。</w:t>
      </w:r>
      <w:r>
        <w:rPr>
          <w:rFonts w:ascii="宋体" w:hAnsi="宋体" w:cs="宋体" w:eastAsia="宋体" w:hint="default"/>
          <w:sz w:val="28"/>
          <w:szCs w:val="28"/>
        </w:rPr>
      </w:r>
    </w:p>
    <w:p>
      <w:pPr>
        <w:spacing w:line="448"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、市场竞争加剧导致毛利率下降的风险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银行内控风险管理领域作为一个发展较快的新兴市场，随着新竞争者的进</w:t>
      </w:r>
      <w:r>
        <w:rPr>
          <w:rFonts w:ascii="宋体" w:hAnsi="宋体" w:cs="宋体" w:eastAsia="宋体" w:hint="default"/>
          <w:spacing w:val="3"/>
          <w:sz w:val="28"/>
          <w:szCs w:val="28"/>
        </w:rPr>
      </w:r>
    </w:p>
    <w:p>
      <w:pPr>
        <w:spacing w:before="14"/>
        <w:ind w:left="1133"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入，公司将面临国内外较强竞争对手的竞争。如果公司不能及时推出新产品和</w:t>
      </w:r>
      <w:r>
        <w:rPr>
          <w:rFonts w:ascii="宋体" w:hAnsi="宋体" w:cs="宋体" w:eastAsia="宋体" w:hint="default"/>
          <w:spacing w:val="3"/>
          <w:sz w:val="28"/>
          <w:szCs w:val="28"/>
        </w:rPr>
      </w:r>
    </w:p>
    <w:p>
      <w:pPr>
        <w:spacing w:after="0"/>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对原有产品进行升级换代以提高市场的进入门槛、不能扩大和维持现有的市场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份额和市场影响力，公司将面临因市场竞争加剧导致毛利率下降的风险。</w:t>
      </w:r>
      <w:r>
        <w:rPr>
          <w:rFonts w:ascii="宋体" w:hAnsi="宋体" w:cs="宋体" w:eastAsia="宋体" w:hint="default"/>
          <w:sz w:val="28"/>
          <w:szCs w:val="28"/>
        </w:rPr>
      </w:r>
    </w:p>
    <w:p>
      <w:pPr>
        <w:spacing w:line="448" w:lineRule="auto" w:before="158"/>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、募集资金投资项目实施风险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公司首次公开发行股票募集资金投资项目主要集中于公司多年来持续专注</w:t>
      </w:r>
      <w:r>
        <w:rPr>
          <w:rFonts w:ascii="宋体" w:hAnsi="宋体" w:cs="宋体" w:eastAsia="宋体" w:hint="default"/>
          <w:spacing w:val="3"/>
          <w:sz w:val="28"/>
          <w:szCs w:val="28"/>
        </w:rPr>
      </w:r>
    </w:p>
    <w:p>
      <w:pPr>
        <w:spacing w:line="408" w:lineRule="auto" w:before="14"/>
        <w:ind w:left="113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的银行内控风险管理领域，符合行业发展趋势，具有广泛而现实的银行客户基</w:t>
      </w:r>
      <w:r>
        <w:rPr>
          <w:rFonts w:ascii="宋体" w:hAnsi="宋体" w:cs="宋体" w:eastAsia="宋体" w:hint="default"/>
          <w:b/>
          <w:bCs/>
          <w:w w:val="99"/>
          <w:sz w:val="28"/>
          <w:szCs w:val="28"/>
        </w:rPr>
        <w:t> </w:t>
      </w:r>
      <w:r>
        <w:rPr>
          <w:rFonts w:ascii="宋体" w:hAnsi="宋体" w:cs="宋体" w:eastAsia="宋体" w:hint="default"/>
          <w:b/>
          <w:bCs/>
          <w:spacing w:val="3"/>
          <w:sz w:val="28"/>
          <w:szCs w:val="28"/>
        </w:rPr>
        <w:t>础，市场潜力较大。但是公司在开拓新市场、推销新产品的过程中依然会面临</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一定的不确定性。如果新产品未来的市场需求低于预期，或新产品的市场推广</w:t>
      </w:r>
      <w:r>
        <w:rPr>
          <w:rFonts w:ascii="宋体" w:hAnsi="宋体" w:cs="宋体" w:eastAsia="宋体" w:hint="default"/>
          <w:b/>
          <w:bCs/>
          <w:w w:val="99"/>
          <w:sz w:val="28"/>
          <w:szCs w:val="28"/>
        </w:rPr>
        <w:t> </w:t>
      </w:r>
      <w:r>
        <w:rPr>
          <w:rFonts w:ascii="宋体" w:hAnsi="宋体" w:cs="宋体" w:eastAsia="宋体" w:hint="default"/>
          <w:b/>
          <w:bCs/>
          <w:spacing w:val="3"/>
          <w:sz w:val="28"/>
          <w:szCs w:val="28"/>
        </w:rPr>
        <w:t>进展与公司预测产生偏差，将会导致募集资金投资项目投产后不能达到预期效</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益的风险。如果本次募集资金投资项目无法实现预期收益，公司则存在因折旧、</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z w:val="28"/>
          <w:szCs w:val="28"/>
        </w:rPr>
        <w:t>摊销和研发支出大幅增加而导致经营业绩下滑的风险。</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85160000</w:t>
      </w:r>
      <w:r>
        <w:rPr>
          <w:rFonts w:ascii="Times New Roman" w:hAnsi="Times New Roman" w:cs="Times New Roman" w:eastAsia="Times New Roman" w:hint="default"/>
          <w:b/>
          <w:bCs/>
          <w:spacing w:val="-27"/>
          <w:sz w:val="28"/>
          <w:szCs w:val="28"/>
        </w:rPr>
        <w:t> </w:t>
      </w:r>
      <w:r>
        <w:rPr>
          <w:rFonts w:ascii="宋体" w:hAnsi="宋体" w:cs="宋体" w:eastAsia="宋体" w:hint="default"/>
          <w:b/>
          <w:bCs/>
          <w:spacing w:val="-5"/>
          <w:sz w:val="28"/>
          <w:szCs w:val="28"/>
        </w:rPr>
        <w:t>为基数，向全</w:t>
      </w:r>
      <w:r>
        <w:rPr>
          <w:rFonts w:ascii="宋体" w:hAnsi="宋体" w:cs="宋体" w:eastAsia="宋体" w:hint="default"/>
          <w:spacing w:val="-5"/>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3.60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以资本公积</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764" w:right="37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764" w:right="37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公司、本公司、汇金科技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瑞信投资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证券交易所、深交所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_TOC_250010" w:id="3"/>
      <w:bookmarkStart w:name="第二节 公司简介和主要财务指标" w:id="4"/>
      <w:r>
        <w:rPr>
          <w:b w:val="0"/>
          <w:bCs w:val="0"/>
        </w:rPr>
      </w:r>
      <w:r>
        <w:rPr/>
        <w:t>第二节</w:t>
      </w:r>
      <w:r>
        <w:rPr>
          <w:spacing w:val="-8"/>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18595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300561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汇金科技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SGSG Science&amp;Technology Co., Ltd.</w:t>
            </w:r>
            <w:r>
              <w:rPr>
                <w:rFonts w:ascii="Times New Roman"/>
                <w:spacing w:val="-24"/>
                <w:sz w:val="18"/>
              </w:rPr>
              <w:t> </w:t>
            </w:r>
            <w:r>
              <w:rPr>
                <w:rFonts w:ascii="Times New Roman"/>
                <w:sz w:val="18"/>
              </w:rPr>
              <w:t>Zhuhai</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SGSG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陈喆</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http://www.sgsg.cc</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investor@sgsg.cc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何燕</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0756-3236673-667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investor@sgsg.cc</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investor@sgsg.cc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王莹、邵桂荣</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国都证券股份有限公司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北京市东城区东直门南大街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号国华投资大厦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花宇、许达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218,054,407.37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170,234,699.84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79,724,732.27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78,861,491.66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70,973,005.93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58,188,602.63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75,300,322.89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63,606,145.33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9,026,680.57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63,445,974.14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43,637,605.84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767,616,590.74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693,855,346.09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312,940,680.87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681,438,555.87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620,513,923.60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236,912,102.24</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48,538,083.21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47,604,261.17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39,100,964.69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106,775,360.42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20,047,098.87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17,628,856.44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6,524,989.83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35,523,787.13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16,454,337.49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11,515,016.09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2,723,941.08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27,495,307.97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-21,367,875.25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-15,717,083.25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-7,171,920.75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53,283,559.82</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5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248,980.94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5,641,500.00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689,298.30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4,211,500.00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-7,022.81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305,099.52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67,878.21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18,947,962.86</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3,195,224.41</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4,141,158.05</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理财收益及企业所得 税退回</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3,022,966.93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628,453.46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1,302,656.60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21,536,129.64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3,561,168.77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7,366,860.60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left="1424" w:right="0" w:hanging="291"/>
        <w:jc w:val="left"/>
      </w:pPr>
      <w:r>
        <w:rPr/>
        <w:t>（一）公司主要业务情况 </w:t>
      </w:r>
      <w:r>
        <w:rPr>
          <w:spacing w:val="-1"/>
        </w:rPr>
        <w:t>公司是从事软件开发和系统集成信息技术服务的专业型企业，面向金融机构、政府部门、企事业单位提供一体化解决方</w:t>
      </w:r>
    </w:p>
    <w:p>
      <w:pPr>
        <w:pStyle w:val="BodyText"/>
        <w:spacing w:line="240" w:lineRule="auto" w:before="19"/>
        <w:ind w:left="1134" w:right="0"/>
        <w:jc w:val="left"/>
      </w:pPr>
      <w:r>
        <w:rPr/>
        <w:t>案。</w:t>
      </w:r>
    </w:p>
    <w:p>
      <w:pPr>
        <w:pStyle w:val="BodyText"/>
        <w:spacing w:line="316" w:lineRule="auto" w:before="76"/>
        <w:ind w:left="1134" w:right="1122" w:firstLine="290"/>
        <w:jc w:val="both"/>
      </w:pPr>
      <w:r>
        <w:rPr/>
        <w:t>公司主营业务为运用物联网、人工智能等技术为金融行业提供风险控制解决方案，并不断拓展在金融领域的应用场景。 </w:t>
      </w:r>
      <w:r>
        <w:rPr>
          <w:spacing w:val="-2"/>
        </w:rPr>
        <w:t>公司不断运用物联网等技术为银行业务运营、网点建设提供专业服务，以及基于现金票据、贵金属、印章管理等风险管理整</w:t>
      </w:r>
      <w:r>
        <w:rPr>
          <w:spacing w:val="-66"/>
        </w:rPr>
        <w:t> </w:t>
      </w:r>
      <w:r>
        <w:rPr>
          <w:spacing w:val="-66"/>
        </w:rPr>
      </w:r>
      <w:r>
        <w:rPr/>
        <w:t>体解决方案的相关应用产品研发、生产和销售，具有较强的自主研发和创新能力。</w:t>
      </w:r>
    </w:p>
    <w:p>
      <w:pPr>
        <w:pStyle w:val="BodyText"/>
        <w:spacing w:line="309" w:lineRule="auto" w:before="19"/>
        <w:ind w:right="1033" w:firstLine="290"/>
        <w:jc w:val="left"/>
      </w:pPr>
      <w:r>
        <w:rPr>
          <w:spacing w:val="-3"/>
        </w:rPr>
        <w:t>报告期内，公司主要产品为银行自助设备加配钞管理系统、银行实体</w:t>
      </w:r>
      <w:r>
        <w:rPr>
          <w:rFonts w:ascii="Times New Roman" w:hAnsi="Times New Roman" w:cs="Times New Roman" w:eastAsia="Times New Roman" w:hint="default"/>
          <w:spacing w:val="-3"/>
        </w:rPr>
        <w:t>/</w:t>
      </w:r>
      <w:r>
        <w:rPr>
          <w:spacing w:val="-3"/>
        </w:rPr>
        <w:t>电子印章管理系统、智慧银行（网点）解决方案等，</w:t>
      </w:r>
      <w:r>
        <w:rPr/>
        <w:t> </w:t>
      </w:r>
      <w:r>
        <w:rPr>
          <w:spacing w:val="-2"/>
        </w:rPr>
        <w:t>适应了银行业客户关于推进信息化、集约化建设和加强安全的需求。公司形成了涵盖方案设计、软件开发、系统集成、安装</w:t>
      </w:r>
      <w:r>
        <w:rPr>
          <w:spacing w:val="-66"/>
        </w:rPr>
        <w:t> </w:t>
      </w:r>
      <w:r>
        <w:rPr>
          <w:spacing w:val="-66"/>
        </w:rPr>
      </w:r>
      <w:r>
        <w:rPr/>
        <w:t>调试、技术支持、培训及后续服务在内的一体化服务模式，是国内金融行业内控风险管理整体解决方案的主要供应商之一。</w:t>
      </w:r>
    </w:p>
    <w:p>
      <w:pPr>
        <w:pStyle w:val="BodyText"/>
        <w:spacing w:line="240" w:lineRule="auto" w:before="24"/>
        <w:ind w:left="1424" w:right="0"/>
        <w:jc w:val="left"/>
      </w:pPr>
      <w:r>
        <w:rPr/>
        <w:t>报告期内，公司主要业务不存在重大变化。</w:t>
      </w:r>
    </w:p>
    <w:p>
      <w:pPr>
        <w:pStyle w:val="BodyText"/>
        <w:spacing w:line="240" w:lineRule="auto" w:before="76"/>
        <w:ind w:left="1134" w:right="0"/>
        <w:jc w:val="left"/>
      </w:pPr>
      <w:r>
        <w:rPr/>
        <w:t>（二）公司主要经营模式</w:t>
      </w:r>
    </w:p>
    <w:p>
      <w:pPr>
        <w:pStyle w:val="BodyText"/>
        <w:spacing w:line="300" w:lineRule="auto" w:before="76"/>
        <w:ind w:left="1424" w:right="1118" w:hanging="1"/>
        <w:jc w:val="left"/>
      </w:pPr>
      <w:r>
        <w:rPr>
          <w:rFonts w:ascii="Times New Roman" w:hAnsi="Times New Roman" w:cs="Times New Roman" w:eastAsia="Times New Roman" w:hint="default"/>
        </w:rPr>
        <w:t>1</w:t>
      </w:r>
      <w:r>
        <w:rPr/>
        <w:t>、开发模式 </w:t>
      </w:r>
      <w:r>
        <w:rPr>
          <w:spacing w:val="-1"/>
        </w:rPr>
        <w:t>公司拥有一支熟悉银行运营具体业务流程，同时又具备软件开发以及硬件设计等多种专业技术的研发队伍。公司坚持以</w:t>
      </w:r>
    </w:p>
    <w:p>
      <w:pPr>
        <w:pStyle w:val="BodyText"/>
        <w:spacing w:line="316" w:lineRule="auto" w:before="32"/>
        <w:ind w:left="1134" w:right="0"/>
        <w:jc w:val="left"/>
      </w:pPr>
      <w:r>
        <w:rPr>
          <w:spacing w:val="-2"/>
        </w:rPr>
        <w:t>客户需求为导向，通过了解、分析涉及具体业务操作的全部流程和控制节点，进而设计、研发适用的风险管理解决方案。报</w:t>
      </w:r>
      <w:r>
        <w:rPr>
          <w:spacing w:val="-66"/>
        </w:rPr>
        <w:t> </w:t>
      </w:r>
      <w:r>
        <w:rPr>
          <w:spacing w:val="-66"/>
        </w:rPr>
      </w:r>
      <w:r>
        <w:rPr/>
        <w:t>告期内，公司银行内控风险管理整体解决方案及相关应用产品均为自主开发。</w:t>
      </w:r>
    </w:p>
    <w:p>
      <w:pPr>
        <w:pStyle w:val="BodyText"/>
        <w:spacing w:line="300" w:lineRule="auto" w:before="19"/>
        <w:ind w:left="1424" w:right="1118" w:hanging="1"/>
        <w:jc w:val="left"/>
      </w:pPr>
      <w:r>
        <w:rPr>
          <w:rFonts w:ascii="Times New Roman" w:hAnsi="Times New Roman" w:cs="Times New Roman" w:eastAsia="Times New Roman" w:hint="default"/>
        </w:rPr>
        <w:t>2</w:t>
      </w:r>
      <w:r>
        <w:rPr/>
        <w:t>、采购模式 </w:t>
      </w:r>
      <w:r>
        <w:rPr>
          <w:spacing w:val="-1"/>
        </w:rPr>
        <w:t>公司以市场需求为导向进行销售订单预测，基于订单预测并结合安全库存和批量订购的经济性等确定采购计划的采购模</w:t>
      </w:r>
    </w:p>
    <w:p>
      <w:pPr>
        <w:pStyle w:val="BodyText"/>
        <w:spacing w:line="240" w:lineRule="auto" w:before="31"/>
        <w:ind w:left="1134" w:right="0"/>
        <w:jc w:val="left"/>
      </w:pPr>
      <w:r>
        <w:rPr/>
        <w:t>式。</w:t>
      </w:r>
    </w:p>
    <w:p>
      <w:pPr>
        <w:pStyle w:val="BodyText"/>
        <w:spacing w:line="300" w:lineRule="auto" w:before="76"/>
        <w:ind w:left="1424" w:right="1118" w:hanging="1"/>
        <w:jc w:val="left"/>
      </w:pPr>
      <w:r>
        <w:rPr>
          <w:rFonts w:ascii="Times New Roman" w:hAnsi="Times New Roman" w:cs="Times New Roman" w:eastAsia="Times New Roman" w:hint="default"/>
        </w:rPr>
        <w:t>3</w:t>
      </w:r>
      <w:r>
        <w:rPr/>
        <w:t>、销售模式 </w:t>
      </w:r>
      <w:r>
        <w:rPr>
          <w:spacing w:val="-1"/>
        </w:rPr>
        <w:t>报告期内，公司基于银行风险管理整体解决方案的相关应用系统销售模式主要为直销。公司在银行内控风险管理相关解</w:t>
      </w:r>
    </w:p>
    <w:p>
      <w:pPr>
        <w:pStyle w:val="BodyText"/>
        <w:spacing w:line="316" w:lineRule="auto" w:before="31"/>
        <w:ind w:left="1134" w:right="1118"/>
        <w:jc w:val="left"/>
      </w:pPr>
      <w:r>
        <w:rPr>
          <w:spacing w:val="-2"/>
        </w:rPr>
        <w:t>决方案为银行客户采用的前提下，根据其业务流程、内控风险特点以及信息化建设现状等向提供全套应用系统或部分系统组</w:t>
      </w:r>
      <w:r>
        <w:rPr>
          <w:spacing w:val="-64"/>
        </w:rPr>
        <w:t> </w:t>
      </w:r>
      <w:r>
        <w:rPr>
          <w:spacing w:val="-64"/>
        </w:rPr>
      </w:r>
      <w:r>
        <w:rPr/>
        <w:t>件。</w:t>
      </w:r>
    </w:p>
    <w:p>
      <w:pPr>
        <w:pStyle w:val="BodyText"/>
        <w:spacing w:line="240" w:lineRule="auto" w:before="19"/>
        <w:ind w:left="1424" w:right="0"/>
        <w:jc w:val="left"/>
      </w:pPr>
      <w:r>
        <w:rPr/>
        <w:t>报告期内，公司经营情况保持稳定，主要业务模式未发生重大变化</w:t>
      </w:r>
    </w:p>
    <w:p>
      <w:pPr>
        <w:pStyle w:val="BodyText"/>
        <w:spacing w:line="316" w:lineRule="auto" w:before="76"/>
        <w:ind w:left="1424" w:right="0" w:hanging="291"/>
        <w:jc w:val="left"/>
      </w:pPr>
      <w:r>
        <w:rPr/>
        <w:t>（三）公司所处行业分析 </w:t>
      </w:r>
      <w:r>
        <w:rPr>
          <w:spacing w:val="-1"/>
        </w:rPr>
        <w:t>随着国家相关监管机构对银行操作风险管理要求的提高以及银行推进信息化、集约化建设需求的出现，银行业对风险管</w:t>
      </w:r>
    </w:p>
    <w:p>
      <w:pPr>
        <w:pStyle w:val="BodyText"/>
        <w:spacing w:line="316" w:lineRule="auto" w:before="19"/>
        <w:ind w:right="1131"/>
        <w:jc w:val="both"/>
      </w:pPr>
      <w:r>
        <w:rPr>
          <w:spacing w:val="-2"/>
        </w:rPr>
        <w:t>理高度重视并持续加大投入，风险管理效率成为银行竞争力的核心之一。现阶段，在金融去杠杆、加强监管以及中美贸易摩</w:t>
      </w:r>
      <w:r>
        <w:rPr>
          <w:spacing w:val="-66"/>
        </w:rPr>
        <w:t> </w:t>
      </w:r>
      <w:r>
        <w:rPr>
          <w:spacing w:val="-66"/>
        </w:rPr>
      </w:r>
      <w:r>
        <w:rPr>
          <w:spacing w:val="-2"/>
        </w:rPr>
        <w:t>擦的背景下，银行业对风险管理高度重视并持续加大科技投入，运用物联网、人工智能等先进技术助力金融（包括但不限于</w:t>
      </w:r>
      <w:r>
        <w:rPr>
          <w:spacing w:val="-66"/>
        </w:rPr>
        <w:t> </w:t>
      </w:r>
      <w:r>
        <w:rPr>
          <w:spacing w:val="-66"/>
        </w:rPr>
      </w:r>
      <w:r>
        <w:rPr>
          <w:spacing w:val="-2"/>
        </w:rPr>
        <w:t>提高风险管理能力、整合业务流程、提升业务效率、改变业务模式、线下网点改造等）逐步成为趋势，因此，金融科技在金</w:t>
      </w:r>
      <w:r>
        <w:rPr>
          <w:spacing w:val="-72"/>
        </w:rPr>
        <w:t> </w:t>
      </w:r>
      <w:r>
        <w:rPr>
          <w:spacing w:val="-72"/>
        </w:rPr>
      </w:r>
      <w:r>
        <w:rPr/>
        <w:t>融行业的不断深化应用具有较大的市场空间和发展潜力。</w:t>
      </w:r>
    </w:p>
    <w:p>
      <w:pPr>
        <w:pStyle w:val="BodyText"/>
        <w:spacing w:line="319" w:lineRule="auto" w:before="19"/>
        <w:ind w:right="1132" w:firstLine="290"/>
        <w:jc w:val="both"/>
      </w:pPr>
      <w:r>
        <w:rPr>
          <w:spacing w:val="-1"/>
        </w:rPr>
        <w:t>公司率先提出了将银行具体业务流程改进与软硬件相结合的整体解决方案设计思路，并创新推出相关应用系统产品。公</w:t>
      </w:r>
      <w:r>
        <w:rPr/>
        <w:t> </w:t>
      </w:r>
      <w:r>
        <w:rPr>
          <w:spacing w:val="-2"/>
        </w:rPr>
        <w:t>司作为国家高新技术企业、国家软件企业、国家商用密码产品开发及生产定点单位，切实为金融行业防范风险、信息化、物</w:t>
      </w:r>
      <w:r>
        <w:rPr>
          <w:spacing w:val="-67"/>
        </w:rPr>
        <w:t> </w:t>
      </w:r>
      <w:r>
        <w:rPr>
          <w:spacing w:val="-67"/>
        </w:rPr>
      </w:r>
      <w:r>
        <w:rPr/>
        <w:t>联网化提供安全、便捷的产品和服务。</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38.26%</w:t>
            </w:r>
            <w:r>
              <w:rPr>
                <w:rFonts w:ascii="宋体" w:hAnsi="宋体" w:cs="宋体" w:eastAsia="宋体" w:hint="default"/>
                <w:sz w:val="18"/>
                <w:szCs w:val="18"/>
              </w:rPr>
              <w:t>，系募集资金投资项目相关基建工程。</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271.01%</w:t>
            </w:r>
            <w:r>
              <w:rPr>
                <w:rFonts w:ascii="宋体" w:hAnsi="宋体" w:cs="宋体" w:eastAsia="宋体" w:hint="default"/>
                <w:sz w:val="18"/>
                <w:szCs w:val="18"/>
              </w:rPr>
              <w:t>，系期末理财产品到期收回。</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87.90%</w:t>
            </w:r>
            <w:r>
              <w:rPr>
                <w:rFonts w:ascii="宋体" w:hAnsi="宋体" w:cs="宋体" w:eastAsia="宋体" w:hint="default"/>
                <w:sz w:val="18"/>
                <w:szCs w:val="18"/>
              </w:rPr>
              <w:t>，系期末理财产品到期收回。</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135.92%</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系营业收入增长相应的应收账款增加，以及公司所</w:t>
            </w:r>
            <w:r>
              <w:rPr>
                <w:rFonts w:ascii="宋体" w:hAnsi="宋体" w:cs="宋体" w:eastAsia="宋体" w:hint="default"/>
                <w:sz w:val="18"/>
                <w:szCs w:val="18"/>
              </w:rPr>
              <w:t> 属行业具有季节性特征，今年收入主要集中在下半年，部分货款尚未及时回笼。</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46.49%</w:t>
            </w:r>
            <w:r>
              <w:rPr>
                <w:rFonts w:ascii="宋体" w:hAnsi="宋体" w:cs="宋体" w:eastAsia="宋体" w:hint="default"/>
                <w:sz w:val="18"/>
                <w:szCs w:val="18"/>
              </w:rPr>
              <w:t>，系长期待摊费用摊销。</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62.41%</w:t>
            </w:r>
            <w:r>
              <w:rPr>
                <w:rFonts w:ascii="宋体" w:hAnsi="宋体" w:cs="宋体" w:eastAsia="宋体" w:hint="default"/>
                <w:spacing w:val="-3"/>
                <w:sz w:val="18"/>
                <w:szCs w:val="18"/>
              </w:rPr>
              <w:t>，系资产减值准备和预计负债增加使可抵扣暂时性差异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，系应收票据到期兑现。</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34.35%</w:t>
            </w:r>
            <w:r>
              <w:rPr>
                <w:rFonts w:ascii="宋体" w:hAnsi="宋体" w:cs="宋体" w:eastAsia="宋体" w:hint="default"/>
                <w:sz w:val="18"/>
                <w:szCs w:val="18"/>
              </w:rPr>
              <w:t>，系尚未到期的理财产品利息增加。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85.78%</w:t>
            </w:r>
            <w:r>
              <w:rPr>
                <w:rFonts w:ascii="宋体" w:hAnsi="宋体" w:cs="宋体" w:eastAsia="宋体" w:hint="default"/>
                <w:sz w:val="18"/>
                <w:szCs w:val="18"/>
              </w:rPr>
              <w:t>，系备用金、保证金等款项增加。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0" w:lineRule="auto" w:before="25"/>
        <w:ind w:left="1424" w:right="0" w:hanging="291"/>
        <w:jc w:val="left"/>
      </w:pPr>
      <w:r>
        <w:rPr>
          <w:rFonts w:ascii="Times New Roman" w:hAnsi="Times New Roman" w:cs="Times New Roman" w:eastAsia="Times New Roman" w:hint="default"/>
        </w:rPr>
        <w:t>1</w:t>
      </w:r>
      <w:r>
        <w:rPr/>
        <w:t>、前瞻开发贴合银行业务流程的内控风险管理解决方案，引导客户需求和行业主要产品发展方向 </w:t>
      </w:r>
      <w:r>
        <w:rPr>
          <w:spacing w:val="-1"/>
        </w:rPr>
        <w:t>公司凭借自身对银行运营板块管理制度、业务流程的深刻认识，以及对主要风险点的认知、理解，先后开发出银行自助</w:t>
      </w:r>
    </w:p>
    <w:p>
      <w:pPr>
        <w:pStyle w:val="BodyText"/>
        <w:spacing w:line="316" w:lineRule="auto" w:before="31"/>
        <w:ind w:right="1033"/>
        <w:jc w:val="left"/>
      </w:pPr>
      <w:r>
        <w:rPr>
          <w:spacing w:val="-2"/>
        </w:rPr>
        <w:t>设备现金管理系统以及银行印章管理系统等，在帮助银行对相关业务流程进行优化完善的基础上，以具体的技术手段实现了</w:t>
      </w:r>
      <w:r>
        <w:rPr>
          <w:spacing w:val="-64"/>
        </w:rPr>
        <w:t> </w:t>
      </w:r>
      <w:r>
        <w:rPr>
          <w:spacing w:val="-64"/>
        </w:rPr>
      </w:r>
      <w:r>
        <w:rPr>
          <w:spacing w:val="-2"/>
        </w:rPr>
        <w:t>对相关内控操作风险的有效控制。公司上述产品均为国内首创，并逐步拓展了银行内控风险管理市场，凭借着产品、服务的</w:t>
      </w:r>
      <w:r>
        <w:rPr>
          <w:spacing w:val="-66"/>
        </w:rPr>
        <w:t> </w:t>
      </w:r>
      <w:r>
        <w:rPr>
          <w:spacing w:val="-66"/>
        </w:rPr>
      </w:r>
      <w:r>
        <w:rPr/>
        <w:t>前瞻性、适用性引导着银行内控风险管理主要产品的发展方向。同时，公司积极关注金融业改革和金融科技最新发展动向， 聚焦需求，积极研究和开发适应金融发展需求的新产品。</w:t>
      </w:r>
    </w:p>
    <w:p>
      <w:pPr>
        <w:pStyle w:val="BodyText"/>
        <w:spacing w:line="300" w:lineRule="auto" w:before="19"/>
        <w:ind w:left="1424" w:right="0" w:hanging="291"/>
        <w:jc w:val="left"/>
      </w:pPr>
      <w:r>
        <w:rPr>
          <w:rFonts w:ascii="Times New Roman" w:hAnsi="Times New Roman" w:cs="Times New Roman" w:eastAsia="Times New Roman" w:hint="default"/>
        </w:rPr>
        <w:t>2</w:t>
      </w:r>
      <w:r>
        <w:rPr/>
        <w:t>、坚持自主创新，持续推进技术创新 </w:t>
      </w:r>
      <w:r>
        <w:rPr>
          <w:spacing w:val="-1"/>
        </w:rPr>
        <w:t>银行业内控风险管理整体解决方案开发以及应用系统相关软硬件产品设计，涉及物联网、计算机、通信、密码以及结构</w:t>
      </w:r>
    </w:p>
    <w:p>
      <w:pPr>
        <w:pStyle w:val="BodyText"/>
        <w:spacing w:line="316" w:lineRule="auto" w:before="31"/>
        <w:ind w:left="1134" w:right="1129"/>
        <w:jc w:val="both"/>
      </w:pPr>
      <w:r>
        <w:rPr>
          <w:spacing w:val="-2"/>
        </w:rPr>
        <w:t>设计等多领域的技术。公司以自主研发为主，根据银行业务特点和管理要求，致力于产品性能的持续改进和新产品技术的研</w:t>
      </w:r>
      <w:r>
        <w:rPr>
          <w:spacing w:val="-66"/>
        </w:rPr>
        <w:t> </w:t>
      </w:r>
      <w:r>
        <w:rPr>
          <w:spacing w:val="-66"/>
        </w:rPr>
      </w:r>
      <w:r>
        <w:rPr>
          <w:spacing w:val="-2"/>
        </w:rPr>
        <w:t>发，通过优化结构设计和射频识别、动态密码、无线通信等技术应用，帮助银行实现内控风险管理的可识别性、安全性、可</w:t>
      </w:r>
      <w:r>
        <w:rPr>
          <w:spacing w:val="-66"/>
        </w:rPr>
        <w:t> </w:t>
      </w:r>
      <w:r>
        <w:rPr>
          <w:spacing w:val="-66"/>
        </w:rPr>
      </w:r>
      <w:r>
        <w:rPr/>
        <w:t>控性、及时性。</w:t>
      </w:r>
    </w:p>
    <w:p>
      <w:pPr>
        <w:pStyle w:val="BodyText"/>
        <w:spacing w:line="240" w:lineRule="auto" w:before="19"/>
        <w:ind w:left="149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日，公司已经取得证书的专利情况如下表所示：</w:t>
      </w:r>
    </w:p>
    <w:p>
      <w:pPr>
        <w:spacing w:line="240" w:lineRule="auto" w:before="13"/>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612"/>
        <w:gridCol w:w="1826"/>
        <w:gridCol w:w="991"/>
        <w:gridCol w:w="3501"/>
        <w:gridCol w:w="1844"/>
        <w:gridCol w:w="833"/>
      </w:tblGrid>
      <w:tr>
        <w:trPr>
          <w:trHeight w:val="438"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授予专利号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授予名称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专利权期限</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ZL201010560931.9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一种电子射频锁及其钥匙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2010/11/21-2030/11/20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12"/>
        <w:gridCol w:w="1826"/>
        <w:gridCol w:w="991"/>
        <w:gridCol w:w="3501"/>
        <w:gridCol w:w="1844"/>
        <w:gridCol w:w="833"/>
      </w:tblGrid>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ZL201110280540.6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一种无线动态密码锁及其控制方法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2011/09/08-2031/09/07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ZL201210176146.2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一种带远程监控的密码锁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2012/05/31-2032/05/30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ZL201310310872.3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印章管理机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2013/07/23-2033/07/22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ZL201310353888.2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密码锁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2013/08/14-2033/08/13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ZL201210440401.X</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一种开锁装置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2012/11/07-2032/11/06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ZL201310342110.1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动静态密码锁的控制方法及控制装置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2013/08/07-2033/08/06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ZL201410555385.8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一种印章机系统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2014/10/17-2034/10/16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ZL201410552672.3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一种印章机系统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2014/10/17-2034/10/16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ZL201410627948.X</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电子锁及应用其的印章模块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2014/11/10-2034/11/09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ZL201210440621.2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一种防盗款箱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2012/11/07-2032/11/06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ZL201410186493.2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印章设备和具有该印章设备的印章机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2014/5/5-2034/5/4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ZL201410631947.2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一种电子锁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2014/11/10-2034/11/9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ZL200820007273.9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封闭钥匙孔的信息数据插片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2008/03/12-2018/03/11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ZL200820008752.2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3"/>
              <w:jc w:val="left"/>
              <w:rPr>
                <w:rFonts w:ascii="宋体" w:hAnsi="宋体" w:cs="宋体" w:eastAsia="宋体" w:hint="default"/>
                <w:sz w:val="18"/>
                <w:szCs w:val="18"/>
              </w:rPr>
            </w:pPr>
            <w:r>
              <w:rPr>
                <w:rFonts w:ascii="宋体" w:hAnsi="宋体" w:cs="宋体" w:eastAsia="宋体" w:hint="default"/>
                <w:sz w:val="18"/>
                <w:szCs w:val="18"/>
              </w:rPr>
              <w:t>可以封闭钥匙孔的箱柜、抽屉锁具或锁具插 座以及配套插片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2008/03/24-2018/03/23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ZL200820009064.8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3"/>
              <w:jc w:val="left"/>
              <w:rPr>
                <w:rFonts w:ascii="宋体" w:hAnsi="宋体" w:cs="宋体" w:eastAsia="宋体" w:hint="default"/>
                <w:sz w:val="18"/>
                <w:szCs w:val="18"/>
              </w:rPr>
            </w:pPr>
            <w:r>
              <w:rPr>
                <w:rFonts w:ascii="宋体" w:hAnsi="宋体" w:cs="宋体" w:eastAsia="宋体" w:hint="default"/>
                <w:sz w:val="18"/>
                <w:szCs w:val="18"/>
              </w:rPr>
              <w:t>锁体开槽封闭钥匙孔挂锁及封闭钥匙孔的信 息数据插片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2008/04/07-2018/04/06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ZL200820009059.7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3"/>
              <w:jc w:val="left"/>
              <w:rPr>
                <w:rFonts w:ascii="宋体" w:hAnsi="宋体" w:cs="宋体" w:eastAsia="宋体" w:hint="default"/>
                <w:sz w:val="18"/>
                <w:szCs w:val="18"/>
              </w:rPr>
            </w:pPr>
            <w:r>
              <w:rPr>
                <w:rFonts w:ascii="宋体" w:hAnsi="宋体" w:cs="宋体" w:eastAsia="宋体" w:hint="default"/>
                <w:sz w:val="18"/>
                <w:szCs w:val="18"/>
              </w:rPr>
              <w:t>可以封闭钥匙孔的挂锁或挂锁插座及配套使 用的插片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2008/04/07-2018/04/06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ZL200820130503.0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3"/>
              <w:jc w:val="left"/>
              <w:rPr>
                <w:rFonts w:ascii="Times New Roman" w:hAnsi="Times New Roman" w:cs="Times New Roman" w:eastAsia="Times New Roman" w:hint="default"/>
                <w:sz w:val="12"/>
                <w:szCs w:val="12"/>
              </w:rPr>
            </w:pPr>
            <w:r>
              <w:rPr>
                <w:rFonts w:ascii="宋体" w:hAnsi="宋体" w:cs="宋体" w:eastAsia="宋体" w:hint="default"/>
                <w:sz w:val="18"/>
                <w:szCs w:val="18"/>
              </w:rPr>
              <w:t>封闭自动存取款机加钞箱钥匙孔并可记录信 息的卡片</w:t>
            </w:r>
            <w:r>
              <w:rPr>
                <w:rFonts w:ascii="宋体" w:hAnsi="宋体" w:cs="宋体" w:eastAsia="宋体" w:hint="default"/>
                <w:position w:val="9"/>
                <w:sz w:val="9"/>
                <w:szCs w:val="9"/>
              </w:rPr>
              <w:t>注</w:t>
            </w:r>
            <w:r>
              <w:rPr>
                <w:rFonts w:ascii="Times New Roman" w:hAnsi="Times New Roman" w:cs="Times New Roman" w:eastAsia="Times New Roman" w:hint="default"/>
                <w:position w:val="8"/>
                <w:sz w:val="12"/>
                <w:szCs w:val="12"/>
              </w:rPr>
              <w:t>1</w:t>
            </w:r>
            <w:r>
              <w:rPr>
                <w:rFonts w:ascii="Times New Roman" w:hAnsi="Times New Roman" w:cs="Times New Roman" w:eastAsia="Times New Roman" w:hint="default"/>
                <w:sz w:val="12"/>
                <w:szCs w:val="1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2008/06/25-2018/06/24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ZL200820115747.1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3"/>
              <w:jc w:val="left"/>
              <w:rPr>
                <w:rFonts w:ascii="宋体" w:hAnsi="宋体" w:cs="宋体" w:eastAsia="宋体" w:hint="default"/>
                <w:sz w:val="18"/>
                <w:szCs w:val="18"/>
              </w:rPr>
            </w:pPr>
            <w:r>
              <w:rPr>
                <w:rFonts w:ascii="宋体" w:hAnsi="宋体" w:cs="宋体" w:eastAsia="宋体" w:hint="default"/>
                <w:sz w:val="18"/>
                <w:szCs w:val="18"/>
              </w:rPr>
              <w:t>锁定箱包拉链牌的插座及配套使用可记录信 息的卡片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2008/06/25-2018/06/24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ZL200820210342.6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2"/>
              <w:jc w:val="left"/>
              <w:rPr>
                <w:rFonts w:ascii="Times New Roman" w:hAnsi="Times New Roman" w:cs="Times New Roman" w:eastAsia="Times New Roman" w:hint="default"/>
                <w:sz w:val="12"/>
                <w:szCs w:val="12"/>
              </w:rPr>
            </w:pPr>
            <w:r>
              <w:rPr>
                <w:rFonts w:ascii="宋体" w:hAnsi="宋体" w:cs="宋体" w:eastAsia="宋体" w:hint="default"/>
                <w:sz w:val="18"/>
                <w:szCs w:val="18"/>
              </w:rPr>
              <w:t>可以锁定拉链牌的银行自助设备钞箱集装包 及配套使用的插座和卡片</w:t>
            </w:r>
            <w:r>
              <w:rPr>
                <w:rFonts w:ascii="宋体" w:hAnsi="宋体" w:cs="宋体" w:eastAsia="宋体" w:hint="default"/>
                <w:position w:val="9"/>
                <w:sz w:val="9"/>
                <w:szCs w:val="9"/>
              </w:rPr>
              <w:t>注</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2008/09/28-2018/09/27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ZL200820182317.1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一种无匙挂锁及配套可以记录信息的卡片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2008/12/02-2018/12/01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ZL200820129711.9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一种无匙固定锁及配套可以记录信息的卡片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2008/12/18-2018/12/17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ZL200920007701.2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一次性签封锁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2009/02/19-2019/02/18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ZL200920218821.7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3"/>
              <w:jc w:val="left"/>
              <w:rPr>
                <w:rFonts w:ascii="宋体" w:hAnsi="宋体" w:cs="宋体" w:eastAsia="宋体" w:hint="default"/>
                <w:sz w:val="18"/>
                <w:szCs w:val="18"/>
              </w:rPr>
            </w:pPr>
            <w:r>
              <w:rPr>
                <w:rFonts w:ascii="宋体" w:hAnsi="宋体" w:cs="宋体" w:eastAsia="宋体" w:hint="default"/>
                <w:sz w:val="18"/>
                <w:szCs w:val="18"/>
              </w:rPr>
              <w:t>可以锁定拉链牌的资料袋及配套使用的卡片 插座和卡片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2009/09/27-2019/09/26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ZL200920273337.4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电子射频卡封挂锁及用于封闭钥匙孔的卡片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2009/11/23-2019/11/22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ZL201020003762.4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3"/>
              <w:jc w:val="left"/>
              <w:rPr>
                <w:rFonts w:ascii="宋体" w:hAnsi="宋体" w:cs="宋体" w:eastAsia="宋体" w:hint="default"/>
                <w:sz w:val="18"/>
                <w:szCs w:val="18"/>
              </w:rPr>
            </w:pPr>
            <w:r>
              <w:rPr>
                <w:rFonts w:ascii="宋体" w:hAnsi="宋体" w:cs="宋体" w:eastAsia="宋体" w:hint="default"/>
                <w:sz w:val="18"/>
                <w:szCs w:val="18"/>
              </w:rPr>
              <w:t>一种专用无匙固定锁及配套可以记录信息的 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2010/01/07-2020/01/06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ZL201020277596.7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62"/>
              <w:jc w:val="left"/>
              <w:rPr>
                <w:rFonts w:ascii="宋体" w:hAnsi="宋体" w:cs="宋体" w:eastAsia="宋体" w:hint="default"/>
                <w:sz w:val="18"/>
                <w:szCs w:val="18"/>
              </w:rPr>
            </w:pPr>
            <w:r>
              <w:rPr>
                <w:rFonts w:ascii="宋体" w:hAnsi="宋体" w:cs="宋体" w:eastAsia="宋体" w:hint="default"/>
                <w:sz w:val="18"/>
                <w:szCs w:val="18"/>
              </w:rPr>
              <w:t>一种用于自动存取款机加钞箱钥匙孔的封闭 装置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2010/07/29-2020/07/28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ZL201020665220.3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一种用于取款机加钞箱的封闭装置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2010/12/09-2020/12/08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ZL201020687724.5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6" w:right="63"/>
              <w:jc w:val="left"/>
              <w:rPr>
                <w:rFonts w:ascii="宋体" w:hAnsi="宋体" w:cs="宋体" w:eastAsia="宋体" w:hint="default"/>
                <w:sz w:val="18"/>
                <w:szCs w:val="18"/>
              </w:rPr>
            </w:pPr>
            <w:r>
              <w:rPr>
                <w:rFonts w:ascii="宋体" w:hAnsi="宋体" w:cs="宋体" w:eastAsia="宋体" w:hint="default"/>
                <w:sz w:val="18"/>
                <w:szCs w:val="18"/>
              </w:rPr>
              <w:t>一种用于自动存取款机加钞箱钥匙孔的封闭 装置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2010/12/21-2020/12/20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ZL201120127848.2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一种具有防撬功能的提款箱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2011/04/21-2021/04/20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ZL201120272761.4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5"/>
              <w:jc w:val="left"/>
              <w:rPr>
                <w:rFonts w:ascii="宋体" w:hAnsi="宋体" w:cs="宋体" w:eastAsia="宋体" w:hint="default"/>
                <w:sz w:val="18"/>
                <w:szCs w:val="18"/>
              </w:rPr>
            </w:pPr>
            <w:r>
              <w:rPr>
                <w:rFonts w:ascii="宋体" w:hAnsi="宋体" w:cs="宋体" w:eastAsia="宋体" w:hint="default"/>
                <w:spacing w:val="2"/>
                <w:sz w:val="18"/>
                <w:szCs w:val="18"/>
              </w:rPr>
              <w:t>一种防止非授权人开启自助设备加钞箱的锁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2011/07/22-2021/07/21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12"/>
        <w:gridCol w:w="1826"/>
        <w:gridCol w:w="991"/>
        <w:gridCol w:w="3501"/>
        <w:gridCol w:w="1844"/>
        <w:gridCol w:w="833"/>
      </w:tblGrid>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ZL201220154495.X</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5"/>
              <w:jc w:val="left"/>
              <w:rPr>
                <w:rFonts w:ascii="宋体" w:hAnsi="宋体" w:cs="宋体" w:eastAsia="宋体" w:hint="default"/>
                <w:sz w:val="18"/>
                <w:szCs w:val="18"/>
              </w:rPr>
            </w:pPr>
            <w:r>
              <w:rPr>
                <w:rFonts w:ascii="宋体" w:hAnsi="宋体" w:cs="宋体" w:eastAsia="宋体" w:hint="default"/>
                <w:spacing w:val="2"/>
                <w:sz w:val="18"/>
                <w:szCs w:val="18"/>
              </w:rPr>
              <w:t>一种封闭自动存取款机加钞箱钥匙孔并可记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录信息的卡片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2012/04/06-2022/04/05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ZL201220157614.7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一种锁定箱包拉链牌的卡片插座和卡片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2012/04/09-2022/04/08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ZL201220363664.0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一种周转箱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2012/07/26-2022/07/25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ZL201420227168.1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打印盖章机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2014/05/05-2024/05/04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ZL201420363468.2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贵金属配送箱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2014/07/01-2024/06/30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ZL201420441753.1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动态密码锁及远程密码锁设备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2014/08/06-2024/08/05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ZL201420473005.1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用于检测</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机柜门开关的装置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2014/08/20-2024/08/19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ZL201420590364.5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印章设备及其盖章机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2014/10/13-2024/10/12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ZL201420604106.8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一种压纸机构及应用其的印章机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2014/10/17-2024/10/16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ZL201420590417.3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印章设备及其盖章机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2014/10/13-2024/10/12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ZL201420604086.4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一种自动印章机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2014/10/17-2024/10/16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ZL201420670325.6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一种电子锁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2014/11/10-2024/11/09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ZL201520509957.9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一种自适应式印章设备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2015/07/14-2025/07/13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ZL201520638564.8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动态密码锁及其远程控制系统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2015/08/21-2025/08/20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ZL201520732213.3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一种用于插锁的卡片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2015/09/18-2025/09/17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ZL201520643168.4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一种纸张自动翻转输出装置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2015/08/24-2025/08/23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ZL201520643416.5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一种一体化自助终端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2015/08/24-2025/08/23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ZL201520770719.3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一种电机驱动式自动盖章机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2015/09/28-2025/09/27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ZL201620828161.4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一种自动电子锁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2016/7/29-2026/7/28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ZL201620909118.0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5"/>
              <w:jc w:val="left"/>
              <w:rPr>
                <w:rFonts w:ascii="宋体" w:hAnsi="宋体" w:cs="宋体" w:eastAsia="宋体" w:hint="default"/>
                <w:sz w:val="18"/>
                <w:szCs w:val="18"/>
              </w:rPr>
            </w:pPr>
            <w:r>
              <w:rPr>
                <w:rFonts w:ascii="宋体" w:hAnsi="宋体" w:cs="宋体" w:eastAsia="宋体" w:hint="default"/>
                <w:spacing w:val="2"/>
                <w:sz w:val="18"/>
                <w:szCs w:val="18"/>
              </w:rPr>
              <w:t>一种用于自动印章机的夹章装置及自动印章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2016/8/19-2026/8/18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ZL201720411841.0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电子锁和自助终端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2017/4/18-2027/4/17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201030600456.4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提款箱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2010/10/26-2020/10/25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ZL201130278577.6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射频标签读取解锁器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2011/08/10-2021/08/09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ZL201430180851.X</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动态密码锁控制器（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2014/06/13-2024/06/12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ZL201430181135.3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动态密码锁控制器（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2014/06/13-2024/06/12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ZL201430180848.8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动态密码锁控制器模块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2014/06/13-2024/06/12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ZL201430202049.6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智能打印盖章机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2014/06/25-2024/06/24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ZL201430202474.5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智能印控仪（</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2014/06/25-2024/06/24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ZL201430202419.6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智能印控仪（</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2014/06/25-2024/06/24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ZL201430227897.2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手柄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2014/07/08-2024/07/07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ZL201430515070.1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2014/12/10-2024/12/09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2"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ZL201430514866.5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2014/12/10-2024/12/09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pStyle w:val="BodyText"/>
        <w:spacing w:line="300" w:lineRule="auto" w:before="10"/>
        <w:ind w:right="1132"/>
        <w:jc w:val="both"/>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日，中华人民共和国国家知识产权局专利复审委员会作出《无效宣告请求审查决定》（第</w:t>
      </w:r>
      <w:r>
        <w:rPr>
          <w:rFonts w:ascii="Times New Roman" w:hAnsi="Times New Roman" w:cs="Times New Roman" w:eastAsia="Times New Roman" w:hint="default"/>
          <w:spacing w:val="-2"/>
        </w:rPr>
        <w:t>22148</w:t>
      </w:r>
      <w:r>
        <w:rPr>
          <w:spacing w:val="-2"/>
        </w:rPr>
        <w:t>号），宣告</w:t>
      </w:r>
      <w:r>
        <w:rPr>
          <w:spacing w:val="-57"/>
        </w:rPr>
        <w:t> </w:t>
      </w:r>
      <w:r>
        <w:rPr>
          <w:spacing w:val="-57"/>
        </w:rPr>
      </w:r>
      <w:r>
        <w:rPr>
          <w:rFonts w:ascii="Times New Roman" w:hAnsi="Times New Roman" w:cs="Times New Roman" w:eastAsia="Times New Roman" w:hint="default"/>
        </w:rPr>
        <w:t>“</w:t>
      </w:r>
      <w:r>
        <w:rPr/>
        <w:t>封闭自动存取款机加钞箱钥匙孔并可记录信息的卡片</w:t>
      </w:r>
      <w:r>
        <w:rPr>
          <w:rFonts w:ascii="Times New Roman" w:hAnsi="Times New Roman" w:cs="Times New Roman" w:eastAsia="Times New Roman" w:hint="default"/>
        </w:rPr>
        <w:t>”</w:t>
      </w:r>
      <w:r>
        <w:rPr/>
        <w:t>专利（专利号：</w:t>
      </w:r>
      <w:r>
        <w:rPr>
          <w:rFonts w:ascii="Times New Roman" w:hAnsi="Times New Roman" w:cs="Times New Roman" w:eastAsia="Times New Roman" w:hint="default"/>
        </w:rPr>
        <w:t>ZL200820130503.0</w:t>
      </w:r>
      <w:r>
        <w:rPr/>
        <w:t>）其权利要求</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5-8</w:t>
      </w:r>
      <w:r>
        <w:rPr/>
        <w:t>无效，在 权利要求</w:t>
      </w:r>
      <w:r>
        <w:rPr>
          <w:rFonts w:ascii="Times New Roman" w:hAnsi="Times New Roman" w:cs="Times New Roman" w:eastAsia="Times New Roman" w:hint="default"/>
        </w:rPr>
        <w:t>2</w:t>
      </w:r>
      <w:r>
        <w:rPr/>
        <w:t>、</w:t>
      </w:r>
      <w:r>
        <w:rPr>
          <w:rFonts w:ascii="Times New Roman" w:hAnsi="Times New Roman" w:cs="Times New Roman" w:eastAsia="Times New Roman" w:hint="default"/>
        </w:rPr>
        <w:t>4</w:t>
      </w:r>
      <w:r>
        <w:rPr/>
        <w:t>的基础上维持该专利有效；</w:t>
      </w:r>
    </w:p>
    <w:p>
      <w:pPr>
        <w:pStyle w:val="BodyText"/>
        <w:spacing w:line="300" w:lineRule="auto" w:before="13"/>
        <w:ind w:left="1134" w:right="1042"/>
        <w:jc w:val="both"/>
      </w:pP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日，中华人民共和国国家知识产权局专利复审委员会作出《无效宣告请求审查决定》（第</w:t>
      </w:r>
      <w:r>
        <w:rPr>
          <w:rFonts w:ascii="Times New Roman" w:hAnsi="Times New Roman" w:cs="Times New Roman" w:eastAsia="Times New Roman" w:hint="default"/>
          <w:spacing w:val="-3"/>
        </w:rPr>
        <w:t>20723</w:t>
      </w:r>
      <w:r>
        <w:rPr>
          <w:spacing w:val="-3"/>
        </w:rPr>
        <w:t>号），</w:t>
      </w:r>
      <w:r>
        <w:rPr>
          <w:spacing w:val="-80"/>
        </w:rPr>
        <w:t> </w:t>
      </w:r>
      <w:r>
        <w:rPr>
          <w:spacing w:val="-80"/>
        </w:rPr>
      </w:r>
      <w:r>
        <w:rPr/>
        <w:t>宣告</w:t>
      </w:r>
      <w:r>
        <w:rPr>
          <w:rFonts w:ascii="Times New Roman" w:hAnsi="Times New Roman" w:cs="Times New Roman" w:eastAsia="Times New Roman" w:hint="default"/>
        </w:rPr>
        <w:t>“</w:t>
      </w:r>
      <w:r>
        <w:rPr/>
        <w:t>可以锁定拉链牌的银行自助设备钞箱集装包及配套使用的插座和卡片</w:t>
      </w:r>
      <w:r>
        <w:rPr>
          <w:rFonts w:ascii="Times New Roman" w:hAnsi="Times New Roman" w:cs="Times New Roman" w:eastAsia="Times New Roman" w:hint="default"/>
        </w:rPr>
        <w:t>”</w:t>
      </w:r>
      <w:r>
        <w:rPr/>
        <w:t>专利（专利号</w:t>
      </w:r>
      <w:r>
        <w:rPr>
          <w:rFonts w:ascii="Times New Roman" w:hAnsi="Times New Roman" w:cs="Times New Roman" w:eastAsia="Times New Roman" w:hint="default"/>
        </w:rPr>
        <w:t>ZL200820210342.6</w:t>
      </w:r>
      <w:r>
        <w:rPr/>
        <w:t>）其权利要求</w:t>
      </w:r>
    </w:p>
    <w:p>
      <w:pPr>
        <w:pStyle w:val="BodyText"/>
        <w:spacing w:line="300" w:lineRule="auto" w:before="13"/>
        <w:ind w:right="1131"/>
        <w:jc w:val="both"/>
      </w:pPr>
      <w:r>
        <w:rPr>
          <w:rFonts w:ascii="Times New Roman" w:hAnsi="Times New Roman" w:cs="Times New Roman" w:eastAsia="Times New Roman" w:hint="default"/>
        </w:rPr>
        <w:t>1-3</w:t>
      </w:r>
      <w:r>
        <w:rPr/>
        <w:t>、</w:t>
      </w:r>
      <w:r>
        <w:rPr>
          <w:rFonts w:ascii="Times New Roman" w:hAnsi="Times New Roman" w:cs="Times New Roman" w:eastAsia="Times New Roman" w:hint="default"/>
        </w:rPr>
        <w:t>6-10</w:t>
      </w:r>
      <w:r>
        <w:rPr/>
        <w:t>无效，在权利要求</w:t>
      </w:r>
      <w:r>
        <w:rPr>
          <w:rFonts w:ascii="Times New Roman" w:hAnsi="Times New Roman" w:cs="Times New Roman" w:eastAsia="Times New Roman" w:hint="default"/>
        </w:rPr>
        <w:t>4</w:t>
      </w:r>
      <w:r>
        <w:rPr/>
        <w:t>、</w:t>
      </w:r>
      <w:r>
        <w:rPr>
          <w:rFonts w:ascii="Times New Roman" w:hAnsi="Times New Roman" w:cs="Times New Roman" w:eastAsia="Times New Roman" w:hint="default"/>
        </w:rPr>
        <w:t>5</w:t>
      </w:r>
      <w:r>
        <w:rPr/>
        <w:t>的基础上维持该专利有效；（</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日，中华人民共和国国家知识产权局专利复 </w:t>
      </w:r>
      <w:r>
        <w:rPr>
          <w:spacing w:val="-2"/>
        </w:rPr>
        <w:t>审委员会作出《无效宣告请求审查决定》（第</w:t>
      </w:r>
      <w:r>
        <w:rPr>
          <w:rFonts w:ascii="Times New Roman" w:hAnsi="Times New Roman" w:cs="Times New Roman" w:eastAsia="Times New Roman" w:hint="default"/>
          <w:spacing w:val="-2"/>
        </w:rPr>
        <w:t>23057</w:t>
      </w:r>
      <w:r>
        <w:rPr>
          <w:spacing w:val="-2"/>
        </w:rPr>
        <w:t>号），宣告</w:t>
      </w:r>
      <w:r>
        <w:rPr>
          <w:rFonts w:ascii="Times New Roman" w:hAnsi="Times New Roman" w:cs="Times New Roman" w:eastAsia="Times New Roman" w:hint="default"/>
          <w:spacing w:val="-2"/>
        </w:rPr>
        <w:t>“</w:t>
      </w:r>
      <w:r>
        <w:rPr>
          <w:spacing w:val="-2"/>
        </w:rPr>
        <w:t>可以锁定拉链牌的银行自助设备钞箱集装包及配套使用的插</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24" w:right="2578" w:hanging="291"/>
        <w:jc w:val="left"/>
      </w:pPr>
      <w:r>
        <w:rPr/>
        <w:t>座和卡片</w:t>
      </w:r>
      <w:r>
        <w:rPr>
          <w:rFonts w:ascii="Times New Roman" w:hAnsi="Times New Roman" w:cs="Times New Roman" w:eastAsia="Times New Roman" w:hint="default"/>
        </w:rPr>
        <w:t>”</w:t>
      </w:r>
      <w:r>
        <w:rPr/>
        <w:t>专利（专利号</w:t>
      </w:r>
      <w:r>
        <w:rPr>
          <w:rFonts w:ascii="Times New Roman" w:hAnsi="Times New Roman" w:cs="Times New Roman" w:eastAsia="Times New Roman" w:hint="default"/>
        </w:rPr>
        <w:t>ZL200820210342.6</w:t>
      </w:r>
      <w:r>
        <w:rPr/>
        <w:t>）其权利要求</w:t>
      </w:r>
      <w:r>
        <w:rPr>
          <w:rFonts w:ascii="Times New Roman" w:hAnsi="Times New Roman" w:cs="Times New Roman" w:eastAsia="Times New Roman" w:hint="default"/>
        </w:rPr>
        <w:t>4</w:t>
      </w:r>
      <w:r>
        <w:rPr/>
        <w:t>无效，在权利要求</w:t>
      </w:r>
      <w:r>
        <w:rPr>
          <w:rFonts w:ascii="Times New Roman" w:hAnsi="Times New Roman" w:cs="Times New Roman" w:eastAsia="Times New Roman" w:hint="default"/>
        </w:rPr>
        <w:t>5</w:t>
      </w:r>
      <w:r>
        <w:rPr/>
        <w:t>的基础上维持该专利有效。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spacing w:val="-24"/>
        </w:rPr>
        <w:t> </w:t>
      </w:r>
      <w:r>
        <w:rPr>
          <w:rFonts w:ascii="Times New Roman" w:hAnsi="Times New Roman" w:cs="Times New Roman" w:eastAsia="Times New Roman" w:hint="default"/>
        </w:rPr>
        <w:t>31</w:t>
      </w:r>
      <w:r>
        <w:rPr/>
        <w:t>日，公司拥有的计算机软件著作权的情况如下：</w:t>
      </w:r>
    </w:p>
    <w:tbl>
      <w:tblPr>
        <w:tblW w:w="0" w:type="auto"/>
        <w:jc w:val="left"/>
        <w:tblInd w:w="1126" w:type="dxa"/>
        <w:tblLayout w:type="fixed"/>
        <w:tblCellMar>
          <w:top w:w="0" w:type="dxa"/>
          <w:left w:w="0" w:type="dxa"/>
          <w:bottom w:w="0" w:type="dxa"/>
          <w:right w:w="0" w:type="dxa"/>
        </w:tblCellMar>
        <w:tblLook w:val="01E0"/>
      </w:tblPr>
      <w:tblGrid>
        <w:gridCol w:w="466"/>
        <w:gridCol w:w="1944"/>
        <w:gridCol w:w="3261"/>
        <w:gridCol w:w="1276"/>
        <w:gridCol w:w="1844"/>
        <w:gridCol w:w="820"/>
      </w:tblGrid>
      <w:tr>
        <w:trPr>
          <w:trHeight w:val="443"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登记证书编号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著作权保护期限</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1283"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0204599</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汇金现金、票据管理可识别安全防范卡封</w:t>
            </w:r>
          </w:p>
          <w:p>
            <w:pPr>
              <w:pStyle w:val="TableParagraph"/>
              <w:spacing w:line="309" w:lineRule="auto" w:before="77"/>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（管理、加钞箱）锁、片、条、箱、包系 </w:t>
            </w:r>
            <w:r>
              <w:rPr>
                <w:rFonts w:ascii="宋体" w:hAnsi="宋体" w:cs="宋体" w:eastAsia="宋体" w:hint="default"/>
                <w:spacing w:val="-9"/>
                <w:sz w:val="18"/>
                <w:szCs w:val="18"/>
              </w:rPr>
              <w:t>统</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简称：卡封【（管理、加钞箱）锁、片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条、箱、包】</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0" w:right="0"/>
              <w:jc w:val="left"/>
              <w:rPr>
                <w:rFonts w:ascii="Times New Roman" w:hAnsi="Times New Roman" w:cs="Times New Roman" w:eastAsia="Times New Roman" w:hint="default"/>
                <w:sz w:val="18"/>
                <w:szCs w:val="18"/>
              </w:rPr>
            </w:pPr>
            <w:r>
              <w:rPr>
                <w:rFonts w:ascii="Times New Roman"/>
                <w:sz w:val="18"/>
              </w:rPr>
              <w:t>2010SR016326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2010/03/23-2060/12/31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0299020</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汇金实物流转</w:t>
            </w:r>
            <w:r>
              <w:rPr>
                <w:rFonts w:ascii="Times New Roman" w:hAnsi="Times New Roman" w:cs="Times New Roman" w:eastAsia="Times New Roman" w:hint="default"/>
                <w:sz w:val="18"/>
                <w:szCs w:val="18"/>
              </w:rPr>
              <w:t>RFID</w:t>
            </w:r>
            <w:r>
              <w:rPr>
                <w:rFonts w:ascii="宋体" w:hAnsi="宋体" w:cs="宋体" w:eastAsia="宋体" w:hint="default"/>
                <w:sz w:val="18"/>
                <w:szCs w:val="18"/>
              </w:rPr>
              <w:t>识别及安防控制软件</w:t>
            </w:r>
          </w:p>
          <w:p>
            <w:pPr>
              <w:pStyle w:val="TableParagraph"/>
              <w:spacing w:line="240" w:lineRule="auto" w:before="63"/>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简称：汇金</w:t>
            </w:r>
            <w:r>
              <w:rPr>
                <w:rFonts w:ascii="Times New Roman" w:hAnsi="Times New Roman" w:cs="Times New Roman" w:eastAsia="Times New Roman" w:hint="default"/>
                <w:sz w:val="18"/>
                <w:szCs w:val="18"/>
              </w:rPr>
              <w:t>RFID</w:t>
            </w:r>
            <w:r>
              <w:rPr>
                <w:rFonts w:ascii="宋体" w:hAnsi="宋体" w:cs="宋体" w:eastAsia="宋体" w:hint="default"/>
                <w:sz w:val="18"/>
                <w:szCs w:val="18"/>
              </w:rPr>
              <w:t>安控</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2011SR035346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2011/05/09-2061/12/31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0299021</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汇金实物流转信息管理软件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简称：汇金实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物流转管理</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2011SR035347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2011/05/09-2061/12/31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0495531</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汇金现金款箱信息管理软件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2012SR127495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2012/04/10-2062/12/31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0495467</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汇金现金款箱批量识别控制软件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2012SR127431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2012/06/12-2062/12/31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0473767</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汇金卡钔上门收款控制软件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2012SR105731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2012/08/01-2062/12/31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0477757</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汇金卡钔收款信息管理软件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2012SR109721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2012/08/01-2062/12/31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0477770</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汇金卡钔钞箱批量识别控制软件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2012SR109734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2012/08/20-2062/12/31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0477767</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汇金卡钔动态密码锁信息管理软件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2012SR109731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2012/09/25-2062/12/31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0473765</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汇金卡钔加钞远程控制软件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2012SR105729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2012/09/28-2062/12/31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0495532</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汇金自助设备动态密码锁控制软件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2012SR127496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2012/10/01-2062/12/31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0681387</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汇金卡钔清机管理控制软件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2014SR012143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2013/06/04-2063/12/31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0701809</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汇金卡钔智能印控仪软件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2014SR032565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0681833</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汇金卡封现金流转管理软件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2014SR012589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1128060</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汇金自助政务服务终端控制软件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2015SR240974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2015/05/25-2065/12/31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1128072</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汇金自助政务服务终端管理软件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2014SR240986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2015/08/18-2064/12/31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1128025</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汇金动态密码门禁控制软件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2015SR240939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2015/10/22-2065/12/31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1191290</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汇金动态密码门禁管理软件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2016SR012673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1277051</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公章物联网管理软件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2016SR098434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2016/04/25-2066/12/31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1380643</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汇金批量盖章印控机控制软件</w:t>
            </w:r>
            <w:r>
              <w:rPr>
                <w:rFonts w:ascii="Times New Roman" w:hAnsi="Times New Roman" w:cs="Times New Roman" w:eastAsia="Times New Roman" w:hint="default"/>
                <w:sz w:val="18"/>
                <w:szCs w:val="18"/>
              </w:rPr>
              <w:t>V1.0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2016SR202026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2016/07/18-2066/12/31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1706153</w:t>
            </w:r>
            <w:r>
              <w:rPr>
                <w:rFonts w:ascii="宋体" w:hAnsi="宋体" w:cs="宋体" w:eastAsia="宋体" w:hint="default"/>
                <w:sz w:val="18"/>
                <w:szCs w:val="18"/>
              </w:rPr>
              <w:t>号</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汇金卡钔智能印控仪软件</w:t>
            </w:r>
            <w:r>
              <w:rPr>
                <w:rFonts w:ascii="Times New Roman" w:hAnsi="Times New Roman" w:cs="Times New Roman" w:eastAsia="Times New Roman" w:hint="default"/>
                <w:sz w:val="18"/>
                <w:szCs w:val="18"/>
              </w:rPr>
              <w:t>V2.0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2017SR120869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2017/4/17-2067/12/31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p>
        </w:tc>
      </w:tr>
    </w:tbl>
    <w:p>
      <w:pPr>
        <w:pStyle w:val="BodyText"/>
        <w:spacing w:line="300" w:lineRule="auto" w:before="13"/>
        <w:ind w:right="1138"/>
        <w:jc w:val="left"/>
      </w:pPr>
      <w:r>
        <w:rPr/>
        <w:t>注：汇金卡钔智能印控仪软件</w:t>
      </w:r>
      <w:r>
        <w:rPr>
          <w:rFonts w:ascii="Times New Roman" w:hAnsi="Times New Roman" w:cs="Times New Roman" w:eastAsia="Times New Roman" w:hint="default"/>
        </w:rPr>
        <w:t>V1.0</w:t>
      </w:r>
      <w:r>
        <w:rPr/>
        <w:t>、汇金卡封现金流转管理软件</w:t>
      </w:r>
      <w:r>
        <w:rPr>
          <w:rFonts w:ascii="Times New Roman" w:hAnsi="Times New Roman" w:cs="Times New Roman" w:eastAsia="Times New Roman" w:hint="default"/>
        </w:rPr>
        <w:t>V1.0</w:t>
      </w:r>
      <w:r>
        <w:rPr/>
        <w:t>、汇金动态密码门禁管理软件</w:t>
      </w:r>
      <w:r>
        <w:rPr>
          <w:rFonts w:ascii="Times New Roman" w:hAnsi="Times New Roman" w:cs="Times New Roman" w:eastAsia="Times New Roman" w:hint="default"/>
        </w:rPr>
        <w:t>V1.0</w:t>
      </w:r>
      <w:r>
        <w:rPr/>
        <w:t>分别于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 </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日完成开发</w:t>
      </w:r>
    </w:p>
    <w:p>
      <w:pPr>
        <w:pStyle w:val="BodyText"/>
        <w:spacing w:line="300" w:lineRule="auto" w:before="13"/>
        <w:ind w:left="1424" w:right="0" w:hanging="291"/>
        <w:jc w:val="left"/>
      </w:pPr>
      <w:r>
        <w:rPr>
          <w:rFonts w:ascii="Times New Roman" w:hAnsi="Times New Roman" w:cs="Times New Roman" w:eastAsia="Times New Roman" w:hint="default"/>
        </w:rPr>
        <w:t>3</w:t>
      </w:r>
      <w:r>
        <w:rPr/>
        <w:t>、一体化服务优势 </w:t>
      </w:r>
      <w:r>
        <w:rPr>
          <w:spacing w:val="-1"/>
        </w:rPr>
        <w:t>公司为客户提供一体化服务整体解决方案，涵盖业务咨询、方案设计、制度及流程优化改造、软件开发、硬件设计、系</w:t>
      </w:r>
    </w:p>
    <w:p>
      <w:pPr>
        <w:pStyle w:val="BodyText"/>
        <w:spacing w:line="316" w:lineRule="auto" w:before="31"/>
        <w:ind w:left="1424" w:right="0" w:hanging="291"/>
        <w:jc w:val="left"/>
      </w:pPr>
      <w:r>
        <w:rPr/>
        <w:t>统集成、安装调试、技术支持、培训及售后全过程。 </w:t>
      </w:r>
      <w:r>
        <w:rPr>
          <w:spacing w:val="-1"/>
        </w:rPr>
        <w:t>项目前期，公司将研发环节前移，直接参与银行客户具体业务流程改进的技术交流，实现研发与市场的直接对接，帮助</w:t>
      </w:r>
    </w:p>
    <w:p>
      <w:pPr>
        <w:pStyle w:val="BodyText"/>
        <w:spacing w:line="314" w:lineRule="auto" w:before="19"/>
        <w:ind w:right="0"/>
        <w:jc w:val="left"/>
      </w:pPr>
      <w:r>
        <w:rPr>
          <w:spacing w:val="-2"/>
        </w:rPr>
        <w:t>银行发现、挖掘具体操作风险，进而在银行内控风险管理解决方案开发中及时、准确地反映客户需求；中期，公司具备不同</w:t>
      </w:r>
      <w:r>
        <w:rPr>
          <w:spacing w:val="-66"/>
        </w:rPr>
        <w:t> </w:t>
      </w:r>
      <w:r>
        <w:rPr>
          <w:spacing w:val="-66"/>
        </w:rPr>
      </w:r>
      <w:r>
        <w:rPr>
          <w:spacing w:val="-2"/>
        </w:rPr>
        <w:t>专业背景的技术研发团队根据解决方案提出的功能需求，能够集成应用多领域、多学科的专业技术进行软件开发、硬件设计</w:t>
      </w:r>
      <w:r>
        <w:rPr>
          <w:spacing w:val="-66"/>
        </w:rPr>
        <w:t> </w:t>
      </w:r>
      <w:r>
        <w:rPr>
          <w:spacing w:val="-66"/>
        </w:rPr>
      </w:r>
      <w:r>
        <w:rPr>
          <w:spacing w:val="-2"/>
        </w:rPr>
        <w:t>及系统集成；在后期安装、服务环节，公司拥有具备全国服务能力的安装、服务团队，建立了全国性的技术服务网络和响应</w:t>
      </w:r>
      <w:r>
        <w:rPr>
          <w:spacing w:val="-66"/>
        </w:rPr>
        <w:t> </w:t>
      </w:r>
      <w:r>
        <w:rPr>
          <w:spacing w:val="-66"/>
        </w:rPr>
      </w:r>
      <w:r>
        <w:rPr/>
        <w:t>机制，保持</w:t>
      </w:r>
      <w:r>
        <w:rPr>
          <w:rFonts w:ascii="Times New Roman" w:hAnsi="Times New Roman" w:cs="Times New Roman" w:eastAsia="Times New Roman" w:hint="default"/>
        </w:rPr>
        <w:t>7</w:t>
      </w:r>
      <w:r>
        <w:rPr/>
        <w:t>天</w:t>
      </w:r>
      <w:r>
        <w:rPr>
          <w:rFonts w:ascii="Times New Roman" w:hAnsi="Times New Roman" w:cs="Times New Roman" w:eastAsia="Times New Roman" w:hint="default"/>
        </w:rPr>
        <w:t>×24</w:t>
      </w:r>
      <w:r>
        <w:rPr/>
        <w:t>小时响应级别。公司的一体化服务模式能够更有效地服务银行客户，提高客户黏性，发掘市场机会。 </w:t>
      </w:r>
      <w:r>
        <w:rPr>
          <w:rFonts w:ascii="Times New Roman" w:hAnsi="Times New Roman" w:cs="Times New Roman" w:eastAsia="Times New Roman" w:hint="default"/>
        </w:rPr>
        <w:t>4</w:t>
      </w:r>
      <w:r>
        <w:rPr/>
        <w:t>、市场先入和品牌优势</w:t>
      </w:r>
    </w:p>
    <w:p>
      <w:pPr>
        <w:pStyle w:val="BodyText"/>
        <w:spacing w:line="316" w:lineRule="auto" w:before="1"/>
        <w:ind w:left="1134" w:right="1102" w:firstLine="290"/>
        <w:jc w:val="left"/>
      </w:pPr>
      <w:r>
        <w:rPr/>
        <w:t>经过多年深耕经营，公司业务已遍及中国大陆，包括国有和股份制商业银行在内的国内多数商业银行、邮政储蓄系统、 </w:t>
      </w:r>
      <w:r>
        <w:rPr>
          <w:spacing w:val="-2"/>
        </w:rPr>
        <w:t>信用社等金融机构均不同程度地购买和使用了公司相关应用系统，并建立了从总行、省级分行到支行、乃至营业部的全国范</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围的客户网络。公司为逾五百家省级分行和逾十万家银行网点提供了优质、安全、符合其发展趋势的系统、产品和服务。银</w:t>
      </w:r>
      <w:r>
        <w:rPr>
          <w:spacing w:val="-66"/>
        </w:rPr>
        <w:t> </w:t>
      </w:r>
      <w:r>
        <w:rPr>
          <w:spacing w:val="-66"/>
        </w:rPr>
      </w:r>
      <w:r>
        <w:rPr>
          <w:spacing w:val="-2"/>
        </w:rPr>
        <w:t>行在相关的系统维护、系统升级、人员培训等服务内容方面对公司具有一定的黏性。对于新进入者，需要面对银行系统性更</w:t>
      </w:r>
      <w:r>
        <w:rPr>
          <w:spacing w:val="-65"/>
        </w:rPr>
        <w:t> </w:t>
      </w:r>
      <w:r>
        <w:rPr>
          <w:spacing w:val="-65"/>
        </w:rPr>
      </w:r>
      <w:r>
        <w:rPr/>
        <w:t>换软硬件成本、时间成本以及技术实施风险等障碍。</w:t>
      </w:r>
    </w:p>
    <w:p>
      <w:pPr>
        <w:spacing w:after="0" w:line="31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公司主营业务为运用物联网、人工智能等技术为金融行业提供风险控制解决方案，并不断拓展在金融领域的应用场景， 致力于打造成为行业领先的智能物联网技术应用的金融科技公司。</w:t>
      </w:r>
    </w:p>
    <w:p>
      <w:pPr>
        <w:pStyle w:val="BodyText"/>
        <w:spacing w:line="312" w:lineRule="auto" w:before="19"/>
        <w:ind w:right="1130" w:firstLine="290"/>
        <w:jc w:val="both"/>
      </w:pPr>
      <w:r>
        <w:rPr>
          <w:rFonts w:ascii="Times New Roman" w:hAnsi="Times New Roman" w:cs="Times New Roman" w:eastAsia="Times New Roman" w:hint="default"/>
        </w:rPr>
        <w:t>2017</w:t>
      </w:r>
      <w:r>
        <w:rPr/>
        <w:t>年度，公司认真贯彻</w:t>
      </w:r>
      <w:r>
        <w:rPr>
          <w:rFonts w:ascii="Times New Roman" w:hAnsi="Times New Roman" w:cs="Times New Roman" w:eastAsia="Times New Roman" w:hint="default"/>
        </w:rPr>
        <w:t>“</w:t>
      </w:r>
      <w:r>
        <w:rPr/>
        <w:t>聚焦为客户创造价值，实现有质量经营增长</w:t>
      </w:r>
      <w:r>
        <w:rPr>
          <w:rFonts w:ascii="Times New Roman" w:hAnsi="Times New Roman" w:cs="Times New Roman" w:eastAsia="Times New Roman" w:hint="default"/>
        </w:rPr>
        <w:t>”</w:t>
      </w:r>
      <w:r>
        <w:rPr/>
        <w:t>的战略指导思想，紧紧围绕董事会制定的发展战 </w:t>
      </w:r>
      <w:r>
        <w:rPr>
          <w:spacing w:val="-2"/>
        </w:rPr>
        <w:t>略，坚持科技创新驱动理念、积极丰富产品体系及结构、积极引入人才、大力营拓市场、加大研发投入、坚持内生式增长和</w:t>
      </w:r>
      <w:r>
        <w:rPr>
          <w:spacing w:val="-68"/>
        </w:rPr>
        <w:t> </w:t>
      </w:r>
      <w:r>
        <w:rPr>
          <w:spacing w:val="-68"/>
        </w:rPr>
      </w:r>
      <w:r>
        <w:rPr>
          <w:spacing w:val="-2"/>
        </w:rPr>
        <w:t>外延式拓展并举；同时，务实基础，加强品质管理、加强体系建设、优化业务流程，完善技术支持及服务体系，实现公司业</w:t>
      </w:r>
      <w:r>
        <w:rPr>
          <w:spacing w:val="-72"/>
        </w:rPr>
        <w:t> </w:t>
      </w:r>
      <w:r>
        <w:rPr>
          <w:spacing w:val="-72"/>
        </w:rPr>
      </w:r>
      <w:r>
        <w:rPr/>
        <w:t>务稳健发展。</w:t>
      </w:r>
    </w:p>
    <w:p>
      <w:pPr>
        <w:pStyle w:val="BodyText"/>
        <w:spacing w:line="240" w:lineRule="auto" w:before="22"/>
        <w:ind w:left="1424" w:right="0"/>
        <w:jc w:val="left"/>
      </w:pPr>
      <w:r>
        <w:rPr/>
        <w:t>报告期内，公司经营状况稳定，实现营业收入</w:t>
      </w:r>
      <w:r>
        <w:rPr>
          <w:rFonts w:ascii="Times New Roman" w:hAnsi="Times New Roman" w:cs="Times New Roman" w:eastAsia="Times New Roman" w:hint="default"/>
        </w:rPr>
        <w:t>24,201.87</w:t>
      </w:r>
      <w:r>
        <w:rPr/>
        <w:t>万元，比上年增加</w:t>
      </w:r>
      <w:r>
        <w:rPr>
          <w:rFonts w:ascii="Times New Roman" w:hAnsi="Times New Roman" w:cs="Times New Roman" w:eastAsia="Times New Roman" w:hint="default"/>
        </w:rPr>
        <w:t>10.99%</w:t>
      </w:r>
      <w:r>
        <w:rPr/>
        <w:t>，实现归属于上市公司股东的净利润</w:t>
      </w:r>
    </w:p>
    <w:p>
      <w:pPr>
        <w:pStyle w:val="BodyText"/>
        <w:spacing w:line="240" w:lineRule="auto" w:before="63"/>
        <w:ind w:right="0"/>
        <w:jc w:val="both"/>
      </w:pPr>
      <w:r>
        <w:rPr>
          <w:rFonts w:ascii="Times New Roman" w:hAnsi="Times New Roman" w:cs="Times New Roman" w:eastAsia="Times New Roman" w:hint="default"/>
        </w:rPr>
        <w:t>7,972.47</w:t>
      </w:r>
      <w:r>
        <w:rPr/>
        <w:t>万元，比上年增加</w:t>
      </w:r>
      <w:r>
        <w:rPr>
          <w:rFonts w:ascii="Times New Roman" w:hAnsi="Times New Roman" w:cs="Times New Roman" w:eastAsia="Times New Roman" w:hint="default"/>
        </w:rPr>
        <w:t>1.09%</w:t>
      </w:r>
      <w:r>
        <w:rPr/>
        <w:t>。公司主要业务回顾如下：</w:t>
      </w:r>
    </w:p>
    <w:p>
      <w:pPr>
        <w:pStyle w:val="BodyText"/>
        <w:spacing w:line="300" w:lineRule="auto" w:before="63"/>
        <w:ind w:left="1424" w:right="0" w:hanging="291"/>
        <w:jc w:val="left"/>
      </w:pPr>
      <w:r>
        <w:rPr>
          <w:rFonts w:ascii="Times New Roman" w:hAnsi="Times New Roman" w:cs="Times New Roman" w:eastAsia="Times New Roman" w:hint="default"/>
        </w:rPr>
        <w:t>1</w:t>
      </w:r>
      <w:r>
        <w:rPr/>
        <w:t>、巩固主业、调整产品结构、拓展市场、丰富应用场景 </w:t>
      </w:r>
      <w:r>
        <w:rPr>
          <w:spacing w:val="-1"/>
        </w:rPr>
        <w:t>公司顺应社会发展及金融强监管趋势，积极关注金融业改革和金融科技发展动向，聚焦需求，积极研究和开发适应金融</w:t>
      </w:r>
    </w:p>
    <w:p>
      <w:pPr>
        <w:pStyle w:val="BodyText"/>
        <w:spacing w:line="316" w:lineRule="auto" w:before="31"/>
        <w:ind w:left="1134" w:right="1131"/>
        <w:jc w:val="both"/>
      </w:pPr>
      <w:r>
        <w:rPr>
          <w:spacing w:val="-2"/>
        </w:rPr>
        <w:t>发展需求的新产品，丰富产品体系及结构，丰富应用场景。报告期内，公司继续巩固并加强银行自助设备现金管理系统的市</w:t>
      </w:r>
      <w:r>
        <w:rPr>
          <w:spacing w:val="-66"/>
        </w:rPr>
        <w:t> </w:t>
      </w:r>
      <w:r>
        <w:rPr>
          <w:spacing w:val="-66"/>
        </w:rPr>
      </w:r>
      <w:r>
        <w:rPr>
          <w:spacing w:val="-2"/>
        </w:rPr>
        <w:t>场地位，同时积极丰富产品体系，顺应金融监管同时充分考虑消费新趋势，不断丰富和完善物联网等技术的应用场景，大力</w:t>
      </w:r>
      <w:r>
        <w:rPr>
          <w:spacing w:val="-66"/>
        </w:rPr>
        <w:t> </w:t>
      </w:r>
      <w:r>
        <w:rPr>
          <w:spacing w:val="-66"/>
        </w:rPr>
      </w:r>
      <w:r>
        <w:rPr/>
        <w:t>开拓印章管理系统及印控仪等新产品和业务，切入印章管理应用场景。</w:t>
      </w:r>
    </w:p>
    <w:p>
      <w:pPr>
        <w:pStyle w:val="BodyText"/>
        <w:spacing w:line="316" w:lineRule="auto" w:before="19"/>
        <w:ind w:right="0" w:firstLine="290"/>
        <w:jc w:val="left"/>
      </w:pPr>
      <w:r>
        <w:rPr>
          <w:spacing w:val="-1"/>
        </w:rPr>
        <w:t>公司专注金融科技产品与技术（包括但不限于人工智能、物联网等），充分发挥贵安新区金融创新试验区先行先试政策</w:t>
      </w:r>
      <w:r>
        <w:rPr/>
        <w:t> 优势，投资设立贵安新区贵金科技有限公司助力金融业务管理与改革，提升金融业精细化运营和管理水平。 </w:t>
      </w:r>
      <w:r>
        <w:rPr>
          <w:rFonts w:ascii="Times New Roman" w:hAnsi="Times New Roman" w:cs="Times New Roman" w:eastAsia="Times New Roman" w:hint="default"/>
        </w:rPr>
        <w:t>2</w:t>
      </w:r>
      <w:r>
        <w:rPr/>
        <w:t>、以创新研发和营销为引领，强调品质管理</w:t>
      </w:r>
      <w:r>
        <w:rPr>
          <w:spacing w:val="-19"/>
        </w:rPr>
        <w:t> </w:t>
      </w:r>
      <w:r>
        <w:rPr/>
        <w:t>，加强售后服务与体系建设</w:t>
      </w:r>
    </w:p>
    <w:p>
      <w:pPr>
        <w:pStyle w:val="BodyText"/>
        <w:spacing w:line="307" w:lineRule="auto"/>
        <w:ind w:left="1134" w:right="1122" w:firstLine="290"/>
        <w:jc w:val="both"/>
      </w:pPr>
      <w:r>
        <w:rPr/>
        <w:t>公司持续完善研发体系，细化研发职能，加强物联网实验室人才建设，切实履行新技术预研职责、充实高端人才队伍； </w:t>
      </w:r>
      <w:r>
        <w:rPr>
          <w:rFonts w:ascii="Times New Roman" w:hAnsi="Times New Roman" w:cs="Times New Roman" w:eastAsia="Times New Roman" w:hint="default"/>
          <w:spacing w:val="-2"/>
        </w:rPr>
        <w:t>2017</w:t>
      </w:r>
      <w:r>
        <w:rPr>
          <w:spacing w:val="-2"/>
        </w:rPr>
        <w:t>年度，为突出公司软硬一体化的核心竞争力，将软件研发中心从原产品研发中心独立出来更加注重软研的重要性，会计</w:t>
      </w:r>
      <w:r>
        <w:rPr>
          <w:spacing w:val="-62"/>
        </w:rPr>
        <w:t> </w:t>
      </w:r>
      <w:r>
        <w:rPr>
          <w:spacing w:val="-62"/>
        </w:rPr>
      </w:r>
      <w:r>
        <w:rPr/>
        <w:t>年度内，公司立项研发项目开发完成及时率</w:t>
      </w:r>
      <w:r>
        <w:rPr>
          <w:spacing w:val="-40"/>
        </w:rPr>
        <w:t> </w:t>
      </w:r>
      <w:r>
        <w:rPr>
          <w:rFonts w:ascii="Times New Roman" w:hAnsi="Times New Roman" w:cs="Times New Roman" w:eastAsia="Times New Roman" w:hint="default"/>
        </w:rPr>
        <w:t>100%</w:t>
      </w:r>
      <w:r>
        <w:rPr/>
        <w:t>；技术支持解决率</w:t>
      </w:r>
      <w:r>
        <w:rPr>
          <w:spacing w:val="-40"/>
        </w:rPr>
        <w:t> </w:t>
      </w:r>
      <w:r>
        <w:rPr>
          <w:rFonts w:ascii="Times New Roman" w:hAnsi="Times New Roman" w:cs="Times New Roman" w:eastAsia="Times New Roman" w:hint="default"/>
        </w:rPr>
        <w:t>100%</w:t>
      </w:r>
      <w:r>
        <w:rPr/>
        <w:t>；全年研发质量问题</w:t>
      </w:r>
      <w:r>
        <w:rPr>
          <w:rFonts w:ascii="Times New Roman" w:hAnsi="Times New Roman" w:cs="Times New Roman" w:eastAsia="Times New Roman" w:hint="default"/>
        </w:rPr>
        <w:t>≤</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次，有效确保各重点项目 软件研发工作的按期完成，取得良好的效果。</w:t>
      </w:r>
    </w:p>
    <w:p>
      <w:pPr>
        <w:pStyle w:val="BodyText"/>
        <w:spacing w:line="316" w:lineRule="auto" w:before="26"/>
        <w:ind w:left="1134" w:right="1028" w:firstLine="290"/>
        <w:jc w:val="left"/>
      </w:pPr>
      <w:r>
        <w:rPr>
          <w:spacing w:val="-2"/>
        </w:rPr>
        <w:t>公司不断加强市场营销及服务体系建设，以快速响应市场需求为原则，充实加强营销人才队伍，创新品牌推广宣传方式，</w:t>
      </w:r>
      <w:r>
        <w:rPr/>
        <w:t> </w:t>
      </w:r>
      <w:r>
        <w:rPr>
          <w:spacing w:val="-2"/>
        </w:rPr>
        <w:t>提高售后服务工作质量；同时，强力推进国内高质量代理商营销渠道建设，实现多方合作共赢；积极推进高质量营销指挥官</w:t>
      </w:r>
      <w:r>
        <w:rPr>
          <w:spacing w:val="-66"/>
        </w:rPr>
        <w:t> </w:t>
      </w:r>
      <w:r>
        <w:rPr>
          <w:spacing w:val="-66"/>
        </w:rPr>
      </w:r>
      <w:r>
        <w:rPr/>
        <w:t>和总行大客户引进及内部培养机制，积极拓展市场。</w:t>
      </w:r>
    </w:p>
    <w:p>
      <w:pPr>
        <w:pStyle w:val="BodyText"/>
        <w:spacing w:line="312" w:lineRule="auto" w:before="19"/>
        <w:ind w:left="1134" w:right="1122" w:firstLine="290"/>
        <w:jc w:val="left"/>
      </w:pPr>
      <w:r>
        <w:rPr/>
        <w:t>公司严格产品质量管理，坚定贯彻</w:t>
      </w:r>
      <w:r>
        <w:rPr>
          <w:rFonts w:ascii="Times New Roman" w:hAnsi="Times New Roman" w:cs="Times New Roman" w:eastAsia="Times New Roman" w:hint="default"/>
        </w:rPr>
        <w:t>“</w:t>
      </w:r>
      <w:r>
        <w:rPr/>
        <w:t>事前预防、事中控制、事后改进</w:t>
      </w:r>
      <w:r>
        <w:rPr>
          <w:rFonts w:ascii="Times New Roman" w:hAnsi="Times New Roman" w:cs="Times New Roman" w:eastAsia="Times New Roman" w:hint="default"/>
        </w:rPr>
        <w:t>”</w:t>
      </w:r>
      <w:r>
        <w:rPr/>
        <w:t>的指导思想，通过测试和品质两个抓手，提升公司 </w:t>
      </w:r>
      <w:r>
        <w:rPr>
          <w:spacing w:val="-2"/>
        </w:rPr>
        <w:t>产品质量，积极构建以质量预防体系为核心的产品竞争体系。加强售后服务体系建设，建立可服务性需求资源池，注重产品</w:t>
      </w:r>
      <w:r>
        <w:rPr>
          <w:spacing w:val="-66"/>
        </w:rPr>
        <w:t> </w:t>
      </w:r>
      <w:r>
        <w:rPr>
          <w:spacing w:val="-66"/>
        </w:rPr>
      </w:r>
      <w:r>
        <w:rPr/>
        <w:t>安装便利性、使用便捷性，生产环节：完成工艺优化，不断改善产品设计和工艺；同时推进生产流程信息化； </w:t>
      </w:r>
      <w:r>
        <w:rPr>
          <w:rFonts w:ascii="Times New Roman" w:hAnsi="Times New Roman" w:cs="Times New Roman" w:eastAsia="Times New Roman" w:hint="default"/>
        </w:rPr>
        <w:t>3</w:t>
      </w:r>
      <w:r>
        <w:rPr/>
        <w:t>、完善组织建设、引入人才、实施股权激励</w:t>
      </w:r>
    </w:p>
    <w:p>
      <w:pPr>
        <w:pStyle w:val="BodyText"/>
        <w:spacing w:line="300" w:lineRule="auto" w:before="3"/>
        <w:ind w:right="1123" w:firstLine="290"/>
        <w:jc w:val="left"/>
      </w:pPr>
      <w:r>
        <w:rPr/>
        <w:t>完善组织结构，搭建符合汇金业务模式的组织架构，成立九大中心，增设战略市场部，发挥</w:t>
      </w:r>
      <w:r>
        <w:rPr>
          <w:rFonts w:ascii="Times New Roman" w:hAnsi="Times New Roman" w:cs="Times New Roman" w:eastAsia="Times New Roman" w:hint="default"/>
        </w:rPr>
        <w:t>“</w:t>
      </w:r>
      <w:r>
        <w:rPr/>
        <w:t>总参</w:t>
      </w:r>
      <w:r>
        <w:rPr>
          <w:rFonts w:ascii="Times New Roman" w:hAnsi="Times New Roman" w:cs="Times New Roman" w:eastAsia="Times New Roman" w:hint="default"/>
        </w:rPr>
        <w:t>”</w:t>
      </w:r>
      <w:r>
        <w:rPr/>
        <w:t>职能；将软件研发中 心从原产品研发中心独立出来，突出公司软硬一体的核心竞争优势。</w:t>
      </w:r>
    </w:p>
    <w:p>
      <w:pPr>
        <w:pStyle w:val="BodyText"/>
        <w:spacing w:line="300" w:lineRule="auto" w:before="31"/>
        <w:ind w:right="0" w:firstLine="290"/>
        <w:jc w:val="left"/>
      </w:pPr>
      <w:r>
        <w:rPr>
          <w:spacing w:val="-2"/>
        </w:rPr>
        <w:t>人力资源是公司重要的战略资源，落实</w:t>
      </w:r>
      <w:r>
        <w:rPr>
          <w:rFonts w:ascii="Times New Roman" w:hAnsi="Times New Roman" w:cs="Times New Roman" w:eastAsia="Times New Roman" w:hint="default"/>
          <w:spacing w:val="-2"/>
        </w:rPr>
        <w:t>“</w:t>
      </w:r>
      <w:r>
        <w:rPr>
          <w:spacing w:val="-2"/>
        </w:rPr>
        <w:t>总监要有使命感、中层要有危机感、基层要有饥饿感</w:t>
      </w:r>
      <w:r>
        <w:rPr>
          <w:rFonts w:ascii="Times New Roman" w:hAnsi="Times New Roman" w:cs="Times New Roman" w:eastAsia="Times New Roman" w:hint="default"/>
          <w:spacing w:val="-2"/>
        </w:rPr>
        <w:t>”</w:t>
      </w:r>
      <w:r>
        <w:rPr>
          <w:spacing w:val="-2"/>
        </w:rPr>
        <w:t>的组织文化，建立</w:t>
      </w:r>
      <w:r>
        <w:rPr>
          <w:rFonts w:ascii="Times New Roman" w:hAnsi="Times New Roman" w:cs="Times New Roman" w:eastAsia="Times New Roman" w:hint="default"/>
          <w:spacing w:val="-2"/>
        </w:rPr>
        <w:t>“</w:t>
      </w:r>
      <w:r>
        <w:rPr>
          <w:spacing w:val="-2"/>
        </w:rPr>
        <w:t>责任结</w:t>
      </w:r>
      <w:r>
        <w:rPr/>
        <w:t> </w:t>
      </w:r>
      <w:r>
        <w:rPr>
          <w:spacing w:val="-2"/>
        </w:rPr>
        <w:t>果导向</w:t>
      </w:r>
      <w:r>
        <w:rPr>
          <w:rFonts w:ascii="Times New Roman" w:hAnsi="Times New Roman" w:cs="Times New Roman" w:eastAsia="Times New Roman" w:hint="default"/>
          <w:spacing w:val="-2"/>
        </w:rPr>
        <w:t>”</w:t>
      </w:r>
      <w:r>
        <w:rPr>
          <w:spacing w:val="-2"/>
        </w:rPr>
        <w:t>的绩效考核机制，让</w:t>
      </w:r>
      <w:r>
        <w:rPr>
          <w:rFonts w:ascii="Times New Roman" w:hAnsi="Times New Roman" w:cs="Times New Roman" w:eastAsia="Times New Roman" w:hint="default"/>
          <w:spacing w:val="-2"/>
        </w:rPr>
        <w:t>“</w:t>
      </w:r>
      <w:r>
        <w:rPr>
          <w:spacing w:val="-2"/>
        </w:rPr>
        <w:t>人才</w:t>
      </w:r>
      <w:r>
        <w:rPr>
          <w:rFonts w:ascii="Times New Roman" w:hAnsi="Times New Roman" w:cs="Times New Roman" w:eastAsia="Times New Roman" w:hint="default"/>
          <w:spacing w:val="-2"/>
        </w:rPr>
        <w:t>”</w:t>
      </w:r>
      <w:r>
        <w:rPr>
          <w:spacing w:val="-2"/>
        </w:rPr>
        <w:t>资源真正实现增值增效。建立短中长期激励和约束机制，吸引高端研发人才，着眼于</w:t>
      </w:r>
      <w:r>
        <w:rPr>
          <w:rFonts w:ascii="Times New Roman" w:hAnsi="Times New Roman" w:cs="Times New Roman" w:eastAsia="Times New Roman" w:hint="default"/>
          <w:spacing w:val="-2"/>
        </w:rPr>
        <w:t>AI</w:t>
      </w:r>
      <w:r>
        <w:rPr>
          <w:spacing w:val="-2"/>
        </w:rPr>
        <w:t>、</w:t>
      </w:r>
      <w:r>
        <w:rPr>
          <w:spacing w:val="-41"/>
        </w:rPr>
        <w:t> </w:t>
      </w:r>
      <w:r>
        <w:rPr/>
        <w:t>智能移动展业等在金融业的应用。</w:t>
      </w:r>
    </w:p>
    <w:p>
      <w:pPr>
        <w:pStyle w:val="BodyText"/>
        <w:spacing w:line="309" w:lineRule="auto" w:before="31"/>
        <w:ind w:right="1033" w:firstLine="290"/>
        <w:jc w:val="left"/>
      </w:pPr>
      <w:r>
        <w:rPr>
          <w:rFonts w:ascii="Times New Roman" w:hAnsi="Times New Roman" w:cs="Times New Roman" w:eastAsia="Times New Roman" w:hint="default"/>
        </w:rPr>
        <w:t>2017</w:t>
      </w:r>
      <w:r>
        <w:rPr/>
        <w:t>年度，实施股权激励计划，授予公司高管、核心技术骨干</w:t>
      </w:r>
      <w:r>
        <w:rPr>
          <w:rFonts w:ascii="Times New Roman" w:hAnsi="Times New Roman" w:cs="Times New Roman" w:eastAsia="Times New Roman" w:hint="default"/>
        </w:rPr>
        <w:t>42</w:t>
      </w:r>
      <w:r>
        <w:rPr/>
        <w:t>人，共计授予</w:t>
      </w:r>
      <w:r>
        <w:rPr>
          <w:rFonts w:ascii="Times New Roman" w:hAnsi="Times New Roman" w:cs="Times New Roman" w:eastAsia="Times New Roman" w:hint="default"/>
        </w:rPr>
        <w:t>116</w:t>
      </w:r>
      <w:r>
        <w:rPr/>
        <w:t>万股，进一步建立、健全公司长效激 励机制，吸引和留住优秀人才，充分调动公司高级管理人员、中层管理人员和核心技术骨干的积极性，有效地将股东利益、 公司利益和核心团队个人利益结合在一起，共同促进公司发展。</w:t>
      </w:r>
    </w:p>
    <w:p>
      <w:pPr>
        <w:spacing w:after="0" w:line="30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242,018,669.49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218,054,407.37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242,018,669.49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218,054,407.37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银行自助设备现金 管理系统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172,039,011.97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164,419,080.75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银行现金流转内控 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60,971,664.27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42,953,564.23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银行印章管理系统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5,177,479.40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9,020,958.32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3,830,513.85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1,660,804.07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130.64%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18,522,465.21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8,670,405.58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62,474,746.62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46,546,026.85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37,888,374.43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38,276,387.09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17.55%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53,000,932.98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70,080,328.21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30,128,076.88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22,340,606.06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15,032,046.35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15,638,523.86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24,972,027.02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16,502,129.72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74,502,957.48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银行自助设备现 金管理系统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172,039,011.97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44,795,181.62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银行现金流转内 控系统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60,971,664.27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24,865,005.74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62,474,746.62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23,028,017.41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37,888,374.43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11,505,889.10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53,000,932.98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15,556,181.67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30,128,076.88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7,955,222.73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24,972,027.02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6,672,489.80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-42.87%</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19" w:lineRule="auto" w:before="44"/>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报告期库存量较上年同期同比下降</w:t>
      </w:r>
      <w:r>
        <w:rPr>
          <w:rFonts w:ascii="Times New Roman" w:hAnsi="Times New Roman" w:cs="Times New Roman" w:eastAsia="Times New Roman" w:hint="default"/>
          <w:spacing w:val="-1"/>
        </w:rPr>
        <w:t>42.87%</w:t>
      </w:r>
      <w:r>
        <w:rPr>
          <w:spacing w:val="-1"/>
        </w:rPr>
        <w:t>，主要系本期银行自助设备现金管理系统主要组件动态密码锁生产量</w:t>
      </w:r>
      <w:r>
        <w:rPr>
          <w:rFonts w:ascii="Times New Roman" w:hAnsi="Times New Roman" w:cs="Times New Roman" w:eastAsia="Times New Roman" w:hint="default"/>
          <w:spacing w:val="-1"/>
        </w:rPr>
        <w:t>55,598</w:t>
      </w:r>
      <w:r>
        <w:rPr>
          <w:spacing w:val="-1"/>
        </w:rPr>
        <w:t>台，较</w:t>
      </w:r>
      <w:r>
        <w:rPr>
          <w:spacing w:val="-85"/>
        </w:rPr>
        <w:t> </w:t>
      </w:r>
      <w:r>
        <w:rPr>
          <w:spacing w:val="-85"/>
        </w:rPr>
      </w:r>
      <w:r>
        <w:rPr/>
        <w:t>上年同期下降</w:t>
      </w:r>
      <w:r>
        <w:rPr>
          <w:rFonts w:ascii="Times New Roman" w:hAnsi="Times New Roman" w:cs="Times New Roman" w:eastAsia="Times New Roman" w:hint="default"/>
        </w:rPr>
        <w:t>22.65%</w:t>
      </w:r>
      <w:r>
        <w:rPr>
          <w:rFonts w:ascii="Times New Roman" w:hAnsi="Times New Roman" w:cs="Times New Roman" w:eastAsia="Times New Roman" w:hint="default"/>
          <w:spacing w:val="23"/>
        </w:rPr>
        <w:t> </w:t>
      </w:r>
      <w:r>
        <w:rPr/>
        <w:t>，销售量</w:t>
      </w:r>
      <w:r>
        <w:rPr>
          <w:rFonts w:ascii="Times New Roman" w:hAnsi="Times New Roman" w:cs="Times New Roman" w:eastAsia="Times New Roman" w:hint="default"/>
        </w:rPr>
        <w:t>77,875</w:t>
      </w:r>
      <w:r>
        <w:rPr/>
        <w:t>台</w:t>
      </w:r>
      <w:r>
        <w:rPr>
          <w:rFonts w:ascii="Times New Roman" w:hAnsi="Times New Roman" w:cs="Times New Roman" w:eastAsia="Times New Roman" w:hint="default"/>
        </w:rPr>
        <w:t>,</w:t>
      </w:r>
      <w:r>
        <w:rPr/>
        <w:t>较上年同期上升</w:t>
      </w:r>
      <w:r>
        <w:rPr>
          <w:rFonts w:ascii="Times New Roman" w:hAnsi="Times New Roman" w:cs="Times New Roman" w:eastAsia="Times New Roman" w:hint="default"/>
        </w:rPr>
        <w:t>4.66%</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before="44"/>
        <w:ind w:right="-19"/>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63,972,014.43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47,052,498.80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2,629,037.67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2,512,575.82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7,901,905.38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9,042,217.91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-12.61%</w:t>
            </w:r>
          </w:p>
        </w:tc>
      </w:tr>
    </w:tbl>
    <w:p>
      <w:pPr>
        <w:pStyle w:val="BodyText"/>
        <w:spacing w:line="240" w:lineRule="auto" w:before="51"/>
        <w:ind w:left="1134"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日，本公司与孔祥芬、齐庆璇、刘洪、赵贺文、宋庆荣共同设立子公司贵安新区贵金科技有限公司，注册资本</w:t>
      </w:r>
    </w:p>
    <w:p>
      <w:pPr>
        <w:pStyle w:val="BodyText"/>
        <w:spacing w:line="240" w:lineRule="auto" w:before="63"/>
        <w:ind w:right="0"/>
        <w:jc w:val="left"/>
      </w:pPr>
      <w:r>
        <w:rPr>
          <w:rFonts w:ascii="Times New Roman" w:hAnsi="Times New Roman" w:cs="Times New Roman" w:eastAsia="Times New Roman" w:hint="default"/>
        </w:rPr>
        <w:t>500</w:t>
      </w:r>
      <w:r>
        <w:rPr/>
        <w:t>万元，本公司持有</w:t>
      </w:r>
      <w:r>
        <w:rPr>
          <w:rFonts w:ascii="Times New Roman" w:hAnsi="Times New Roman" w:cs="Times New Roman" w:eastAsia="Times New Roman" w:hint="default"/>
        </w:rPr>
        <w:t>51%</w:t>
      </w:r>
      <w:r>
        <w:rPr/>
        <w:t>股权，该公司自成立之日起纳入合并报表范围。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159,146,063.08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84,998,397.96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40,388,067.98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12,638,565.36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11,231,753.89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9,889,277.89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159,146,063.08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65.76%</w:t>
            </w:r>
          </w:p>
        </w:tc>
      </w:tr>
    </w:tbl>
    <w:p>
      <w:pPr>
        <w:pStyle w:val="BodyText"/>
        <w:spacing w:line="240" w:lineRule="auto" w:before="51"/>
        <w:ind w:left="113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22,816,802.08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6,642,561.54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4,769,906.01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4,337,432.02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3,615,704.52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3,451,197.99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22,816,802.08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55,737,886.76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47,621,708.76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17.04%</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17.04%</w:t>
            </w:r>
            <w:r>
              <w:rPr>
                <w:rFonts w:ascii="宋体" w:hAnsi="宋体" w:cs="宋体" w:eastAsia="宋体" w:hint="default"/>
                <w:spacing w:val="-7"/>
                <w:sz w:val="18"/>
                <w:szCs w:val="18"/>
              </w:rPr>
              <w:t>，主要系本期</w:t>
            </w:r>
            <w:r>
              <w:rPr>
                <w:rFonts w:ascii="宋体" w:hAnsi="宋体" w:cs="宋体" w:eastAsia="宋体" w:hint="default"/>
                <w:sz w:val="18"/>
                <w:szCs w:val="18"/>
              </w:rPr>
              <w:t> </w:t>
            </w:r>
            <w:r>
              <w:rPr>
                <w:rFonts w:ascii="宋体" w:hAnsi="宋体" w:cs="宋体" w:eastAsia="宋体" w:hint="default"/>
                <w:spacing w:val="-2"/>
                <w:sz w:val="18"/>
                <w:szCs w:val="18"/>
              </w:rPr>
              <w:t>加强市场营拓，人工及营拓费用相应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49,210,528.50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39,771,605.89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23.73%</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3"/>
              <w:ind w:left="22" w:right="20"/>
              <w:jc w:val="both"/>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23.73%</w:t>
            </w:r>
            <w:r>
              <w:rPr>
                <w:rFonts w:ascii="宋体" w:hAnsi="宋体" w:cs="宋体" w:eastAsia="宋体" w:hint="default"/>
                <w:spacing w:val="-7"/>
                <w:sz w:val="18"/>
                <w:szCs w:val="18"/>
              </w:rPr>
              <w:t>，主要系公司</w:t>
            </w:r>
            <w:r>
              <w:rPr>
                <w:rFonts w:ascii="宋体" w:hAnsi="宋体" w:cs="宋体" w:eastAsia="宋体" w:hint="default"/>
                <w:sz w:val="18"/>
                <w:szCs w:val="18"/>
              </w:rPr>
              <w:t> </w:t>
            </w:r>
            <w:r>
              <w:rPr>
                <w:rFonts w:ascii="宋体" w:hAnsi="宋体" w:cs="宋体" w:eastAsia="宋体" w:hint="default"/>
                <w:spacing w:val="-2"/>
                <w:sz w:val="18"/>
                <w:szCs w:val="18"/>
              </w:rPr>
              <w:t>加大研发投入，积极引入人才，人工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及研发费用相应增加，以及本年增加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限制性股票激励费用所致。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4"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-526,638.97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-381,937.27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-37.89%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较上年同期减少</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37.89%</w:t>
            </w:r>
            <w:r>
              <w:rPr>
                <w:rFonts w:ascii="宋体" w:hAnsi="宋体" w:cs="宋体" w:eastAsia="宋体" w:hint="default"/>
                <w:spacing w:val="-7"/>
                <w:sz w:val="18"/>
                <w:szCs w:val="18"/>
              </w:rPr>
              <w:t>，系银行存款</w:t>
            </w:r>
            <w:r>
              <w:rPr>
                <w:rFonts w:ascii="宋体" w:hAnsi="宋体" w:cs="宋体" w:eastAsia="宋体" w:hint="default"/>
                <w:sz w:val="18"/>
                <w:szCs w:val="18"/>
              </w:rPr>
              <w:t> 利息收入增加所致。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公司根据董事会确定的战略，顺应社会发展及金融强监管、控风险趋势，积极关注金融业改革和金融科技发展动向，高</w:t>
      </w:r>
    </w:p>
    <w:p>
      <w:pPr>
        <w:pStyle w:val="BodyText"/>
        <w:spacing w:line="240" w:lineRule="auto" w:before="2"/>
        <w:ind w:right="0"/>
        <w:jc w:val="left"/>
      </w:pPr>
      <w:r>
        <w:rPr/>
        <w:t>度重视研发创新能力的提升。报告期内，公司从事的主要研发项目情况如下：</w:t>
      </w:r>
    </w:p>
    <w:p>
      <w:pPr>
        <w:spacing w:line="240" w:lineRule="auto" w:before="0"/>
        <w:rPr>
          <w:rFonts w:ascii="宋体" w:hAnsi="宋体" w:cs="宋体" w:eastAsia="宋体" w:hint="default"/>
          <w:sz w:val="5"/>
          <w:szCs w:val="5"/>
        </w:rPr>
      </w:pPr>
    </w:p>
    <w:tbl>
      <w:tblPr>
        <w:tblW w:w="0" w:type="auto"/>
        <w:jc w:val="left"/>
        <w:tblInd w:w="1586" w:type="dxa"/>
        <w:tblLayout w:type="fixed"/>
        <w:tblCellMar>
          <w:top w:w="0" w:type="dxa"/>
          <w:left w:w="0" w:type="dxa"/>
          <w:bottom w:w="0" w:type="dxa"/>
          <w:right w:w="0" w:type="dxa"/>
        </w:tblCellMar>
        <w:tblLook w:val="01E0"/>
      </w:tblPr>
      <w:tblGrid>
        <w:gridCol w:w="1625"/>
        <w:gridCol w:w="6033"/>
        <w:gridCol w:w="1061"/>
      </w:tblGrid>
      <w:tr>
        <w:trPr>
          <w:trHeight w:val="443"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6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拟达到目标</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18"/>
                <w:szCs w:val="18"/>
              </w:rPr>
            </w:pPr>
            <w:r>
              <w:rPr>
                <w:rFonts w:ascii="宋体" w:hAnsi="宋体" w:cs="宋体" w:eastAsia="宋体" w:hint="default"/>
                <w:sz w:val="18"/>
                <w:szCs w:val="18"/>
              </w:rPr>
              <w:t>目前进展</w:t>
            </w:r>
          </w:p>
        </w:tc>
      </w:tr>
      <w:tr>
        <w:trPr>
          <w:trHeight w:val="2771"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中央控制系统</w:t>
            </w:r>
          </w:p>
        </w:tc>
        <w:tc>
          <w:tcPr>
            <w:tcW w:w="60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75"/>
              <w:jc w:val="left"/>
              <w:rPr>
                <w:rFonts w:ascii="宋体" w:hAnsi="宋体" w:cs="宋体" w:eastAsia="宋体" w:hint="default"/>
                <w:sz w:val="18"/>
                <w:szCs w:val="18"/>
              </w:rPr>
            </w:pPr>
            <w:r>
              <w:rPr>
                <w:rFonts w:ascii="宋体" w:hAnsi="宋体" w:cs="宋体" w:eastAsia="宋体" w:hint="default"/>
                <w:sz w:val="18"/>
                <w:szCs w:val="18"/>
              </w:rPr>
              <w:t>在统一化的软硬件平台上实现三个子系统：加钞间门禁子系统、自助设备动 态密码锁子系统、金库门锁子系统。</w:t>
            </w:r>
          </w:p>
          <w:p>
            <w:pPr>
              <w:pStyle w:val="TableParagraph"/>
              <w:spacing w:line="316" w:lineRule="auto" w:before="67"/>
              <w:ind w:left="2" w:right="74"/>
              <w:jc w:val="left"/>
              <w:rPr>
                <w:rFonts w:ascii="宋体" w:hAnsi="宋体" w:cs="宋体" w:eastAsia="宋体" w:hint="default"/>
                <w:sz w:val="18"/>
                <w:szCs w:val="18"/>
              </w:rPr>
            </w:pPr>
            <w:r>
              <w:rPr>
                <w:rFonts w:ascii="宋体" w:hAnsi="宋体" w:cs="宋体" w:eastAsia="宋体" w:hint="default"/>
                <w:sz w:val="18"/>
                <w:szCs w:val="18"/>
              </w:rPr>
              <w:t>加钞间门禁系统实现加钞间门的安全管理，主要功能有授权开锁，视频和图 片记录，多种主动告警及状态监控等。</w:t>
            </w:r>
          </w:p>
          <w:p>
            <w:pPr>
              <w:pStyle w:val="TableParagraph"/>
              <w:spacing w:line="316" w:lineRule="auto" w:before="67"/>
              <w:ind w:left="2" w:right="74"/>
              <w:jc w:val="left"/>
              <w:rPr>
                <w:rFonts w:ascii="宋体" w:hAnsi="宋体" w:cs="宋体" w:eastAsia="宋体" w:hint="default"/>
                <w:sz w:val="18"/>
                <w:szCs w:val="18"/>
              </w:rPr>
            </w:pPr>
            <w:r>
              <w:rPr>
                <w:rFonts w:ascii="宋体" w:hAnsi="宋体" w:cs="宋体" w:eastAsia="宋体" w:hint="default"/>
                <w:sz w:val="18"/>
                <w:szCs w:val="18"/>
              </w:rPr>
              <w:t>自助设备动态密码锁系统实现自主设备锁的安全管理，实现的多种可配置的 开锁模式，多种通信方式，多种安全机制，以适应不通客户需求。</w:t>
            </w:r>
          </w:p>
          <w:p>
            <w:pPr>
              <w:pStyle w:val="TableParagraph"/>
              <w:spacing w:line="316" w:lineRule="auto" w:before="67"/>
              <w:ind w:left="2" w:right="74"/>
              <w:jc w:val="left"/>
              <w:rPr>
                <w:rFonts w:ascii="宋体" w:hAnsi="宋体" w:cs="宋体" w:eastAsia="宋体" w:hint="default"/>
                <w:sz w:val="18"/>
                <w:szCs w:val="18"/>
              </w:rPr>
            </w:pPr>
            <w:r>
              <w:rPr>
                <w:rFonts w:ascii="宋体" w:hAnsi="宋体" w:cs="宋体" w:eastAsia="宋体" w:hint="default"/>
                <w:sz w:val="18"/>
                <w:szCs w:val="18"/>
              </w:rPr>
              <w:t>金库管理系统按照金库管理的流程实现对金库门锁的安全管理，实现金库门 上多个锁具的统一化管理。</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18"/>
                <w:szCs w:val="18"/>
              </w:rPr>
            </w:pPr>
            <w:r>
              <w:rPr>
                <w:rFonts w:ascii="宋体" w:hAnsi="宋体" w:cs="宋体" w:eastAsia="宋体" w:hint="default"/>
                <w:sz w:val="18"/>
                <w:szCs w:val="18"/>
              </w:rPr>
              <w:t>产品优化</w:t>
            </w:r>
          </w:p>
        </w:tc>
      </w:tr>
      <w:tr>
        <w:trPr>
          <w:trHeight w:val="3803"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715" w:right="83" w:hanging="630"/>
              <w:jc w:val="left"/>
              <w:rPr>
                <w:rFonts w:ascii="宋体" w:hAnsi="宋体" w:cs="宋体" w:eastAsia="宋体" w:hint="default"/>
                <w:sz w:val="18"/>
                <w:szCs w:val="18"/>
              </w:rPr>
            </w:pPr>
            <w:r>
              <w:rPr>
                <w:rFonts w:ascii="宋体" w:hAnsi="宋体" w:cs="宋体" w:eastAsia="宋体" w:hint="default"/>
                <w:sz w:val="18"/>
                <w:szCs w:val="18"/>
              </w:rPr>
              <w:t>物联网印章管理系 统</w:t>
            </w:r>
          </w:p>
        </w:tc>
        <w:tc>
          <w:tcPr>
            <w:tcW w:w="6033"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69"/>
              <w:ind w:left="2" w:right="1"/>
              <w:jc w:val="left"/>
              <w:rPr>
                <w:rFonts w:ascii="宋体" w:hAnsi="宋体" w:cs="宋体" w:eastAsia="宋体" w:hint="default"/>
                <w:sz w:val="18"/>
                <w:szCs w:val="18"/>
              </w:rPr>
            </w:pPr>
            <w:r>
              <w:rPr>
                <w:rFonts w:ascii="宋体" w:hAnsi="宋体" w:cs="宋体" w:eastAsia="宋体" w:hint="default"/>
                <w:sz w:val="18"/>
                <w:szCs w:val="18"/>
              </w:rPr>
              <w:t>产品满足银行和企业用印的申请、审批和用印，实现对印章的申请、使用、 交接等操作进行管理，能安全、方便地并实现日常工作中对印章的使用，并 具备以下特征功能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用印过程全流程痕迹化，支持用印文件用印前后自动拍照及外部用印环境拍</w:t>
            </w:r>
          </w:p>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照。</w:t>
            </w:r>
          </w:p>
          <w:p>
            <w:pPr>
              <w:pStyle w:val="TableParagraph"/>
              <w:spacing w:line="240" w:lineRule="auto" w:before="12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用印时无纸检测：没有放置纸张时系统将提示，并不能用印。</w:t>
            </w:r>
          </w:p>
          <w:p>
            <w:pPr>
              <w:pStyle w:val="TableParagraph"/>
              <w:spacing w:line="240" w:lineRule="auto" w:before="11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用印时白纸检测：当纸张是无字白纸时系统将提示，并不能用印。</w:t>
            </w:r>
          </w:p>
          <w:p>
            <w:pPr>
              <w:pStyle w:val="TableParagraph"/>
              <w:spacing w:line="300" w:lineRule="auto" w:before="111"/>
              <w:ind w:left="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消息推送服务：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宋体" w:hAnsi="宋体" w:cs="宋体" w:eastAsia="宋体" w:hint="default"/>
                <w:sz w:val="18"/>
                <w:szCs w:val="18"/>
              </w:rPr>
              <w:t>安装印章审批消息推送服务程序提示时，审批角色用户 在有新的待审批业务时，系统将弹出提示，用户可点击弹出消息框进入系统</w:t>
            </w:r>
          </w:p>
          <w:p>
            <w:pPr>
              <w:pStyle w:val="TableParagraph"/>
              <w:spacing w:line="300" w:lineRule="auto" w:before="79"/>
              <w:ind w:left="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手机办理审批：安装并登录了</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手机客户端后，用户可收到新的审批</w:t>
            </w:r>
            <w:r>
              <w:rPr>
                <w:rFonts w:ascii="宋体" w:hAnsi="宋体" w:cs="宋体" w:eastAsia="宋体" w:hint="default"/>
                <w:w w:val="99"/>
                <w:sz w:val="18"/>
                <w:szCs w:val="18"/>
              </w:rPr>
              <w:t> </w:t>
            </w:r>
            <w:r>
              <w:rPr>
                <w:rFonts w:ascii="宋体" w:hAnsi="宋体" w:cs="宋体" w:eastAsia="宋体" w:hint="default"/>
                <w:sz w:val="18"/>
                <w:szCs w:val="18"/>
              </w:rPr>
              <w:t>待办消息提醒，并可点击提醒进入系统，对待审批业务进行处理操作。</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54" w:right="0"/>
              <w:jc w:val="left"/>
              <w:rPr>
                <w:rFonts w:ascii="宋体" w:hAnsi="宋体" w:cs="宋体" w:eastAsia="宋体" w:hint="default"/>
                <w:sz w:val="18"/>
                <w:szCs w:val="18"/>
              </w:rPr>
            </w:pPr>
            <w:r>
              <w:rPr>
                <w:rFonts w:ascii="宋体" w:hAnsi="宋体" w:cs="宋体" w:eastAsia="宋体" w:hint="default"/>
                <w:sz w:val="18"/>
                <w:szCs w:val="18"/>
              </w:rPr>
              <w:t>产品化</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67"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金库管理系统</w:t>
            </w:r>
          </w:p>
        </w:tc>
        <w:tc>
          <w:tcPr>
            <w:tcW w:w="60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74"/>
              <w:jc w:val="both"/>
              <w:rPr>
                <w:rFonts w:ascii="宋体" w:hAnsi="宋体" w:cs="宋体" w:eastAsia="宋体" w:hint="default"/>
                <w:sz w:val="18"/>
                <w:szCs w:val="18"/>
              </w:rPr>
            </w:pPr>
            <w:r>
              <w:rPr>
                <w:rFonts w:ascii="宋体" w:hAnsi="宋体" w:cs="宋体" w:eastAsia="宋体" w:hint="default"/>
                <w:sz w:val="18"/>
                <w:szCs w:val="18"/>
              </w:rPr>
              <w:t>实现对金库全方位保障的一套安全防范系统，运用物联网技术，包括动态密 码、生物识别技术、视频拍摄、前后台报警系统、出入记录、后台管理系统 等相关技术，是对金库门管理实现安全管理的有效防范措施。</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434" w:right="71" w:hanging="360"/>
              <w:jc w:val="left"/>
              <w:rPr>
                <w:rFonts w:ascii="宋体" w:hAnsi="宋体" w:cs="宋体" w:eastAsia="宋体" w:hint="default"/>
                <w:sz w:val="18"/>
                <w:szCs w:val="18"/>
              </w:rPr>
            </w:pPr>
            <w:r>
              <w:rPr>
                <w:rFonts w:ascii="宋体" w:hAnsi="宋体" w:cs="宋体" w:eastAsia="宋体" w:hint="default"/>
                <w:sz w:val="18"/>
                <w:szCs w:val="18"/>
              </w:rPr>
              <w:t>研发测试阶 段</w:t>
            </w:r>
          </w:p>
        </w:tc>
      </w:tr>
      <w:tr>
        <w:trPr>
          <w:trHeight w:val="1380"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汇金电子印章系统</w:t>
            </w:r>
          </w:p>
        </w:tc>
        <w:tc>
          <w:tcPr>
            <w:tcW w:w="60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74"/>
              <w:jc w:val="both"/>
              <w:rPr>
                <w:rFonts w:ascii="宋体" w:hAnsi="宋体" w:cs="宋体" w:eastAsia="宋体" w:hint="default"/>
                <w:sz w:val="18"/>
                <w:szCs w:val="18"/>
              </w:rPr>
            </w:pPr>
            <w:r>
              <w:rPr>
                <w:rFonts w:ascii="宋体" w:hAnsi="宋体" w:cs="宋体" w:eastAsia="宋体" w:hint="default"/>
                <w:sz w:val="18"/>
                <w:szCs w:val="18"/>
              </w:rPr>
              <w:t>电子印章是实体印章的印文电子化（图像化）使用打印机打印印章图像代替 原来加盖的实体印章，电子印章的样式与实体印章一致，通常由印章图像和 验证码组成，可通过验证码校验电子印章的真伪。可实现系统管理、业务管 理、验证服务、用印服务、风险控制、统计分析、生命周期管理等功能。</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18"/>
                <w:szCs w:val="18"/>
              </w:rPr>
            </w:pPr>
            <w:r>
              <w:rPr>
                <w:rFonts w:ascii="宋体" w:hAnsi="宋体" w:cs="宋体" w:eastAsia="宋体" w:hint="default"/>
                <w:sz w:val="18"/>
                <w:szCs w:val="18"/>
              </w:rPr>
              <w:t>产品标准化</w:t>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28,818,427.64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25,245,949.57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17,244,325.22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218,445,255.44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244,081,496.60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209,418,574.87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180,635,522.46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9,026,680.57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63,445,974.14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1,491,331,064.83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456,288,306.60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1,132,693,577.59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861,920,848.34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358,637,487.24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-405,632,541.74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334,740,329.70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304,740,329.70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375,866,167.81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-37,446,237.90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1,103.75%</w:t>
            </w:r>
          </w:p>
        </w:tc>
      </w:tr>
    </w:tbl>
    <w:p>
      <w:pPr>
        <w:pStyle w:val="BodyText"/>
        <w:spacing w:line="240" w:lineRule="auto" w:before="51"/>
        <w:ind w:left="1134" w:right="0"/>
        <w:jc w:val="left"/>
      </w:pPr>
      <w:r>
        <w:rPr/>
        <w:t>相关数据同比发生重大变动的主要影响因素说明</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经营活动产生的现金流量净额较上年同期下降</w:t>
      </w:r>
      <w:r>
        <w:rPr>
          <w:rFonts w:ascii="Times New Roman" w:hAnsi="Times New Roman" w:cs="Times New Roman" w:eastAsia="Times New Roman" w:hint="default"/>
        </w:rPr>
        <w:t>85.77%</w:t>
      </w:r>
      <w:r>
        <w:rPr/>
        <w:t>，主要因行业季节性特点，销售收入集中在下半年，部分货款尚未及 </w:t>
      </w:r>
      <w:r>
        <w:rPr>
          <w:spacing w:val="-1"/>
        </w:rPr>
        <w:t>时回笼。投资活动产生的现金流量净额较上年同期增加</w:t>
      </w:r>
      <w:r>
        <w:rPr>
          <w:rFonts w:ascii="Times New Roman" w:hAnsi="Times New Roman" w:cs="Times New Roman" w:eastAsia="Times New Roman" w:hint="default"/>
          <w:spacing w:val="-1"/>
        </w:rPr>
        <w:t>188.41%</w:t>
      </w:r>
      <w:r>
        <w:rPr>
          <w:spacing w:val="-1"/>
        </w:rPr>
        <w:t>，主要系期末理财产品到期收回所致。筹资活动产生的现金</w:t>
      </w:r>
    </w:p>
    <w:p>
      <w:pPr>
        <w:pStyle w:val="BodyText"/>
        <w:spacing w:line="247" w:lineRule="exact"/>
        <w:ind w:right="0"/>
        <w:jc w:val="left"/>
      </w:pPr>
      <w:r>
        <w:rPr/>
        <w:t>流量净额较上年同期下降</w:t>
      </w:r>
      <w:r>
        <w:rPr>
          <w:rFonts w:ascii="Times New Roman" w:hAnsi="Times New Roman" w:cs="Times New Roman" w:eastAsia="Times New Roman" w:hint="default"/>
        </w:rPr>
        <w:t>97.31%</w:t>
      </w:r>
      <w:r>
        <w:rPr/>
        <w:t>，主要系上年收到首次公开发行股票募集资金所致。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134" w:right="0"/>
        <w:jc w:val="left"/>
      </w:pPr>
      <w:r>
        <w:rPr>
          <w:rFonts w:ascii="Times New Roman" w:hAnsi="Times New Roman" w:cs="Times New Roman" w:eastAsia="Times New Roman" w:hint="default"/>
          <w:spacing w:val="-1"/>
        </w:rPr>
        <w:t>2017</w:t>
      </w:r>
      <w:r>
        <w:rPr>
          <w:spacing w:val="-1"/>
        </w:rPr>
        <w:t>年净利润</w:t>
      </w:r>
      <w:r>
        <w:rPr>
          <w:rFonts w:ascii="Times New Roman" w:hAnsi="Times New Roman" w:cs="Times New Roman" w:eastAsia="Times New Roman" w:hint="default"/>
          <w:spacing w:val="-1"/>
        </w:rPr>
        <w:t>79,682,818.31</w:t>
      </w:r>
      <w:r>
        <w:rPr>
          <w:spacing w:val="-1"/>
        </w:rPr>
        <w:t>元，经营活动产生的现金净流量</w:t>
      </w:r>
      <w:r>
        <w:rPr>
          <w:rFonts w:ascii="Times New Roman" w:hAnsi="Times New Roman" w:cs="Times New Roman" w:eastAsia="Times New Roman" w:hint="default"/>
          <w:spacing w:val="-1"/>
        </w:rPr>
        <w:t>9,026,680.57</w:t>
      </w:r>
      <w:r>
        <w:rPr>
          <w:spacing w:val="-1"/>
        </w:rPr>
        <w:t>元，差异</w:t>
      </w:r>
      <w:r>
        <w:rPr>
          <w:rFonts w:ascii="Times New Roman" w:hAnsi="Times New Roman" w:cs="Times New Roman" w:eastAsia="Times New Roman" w:hint="default"/>
          <w:spacing w:val="-1"/>
        </w:rPr>
        <w:t>70,656,137.74</w:t>
      </w:r>
      <w:r>
        <w:rPr>
          <w:spacing w:val="-1"/>
        </w:rPr>
        <w:t>元，主要系营业收入增长相应</w:t>
      </w:r>
      <w:r>
        <w:rPr>
          <w:spacing w:val="-62"/>
        </w:rPr>
        <w:t> </w:t>
      </w:r>
      <w:r>
        <w:rPr>
          <w:spacing w:val="-62"/>
        </w:rPr>
      </w:r>
      <w:r>
        <w:rPr/>
        <w:t>的应收账款增加，公司所属行业具有季节性特征，今年收入主要集中在下半年，部分货款尚未及时回笼。</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14,541,383.46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6,436,786.96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主要为应收账款坏账准备 及存货跌价损失</w:t>
            </w:r>
          </w:p>
        </w:tc>
        <w:tc>
          <w:tcPr>
            <w:tcW w:w="234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应收账款坏账准备具有可持 续性</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2,100,027.00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7,049.81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主要为非流动资产报废损 失</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0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16,172,292.67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主要为增值税即征即退收 入以及与日常活动有关的 其他政府补助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增值税即征即退收入具有可 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514,554,542.0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67.03%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138,688,374.25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19.99%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47.04%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主要系期末理财产品到期收回。</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105,711,641.8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44,808,957.69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7.31%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54,283,743.53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54,306,320.13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14,565,887.73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16,410,128.45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7,303,351.21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5,282,345.07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49,026,496.15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405,231,960.87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主要系期末理财产品到期收回。</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11,849,897.45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10,663,057.41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截至报告期末，公司主要资产不存在被查封、扣押、冻结或者被抵押、质押的情形。</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23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33,296.61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769.92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4,989.12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29,225.46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 的募集资 金将用于 完成募投 </w:t>
            </w:r>
            <w:r>
              <w:rPr>
                <w:rFonts w:ascii="宋体" w:hAnsi="宋体" w:cs="宋体" w:eastAsia="宋体" w:hint="default"/>
                <w:spacing w:val="-18"/>
                <w:sz w:val="18"/>
                <w:szCs w:val="18"/>
              </w:rPr>
              <w:t>项目，其存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放于募投 资金三方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362"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
              <w:jc w:val="center"/>
              <w:rPr>
                <w:rFonts w:ascii="宋体" w:hAnsi="宋体" w:cs="宋体" w:eastAsia="宋体" w:hint="default"/>
                <w:sz w:val="18"/>
                <w:szCs w:val="18"/>
              </w:rPr>
            </w:pPr>
            <w:r>
              <w:rPr>
                <w:rFonts w:ascii="宋体" w:hAnsi="宋体" w:cs="宋体" w:eastAsia="宋体" w:hint="default"/>
                <w:sz w:val="18"/>
                <w:szCs w:val="18"/>
              </w:rPr>
              <w:t>监管专户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33,296.61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769.92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4,989.12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29,225.46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年度，公司实际使用募集资金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769.92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万元，累计使用募集资金总额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4,989.12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日，募集资</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金尚未使用金额为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29,225.46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万元，专用账户余额为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29,225.46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万元（包括累计收到的银行存款利息扣除银行手续费等的净 </w:t>
            </w:r>
            <w:r>
              <w:rPr>
                <w:rFonts w:ascii="宋体" w:hAnsi="宋体" w:cs="宋体" w:eastAsia="宋体" w:hint="default"/>
                <w:spacing w:val="-2"/>
                <w:sz w:val="18"/>
                <w:szCs w:val="18"/>
              </w:rPr>
              <w:t>额）。公司将尚未使用的募集资金存放于银行募集资金专户，同时使用部分闲置募集资金进行现金管理。</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银行自助设备内控管 理解决方案升级改造 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14,547.65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14,547.65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银行现金实物流转内 控管理解决方案升级 改造项目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7,132.16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7,132.16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1,349.79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4,154.45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银行印章管理解决方 案建设项目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6,006.54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物流内控管理解决方 案建设项目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1,455.81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33,296.61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769.92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4,989.12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33,296.61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4,989.12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项目目前处于投入、建设期。</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经公司第二届董事会第九次会议、第二届监事会第九次会议审议通过，公司全部募投项目实施地点 </w:t>
            </w:r>
            <w:r>
              <w:rPr>
                <w:rFonts w:ascii="宋体" w:hAnsi="宋体" w:cs="宋体" w:eastAsia="宋体" w:hint="default"/>
                <w:spacing w:val="-2"/>
                <w:sz w:val="18"/>
                <w:szCs w:val="18"/>
              </w:rPr>
              <w:t>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珠海市科技创新海岸南围、港湾北路西、技七路南侧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珠海市科技创新海岸北围、金环路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北、金环西路西侧</w:t>
            </w:r>
            <w:r>
              <w:rPr>
                <w:rFonts w:ascii="Times New Roman" w:hAnsi="Times New Roman" w:cs="Times New Roman" w:eastAsia="Times New Roman" w:hint="default"/>
                <w:sz w:val="18"/>
                <w:szCs w:val="18"/>
              </w:rPr>
              <w:t>”</w:t>
            </w:r>
            <w:r>
              <w:rPr>
                <w:rFonts w:ascii="宋体" w:hAnsi="宋体" w:cs="宋体" w:eastAsia="宋体" w:hint="default"/>
                <w:sz w:val="18"/>
                <w:szCs w:val="18"/>
              </w:rPr>
              <w:t>；同时因项目实施地点变更项目完成时间不晚于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日。具体内容详</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见《关于变更部份募投项目实施地点和延期完成的公告</w:t>
            </w:r>
            <w:r>
              <w:rPr>
                <w:rFonts w:ascii="宋体" w:hAnsi="宋体" w:cs="宋体" w:eastAsia="宋体" w:hint="default"/>
                <w:spacing w:val="-90"/>
                <w:sz w:val="18"/>
                <w:szCs w:val="18"/>
              </w:rPr>
              <w:t>》</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2017- 016</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在公司首次公开发行股票募集资金到位以前，为保障募集资金投资项目的顺利进行，公司已利用自 </w:t>
            </w:r>
            <w:r>
              <w:rPr>
                <w:rFonts w:ascii="宋体" w:hAnsi="宋体" w:cs="宋体" w:eastAsia="宋体" w:hint="default"/>
                <w:spacing w:val="-6"/>
                <w:sz w:val="18"/>
                <w:szCs w:val="18"/>
              </w:rPr>
              <w:t>筹资金预先投入。预先投入的自筹资金金额已经瑞华会计师事务所（特殊普通合伙）鉴证，并于</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2017</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日出具了《关于珠海汇金科技股份有限公司以自筹资金预先投入募集资金投资项目情况报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告的鉴证报告</w:t>
            </w:r>
            <w:r>
              <w:rPr>
                <w:rFonts w:ascii="宋体" w:hAnsi="宋体" w:cs="宋体" w:eastAsia="宋体" w:hint="default"/>
                <w:spacing w:val="-90"/>
                <w:sz w:val="18"/>
                <w:szCs w:val="18"/>
              </w:rPr>
              <w:t>》</w:t>
            </w:r>
            <w:r>
              <w:rPr>
                <w:rFonts w:ascii="宋体" w:hAnsi="宋体" w:cs="宋体" w:eastAsia="宋体" w:hint="default"/>
                <w:sz w:val="18"/>
                <w:szCs w:val="18"/>
              </w:rPr>
              <w:t>（瑞华核字</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40060001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。依据上述鉴证报告，公司已于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用募集资金置换预先投入自筹资金合计 </w:t>
            </w:r>
            <w:r>
              <w:rPr>
                <w:rFonts w:ascii="Times New Roman" w:hAnsi="Times New Roman" w:cs="Times New Roman" w:eastAsia="Times New Roman" w:hint="default"/>
                <w:sz w:val="18"/>
                <w:szCs w:val="18"/>
              </w:rPr>
              <w:t>3,900.47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尚未使用的募集资金将用于完成募投项目，其存放于募投资金三方监管专户；同时使用部分闲置募 集资金进行现金管理。</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89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贵安新区贵 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智能科技产 品的研发、 设计及销 售，人工智 能及大数据 的研发与销 售，软件和 信息技术服 务领域内的 技术及产品 开发、技术 转让、技术 咨询、技术 服务，计算 机软硬件及 辅助设备、 电子设备、 通信设备、 信息服务产 品，安全保 护服务产品 的设计、研 发、生产、 销售及维 护。</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伍佰万元整</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1,984,961.31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1,914,461.31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-113,914.92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-85,538.69</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对公司本期合并报表净利润的影响为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Style w:val="BodyText"/>
        <w:spacing w:line="357" w:lineRule="auto" w:before="51"/>
        <w:ind w:left="1134" w:right="8592"/>
        <w:jc w:val="left"/>
      </w:pPr>
      <w:r>
        <w:rPr/>
        <w:t>主要控股参股公司情况说明 不适用。</w:t>
      </w:r>
    </w:p>
    <w:p>
      <w:pPr>
        <w:spacing w:after="0" w:line="357" w:lineRule="auto"/>
        <w:jc w:val="left"/>
        <w:sectPr>
          <w:type w:val="continuous"/>
          <w:pgSz w:w="11910" w:h="16840"/>
          <w:pgMar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（一）行业格局和未来发展趋势</w:t>
      </w:r>
    </w:p>
    <w:p>
      <w:pPr>
        <w:pStyle w:val="BodyText"/>
        <w:spacing w:line="240" w:lineRule="auto" w:before="76"/>
        <w:ind w:left="1493" w:right="0"/>
        <w:jc w:val="left"/>
      </w:pPr>
      <w:r>
        <w:rPr/>
        <w:t>纵观金融科技的发展历程主要分为三个阶段：金融科技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阶段是金融机构信息化阶段，以提高金融机构的运营效率，</w:t>
      </w:r>
    </w:p>
    <w:p>
      <w:pPr>
        <w:pStyle w:val="BodyText"/>
        <w:spacing w:line="300" w:lineRule="auto" w:before="63"/>
        <w:ind w:right="1129"/>
        <w:jc w:val="both"/>
      </w:pPr>
      <w:r>
        <w:rPr>
          <w:spacing w:val="-4"/>
        </w:rPr>
        <w:t>如银行信贷系统、清算系统。</w:t>
      </w:r>
      <w:r>
        <w:rPr>
          <w:spacing w:val="-64"/>
        </w:rPr>
        <w:t> </w:t>
      </w:r>
      <w:r>
        <w:rPr/>
        <w:t>金融科技</w:t>
      </w:r>
      <w:r>
        <w:rPr>
          <w:spacing w:val="-28"/>
        </w:rPr>
        <w:t> </w:t>
      </w:r>
      <w:r>
        <w:rPr>
          <w:rFonts w:ascii="Times New Roman" w:hAnsi="Times New Roman" w:cs="Times New Roman" w:eastAsia="Times New Roman" w:hint="default"/>
        </w:rPr>
        <w:t>2.0</w:t>
      </w:r>
      <w:r>
        <w:rPr>
          <w:rFonts w:ascii="Times New Roman" w:hAnsi="Times New Roman" w:cs="Times New Roman" w:eastAsia="Times New Roman" w:hint="default"/>
          <w:spacing w:val="15"/>
        </w:rPr>
        <w:t> </w:t>
      </w:r>
      <w:r>
        <w:rPr/>
        <w:t>阶段是移动互联网的应用，比较典型的是移动支付等技术的应用。</w:t>
      </w:r>
      <w:r>
        <w:rPr>
          <w:spacing w:val="-64"/>
        </w:rPr>
        <w:t> </w:t>
      </w:r>
      <w:r>
        <w:rPr/>
        <w:t>金融科技</w:t>
      </w:r>
      <w:r>
        <w:rPr>
          <w:spacing w:val="-27"/>
        </w:rPr>
        <w:t> </w:t>
      </w:r>
      <w:r>
        <w:rPr>
          <w:rFonts w:ascii="Times New Roman" w:hAnsi="Times New Roman" w:cs="Times New Roman" w:eastAsia="Times New Roman" w:hint="default"/>
        </w:rPr>
        <w:t>3.0 </w:t>
      </w:r>
      <w:r>
        <w:rPr/>
        <w:t>阶段是</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新技术的应用和场景化丰富，如物联网技术、人工智能等技术的应用于场景化；随着新科技的不断发展，未来有 望与金融领域深度融合，推动我国金融科技进入</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阶段。目前各家银行已积极布局金融科技领域，给产业链上下游各公司 带来较大的机遇。</w:t>
      </w:r>
    </w:p>
    <w:p>
      <w:pPr>
        <w:pStyle w:val="BodyText"/>
        <w:spacing w:line="316" w:lineRule="auto" w:before="31"/>
        <w:ind w:right="1133" w:firstLine="360"/>
        <w:jc w:val="both"/>
      </w:pPr>
      <w:r>
        <w:rPr>
          <w:spacing w:val="-2"/>
        </w:rPr>
        <w:t>另一方面，在金融去杠杆、加强监管以及中美贸易摩擦加剧的大背景下，银行业对风险管理高度重视并持续加大科技投</w:t>
      </w:r>
      <w:r>
        <w:rPr/>
        <w:t> 入，运用物联网等金融科技技术助力金融风险防范逐步成为趋势，具有较大的市场空间。</w:t>
      </w:r>
    </w:p>
    <w:p>
      <w:pPr>
        <w:pStyle w:val="BodyText"/>
        <w:spacing w:line="316" w:lineRule="auto" w:before="19"/>
        <w:ind w:right="1131" w:firstLine="290"/>
        <w:jc w:val="both"/>
      </w:pPr>
      <w:r>
        <w:rPr>
          <w:spacing w:val="-1"/>
        </w:rPr>
        <w:t>在目前的市场格局下，公司积极推进金融科技，紧紧围绕金融风险防范，聚焦需求，不断运用并丰富金融科技技术并丰</w:t>
      </w:r>
      <w:r>
        <w:rPr/>
        <w:t> 富场景，为公司提供了较大的市场空间和成长性。</w:t>
      </w:r>
    </w:p>
    <w:p>
      <w:pPr>
        <w:pStyle w:val="BodyText"/>
        <w:spacing w:line="316" w:lineRule="auto" w:before="19"/>
        <w:ind w:left="1424" w:right="1122" w:hanging="291"/>
        <w:jc w:val="left"/>
      </w:pPr>
      <w:r>
        <w:rPr/>
        <w:t>（二）公司发展战略 公司将秉承</w:t>
      </w:r>
      <w:r>
        <w:rPr>
          <w:rFonts w:ascii="Times New Roman" w:hAnsi="Times New Roman" w:cs="Times New Roman" w:eastAsia="Times New Roman" w:hint="default"/>
        </w:rPr>
        <w:t>“</w:t>
      </w:r>
      <w:r>
        <w:rPr/>
        <w:t>以客户为中心、市场为导向，为客户创造价值</w:t>
      </w:r>
      <w:r>
        <w:rPr>
          <w:rFonts w:ascii="Times New Roman" w:hAnsi="Times New Roman" w:cs="Times New Roman" w:eastAsia="Times New Roman" w:hint="default"/>
        </w:rPr>
        <w:t>”</w:t>
      </w:r>
      <w:r>
        <w:rPr/>
        <w:t>的核心价值理念，立足于银行内控风险管理领域，依托物联</w:t>
      </w:r>
    </w:p>
    <w:p>
      <w:pPr>
        <w:pStyle w:val="BodyText"/>
        <w:spacing w:line="316" w:lineRule="auto"/>
        <w:ind w:right="1130"/>
        <w:jc w:val="both"/>
      </w:pPr>
      <w:r>
        <w:rPr>
          <w:spacing w:val="-2"/>
        </w:rPr>
        <w:t>网技术、人工智能技术等，为银行业务运营、网点建设提供专业服务，集中精力于银行内控风险管理相关的产品开发、硬件</w:t>
      </w:r>
      <w:r>
        <w:rPr>
          <w:spacing w:val="-66"/>
        </w:rPr>
        <w:t> </w:t>
      </w:r>
      <w:r>
        <w:rPr>
          <w:spacing w:val="-66"/>
        </w:rPr>
      </w:r>
      <w:r>
        <w:rPr>
          <w:spacing w:val="-2"/>
        </w:rPr>
        <w:t>设计及生产、技术服务等方面的发展，深耕、精耕主营业务，增强企业的核心竞争力，提高品牌知名度，实现公司业务的拓</w:t>
      </w:r>
      <w:r>
        <w:rPr>
          <w:spacing w:val="-68"/>
        </w:rPr>
        <w:t> </w:t>
      </w:r>
      <w:r>
        <w:rPr>
          <w:spacing w:val="-68"/>
        </w:rPr>
      </w:r>
      <w:r>
        <w:rPr>
          <w:spacing w:val="-2"/>
        </w:rPr>
        <w:t>展。同时，在原有的经营模式上，紧密结合市场需求，依托资本市场的支持，积极稳妥地拓展应用领域，实现资本推动产业</w:t>
      </w:r>
      <w:r>
        <w:rPr>
          <w:spacing w:val="-68"/>
        </w:rPr>
        <w:t> </w:t>
      </w:r>
      <w:r>
        <w:rPr>
          <w:spacing w:val="-68"/>
        </w:rPr>
      </w:r>
      <w:r>
        <w:rPr/>
        <w:t>发展。</w:t>
      </w:r>
    </w:p>
    <w:p>
      <w:pPr>
        <w:pStyle w:val="BodyText"/>
        <w:spacing w:line="240" w:lineRule="auto" w:before="19"/>
        <w:ind w:right="0"/>
        <w:jc w:val="both"/>
      </w:pPr>
      <w:r>
        <w:rPr/>
        <w:t>（三）</w:t>
      </w:r>
      <w:r>
        <w:rPr>
          <w:rFonts w:ascii="Times New Roman" w:hAnsi="Times New Roman" w:cs="Times New Roman" w:eastAsia="Times New Roman" w:hint="default"/>
        </w:rPr>
        <w:t>2018</w:t>
      </w:r>
      <w:r>
        <w:rPr/>
        <w:t>年度经营计划</w:t>
      </w:r>
    </w:p>
    <w:p>
      <w:pPr>
        <w:pStyle w:val="BodyText"/>
        <w:spacing w:line="309" w:lineRule="auto" w:before="63"/>
        <w:ind w:left="1134" w:right="1131" w:firstLine="360"/>
        <w:jc w:val="both"/>
      </w:pPr>
      <w:r>
        <w:rPr>
          <w:rFonts w:ascii="Times New Roman" w:hAnsi="Times New Roman" w:cs="Times New Roman" w:eastAsia="Times New Roman" w:hint="default"/>
        </w:rPr>
        <w:t>1</w:t>
      </w:r>
      <w:r>
        <w:rPr/>
        <w:t>、集中力量于银行内控风险管理服务领域，加强公司在行业内的先入优势，加大科研投入力度，完善市场营销和服务 </w:t>
      </w:r>
      <w:r>
        <w:rPr>
          <w:spacing w:val="-2"/>
        </w:rPr>
        <w:t>网络，进一步扩大市场影响力。同时，根据银行业务发展的新流程、新风险以及监管机构的新要求，在深耕、精耕主营业务</w:t>
      </w:r>
      <w:r>
        <w:rPr>
          <w:spacing w:val="-69"/>
        </w:rPr>
        <w:t> </w:t>
      </w:r>
      <w:r>
        <w:rPr>
          <w:spacing w:val="-69"/>
        </w:rPr>
      </w:r>
      <w:r>
        <w:rPr/>
        <w:t>的基础上，积极研发新产品，加快内控风险管理相关技术、产品在其他领域的应用研究和市场开拓。</w:t>
      </w:r>
    </w:p>
    <w:p>
      <w:pPr>
        <w:pStyle w:val="BodyText"/>
        <w:spacing w:line="300" w:lineRule="auto" w:before="24"/>
        <w:ind w:left="1134" w:right="1140" w:firstLine="360"/>
        <w:jc w:val="both"/>
      </w:pPr>
      <w:r>
        <w:rPr>
          <w:rFonts w:ascii="Times New Roman" w:hAnsi="Times New Roman" w:cs="Times New Roman" w:eastAsia="Times New Roman" w:hint="default"/>
        </w:rPr>
        <w:t>2</w:t>
      </w:r>
      <w:r>
        <w:rPr/>
        <w:t>、完善、优化现有业务及流程，积极开拓业务领域，开展多元化经营，促进企业的业绩增量的同时，不断提高经营管 理水平和创新能力。</w:t>
      </w:r>
    </w:p>
    <w:p>
      <w:pPr>
        <w:pStyle w:val="BodyText"/>
        <w:spacing w:line="309" w:lineRule="auto" w:before="31"/>
        <w:ind w:left="1134" w:right="1131" w:firstLine="360"/>
        <w:jc w:val="both"/>
      </w:pPr>
      <w:r>
        <w:rPr>
          <w:rFonts w:ascii="Times New Roman" w:hAnsi="Times New Roman" w:cs="Times New Roman" w:eastAsia="Times New Roman" w:hint="default"/>
        </w:rPr>
        <w:t>3</w:t>
      </w:r>
      <w:r>
        <w:rPr/>
        <w:t>、持续完善人力资源的开发和管理体系，加强优秀人才的选拔和培养工作。通过建立较为完善的薪酬福利保障体系、 </w:t>
      </w:r>
      <w:r>
        <w:rPr>
          <w:spacing w:val="-2"/>
        </w:rPr>
        <w:t>绩效考核评价体系、激励机制和培训教育环境，引进优秀人才，挖掘和培养公司现有骨干人员，提高企业人员的管理水平和</w:t>
      </w:r>
      <w:r>
        <w:rPr>
          <w:spacing w:val="-66"/>
        </w:rPr>
        <w:t> </w:t>
      </w:r>
      <w:r>
        <w:rPr>
          <w:spacing w:val="-66"/>
        </w:rPr>
      </w:r>
      <w:r>
        <w:rPr/>
        <w:t>整体素质，丰富人力资源储备，形成企业发展的新动力。</w:t>
      </w:r>
    </w:p>
    <w:p>
      <w:pPr>
        <w:pStyle w:val="BodyText"/>
        <w:spacing w:line="300" w:lineRule="auto" w:before="24"/>
        <w:ind w:left="1134" w:right="1140" w:firstLine="360"/>
        <w:jc w:val="both"/>
      </w:pPr>
      <w:r>
        <w:rPr>
          <w:rFonts w:ascii="Times New Roman" w:hAnsi="Times New Roman" w:cs="Times New Roman" w:eastAsia="Times New Roman" w:hint="default"/>
        </w:rPr>
        <w:t>4</w:t>
      </w:r>
      <w:r>
        <w:rPr/>
        <w:t>、健全和完善公司内部控制体系，完善公司治理结构，加强公司信息化系统的建设，从生产经营、财务、人力资源等 多方面齐抓共管，统一管理，提高企业综合管理水平，控制企业决策风险，提升企业运行效率和管理水平。</w:t>
      </w:r>
    </w:p>
    <w:p>
      <w:pPr>
        <w:pStyle w:val="BodyText"/>
        <w:spacing w:line="300" w:lineRule="auto" w:before="31"/>
        <w:ind w:left="1134" w:right="1140" w:firstLine="360"/>
        <w:jc w:val="both"/>
      </w:pPr>
      <w:r>
        <w:rPr>
          <w:rFonts w:ascii="Times New Roman" w:hAnsi="Times New Roman" w:cs="Times New Roman" w:eastAsia="Times New Roman" w:hint="default"/>
        </w:rPr>
        <w:t>5</w:t>
      </w:r>
      <w:r>
        <w:rPr/>
        <w:t>、继续推进募集资金项目投资建设，严格规范募集资金的使用和管理，提升募集资金的使用效率。通过募集资金投资 项目的建设与实施，提高公司整体运营管理水平和研发能力，提升公司的市场竞争力。</w:t>
      </w:r>
    </w:p>
    <w:p>
      <w:pPr>
        <w:pStyle w:val="BodyText"/>
        <w:spacing w:line="240" w:lineRule="auto" w:before="31"/>
        <w:ind w:left="1424" w:right="0"/>
        <w:jc w:val="left"/>
      </w:pPr>
      <w:r>
        <w:rPr/>
        <w:t>上述计划并不代表公司对</w:t>
      </w:r>
      <w:r>
        <w:rPr>
          <w:rFonts w:ascii="Times New Roman" w:hAnsi="Times New Roman" w:cs="Times New Roman" w:eastAsia="Times New Roman" w:hint="default"/>
        </w:rPr>
        <w:t>2018</w:t>
      </w:r>
      <w:r>
        <w:rPr/>
        <w:t>年度的盈利预测，不构成公司对投资者的实质承诺，请投资者注意投资风险。</w:t>
      </w:r>
    </w:p>
    <w:p>
      <w:pPr>
        <w:spacing w:line="240" w:lineRule="auto" w:before="1"/>
        <w:rPr>
          <w:rFonts w:ascii="宋体" w:hAnsi="宋体" w:cs="宋体" w:eastAsia="宋体" w:hint="default"/>
          <w:sz w:val="24"/>
          <w:szCs w:val="24"/>
        </w:rPr>
      </w:pPr>
    </w:p>
    <w:p>
      <w:pPr>
        <w:pStyle w:val="Heading2"/>
        <w:spacing w:line="240" w:lineRule="auto"/>
        <w:ind w:left="1134"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sz w:val="18"/>
                <w:szCs w:val="18"/>
              </w:rPr>
              <w:t>w</w:t>
            </w:r>
            <w:hyperlink r:id="rId12">
              <w:r>
                <w:rPr>
                  <w:rFonts w:ascii="Times New Roman" w:hAnsi="Times New Roman" w:cs="Times New Roman" w:eastAsia="Times New Roman" w:hint="default"/>
                  <w:sz w:val="18"/>
                  <w:szCs w:val="18"/>
                </w:rPr>
                <w:t>.cninfo.com.cn/)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投资者关系活动登记表（</w:t>
            </w:r>
            <w:r>
              <w:rPr>
                <w:rFonts w:ascii="Times New Roman" w:hAnsi="Times New Roman" w:cs="Times New Roman" w:eastAsia="Times New Roman" w:hint="default"/>
                <w:sz w:val="18"/>
                <w:szCs w:val="18"/>
              </w:rPr>
              <w:t>2017-001</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9"/>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12">
              <w:r>
                <w:rPr>
                  <w:rFonts w:ascii="Times New Roman" w:hAnsi="Times New Roman" w:cs="Times New Roman" w:eastAsia="Times New Roman" w:hint="default"/>
                  <w:spacing w:val="-1"/>
                  <w:sz w:val="18"/>
                  <w:szCs w:val="18"/>
                </w:rPr>
                <w:t>.cninfo.com.cn/)</w:t>
              </w:r>
            </w:hyperlink>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投资者关系活动登记表（</w:t>
            </w:r>
            <w:r>
              <w:rPr>
                <w:rFonts w:ascii="Times New Roman" w:hAnsi="Times New Roman" w:cs="Times New Roman" w:eastAsia="Times New Roman" w:hint="default"/>
                <w:sz w:val="18"/>
                <w:szCs w:val="18"/>
              </w:rPr>
              <w:t>2017-002</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9"/>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12">
              <w:r>
                <w:rPr>
                  <w:rFonts w:ascii="Times New Roman" w:hAnsi="Times New Roman" w:cs="Times New Roman" w:eastAsia="Times New Roman" w:hint="default"/>
                  <w:spacing w:val="-1"/>
                  <w:sz w:val="18"/>
                  <w:szCs w:val="18"/>
                </w:rPr>
                <w:t>.cninfo.com.cn/)</w:t>
              </w:r>
            </w:hyperlink>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投资者关系活动记录表（</w:t>
            </w:r>
            <w:r>
              <w:rPr>
                <w:rFonts w:ascii="Times New Roman" w:hAnsi="Times New Roman" w:cs="Times New Roman" w:eastAsia="Times New Roman" w:hint="default"/>
                <w:sz w:val="18"/>
                <w:szCs w:val="18"/>
              </w:rPr>
              <w:t>2017-003</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9"/>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12">
              <w:r>
                <w:rPr>
                  <w:rFonts w:ascii="Times New Roman" w:hAnsi="Times New Roman" w:cs="Times New Roman" w:eastAsia="Times New Roman" w:hint="default"/>
                  <w:spacing w:val="-1"/>
                  <w:sz w:val="18"/>
                  <w:szCs w:val="18"/>
                </w:rPr>
                <w:t>.cninfo.com.cn/)</w:t>
              </w:r>
            </w:hyperlink>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投资者关系活动记录表（</w:t>
            </w:r>
            <w:r>
              <w:rPr>
                <w:rFonts w:ascii="Times New Roman" w:hAnsi="Times New Roman" w:cs="Times New Roman" w:eastAsia="Times New Roman" w:hint="default"/>
                <w:sz w:val="18"/>
                <w:szCs w:val="18"/>
              </w:rPr>
              <w:t>2017-004</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9"/>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12">
              <w:r>
                <w:rPr>
                  <w:rFonts w:ascii="Times New Roman" w:hAnsi="Times New Roman" w:cs="Times New Roman" w:eastAsia="Times New Roman" w:hint="default"/>
                  <w:spacing w:val="-1"/>
                  <w:sz w:val="18"/>
                  <w:szCs w:val="18"/>
                </w:rPr>
                <w:t>.cninfo.com.cn/)</w:t>
              </w:r>
            </w:hyperlink>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投资者关系活动记录表（</w:t>
            </w:r>
            <w:r>
              <w:rPr>
                <w:rFonts w:ascii="Times New Roman" w:hAnsi="Times New Roman" w:cs="Times New Roman" w:eastAsia="Times New Roman" w:hint="default"/>
                <w:sz w:val="18"/>
                <w:szCs w:val="18"/>
              </w:rPr>
              <w:t>2017-005</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764"/>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12" w:lineRule="auto"/>
        <w:ind w:right="1131" w:firstLine="314"/>
        <w:jc w:val="both"/>
      </w:pPr>
      <w:r>
        <w:rPr>
          <w:spacing w:val="-1"/>
        </w:rPr>
        <w:t>报告期内公司普通股利润分配政策没有发生变化，按照《公司章程》及公司审议通过的《珠海汇金科技股份有限公司首</w:t>
      </w:r>
      <w:r>
        <w:rPr/>
        <w:t> </w:t>
      </w:r>
      <w:r>
        <w:rPr>
          <w:spacing w:val="-2"/>
        </w:rPr>
        <w:t>次公开发行股票并上市后股东分红回报规划》执行。《珠海汇金科技股份有限公司首次公开发行股票并上市后股东分红回报</w:t>
      </w:r>
      <w:r>
        <w:rPr>
          <w:spacing w:val="-65"/>
        </w:rPr>
        <w:t> </w:t>
      </w:r>
      <w:r>
        <w:rPr>
          <w:spacing w:val="-65"/>
        </w:rPr>
      </w:r>
      <w:r>
        <w:rPr>
          <w:spacing w:val="-5"/>
        </w:rPr>
        <w:t>规划》经公司第一届董事会第十一次会议审议通过，并获得公司</w:t>
      </w:r>
      <w:r>
        <w:rPr>
          <w:rFonts w:ascii="Times New Roman" w:hAnsi="Times New Roman" w:cs="Times New Roman" w:eastAsia="Times New Roman" w:hint="default"/>
          <w:spacing w:val="-5"/>
        </w:rPr>
        <w:t>2014</w:t>
      </w:r>
      <w:r>
        <w:rPr>
          <w:spacing w:val="-5"/>
        </w:rPr>
        <w:t>年第三次临时股东大会审议通过，具体要点参见公司《首</w:t>
      </w:r>
      <w:r>
        <w:rPr>
          <w:spacing w:val="-72"/>
        </w:rPr>
        <w:t> </w:t>
      </w:r>
      <w:r>
        <w:rPr>
          <w:spacing w:val="-72"/>
        </w:rPr>
      </w:r>
      <w:r>
        <w:rPr/>
        <w:t>次公开发行股票并在创业板上市招股说明书》中的相应部分。</w:t>
      </w:r>
    </w:p>
    <w:p>
      <w:pPr>
        <w:pStyle w:val="BodyText"/>
        <w:spacing w:line="300" w:lineRule="auto" w:before="142"/>
        <w:ind w:right="1130" w:firstLine="290"/>
        <w:jc w:val="both"/>
      </w:pPr>
      <w:r>
        <w:rPr/>
        <w:t>报告期内，公司于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日召开第二届董事会第八次会议审议通过了公司</w:t>
      </w:r>
      <w:r>
        <w:rPr>
          <w:spacing w:val="-22"/>
        </w:rPr>
        <w:t> </w:t>
      </w:r>
      <w:r>
        <w:rPr>
          <w:rFonts w:ascii="Times New Roman" w:hAnsi="Times New Roman" w:cs="Times New Roman" w:eastAsia="Times New Roman" w:hint="default"/>
        </w:rPr>
        <w:t>2016</w:t>
      </w:r>
      <w:r>
        <w:rPr/>
        <w:t>年度利润分配及资本公积金转增股 本方案：以总股本</w:t>
      </w:r>
      <w:r>
        <w:rPr>
          <w:rFonts w:ascii="Times New Roman" w:hAnsi="Times New Roman" w:cs="Times New Roman" w:eastAsia="Times New Roman" w:hint="default"/>
        </w:rPr>
        <w:t>56,000,000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3.60</w:t>
      </w:r>
      <w:r>
        <w:rPr>
          <w:rFonts w:ascii="Times New Roman" w:hAnsi="Times New Roman" w:cs="Times New Roman" w:eastAsia="Times New Roman" w:hint="default"/>
          <w:spacing w:val="7"/>
        </w:rPr>
        <w:t> </w:t>
      </w:r>
      <w:r>
        <w:rPr/>
        <w:t>元（含税），同时以资本公积金向全体股东每 </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股。上述方案经</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日召开的</w:t>
      </w:r>
      <w:r>
        <w:rPr>
          <w:rFonts w:ascii="Times New Roman" w:hAnsi="Times New Roman" w:cs="Times New Roman" w:eastAsia="Times New Roman" w:hint="default"/>
          <w:spacing w:val="-2"/>
        </w:rPr>
        <w:t>2016</w:t>
      </w:r>
      <w:r>
        <w:rPr>
          <w:spacing w:val="-2"/>
        </w:rPr>
        <w:t>年度股东大会审议通过。公司于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日完成上述利润分配及资本</w:t>
      </w:r>
      <w:r>
        <w:rPr>
          <w:spacing w:val="-44"/>
        </w:rPr>
        <w:t> </w:t>
      </w:r>
      <w:r>
        <w:rPr/>
        <w:t>公积金转增股本方案实施。</w:t>
      </w:r>
    </w:p>
    <w:p>
      <w:pPr>
        <w:spacing w:line="240" w:lineRule="auto" w:before="10"/>
        <w:rPr>
          <w:rFonts w:ascii="宋体" w:hAnsi="宋体" w:cs="宋体" w:eastAsia="宋体" w:hint="default"/>
          <w:sz w:val="10"/>
          <w:szCs w:val="10"/>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85,160,000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30,657,600.00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227,963,075.14</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经瑞华会计师事务所（特殊普通合伙）审计，公司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年度归属于上市公司股东的净利润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7,972.47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万元。公司以截止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85,160,000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共计派发现金股利</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30,657,600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；同时以资本公积金转增股份每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078"/>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年度利润分配方案：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2015</w:t>
      </w:r>
      <w:r>
        <w:rPr/>
        <w:t>年度股东大会会议，审议通过了《关于公司</w:t>
      </w:r>
      <w:r>
        <w:rPr>
          <w:spacing w:val="-3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年度利润 分配方案》，一致同意以现金方式分配股利人民币</w:t>
      </w:r>
      <w:r>
        <w:rPr>
          <w:rFonts w:ascii="Times New Roman" w:hAnsi="Times New Roman" w:cs="Times New Roman" w:eastAsia="Times New Roman" w:hint="default"/>
        </w:rPr>
        <w:t>3,000</w:t>
      </w:r>
      <w:r>
        <w:rPr/>
        <w:t>万元。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年度利润分配方案：以公司股本</w:t>
      </w:r>
      <w:r>
        <w:rPr>
          <w:rFonts w:ascii="Times New Roman" w:hAnsi="Times New Roman" w:cs="Times New Roman" w:eastAsia="Times New Roman" w:hint="default"/>
        </w:rPr>
        <w:t>56,000,000</w:t>
      </w:r>
      <w:r>
        <w:rPr/>
        <w:t>股为基数，向全体股东每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3.60</w:t>
      </w:r>
      <w:r>
        <w:rPr/>
        <w:t>元（含税）， 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股。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年度利润分配预案：以公司股本</w:t>
      </w:r>
      <w:r>
        <w:rPr>
          <w:rFonts w:ascii="Times New Roman" w:hAnsi="Times New Roman" w:cs="Times New Roman" w:eastAsia="Times New Roman" w:hint="default"/>
        </w:rPr>
        <w:t>85,160,000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3.60</w:t>
      </w:r>
      <w:r>
        <w:rPr/>
        <w:t>元（含税）， 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240" w:lineRule="auto" w:before="53"/>
        <w:ind w:left="113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30,657,600.00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79,724,732.27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78,861,491.66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70,973,005.93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65"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锁定期限承 诺至</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2019-11-16</w:t>
            </w:r>
            <w:r>
              <w:rPr>
                <w:rFonts w:ascii="宋体" w:hAnsi="宋体" w:cs="宋体" w:eastAsia="宋体" w:hint="default"/>
                <w:sz w:val="18"/>
                <w:szCs w:val="18"/>
              </w:rPr>
              <w:t>；</w:t>
            </w:r>
          </w:p>
          <w:p>
            <w:pPr>
              <w:pStyle w:val="TableParagraph"/>
              <w:spacing w:line="319" w:lineRule="auto" w:before="63"/>
              <w:ind w:left="22" w:right="186"/>
              <w:jc w:val="left"/>
              <w:rPr>
                <w:rFonts w:ascii="宋体" w:hAnsi="宋体" w:cs="宋体" w:eastAsia="宋体" w:hint="default"/>
                <w:sz w:val="18"/>
                <w:szCs w:val="18"/>
              </w:rPr>
            </w:pPr>
            <w:r>
              <w:rPr>
                <w:rFonts w:ascii="宋体" w:hAnsi="宋体" w:cs="宋体" w:eastAsia="宋体" w:hint="default"/>
                <w:sz w:val="18"/>
                <w:szCs w:val="18"/>
              </w:rPr>
              <w:t>其他长期有 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76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票，也不由发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行人回购本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后两年内减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持的，其减持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月内如发行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个月期末收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盘价格低于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人在锁定期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满，遵守相关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文件及证券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规则且不违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背本人已做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出的其他承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将根据资金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需求、投资安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排等各方面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因素确定是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否减持所持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内，如本人确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定减持公司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股份的，则在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二级市场不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构成重大干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扰的条件下，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本人每年所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累积减持的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价格不低于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该等减持方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式为大宗交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易或集中竞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价等法律允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许的方式。该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等减持行为，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将提前三个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公告。期间公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司如有派息、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送股、资本公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自发行人股 票上市之日 起一年内，本 人不转让或 者委托他人 管理本人持 有的发行人 公开发行股 票前已发行 的股票，也不 由发行人回 购本人持有 的发行人公 开发行股票 前已发行的 股票；自发行 人首次公开 发行股票上 市之日起六 个月内申报 离职的，自申 报离职之日 起十八个月 内不转让本 人直接持有 的发行人股 份；在首次公 开发行股票 上市之日起 第七个月至 第十二个月 之间申报离 职的，自申报 离职之日起 十二个月内 不转让本人 直接持有的 发行人股份； 任职期间本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锁定期限承 诺至</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2017-11-16</w:t>
            </w:r>
            <w:r>
              <w:rPr>
                <w:rFonts w:ascii="宋体" w:hAnsi="宋体" w:cs="宋体" w:eastAsia="宋体" w:hint="default"/>
                <w:sz w:val="18"/>
                <w:szCs w:val="18"/>
              </w:rPr>
              <w:t>，</w:t>
            </w:r>
          </w:p>
          <w:p>
            <w:pPr>
              <w:pStyle w:val="TableParagraph"/>
              <w:spacing w:line="316" w:lineRule="auto" w:before="63"/>
              <w:ind w:left="22" w:right="6"/>
              <w:jc w:val="left"/>
              <w:rPr>
                <w:rFonts w:ascii="宋体" w:hAnsi="宋体" w:cs="宋体" w:eastAsia="宋体" w:hint="default"/>
                <w:sz w:val="18"/>
                <w:szCs w:val="18"/>
              </w:rPr>
            </w:pPr>
            <w:r>
              <w:rPr>
                <w:rFonts w:ascii="宋体" w:hAnsi="宋体" w:cs="宋体" w:eastAsia="宋体" w:hint="default"/>
                <w:sz w:val="18"/>
                <w:szCs w:val="18"/>
              </w:rPr>
              <w:t>已履行完毕； 其他长期有</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人每年转让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满，遵守相关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文件及证券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规则且不违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背本人已做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出的其他承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将根据资金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需求、投资安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排等各方面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因素确定是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2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否减持所持 公司股份。锁 定期满两年 内，如本人确 定减持公司 股份的，则在 减持对公司 二级市场不 构成重大干 扰的条件下， 本人每年所 累积减持的 股份总数将 不超过本人 所持有的公 司股份总数</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；减持</w:t>
            </w:r>
            <w:r>
              <w:rPr>
                <w:rFonts w:ascii="宋体" w:hAnsi="宋体" w:cs="宋体" w:eastAsia="宋体" w:hint="default"/>
                <w:sz w:val="18"/>
                <w:szCs w:val="18"/>
              </w:rPr>
              <w:t> 价格不低于 本次发行价 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该等减持方 式为大宗交 易或集中竞 价等法律允 许的方式。该 等减持行为， 将提前三个 交易日予以 公告。期间公 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人不转让或 者委托他人 管理本人持 有的发行人 公开发行股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6"/>
              <w:jc w:val="left"/>
              <w:rPr>
                <w:rFonts w:ascii="宋体" w:hAnsi="宋体" w:cs="宋体" w:eastAsia="宋体" w:hint="default"/>
                <w:sz w:val="18"/>
                <w:szCs w:val="18"/>
              </w:rPr>
            </w:pPr>
            <w:r>
              <w:rPr>
                <w:rFonts w:ascii="宋体" w:hAnsi="宋体" w:cs="宋体" w:eastAsia="宋体" w:hint="default"/>
                <w:sz w:val="18"/>
                <w:szCs w:val="18"/>
              </w:rPr>
              <w:t>依据其承诺， 锁定期至</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由发行人回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购本人持有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股票；自发行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内减持的，其 减持价格不 低于发行价； 发行人上市</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发行人股票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w:t>
            </w:r>
            <w:r>
              <w:rPr>
                <w:rFonts w:ascii="宋体" w:hAnsi="宋体" w:cs="宋体" w:eastAsia="宋体" w:hint="default"/>
                <w:spacing w:val="-2"/>
                <w:sz w:val="18"/>
                <w:szCs w:val="18"/>
              </w:rPr>
              <w:t>发行价，本人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持有发行人 股票的锁定 期限自动延 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苏州衡赢真 盛创业投资 </w:t>
            </w:r>
            <w:r>
              <w:rPr>
                <w:rFonts w:ascii="宋体" w:hAnsi="宋体" w:cs="宋体" w:eastAsia="宋体" w:hint="default"/>
                <w:spacing w:val="-2"/>
                <w:sz w:val="18"/>
                <w:szCs w:val="18"/>
              </w:rPr>
              <w:t>中心（有限合</w:t>
            </w:r>
            <w:r>
              <w:rPr>
                <w:rFonts w:ascii="宋体" w:hAnsi="宋体" w:cs="宋体" w:eastAsia="宋体" w:hint="default"/>
                <w:sz w:val="18"/>
                <w:szCs w:val="18"/>
              </w:rPr>
              <w:t>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有限合伙不 转让或者委 托他人管理 本有限合伙 持有的发行 人公开发行 股票前已发 </w:t>
            </w:r>
            <w:r>
              <w:rPr>
                <w:rFonts w:ascii="宋体" w:hAnsi="宋体" w:cs="宋体" w:eastAsia="宋体" w:hint="default"/>
                <w:spacing w:val="-2"/>
                <w:sz w:val="18"/>
                <w:szCs w:val="18"/>
              </w:rPr>
              <w:t>行的股票，也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回购本有限 合伙持有的 发行人公开 发行股票前 已发行的股 </w:t>
            </w:r>
            <w:r>
              <w:rPr>
                <w:rFonts w:ascii="宋体" w:hAnsi="宋体" w:cs="宋体" w:eastAsia="宋体" w:hint="default"/>
                <w:spacing w:val="-2"/>
                <w:sz w:val="18"/>
                <w:szCs w:val="18"/>
              </w:rPr>
              <w:t>票。本有限合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伙所持公司 股票自上市 之日起将严 格履行锁定 </w:t>
            </w:r>
            <w:r>
              <w:rPr>
                <w:rFonts w:ascii="宋体" w:hAnsi="宋体" w:cs="宋体" w:eastAsia="宋体" w:hint="default"/>
                <w:spacing w:val="-2"/>
                <w:sz w:val="18"/>
                <w:szCs w:val="18"/>
              </w:rPr>
              <w:t>承诺，在股份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锁定期满并 不违背承诺 </w:t>
            </w:r>
            <w:r>
              <w:rPr>
                <w:rFonts w:ascii="宋体" w:hAnsi="宋体" w:cs="宋体" w:eastAsia="宋体" w:hint="default"/>
                <w:spacing w:val="-2"/>
                <w:sz w:val="18"/>
                <w:szCs w:val="18"/>
              </w:rPr>
              <w:t>的条件下，根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据法律法规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锁定期限承 诺至</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2017-11-16</w:t>
            </w:r>
            <w:r>
              <w:rPr>
                <w:rFonts w:ascii="宋体" w:hAnsi="宋体" w:cs="宋体" w:eastAsia="宋体" w:hint="default"/>
                <w:sz w:val="18"/>
                <w:szCs w:val="18"/>
              </w:rPr>
              <w:t>，</w:t>
            </w:r>
          </w:p>
          <w:p>
            <w:pPr>
              <w:pStyle w:val="TableParagraph"/>
              <w:spacing w:line="316" w:lineRule="auto" w:before="63"/>
              <w:ind w:left="22" w:right="6"/>
              <w:jc w:val="left"/>
              <w:rPr>
                <w:rFonts w:ascii="宋体" w:hAnsi="宋体" w:cs="宋体" w:eastAsia="宋体" w:hint="default"/>
                <w:sz w:val="18"/>
                <w:szCs w:val="18"/>
              </w:rPr>
            </w:pPr>
            <w:r>
              <w:rPr>
                <w:rFonts w:ascii="宋体" w:hAnsi="宋体" w:cs="宋体" w:eastAsia="宋体" w:hint="default"/>
                <w:sz w:val="18"/>
                <w:szCs w:val="18"/>
              </w:rPr>
              <w:t>已履行完毕； 其他长期有</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的要求和自 身财务规划 的需要，进行 合理减持；每 次减持时，将 提前三个交 易日通知公 司公告本次 减持的数量、 减持价格区 间、减持时间 区间等，减持 将通过深圳 证券交易所 以协议转让、 大宗交易、竞 价交易或其 他方式依法 进行。期间公 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珠海瑞信投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不转让或者 委托他人管 理本公司持 有的发行人 公开发行股 票前已发行 </w:t>
            </w:r>
            <w:r>
              <w:rPr>
                <w:rFonts w:ascii="宋体" w:hAnsi="宋体" w:cs="宋体" w:eastAsia="宋体" w:hint="default"/>
                <w:spacing w:val="-2"/>
                <w:sz w:val="18"/>
                <w:szCs w:val="18"/>
              </w:rPr>
              <w:t>的股票，也不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购本公司持 有的发行人 公开发行股 票前已发行 </w:t>
            </w:r>
            <w:r>
              <w:rPr>
                <w:rFonts w:ascii="宋体" w:hAnsi="宋体" w:cs="宋体" w:eastAsia="宋体" w:hint="default"/>
                <w:spacing w:val="-2"/>
                <w:sz w:val="18"/>
                <w:szCs w:val="18"/>
              </w:rPr>
              <w:t>的股票。所持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股票在锁定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期满后两年 内减持的，其 减持价格不 低于发行价； 发行人上市</w:t>
            </w:r>
          </w:p>
          <w:p>
            <w:pPr>
              <w:pStyle w:val="TableParagraph"/>
              <w:spacing w:line="312" w:lineRule="auto" w:before="17"/>
              <w:ind w:left="22" w:right="12"/>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发行人股票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价均低于发 行价，或者上 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 末收盘价格 低于发行价， 持有发行人 股票的锁定 期限自动延</w:t>
            </w:r>
          </w:p>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李志良、李志 勇、梁铁民、 宋昌林、王毅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人不转让或 者委托他人 管理本人持 有的发行人 公开发行股 票前已发行 </w:t>
            </w:r>
            <w:r>
              <w:rPr>
                <w:rFonts w:ascii="宋体" w:hAnsi="宋体" w:cs="宋体" w:eastAsia="宋体" w:hint="default"/>
                <w:spacing w:val="-2"/>
                <w:sz w:val="18"/>
                <w:szCs w:val="18"/>
              </w:rPr>
              <w:t>的股票，也不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购本人持有 的发行人公 开发行股票 前已发行的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汇金科技、陈 喆、马铮、宋 京生、肖志 宏、马晓丽、 蔡林生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为维护市场 </w:t>
            </w:r>
            <w:r>
              <w:rPr>
                <w:rFonts w:ascii="宋体" w:hAnsi="宋体" w:cs="宋体" w:eastAsia="宋体" w:hint="default"/>
                <w:spacing w:val="-2"/>
                <w:sz w:val="18"/>
                <w:szCs w:val="18"/>
              </w:rPr>
              <w:t>公平，切实保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护中小投资 者的合法权 </w:t>
            </w:r>
            <w:r>
              <w:rPr>
                <w:rFonts w:ascii="宋体" w:hAnsi="宋体" w:cs="宋体" w:eastAsia="宋体" w:hint="default"/>
                <w:spacing w:val="-22"/>
                <w:sz w:val="18"/>
                <w:szCs w:val="18"/>
              </w:rPr>
              <w:t>益，公司</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0"/>
                <w:w w:val="99"/>
                <w:sz w:val="18"/>
                <w:szCs w:val="18"/>
              </w:rPr>
              <w:t> </w:t>
            </w:r>
            <w:r>
              <w:rPr>
                <w:rFonts w:ascii="宋体" w:hAnsi="宋体" w:cs="宋体" w:eastAsia="宋体" w:hint="default"/>
                <w:sz w:val="18"/>
                <w:szCs w:val="18"/>
              </w:rPr>
              <w:t>股 股票上市后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年内，收盘价</w:t>
            </w:r>
          </w:p>
          <w:p>
            <w:pPr>
              <w:pStyle w:val="TableParagraph"/>
              <w:spacing w:line="316"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（除权除息 </w:t>
            </w:r>
            <w:r>
              <w:rPr>
                <w:rFonts w:ascii="宋体" w:hAnsi="宋体" w:cs="宋体" w:eastAsia="宋体" w:hint="default"/>
                <w:spacing w:val="-2"/>
                <w:sz w:val="18"/>
                <w:szCs w:val="18"/>
              </w:rPr>
              <w:t>后，下同）连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85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日（公司股票</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全天停牌的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交易日除外，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下同）低于最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资产，且公司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情况同时满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足监管机构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对于回购、增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持等股本变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动行为的规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定，则触发控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人员增持及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义务。未来新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聘的董事及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员，也应履行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的增持及回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购的相关义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1</w:t>
            </w:r>
            <w:r>
              <w:rPr>
                <w:rFonts w:ascii="宋体" w:hAnsi="宋体" w:cs="宋体" w:eastAsia="宋体" w:hint="default"/>
                <w:sz w:val="18"/>
                <w:szCs w:val="18"/>
              </w:rPr>
              <w:t>、启动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施的具体条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施的方式及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顺序股价稳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购股票。选用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前述方式时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应考虑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不能导致公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）不能导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致控股股东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人履行要约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收购义务。东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票，除非公司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致使公司不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满足法定上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市条件或触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的要约收购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义务且控股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股东未计划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实施要约收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购；第二选择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股票，在下列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情形之一出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现时将启动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第二选择：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高于公司最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4.480011pt;margin-top:72.47998pt;width:89pt;height:686.5pt;mso-position-horizontal-relative:page;mso-position-vertical-relative:page;z-index:-1185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之条件；</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东因故（包括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但不限于公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股票将致使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公司不满足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法定上市条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件或触发控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股股东的要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约收购义务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未计划实施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要约收购等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情形）无法实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计划，且董事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不会致使公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或触发控股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收购义务。第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三选择为公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启动该选择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第一选择和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第二选择已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实施或因故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未实施后，公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司股票仍未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价均已高于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85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7"/>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每股净资产</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之条件，且公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司实施股票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回购不会导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致公司不满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足法定上市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购股票议案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已获得公司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准。每一自然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年度，强制启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仅限一次。</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实施控股股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在达到触发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的情况下，在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公告等义务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定条件下依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照方案中所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区间、期限实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不得为控股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提供资金支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4</w:t>
            </w:r>
            <w:r>
              <w:rPr>
                <w:rFonts w:ascii="宋体" w:hAnsi="宋体" w:cs="宋体" w:eastAsia="宋体" w:hint="default"/>
                <w:sz w:val="18"/>
                <w:szCs w:val="18"/>
              </w:rPr>
              <w:t>、实施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董事（不含独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票的程序（</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启动程序①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实施增持公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在达到触发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且在控股股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东无法实施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不会致使公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人员将在达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到触发启动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施条件或公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决定不实施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内向公司提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并由公司公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告。② 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股东已实施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股东已实施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票计划但仍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盘价均已高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于公司最近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之条件</w:t>
            </w:r>
            <w:r>
              <w:rPr>
                <w:rFonts w:ascii="宋体" w:hAnsi="宋体" w:cs="宋体" w:eastAsia="宋体" w:hint="default"/>
                <w:spacing w:val="-90"/>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施完毕或终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案并由公司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）董</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因故未实施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票计划或在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成后，仍未满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均已高于公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条件，董事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票方案实施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内或控股股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东未实施增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计划公告之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票，且用于增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金不低于其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上一年度于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公司取得薪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30%</w:t>
            </w:r>
            <w:r>
              <w:rPr>
                <w:rFonts w:ascii="宋体" w:hAnsi="宋体" w:cs="宋体" w:eastAsia="宋体" w:hint="default"/>
                <w:spacing w:val="-81"/>
                <w:w w:val="99"/>
                <w:sz w:val="18"/>
                <w:szCs w:val="18"/>
              </w:rPr>
              <w:t>。</w:t>
            </w:r>
            <w:r>
              <w:rPr>
                <w:rFonts w:ascii="宋体" w:hAnsi="宋体" w:cs="宋体" w:eastAsia="宋体" w:hint="default"/>
                <w:w w:val="99"/>
                <w:sz w:val="18"/>
                <w:szCs w:val="18"/>
              </w:rPr>
              <w:t>董</w:t>
            </w:r>
            <w:r>
              <w:rPr>
                <w:rFonts w:ascii="宋体" w:hAnsi="宋体" w:cs="宋体" w:eastAsia="宋体" w:hint="default"/>
                <w:spacing w:val="-81"/>
                <w:w w:val="99"/>
                <w:sz w:val="18"/>
                <w:szCs w:val="18"/>
              </w:rPr>
              <w:t>事</w:t>
            </w:r>
            <w:r>
              <w:rPr>
                <w:rFonts w:ascii="宋体" w:hAnsi="宋体" w:cs="宋体" w:eastAsia="宋体" w:hint="default"/>
                <w:w w:val="99"/>
                <w:sz w:val="18"/>
                <w:szCs w:val="18"/>
              </w:rPr>
              <w:t>（不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含控股股东、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以下条件之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）通</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价均已高于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）继续增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持股票将导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致公司不满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足法定上市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续增持股票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将导致需要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履行要约收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购义务且其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未计划实施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要约收购。公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司在未来聘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任新的董事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将要求其签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署承诺书，保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证其履行公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出的相应承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5</w:t>
            </w:r>
            <w:r>
              <w:rPr>
                <w:rFonts w:ascii="宋体" w:hAnsi="宋体" w:cs="宋体" w:eastAsia="宋体" w:hint="default"/>
                <w:sz w:val="18"/>
                <w:szCs w:val="18"/>
              </w:rPr>
              <w:t>、实施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票的程序在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施后，公司股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票仍未满足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已高于公司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件，或控股股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东和董事（不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理人员因故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触发启动股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董事会，依法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作出实施回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购股票的决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议，提交股东</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大会批准并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公告程序。公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司将在董事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会决议出具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内召开股东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大会，审议实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的议案，公司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票作出的决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议，必须经出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票的议案后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公告、备案及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通知债权人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等义务。在满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足法定条件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下依照决议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通过的实施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议案中所规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定的价格区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间、期限实施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回购。除非出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现下列情形，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作出之日起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股票，且回购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前公司股份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）通过实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施回购股票，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已高于公司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继续回购股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票将导致公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单次实施回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购股票完毕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或终止后，本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次回购的公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实施完毕或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日内注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销，并及时办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理公司减资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w:t>
            </w:r>
            <w:r>
              <w:rPr>
                <w:rFonts w:ascii="Times New Roman" w:hAnsi="Times New Roman" w:cs="Times New Roman" w:eastAsia="Times New Roman" w:hint="default"/>
                <w:sz w:val="18"/>
                <w:szCs w:val="18"/>
              </w:rPr>
              <w:t>6</w:t>
            </w:r>
            <w:r>
              <w:rPr>
                <w:rFonts w:ascii="宋体" w:hAnsi="宋体" w:cs="宋体" w:eastAsia="宋体" w:hint="default"/>
                <w:sz w:val="18"/>
                <w:szCs w:val="18"/>
              </w:rPr>
              <w:t>、约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束机制（</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义务，但未按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定提出增持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股票计划和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或实施增持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责令控股股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东在限期内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票义务，控股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股东仍不履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有权扣减其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应向控股股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东支付的分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红。控股股东</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多次违反上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述规定的，扣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减数额应累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计计算</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义务，但未按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定提出增持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股票计划和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或实施增持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责令董事（不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期内履行增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董事（不含独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仍不履行，发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行人有权自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行扣减其应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员支付的报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员拒不履行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义务情节严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重的，控股股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东或董事会、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监事会、半数</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以上的独立 董事有权提 请股东大会 同意更换相 </w:t>
            </w:r>
            <w:r>
              <w:rPr>
                <w:rFonts w:ascii="宋体" w:hAnsi="宋体" w:cs="宋体" w:eastAsia="宋体" w:hint="default"/>
                <w:spacing w:val="-2"/>
                <w:sz w:val="18"/>
                <w:szCs w:val="18"/>
              </w:rPr>
              <w:t>关董事，发行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人董事会有 权解聘相关 高级管理人 </w:t>
            </w:r>
            <w:r>
              <w:rPr>
                <w:rFonts w:ascii="宋体" w:hAnsi="宋体" w:cs="宋体" w:eastAsia="宋体" w:hint="default"/>
                <w:spacing w:val="-15"/>
                <w:sz w:val="18"/>
                <w:szCs w:val="18"/>
              </w:rPr>
              <w:t>员。（</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人拒不履行 本承诺规定 </w:t>
            </w:r>
            <w:r>
              <w:rPr>
                <w:rFonts w:ascii="宋体" w:hAnsi="宋体" w:cs="宋体" w:eastAsia="宋体" w:hint="default"/>
                <w:spacing w:val="-2"/>
                <w:sz w:val="18"/>
                <w:szCs w:val="18"/>
              </w:rPr>
              <w:t>义务的，发行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人应在中国 证监会指定 报刊上公开 说明未履行 本预案规定 义务的具体 原因并向公 司股东和社 会公众投资 者道歉。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 是否符合法 律规定的发 行条件构成 </w:t>
            </w:r>
            <w:r>
              <w:rPr>
                <w:rFonts w:ascii="宋体" w:hAnsi="宋体" w:cs="宋体" w:eastAsia="宋体" w:hint="default"/>
                <w:spacing w:val="-2"/>
                <w:sz w:val="18"/>
                <w:szCs w:val="18"/>
              </w:rPr>
              <w:t>重大、实质影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响的，将依法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回购首次公 开发行的全 部新股。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 是否符合法 律规定的发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行条件构成 </w:t>
            </w:r>
            <w:r>
              <w:rPr>
                <w:rFonts w:ascii="宋体" w:hAnsi="宋体" w:cs="宋体" w:eastAsia="宋体" w:hint="default"/>
                <w:spacing w:val="-2"/>
                <w:sz w:val="18"/>
                <w:szCs w:val="18"/>
              </w:rPr>
              <w:t>重大、实质影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响的，将依法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购回已转让 的原限售股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陈喆、马铮、 肖志宏、宋京 生、侯平、杨 大贺、于风 政、何锋、陈 家贤、罗秀 红、汇金科技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发行人招股 说明书有虚 假记载、误导 性陈述或者 重大遗漏，致 使投资者在 证券交易中 遭受损失的， 将依法赔偿 投资者实际 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3" w:right="10"/>
              <w:jc w:val="left"/>
              <w:rPr>
                <w:rFonts w:ascii="宋体" w:hAnsi="宋体" w:cs="宋体" w:eastAsia="宋体" w:hint="default"/>
                <w:sz w:val="18"/>
                <w:szCs w:val="18"/>
              </w:rPr>
            </w:pPr>
            <w:r>
              <w:rPr>
                <w:rFonts w:ascii="宋体" w:hAnsi="宋体" w:cs="宋体" w:eastAsia="宋体" w:hint="default"/>
                <w:sz w:val="18"/>
                <w:szCs w:val="18"/>
              </w:rPr>
              <w:t>陈喆、马铮、 肖志宏、宋京 生、侯平、杨 大贺、于风 政、马晓丽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填补即期回 报措施切实 履行的承诺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控股股东承 诺</w:t>
            </w:r>
            <w:r>
              <w:rPr>
                <w:rFonts w:ascii="Times New Roman" w:hAnsi="Times New Roman" w:cs="Times New Roman" w:eastAsia="Times New Roman" w:hint="default"/>
                <w:sz w:val="18"/>
                <w:szCs w:val="18"/>
              </w:rPr>
              <w:t>“</w:t>
            </w:r>
            <w:r>
              <w:rPr>
                <w:rFonts w:ascii="宋体" w:hAnsi="宋体" w:cs="宋体" w:eastAsia="宋体" w:hint="default"/>
                <w:sz w:val="18"/>
                <w:szCs w:val="18"/>
              </w:rPr>
              <w:t>不越权干 预公司经营 管理活动，不 侵占公司利 益</w:t>
            </w:r>
            <w:r>
              <w:rPr>
                <w:rFonts w:ascii="Times New Roman" w:hAnsi="Times New Roman" w:cs="Times New Roman" w:eastAsia="Times New Roman" w:hint="default"/>
                <w:sz w:val="18"/>
                <w:szCs w:val="18"/>
              </w:rPr>
              <w:t>”</w:t>
            </w:r>
            <w:r>
              <w:rPr>
                <w:rFonts w:ascii="宋体" w:hAnsi="宋体" w:cs="宋体" w:eastAsia="宋体" w:hint="default"/>
                <w:sz w:val="18"/>
                <w:szCs w:val="18"/>
              </w:rPr>
              <w:t>。全体董 事、高级管理 人员承诺</w:t>
            </w:r>
            <w:r>
              <w:rPr>
                <w:rFonts w:ascii="Times New Roman" w:hAnsi="Times New Roman" w:cs="Times New Roman" w:eastAsia="Times New Roman" w:hint="default"/>
                <w:sz w:val="18"/>
                <w:szCs w:val="18"/>
              </w:rPr>
              <w:t>“</w:t>
            </w:r>
            <w:r>
              <w:rPr>
                <w:rFonts w:ascii="宋体" w:hAnsi="宋体" w:cs="宋体" w:eastAsia="宋体" w:hint="default"/>
                <w:sz w:val="18"/>
                <w:szCs w:val="18"/>
              </w:rPr>
              <w:t>承 诺不无偿或 以不公平条 件向其他单 位或者个人 输送利益，也 不采用其他 方式损害发 行人利益；承 诺对本人的 职务消费行 为进行约束； 承诺不动用 发行人资产 从事与其履 行职责无关 的投资、消费 活动；承诺由 董事会或薪 酬委员会制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577.23999pt;width:62pt;height:186.2pt;mso-position-horizontal-relative:page;mso-position-vertical-relative:page;z-index:-1185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pStyle w:val="BodyText"/>
                    <w:spacing w:line="240" w:lineRule="auto"/>
                    <w:ind w:left="0" w:right="0"/>
                    <w:jc w:val="left"/>
                  </w:pPr>
                  <w:r>
                    <w:rPr/>
                    <w:t>》</w:t>
                  </w:r>
                </w:p>
              </w:txbxContent>
            </v:textbox>
            <w10:wrap type="none"/>
          </v:shape>
        </w:pict>
      </w:r>
      <w:r>
        <w:rPr/>
        <w:pict>
          <v:group style="position:absolute;margin-left:367.660004pt;margin-top:577.23999pt;width:55.85pt;height:186.2pt;mso-position-horizontal-relative:page;mso-position-vertical-relative:page;z-index:-1185760" coordorigin="7353,11545" coordsize="1117,3724">
            <v:shape style="position:absolute;left:7353;top:11545;width:1117;height:3724" coordorigin="7353,11545" coordsize="1117,3724" path="m7353,15269l8470,15269,8470,11545,7353,11545,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定的薪酬制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况相挂钩；承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诺拟公布的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激励的行权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人填补回报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情况相挂钩；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承诺本人忠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实、勤勉地履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行职责，维护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发行人和全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体股东的合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公司根据国</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务院发布国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办发〔</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z w:val="18"/>
                <w:szCs w:val="18"/>
              </w:rPr>
              <w:t> </w:t>
            </w:r>
            <w:r>
              <w:rPr>
                <w:rFonts w:ascii="宋体" w:hAnsi="宋体" w:cs="宋体" w:eastAsia="宋体" w:hint="default"/>
                <w:sz w:val="18"/>
                <w:szCs w:val="18"/>
              </w:rPr>
              <w:t>号《关于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进一步加强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资本市场中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小投资者合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法权益保护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工作的意见》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及证监会《上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市公司监管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指引第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上市公 司现金分红》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等规范文件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的相关相求，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重视对投资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者的合理投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资回报，制定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了本次发行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上市后适用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的《珠海汇金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章程（草案）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及《珠海汇金</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科技股份有 限公司首次 公开发行股 票并上市后 股东分红回 </w:t>
            </w:r>
            <w:r>
              <w:rPr>
                <w:rFonts w:ascii="宋体" w:hAnsi="宋体" w:cs="宋体" w:eastAsia="宋体" w:hint="default"/>
                <w:spacing w:val="-15"/>
                <w:sz w:val="18"/>
                <w:szCs w:val="18"/>
              </w:rPr>
              <w:t>报规划》，完</w:t>
            </w:r>
            <w:r>
              <w:rPr>
                <w:rFonts w:ascii="宋体" w:hAnsi="宋体" w:cs="宋体" w:eastAsia="宋体" w:hint="default"/>
                <w:sz w:val="18"/>
                <w:szCs w:val="18"/>
              </w:rPr>
              <w:t> 善了公司利 润分配制度， 对利润分配 政策尤其是 现金分红政 策进行了具 体安排。公司 承诺将严格 按照上述制 度进行利润 分配，切实保 障投资者收 益权。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本人目前未 以任何形式 直接或间接 从事与发行 人相同或相 似的业务，未 拥有与发行 人相同或相 似的控股公 司、联营公司 及合营公司， 将来也不会 从事与发行 人相同或相 似的业务；本 人将不投资 与发行人相 同或相似的 企业或项目， 以避免对发 行人的生产 经营构成直 接或间接的 竞争；保证本 人与本人关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199.819977pt;width:62pt;height:264.2pt;mso-position-horizontal-relative:page;mso-position-vertical-relative:page;z-index:-1185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60004pt;margin-top:199.819977pt;width:55.85pt;height:264.2pt;mso-position-horizontal-relative:page;mso-position-vertical-relative:page;z-index:-1185712" coordorigin="7353,3996" coordsize="1117,5284">
            <v:shape style="position:absolute;left:7353;top:3996;width:1117;height:5284" coordorigin="7353,3996" coordsize="1117,5284" path="m7353,9280l8470,9280,8470,3996,7353,3996,7353,92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系密切的家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庭成员不直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事、参与或进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身作为发行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之地位及控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制性影响谋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求发行人在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业务合作等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方面给予优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于市场第三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方的权利；</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不利用自身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地位及控制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91"/>
              <w:jc w:val="both"/>
              <w:rPr>
                <w:rFonts w:ascii="宋体" w:hAnsi="宋体" w:cs="宋体" w:eastAsia="宋体" w:hint="default"/>
                <w:sz w:val="18"/>
                <w:szCs w:val="18"/>
              </w:rPr>
            </w:pPr>
            <w:r>
              <w:rPr>
                <w:rFonts w:ascii="宋体" w:hAnsi="宋体" w:cs="宋体" w:eastAsia="宋体" w:hint="default"/>
                <w:sz w:val="18"/>
                <w:szCs w:val="18"/>
              </w:rPr>
              <w:t>规范和减少 关联交易承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性影响谋求 与发行人达 成交易的优 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不以与市场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价格相比显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失公允的条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件与发行人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进行交易，亦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不利用该类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交易从事任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何损害发行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人利益的行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4</w:t>
            </w:r>
            <w:r>
              <w:rPr>
                <w:rFonts w:ascii="宋体" w:hAnsi="宋体" w:cs="宋体" w:eastAsia="宋体" w:hint="default"/>
                <w:sz w:val="18"/>
                <w:szCs w:val="18"/>
              </w:rPr>
              <w:t>、在发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行人将来可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能产生的与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时，本人将积</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极、善意促使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发行人采取 如下措施规 范该等关联 </w:t>
            </w:r>
            <w:r>
              <w:rPr>
                <w:rFonts w:ascii="宋体" w:hAnsi="宋体" w:cs="宋体" w:eastAsia="宋体" w:hint="default"/>
                <w:spacing w:val="-15"/>
                <w:sz w:val="18"/>
                <w:szCs w:val="18"/>
              </w:rPr>
              <w:t>交易：（</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）严</w:t>
            </w:r>
            <w:r>
              <w:rPr>
                <w:rFonts w:ascii="宋体" w:hAnsi="宋体" w:cs="宋体" w:eastAsia="宋体" w:hint="default"/>
                <w:spacing w:val="-5"/>
                <w:sz w:val="18"/>
                <w:szCs w:val="18"/>
              </w:rPr>
              <w:t> </w:t>
            </w:r>
            <w:r>
              <w:rPr>
                <w:rFonts w:ascii="宋体" w:hAnsi="宋体" w:cs="宋体" w:eastAsia="宋体" w:hint="default"/>
                <w:sz w:val="18"/>
                <w:szCs w:val="18"/>
              </w:rPr>
              <w:t>格遵守发行</w:t>
            </w:r>
            <w:r>
              <w:rPr>
                <w:rFonts w:ascii="宋体" w:hAnsi="宋体" w:cs="宋体" w:eastAsia="宋体" w:hint="default"/>
                <w:sz w:val="18"/>
                <w:szCs w:val="18"/>
              </w:rPr>
              <w:t> </w:t>
            </w:r>
            <w:r>
              <w:rPr>
                <w:rFonts w:ascii="宋体" w:hAnsi="宋体" w:cs="宋体" w:eastAsia="宋体" w:hint="default"/>
                <w:spacing w:val="-2"/>
                <w:sz w:val="18"/>
                <w:szCs w:val="18"/>
              </w:rPr>
              <w:t>人章程、股东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大会议事规 </w:t>
            </w:r>
            <w:r>
              <w:rPr>
                <w:rFonts w:ascii="宋体" w:hAnsi="宋体" w:cs="宋体" w:eastAsia="宋体" w:hint="default"/>
                <w:spacing w:val="-2"/>
                <w:sz w:val="18"/>
                <w:szCs w:val="18"/>
              </w:rPr>
              <w:t>则、董事会议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事规则等相 </w:t>
            </w:r>
            <w:r>
              <w:rPr>
                <w:rFonts w:ascii="宋体" w:hAnsi="宋体" w:cs="宋体" w:eastAsia="宋体" w:hint="default"/>
                <w:spacing w:val="-2"/>
                <w:sz w:val="18"/>
                <w:szCs w:val="18"/>
              </w:rPr>
              <w:t>关规定，履行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关联交易决 </w:t>
            </w:r>
            <w:r>
              <w:rPr>
                <w:rFonts w:ascii="宋体" w:hAnsi="宋体" w:cs="宋体" w:eastAsia="宋体" w:hint="default"/>
                <w:spacing w:val="-2"/>
                <w:sz w:val="18"/>
                <w:szCs w:val="18"/>
              </w:rPr>
              <w:t>策、回避表决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等公允决策 </w:t>
            </w:r>
            <w:r>
              <w:rPr>
                <w:rFonts w:ascii="宋体" w:hAnsi="宋体" w:cs="宋体" w:eastAsia="宋体" w:hint="default"/>
                <w:spacing w:val="-2"/>
                <w:sz w:val="18"/>
                <w:szCs w:val="18"/>
              </w:rPr>
              <w:t>程序，及时详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细进行信息 </w:t>
            </w:r>
            <w:r>
              <w:rPr>
                <w:rFonts w:ascii="宋体" w:hAnsi="宋体" w:cs="宋体" w:eastAsia="宋体" w:hint="default"/>
                <w:spacing w:val="-15"/>
                <w:sz w:val="18"/>
                <w:szCs w:val="18"/>
              </w:rPr>
              <w:t>披露；（</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）依</w:t>
            </w:r>
            <w:r>
              <w:rPr>
                <w:rFonts w:ascii="宋体" w:hAnsi="宋体" w:cs="宋体" w:eastAsia="宋体" w:hint="default"/>
                <w:spacing w:val="-5"/>
                <w:sz w:val="18"/>
                <w:szCs w:val="18"/>
              </w:rPr>
              <w:t> </w:t>
            </w:r>
            <w:r>
              <w:rPr>
                <w:rFonts w:ascii="宋体" w:hAnsi="宋体" w:cs="宋体" w:eastAsia="宋体" w:hint="default"/>
                <w:sz w:val="18"/>
                <w:szCs w:val="18"/>
              </w:rPr>
              <w:t>照市场经济</w:t>
            </w:r>
            <w:r>
              <w:rPr>
                <w:rFonts w:ascii="宋体" w:hAnsi="宋体" w:cs="宋体" w:eastAsia="宋体" w:hint="default"/>
                <w:sz w:val="18"/>
                <w:szCs w:val="18"/>
              </w:rPr>
              <w:t> </w:t>
            </w:r>
            <w:r>
              <w:rPr>
                <w:rFonts w:ascii="宋体" w:hAnsi="宋体" w:cs="宋体" w:eastAsia="宋体" w:hint="default"/>
                <w:spacing w:val="-2"/>
                <w:sz w:val="18"/>
                <w:szCs w:val="18"/>
              </w:rPr>
              <w:t>原则，采取市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场定价确定 交易价格。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马铮、苏州衡</w:t>
            </w:r>
            <w:r>
              <w:rPr>
                <w:rFonts w:ascii="宋体" w:hAnsi="宋体" w:cs="宋体" w:eastAsia="宋体" w:hint="default"/>
                <w:sz w:val="18"/>
                <w:szCs w:val="18"/>
              </w:rPr>
              <w:t> 赢真盛创业 </w:t>
            </w:r>
            <w:r>
              <w:rPr>
                <w:rFonts w:ascii="宋体" w:hAnsi="宋体" w:cs="宋体" w:eastAsia="宋体" w:hint="default"/>
                <w:spacing w:val="-2"/>
                <w:sz w:val="18"/>
                <w:szCs w:val="18"/>
              </w:rPr>
              <w:t>投资中心（有</w:t>
            </w:r>
            <w:r>
              <w:rPr>
                <w:rFonts w:ascii="宋体" w:hAnsi="宋体" w:cs="宋体" w:eastAsia="宋体" w:hint="default"/>
                <w:sz w:val="18"/>
                <w:szCs w:val="18"/>
              </w:rPr>
              <w:t> 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规范和减少 关联交易承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 身作为发行 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东之地位及 影响谋求发 行人在业务 合作等方面 给予优于市 场第三方的 权利；</w:t>
            </w:r>
            <w:r>
              <w:rPr>
                <w:rFonts w:ascii="Times New Roman" w:hAnsi="Times New Roman" w:cs="Times New Roman" w:eastAsia="Times New Roman" w:hint="default"/>
                <w:sz w:val="18"/>
                <w:szCs w:val="18"/>
              </w:rPr>
              <w:t>2</w:t>
            </w:r>
            <w:r>
              <w:rPr>
                <w:rFonts w:ascii="宋体" w:hAnsi="宋体" w:cs="宋体" w:eastAsia="宋体" w:hint="default"/>
                <w:sz w:val="18"/>
                <w:szCs w:val="18"/>
              </w:rPr>
              <w:t>、不 利用自身作 为发行人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以上股东之 地位及影响 谋求与发行 人达成交易</w:t>
            </w:r>
          </w:p>
          <w:p>
            <w:pPr>
              <w:pStyle w:val="TableParagraph"/>
              <w:spacing w:line="314"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的优先权利； </w:t>
            </w:r>
            <w:r>
              <w:rPr>
                <w:rFonts w:ascii="Times New Roman" w:hAnsi="Times New Roman" w:cs="Times New Roman" w:eastAsia="Times New Roman" w:hint="default"/>
                <w:sz w:val="18"/>
                <w:szCs w:val="18"/>
              </w:rPr>
              <w:t>3</w:t>
            </w:r>
            <w:r>
              <w:rPr>
                <w:rFonts w:ascii="宋体" w:hAnsi="宋体" w:cs="宋体" w:eastAsia="宋体" w:hint="default"/>
                <w:sz w:val="18"/>
                <w:szCs w:val="18"/>
              </w:rPr>
              <w:t>、不以与市 场价格相比 显失公允的 条件与发行 人进行交易， 亦不利用该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3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类交易从事 任何损害发 行人利益的 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、在 发行人将来 可能产生的 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 控制的企业 的关联交易 </w:t>
            </w:r>
            <w:r>
              <w:rPr>
                <w:rFonts w:ascii="宋体" w:hAnsi="宋体" w:cs="宋体" w:eastAsia="宋体" w:hint="default"/>
                <w:spacing w:val="-9"/>
                <w:sz w:val="18"/>
                <w:szCs w:val="18"/>
              </w:rPr>
              <w:t>时，本人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企业</w:t>
            </w:r>
            <w:r>
              <w:rPr>
                <w:rFonts w:ascii="宋体" w:hAnsi="宋体" w:cs="宋体" w:eastAsia="宋体" w:hint="default"/>
                <w:spacing w:val="-88"/>
                <w:sz w:val="18"/>
                <w:szCs w:val="18"/>
              </w:rPr>
              <w:t> </w:t>
            </w:r>
            <w:r>
              <w:rPr>
                <w:rFonts w:ascii="宋体" w:hAnsi="宋体" w:cs="宋体" w:eastAsia="宋体" w:hint="default"/>
                <w:spacing w:val="-2"/>
                <w:sz w:val="18"/>
                <w:szCs w:val="18"/>
              </w:rPr>
              <w:t>将积极、善意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促使发行人 采取如下措 施规范该等 关联交易：</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）严格遵 守发行人章 程、股东大会 议事规则、董 事会议事规 则等相关规 定，履行关联 交易决策、回 避表决等公 允决策程序， 及时详细进 行信息披露；</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）依照市 场经济原则， 采取市场定 价确定交易 价格。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公司承诺不 为激励对象 依公司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 票激励计划 获取有关限 制性股票提 供贷款以及 其他任何形 式的财务资 </w:t>
            </w:r>
            <w:r>
              <w:rPr>
                <w:rFonts w:ascii="宋体" w:hAnsi="宋体" w:cs="宋体" w:eastAsia="宋体" w:hint="default"/>
                <w:spacing w:val="-2"/>
                <w:sz w:val="18"/>
                <w:szCs w:val="18"/>
              </w:rPr>
              <w:t>助，包括为其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67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贷款提供担 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、重要会计政策变更</w:t>
      </w:r>
    </w:p>
    <w:p>
      <w:pPr>
        <w:pStyle w:val="BodyText"/>
        <w:spacing w:line="300" w:lineRule="auto" w:before="63"/>
        <w:ind w:right="1123" w:firstLine="2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日，财政部颁布了财会</w:t>
      </w:r>
      <w:r>
        <w:rPr>
          <w:rFonts w:ascii="Times New Roman" w:hAnsi="Times New Roman" w:cs="Times New Roman" w:eastAsia="Times New Roman" w:hint="default"/>
        </w:rPr>
        <w:t>[2017]15</w:t>
      </w:r>
      <w:r>
        <w:rPr/>
        <w:t>号《关于印发修订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的通知》，自</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日起施行。由于上述会计准则的颁布，公司需对会计政策进行相应变更，并按以上文件规定的起始日开始执行上述 会计准则。</w:t>
      </w:r>
    </w:p>
    <w:p>
      <w:pPr>
        <w:pStyle w:val="BodyText"/>
        <w:spacing w:line="300" w:lineRule="auto" w:before="31"/>
        <w:ind w:right="1041" w:firstLine="290"/>
        <w:jc w:val="left"/>
      </w:pPr>
      <w:r>
        <w:rPr>
          <w:spacing w:val="-1"/>
        </w:rPr>
        <w:t>报告期内，公司根据财政部关于印发修订《企业会计准则第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政府补助》的通知（财会</w:t>
      </w:r>
      <w:r>
        <w:rPr>
          <w:rFonts w:ascii="Times New Roman" w:hAnsi="Times New Roman" w:cs="Times New Roman" w:eastAsia="Times New Roman" w:hint="default"/>
          <w:spacing w:val="-1"/>
        </w:rPr>
        <w:t>[2017]15</w:t>
      </w:r>
      <w:r>
        <w:rPr>
          <w:spacing w:val="-1"/>
        </w:rPr>
        <w:t>号）的规定和要求，</w:t>
      </w:r>
      <w:r>
        <w:rPr/>
        <w:t> 修改财务报表列报，将与日常活动有关的政府补助，从利润表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项目调整为利润表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项目列报，该会计 政策的变更对公司财务报表无重大影响，无需进行追溯调整。</w:t>
      </w:r>
    </w:p>
    <w:p>
      <w:pPr>
        <w:pStyle w:val="BodyText"/>
        <w:spacing w:line="300" w:lineRule="auto" w:before="31"/>
        <w:ind w:left="1424" w:right="7402" w:hanging="291"/>
        <w:jc w:val="left"/>
      </w:pPr>
      <w:r>
        <w:rPr>
          <w:rFonts w:ascii="Times New Roman" w:hAnsi="Times New Roman" w:cs="Times New Roman" w:eastAsia="Times New Roman" w:hint="default"/>
        </w:rPr>
        <w:t>2</w:t>
      </w:r>
      <w:r>
        <w:rPr/>
        <w:t>、重要会计估计变更 报告期公司主要会计估计未发生变更。</w:t>
      </w:r>
    </w:p>
    <w:p>
      <w:pPr>
        <w:pStyle w:val="BodyText"/>
        <w:spacing w:line="300" w:lineRule="auto" w:before="32"/>
        <w:ind w:left="1424" w:right="7762" w:hanging="291"/>
        <w:jc w:val="left"/>
      </w:pPr>
      <w:r>
        <w:rPr>
          <w:rFonts w:ascii="Times New Roman" w:hAnsi="Times New Roman" w:cs="Times New Roman" w:eastAsia="Times New Roman" w:hint="default"/>
        </w:rPr>
        <w:t>3</w:t>
      </w:r>
      <w:r>
        <w:rPr/>
        <w:t>、重大会计差错更正 报告期公司无重大会计差错更正。</w:t>
      </w:r>
    </w:p>
    <w:p>
      <w:pPr>
        <w:spacing w:after="0" w:line="30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7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报告期内合并范围新增一家：公司在报告期内投资设立控股子公司贵安新区贵金科技有限公司，持股比例为</w:t>
      </w:r>
      <w:r>
        <w:rPr>
          <w:rFonts w:ascii="Times New Roman" w:hAnsi="Times New Roman" w:cs="Times New Roman" w:eastAsia="Times New Roman" w:hint="default"/>
        </w:rPr>
        <w:t>51%</w:t>
      </w:r>
      <w:r>
        <w:rPr/>
        <w:t>。</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王莹、邵桂荣</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年、邵桂荣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报告期内，公司及公司控股股东、实际控制人均不存在未履行的法院生效判决或所负数额较大的债务到期未清偿等情况。</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14</w:t>
      </w:r>
      <w:r>
        <w:rPr>
          <w:spacing w:val="-1"/>
        </w:rPr>
        <w:t>日，公司召开第二届董事会第十一次会议和第二届监事会第十一次会议，审议通过了《关于</w:t>
      </w:r>
      <w:r>
        <w:rPr>
          <w:rFonts w:ascii="Times New Roman" w:hAnsi="Times New Roman" w:cs="Times New Roman" w:eastAsia="Times New Roman" w:hint="default"/>
          <w:spacing w:val="-1"/>
        </w:rPr>
        <w:t>&lt;</w:t>
      </w:r>
      <w:r>
        <w:rPr>
          <w:spacing w:val="-1"/>
        </w:rPr>
        <w:t>珠海汇金科技</w:t>
      </w:r>
      <w:r>
        <w:rPr>
          <w:spacing w:val="-40"/>
        </w:rPr>
        <w:t> </w:t>
      </w:r>
      <w:r>
        <w:rPr/>
        <w:t>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珠海汇金科技股份有限公司</w:t>
      </w:r>
      <w:r>
        <w:rPr>
          <w:rFonts w:ascii="Times New Roman" w:hAnsi="Times New Roman" w:cs="Times New Roman" w:eastAsia="Times New Roman" w:hint="default"/>
        </w:rPr>
        <w:t>2017</w:t>
      </w:r>
      <w:r>
        <w:rPr/>
        <w:t>年限制性</w:t>
      </w:r>
    </w:p>
    <w:p>
      <w:pPr>
        <w:pStyle w:val="BodyText"/>
        <w:spacing w:line="302" w:lineRule="auto"/>
        <w:ind w:right="1111"/>
        <w:jc w:val="left"/>
      </w:pPr>
      <w:r>
        <w:rPr/>
        <w:t>股票激励计划实施考核管理办法</w:t>
      </w:r>
      <w:r>
        <w:rPr>
          <w:rFonts w:ascii="Times New Roman" w:hAnsi="Times New Roman" w:cs="Times New Roman" w:eastAsia="Times New Roman" w:hint="default"/>
        </w:rPr>
        <w:t>&gt;</w:t>
      </w:r>
      <w:r>
        <w:rPr/>
        <w:t>的议案》等议案。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日，公司对授予激励对象名单的姓名和职务在公司内部进行了公示。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日，公司</w:t>
      </w:r>
      <w:r>
        <w:rPr>
          <w:spacing w:val="-44"/>
        </w:rPr>
        <w:t> </w:t>
      </w:r>
      <w:r>
        <w:rPr>
          <w:spacing w:val="-44"/>
        </w:rPr>
      </w:r>
      <w:r>
        <w:rPr/>
        <w:t>监事会发表了《监事会关于公司</w:t>
      </w:r>
      <w:r>
        <w:rPr>
          <w:rFonts w:ascii="Times New Roman" w:hAnsi="Times New Roman" w:cs="Times New Roman" w:eastAsia="Times New Roman" w:hint="default"/>
        </w:rPr>
        <w:t>2017</w:t>
      </w:r>
      <w:r>
        <w:rPr/>
        <w:t>年限制性股票激励计划激励对象名单的核查意见及公示情况说明》。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日，公司召开</w:t>
      </w:r>
      <w:r>
        <w:rPr>
          <w:rFonts w:ascii="Times New Roman" w:hAnsi="Times New Roman" w:cs="Times New Roman" w:eastAsia="Times New Roman" w:hint="default"/>
        </w:rPr>
        <w:t>2017</w:t>
      </w:r>
      <w:r>
        <w:rPr/>
        <w:t>年第一次临时股东大会，审议通过了《关于</w:t>
      </w:r>
      <w:r>
        <w:rPr>
          <w:rFonts w:ascii="Times New Roman" w:hAnsi="Times New Roman" w:cs="Times New Roman" w:eastAsia="Times New Roman" w:hint="default"/>
        </w:rPr>
        <w:t>&lt;</w:t>
      </w:r>
      <w:r>
        <w:rPr/>
        <w:t>珠海汇金科技股份有限公司</w:t>
      </w:r>
      <w:r>
        <w:rPr>
          <w:rFonts w:ascii="Times New Roman" w:hAnsi="Times New Roman" w:cs="Times New Roman" w:eastAsia="Times New Roman" w:hint="default"/>
        </w:rPr>
        <w:t>2017</w:t>
      </w:r>
      <w:r>
        <w:rPr/>
        <w:t>年限制性股 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珠海汇金科技股份有限公司</w:t>
      </w:r>
      <w:r>
        <w:rPr>
          <w:rFonts w:ascii="Times New Roman" w:hAnsi="Times New Roman" w:cs="Times New Roman" w:eastAsia="Times New Roman" w:hint="default"/>
        </w:rPr>
        <w:t>2017</w:t>
      </w:r>
      <w:r>
        <w:rPr/>
        <w:t>年限制性股票激励计划实施考核管理办 </w:t>
      </w:r>
      <w:r>
        <w:rPr>
          <w:spacing w:val="-4"/>
        </w:rPr>
        <w:t>法</w:t>
      </w:r>
      <w:r>
        <w:rPr>
          <w:rFonts w:ascii="Times New Roman" w:hAnsi="Times New Roman" w:cs="Times New Roman" w:eastAsia="Times New Roman" w:hint="default"/>
          <w:spacing w:val="-4"/>
        </w:rPr>
        <w:t>&gt;</w:t>
      </w:r>
      <w:r>
        <w:rPr>
          <w:spacing w:val="-4"/>
        </w:rPr>
        <w:t>的议案》以及《关于提请公司股东大会授权董事会办理公司</w:t>
      </w:r>
      <w:r>
        <w:rPr>
          <w:rFonts w:ascii="Times New Roman" w:hAnsi="Times New Roman" w:cs="Times New Roman" w:eastAsia="Times New Roman" w:hint="default"/>
          <w:spacing w:val="-4"/>
        </w:rPr>
        <w:t>2017</w:t>
      </w:r>
      <w:r>
        <w:rPr>
          <w:spacing w:val="-4"/>
        </w:rPr>
        <w:t>年限制性股票激励计划有关事项的议案》，并披露了《关</w:t>
      </w:r>
      <w:r>
        <w:rPr>
          <w:spacing w:val="-51"/>
        </w:rPr>
        <w:t> </w:t>
      </w:r>
      <w:r>
        <w:rPr>
          <w:spacing w:val="-51"/>
        </w:rPr>
      </w:r>
      <w:r>
        <w:rPr/>
        <w:t>于公司</w:t>
      </w:r>
      <w:r>
        <w:rPr>
          <w:rFonts w:ascii="Times New Roman" w:hAnsi="Times New Roman" w:cs="Times New Roman" w:eastAsia="Times New Roman" w:hint="default"/>
        </w:rPr>
        <w:t>2017</w:t>
      </w:r>
      <w:r>
        <w:rPr/>
        <w:t>年限制性股票激励计划内幕信息知情人及首次授予激励对象买卖公司股票情况的自查报告》。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日，公司召开第二届董事会第十四次会议和第二届监事会第十四次会议，审议通过了《关于调整公司</w:t>
      </w:r>
      <w:r>
        <w:rPr>
          <w:rFonts w:ascii="Times New Roman" w:hAnsi="Times New Roman" w:cs="Times New Roman" w:eastAsia="Times New Roman" w:hint="default"/>
        </w:rPr>
        <w:t>2017 </w:t>
      </w:r>
      <w:r>
        <w:rPr>
          <w:spacing w:val="-2"/>
        </w:rPr>
        <w:t>年限制性股票激励计划激励对象名单及授予数量的议案》及《关于向激励对象首次授予限制性股票的议案》，按照激励计划</w:t>
      </w:r>
      <w:r>
        <w:rPr>
          <w:spacing w:val="-66"/>
        </w:rPr>
        <w:t> </w:t>
      </w:r>
      <w:r>
        <w:rPr>
          <w:spacing w:val="-66"/>
        </w:rPr>
      </w:r>
      <w:r>
        <w:rPr/>
        <w:t>对首次授予的激励对象进行调整，并同意向其授予相应股份，监事会对名单进行了核查并发表意见。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日，公司完成</w:t>
      </w:r>
      <w:r>
        <w:rPr>
          <w:rFonts w:ascii="Times New Roman" w:hAnsi="Times New Roman" w:cs="Times New Roman" w:eastAsia="Times New Roman" w:hint="default"/>
          <w:spacing w:val="-2"/>
        </w:rPr>
        <w:t>2017</w:t>
      </w:r>
      <w:r>
        <w:rPr>
          <w:spacing w:val="-2"/>
        </w:rPr>
        <w:t>年限制性股票激励计划限制性股票的首次授予登记工作，向</w:t>
      </w:r>
      <w:r>
        <w:rPr>
          <w:rFonts w:ascii="Times New Roman" w:hAnsi="Times New Roman" w:cs="Times New Roman" w:eastAsia="Times New Roman" w:hint="default"/>
          <w:spacing w:val="-2"/>
        </w:rPr>
        <w:t>42</w:t>
      </w:r>
      <w:r>
        <w:rPr>
          <w:spacing w:val="-2"/>
        </w:rPr>
        <w:t>名激励对象授予</w:t>
      </w:r>
      <w:r>
        <w:rPr>
          <w:rFonts w:ascii="Times New Roman" w:hAnsi="Times New Roman" w:cs="Times New Roman" w:eastAsia="Times New Roman" w:hint="default"/>
          <w:spacing w:val="-2"/>
        </w:rPr>
        <w:t>116</w:t>
      </w:r>
      <w:r>
        <w:rPr>
          <w:spacing w:val="-2"/>
        </w:rPr>
        <w:t>万股限</w:t>
      </w:r>
      <w:r>
        <w:rPr>
          <w:spacing w:val="-49"/>
        </w:rPr>
        <w:t> </w:t>
      </w:r>
      <w:r>
        <w:rPr>
          <w:spacing w:val="-2"/>
        </w:rPr>
        <w:t>制性股票，并披露了《关于</w:t>
      </w:r>
      <w:r>
        <w:rPr>
          <w:rFonts w:ascii="Times New Roman" w:hAnsi="Times New Roman" w:cs="Times New Roman" w:eastAsia="Times New Roman" w:hint="default"/>
          <w:spacing w:val="-2"/>
        </w:rPr>
        <w:t>2017</w:t>
      </w:r>
      <w:r>
        <w:rPr>
          <w:spacing w:val="-2"/>
        </w:rPr>
        <w:t>年限制性股票激励计划首次授予登记完成的公告》，首次授予限制性股票的上市日期为</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p>
    <w:p>
      <w:pPr>
        <w:spacing w:line="240" w:lineRule="auto" w:before="10"/>
        <w:rPr>
          <w:rFonts w:ascii="宋体" w:hAnsi="宋体" w:cs="宋体" w:eastAsia="宋体" w:hint="default"/>
          <w:sz w:val="3"/>
          <w:szCs w:val="3"/>
        </w:rPr>
      </w:pPr>
    </w:p>
    <w:p>
      <w:pPr>
        <w:spacing w:line="8013" w:lineRule="exact"/>
        <w:ind w:left="1134" w:right="0" w:firstLine="0"/>
        <w:rPr>
          <w:rFonts w:ascii="宋体" w:hAnsi="宋体" w:cs="宋体" w:eastAsia="宋体" w:hint="default"/>
          <w:sz w:val="20"/>
          <w:szCs w:val="20"/>
        </w:rPr>
      </w:pPr>
      <w:r>
        <w:rPr>
          <w:rFonts w:ascii="宋体" w:hAnsi="宋体" w:cs="宋体" w:eastAsia="宋体" w:hint="default"/>
          <w:position w:val="-159"/>
          <w:sz w:val="20"/>
          <w:szCs w:val="20"/>
        </w:rPr>
        <w:drawing>
          <wp:inline distT="0" distB="0" distL="0" distR="0">
            <wp:extent cx="3896800" cy="508863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3896800" cy="5088636"/>
                    </a:xfrm>
                    <a:prstGeom prst="rect">
                      <a:avLst/>
                    </a:prstGeom>
                  </pic:spPr>
                </pic:pic>
              </a:graphicData>
            </a:graphic>
          </wp:inline>
        </w:drawing>
      </w:r>
      <w:r>
        <w:rPr>
          <w:rFonts w:ascii="宋体" w:hAnsi="宋体" w:cs="宋体" w:eastAsia="宋体" w:hint="default"/>
          <w:position w:val="-159"/>
          <w:sz w:val="20"/>
          <w:szCs w:val="20"/>
        </w:rPr>
      </w:r>
    </w:p>
    <w:p>
      <w:pPr>
        <w:spacing w:after="0" w:line="8013"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13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租赁情况说明</w:t>
      </w:r>
    </w:p>
    <w:p>
      <w:pPr>
        <w:spacing w:line="240" w:lineRule="auto" w:before="8"/>
        <w:rPr>
          <w:rFonts w:ascii="宋体" w:hAnsi="宋体" w:cs="宋体" w:eastAsia="宋体" w:hint="default"/>
          <w:sz w:val="19"/>
          <w:szCs w:val="19"/>
        </w:rPr>
      </w:pPr>
    </w:p>
    <w:p>
      <w:pPr>
        <w:spacing w:line="3750" w:lineRule="exact"/>
        <w:ind w:left="1768"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5314950" cy="238125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314950" cy="2381250"/>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sz w:val="15"/>
          <w:szCs w:val="15"/>
        </w:rPr>
      </w:pPr>
    </w:p>
    <w:p>
      <w:pPr>
        <w:pStyle w:val="BodyText"/>
        <w:spacing w:line="240" w:lineRule="auto"/>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112,700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7255" w:space="148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1610"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9"/>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2" w:right="21" w:firstLine="86"/>
              <w:jc w:val="both"/>
              <w:rPr>
                <w:rFonts w:ascii="宋体" w:hAnsi="宋体" w:cs="宋体" w:eastAsia="宋体" w:hint="default"/>
                <w:sz w:val="18"/>
                <w:szCs w:val="18"/>
              </w:rPr>
            </w:pPr>
            <w:r>
              <w:rPr>
                <w:rFonts w:ascii="宋体" w:hAnsi="宋体" w:cs="宋体" w:eastAsia="宋体" w:hint="default"/>
                <w:sz w:val="18"/>
                <w:szCs w:val="18"/>
              </w:rPr>
              <w:t>（或 受托 人）类</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240" w:lineRule="auto" w:before="19"/>
              <w:ind w:left="88" w:right="0"/>
              <w:jc w:val="both"/>
              <w:rPr>
                <w:rFonts w:ascii="宋体" w:hAnsi="宋体" w:cs="宋体" w:eastAsia="宋体" w:hint="default"/>
                <w:sz w:val="18"/>
                <w:szCs w:val="18"/>
              </w:rPr>
            </w:pPr>
            <w:r>
              <w:rPr>
                <w:rFonts w:ascii="宋体" w:hAnsi="宋体" w:cs="宋体" w:eastAsia="宋体" w:hint="default"/>
                <w:sz w:val="18"/>
                <w:szCs w:val="18"/>
              </w:rPr>
              <w:t>（如</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71"/>
              <w:jc w:val="both"/>
              <w:rPr>
                <w:rFonts w:ascii="宋体" w:hAnsi="宋体" w:cs="宋体" w:eastAsia="宋体" w:hint="default"/>
                <w:sz w:val="18"/>
                <w:szCs w:val="18"/>
              </w:rPr>
            </w:pPr>
            <w:r>
              <w:rPr>
                <w:rFonts w:ascii="宋体" w:hAnsi="宋体" w:cs="宋体" w:eastAsia="宋体" w:hint="default"/>
                <w:sz w:val="18"/>
                <w:szCs w:val="18"/>
              </w:rPr>
              <w:t>事项 概述 及相 关查 询索</w:t>
            </w:r>
          </w:p>
        </w:tc>
      </w:tr>
    </w:tbl>
    <w:p>
      <w:pPr>
        <w:spacing w:after="0" w:line="316" w:lineRule="auto"/>
        <w:jc w:val="both"/>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9" w:right="100"/>
              <w:jc w:val="left"/>
              <w:rPr>
                <w:rFonts w:ascii="宋体" w:hAnsi="宋体" w:cs="宋体" w:eastAsia="宋体" w:hint="default"/>
                <w:sz w:val="18"/>
                <w:szCs w:val="18"/>
              </w:rPr>
            </w:pPr>
            <w:r>
              <w:rPr>
                <w:rFonts w:ascii="宋体" w:hAnsi="宋体" w:cs="宋体" w:eastAsia="宋体" w:hint="default"/>
                <w:sz w:val="18"/>
                <w:szCs w:val="18"/>
              </w:rPr>
              <w:t>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99"/>
              <w:jc w:val="right"/>
              <w:rPr>
                <w:rFonts w:ascii="宋体" w:hAnsi="宋体" w:cs="宋体" w:eastAsia="宋体" w:hint="default"/>
                <w:sz w:val="18"/>
                <w:szCs w:val="18"/>
              </w:rPr>
            </w:pPr>
            <w:r>
              <w:rPr>
                <w:rFonts w:ascii="宋体" w:hAnsi="宋体" w:cs="宋体" w:eastAsia="宋体" w:hint="default"/>
                <w:sz w:val="18"/>
                <w:szCs w:val="18"/>
              </w:rPr>
              <w:t>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8" w:right="0"/>
              <w:jc w:val="left"/>
              <w:rPr>
                <w:rFonts w:ascii="宋体" w:hAnsi="宋体" w:cs="宋体" w:eastAsia="宋体" w:hint="default"/>
                <w:sz w:val="18"/>
                <w:szCs w:val="18"/>
              </w:rPr>
            </w:pPr>
            <w:r>
              <w:rPr>
                <w:rFonts w:ascii="宋体" w:hAnsi="宋体" w:cs="宋体" w:eastAsia="宋体" w:hint="default"/>
                <w:sz w:val="18"/>
                <w:szCs w:val="18"/>
              </w:rPr>
              <w:t>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7"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5" w:right="20" w:hanging="62"/>
              <w:jc w:val="left"/>
              <w:rPr>
                <w:rFonts w:ascii="宋体" w:hAnsi="宋体" w:cs="宋体" w:eastAsia="宋体" w:hint="default"/>
                <w:sz w:val="18"/>
                <w:szCs w:val="18"/>
              </w:rPr>
            </w:pPr>
            <w:r>
              <w:rPr>
                <w:rFonts w:ascii="宋体" w:hAnsi="宋体" w:cs="宋体" w:eastAsia="宋体" w:hint="default"/>
                <w:spacing w:val="-20"/>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7"/>
              <w:jc w:val="righ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74.5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67.99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20.62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81.92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吉大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103.07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103.07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公司 珠海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10.26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10.26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38.42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38.42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center"/>
              <w:rPr>
                <w:rFonts w:ascii="Times New Roman" w:hAnsi="Times New Roman" w:cs="Times New Roman" w:eastAsia="Times New Roman" w:hint="default"/>
                <w:sz w:val="18"/>
                <w:szCs w:val="18"/>
              </w:rPr>
            </w:pPr>
            <w:r>
              <w:rPr>
                <w:rFonts w:ascii="Times New Roman"/>
                <w:sz w:val="18"/>
              </w:rPr>
              <w:t>56.92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0" w:right="0"/>
              <w:jc w:val="center"/>
              <w:rPr>
                <w:rFonts w:ascii="Times New Roman" w:hAnsi="Times New Roman" w:cs="Times New Roman" w:eastAsia="Times New Roman" w:hint="default"/>
                <w:sz w:val="18"/>
                <w:szCs w:val="18"/>
              </w:rPr>
            </w:pPr>
            <w:r>
              <w:rPr>
                <w:rFonts w:ascii="Times New Roman"/>
                <w:sz w:val="18"/>
              </w:rPr>
              <w:t>56.92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center"/>
              <w:rPr>
                <w:rFonts w:ascii="Times New Roman" w:hAnsi="Times New Roman" w:cs="Times New Roman" w:eastAsia="Times New Roman" w:hint="default"/>
                <w:sz w:val="18"/>
                <w:szCs w:val="18"/>
              </w:rPr>
            </w:pPr>
            <w:r>
              <w:rPr>
                <w:rFonts w:ascii="Times New Roman"/>
                <w:sz w:val="18"/>
              </w:rPr>
              <w:t>56.93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0" w:right="0"/>
              <w:jc w:val="center"/>
              <w:rPr>
                <w:rFonts w:ascii="Times New Roman" w:hAnsi="Times New Roman" w:cs="Times New Roman" w:eastAsia="Times New Roman" w:hint="default"/>
                <w:sz w:val="18"/>
                <w:szCs w:val="18"/>
              </w:rPr>
            </w:pPr>
            <w:r>
              <w:rPr>
                <w:rFonts w:ascii="Times New Roman"/>
                <w:sz w:val="18"/>
              </w:rPr>
              <w:t>56.93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57.46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57.46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分行 营业 部</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41.88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41.88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3.57%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17.78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17.78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101.29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101.29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53.7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53.7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池</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23" w:right="0"/>
              <w:jc w:val="left"/>
              <w:rPr>
                <w:rFonts w:ascii="Times New Roman" w:hAnsi="Times New Roman" w:cs="Times New Roman" w:eastAsia="Times New Roman" w:hint="default"/>
                <w:sz w:val="18"/>
                <w:szCs w:val="18"/>
              </w:rPr>
            </w:pPr>
            <w:r>
              <w:rPr>
                <w:rFonts w:ascii="Times New Roman"/>
                <w:sz w:val="18"/>
              </w:rPr>
              <w:t>15.16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23" w:right="0"/>
              <w:jc w:val="left"/>
              <w:rPr>
                <w:rFonts w:ascii="Times New Roman" w:hAnsi="Times New Roman" w:cs="Times New Roman" w:eastAsia="Times New Roman" w:hint="default"/>
                <w:sz w:val="18"/>
                <w:szCs w:val="18"/>
              </w:rPr>
            </w:pPr>
            <w:r>
              <w:rPr>
                <w:rFonts w:ascii="Times New Roman"/>
                <w:sz w:val="18"/>
              </w:rPr>
              <w:t>15.16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
              <w:jc w:val="left"/>
              <w:rPr>
                <w:rFonts w:ascii="宋体" w:hAnsi="宋体" w:cs="宋体" w:eastAsia="宋体" w:hint="default"/>
                <w:sz w:val="18"/>
                <w:szCs w:val="18"/>
              </w:rPr>
            </w:pPr>
            <w:r>
              <w:rPr>
                <w:rFonts w:ascii="宋体" w:hAnsi="宋体" w:cs="宋体" w:eastAsia="宋体" w:hint="default"/>
                <w:sz w:val="18"/>
                <w:szCs w:val="18"/>
              </w:rPr>
              <w:t>开放 </w:t>
            </w:r>
            <w:r>
              <w:rPr>
                <w:rFonts w:ascii="宋体" w:hAnsi="宋体" w:cs="宋体" w:eastAsia="宋体" w:hint="default"/>
                <w:spacing w:val="-12"/>
                <w:sz w:val="18"/>
                <w:szCs w:val="18"/>
              </w:rPr>
              <w:t>型，无</w:t>
            </w:r>
            <w:r>
              <w:rPr>
                <w:rFonts w:ascii="宋体" w:hAnsi="宋体" w:cs="宋体" w:eastAsia="宋体" w:hint="default"/>
                <w:sz w:val="18"/>
                <w:szCs w:val="18"/>
              </w:rPr>
              <w:t> 固定 期限； 未赎</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
              <w:jc w:val="left"/>
              <w:rPr>
                <w:rFonts w:ascii="宋体" w:hAnsi="宋体" w:cs="宋体" w:eastAsia="宋体" w:hint="default"/>
                <w:sz w:val="18"/>
                <w:szCs w:val="18"/>
              </w:rPr>
            </w:pPr>
            <w:r>
              <w:rPr>
                <w:rFonts w:ascii="宋体" w:hAnsi="宋体" w:cs="宋体" w:eastAsia="宋体" w:hint="default"/>
                <w:sz w:val="18"/>
                <w:szCs w:val="18"/>
              </w:rPr>
              <w:t>开放 </w:t>
            </w:r>
            <w:r>
              <w:rPr>
                <w:rFonts w:ascii="宋体" w:hAnsi="宋体" w:cs="宋体" w:eastAsia="宋体" w:hint="default"/>
                <w:spacing w:val="-12"/>
                <w:sz w:val="18"/>
                <w:szCs w:val="18"/>
              </w:rPr>
              <w:t>型，无</w:t>
            </w:r>
            <w:r>
              <w:rPr>
                <w:rFonts w:ascii="宋体" w:hAnsi="宋体" w:cs="宋体" w:eastAsia="宋体" w:hint="default"/>
                <w:sz w:val="18"/>
                <w:szCs w:val="18"/>
              </w:rPr>
              <w:t> 固定 期限； 未赎</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开放 </w:t>
            </w:r>
            <w:r>
              <w:rPr>
                <w:rFonts w:ascii="宋体" w:hAnsi="宋体" w:cs="宋体" w:eastAsia="宋体" w:hint="default"/>
                <w:spacing w:val="-12"/>
                <w:sz w:val="18"/>
                <w:szCs w:val="18"/>
              </w:rPr>
              <w:t>型，无</w:t>
            </w:r>
            <w:r>
              <w:rPr>
                <w:rFonts w:ascii="宋体" w:hAnsi="宋体" w:cs="宋体" w:eastAsia="宋体" w:hint="default"/>
                <w:sz w:val="18"/>
                <w:szCs w:val="18"/>
              </w:rPr>
              <w:t> 固定 期限； 未赎</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开放 </w:t>
            </w:r>
            <w:r>
              <w:rPr>
                <w:rFonts w:ascii="宋体" w:hAnsi="宋体" w:cs="宋体" w:eastAsia="宋体" w:hint="default"/>
                <w:spacing w:val="-12"/>
                <w:sz w:val="18"/>
                <w:szCs w:val="18"/>
              </w:rPr>
              <w:t>型，无</w:t>
            </w:r>
            <w:r>
              <w:rPr>
                <w:rFonts w:ascii="宋体" w:hAnsi="宋体" w:cs="宋体" w:eastAsia="宋体" w:hint="default"/>
                <w:sz w:val="18"/>
                <w:szCs w:val="18"/>
              </w:rPr>
              <w:t> 固定 期限； 未赎</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8"/>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86</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委托理财出现预期无法收回本金或存在其他可能导致减值的情形</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290"/>
        <w:jc w:val="left"/>
      </w:pPr>
      <w:r>
        <w:rPr>
          <w:spacing w:val="-1"/>
        </w:rPr>
        <w:t>公司重视履行社会责任，不断完善公司治理，积极探索，实现股东、客户与员工的共同发展；同时积极回馈社会，为社</w:t>
      </w:r>
      <w:r>
        <w:rPr/>
        <w:t> 会的繁荣贡献力所能及的力量，支持社会公益事业。</w:t>
      </w:r>
    </w:p>
    <w:p>
      <w:pPr>
        <w:pStyle w:val="BodyText"/>
        <w:spacing w:line="300" w:lineRule="auto" w:before="17"/>
        <w:ind w:left="1424" w:right="0" w:hanging="291"/>
        <w:jc w:val="left"/>
      </w:pPr>
      <w:r>
        <w:rPr>
          <w:rFonts w:ascii="Times New Roman" w:hAnsi="Times New Roman" w:cs="Times New Roman" w:eastAsia="Times New Roman" w:hint="default"/>
        </w:rPr>
        <w:t>1</w:t>
      </w:r>
      <w:r>
        <w:rPr/>
        <w:t>、维护股东和债权人权益方面 </w:t>
      </w:r>
      <w:r>
        <w:rPr>
          <w:spacing w:val="-1"/>
        </w:rPr>
        <w:t>报告期内，公司不断完善法人治理结构，严格按照有关法律法规、《公司章程》和公司相关制度的要求，履行信息披露</w:t>
      </w:r>
    </w:p>
    <w:p>
      <w:pPr>
        <w:pStyle w:val="BodyText"/>
        <w:spacing w:line="316" w:lineRule="auto" w:before="31"/>
        <w:ind w:left="1134" w:right="1130"/>
        <w:jc w:val="both"/>
      </w:pPr>
      <w:r>
        <w:rPr>
          <w:spacing w:val="-2"/>
        </w:rPr>
        <w:t>义务，保障股东的知情权；通过网上业绩说明会、投资者电话、传真、电子邮箱、投资者关系互动平台和接待投资者现场调</w:t>
      </w:r>
      <w:r>
        <w:rPr>
          <w:spacing w:val="-67"/>
        </w:rPr>
        <w:t> </w:t>
      </w:r>
      <w:r>
        <w:rPr>
          <w:spacing w:val="-67"/>
        </w:rPr>
      </w:r>
      <w:r>
        <w:rPr>
          <w:spacing w:val="-2"/>
        </w:rPr>
        <w:t>研等多种方式与投资者进行沟通交流，建立良好的互动平台；公司重视对投资者的合理回报，制定了连续、稳定的利润分配</w:t>
      </w:r>
      <w:r>
        <w:rPr>
          <w:spacing w:val="-66"/>
        </w:rPr>
        <w:t> </w:t>
      </w:r>
      <w:r>
        <w:rPr>
          <w:spacing w:val="-66"/>
        </w:rPr>
      </w:r>
      <w:r>
        <w:rPr>
          <w:spacing w:val="-2"/>
        </w:rPr>
        <w:t>政策，明确了分红的条件和比例，有效保障了投资者的合法权益。公司的财务政策稳健，资产、资金安全，在维护股东利益</w:t>
      </w:r>
      <w:r>
        <w:rPr>
          <w:spacing w:val="-67"/>
        </w:rPr>
        <w:t> </w:t>
      </w:r>
      <w:r>
        <w:rPr>
          <w:spacing w:val="-67"/>
        </w:rPr>
      </w:r>
      <w:r>
        <w:rPr/>
        <w:t>的同时兼顾债权人的利益。</w:t>
      </w:r>
    </w:p>
    <w:p>
      <w:pPr>
        <w:pStyle w:val="BodyText"/>
        <w:spacing w:line="300" w:lineRule="auto" w:before="19"/>
        <w:ind w:left="1424" w:right="0" w:hanging="291"/>
        <w:jc w:val="left"/>
      </w:pPr>
      <w:r>
        <w:rPr>
          <w:rFonts w:ascii="Times New Roman" w:hAnsi="Times New Roman" w:cs="Times New Roman" w:eastAsia="Times New Roman" w:hint="default"/>
        </w:rPr>
        <w:t>2</w:t>
      </w:r>
      <w:r>
        <w:rPr/>
        <w:t>、维护供应商和客户权益方面 </w:t>
      </w:r>
      <w:r>
        <w:rPr>
          <w:spacing w:val="-1"/>
        </w:rPr>
        <w:t>公司聚焦为客户创造价值，学习和发扬工匠精神，将产品质量、诚信经营放在首位，积极构建和发展与供应商、客户的</w:t>
      </w:r>
    </w:p>
    <w:p>
      <w:pPr>
        <w:pStyle w:val="BodyText"/>
        <w:spacing w:line="316" w:lineRule="auto" w:before="31"/>
        <w:ind w:left="1134" w:right="1032"/>
        <w:jc w:val="left"/>
      </w:pPr>
      <w:r>
        <w:rPr/>
        <w:t>合作伙伴关系，注重与各相关方的沟通和协调，共同构筑信任与合作的平台，切实履行公司对供应商、对客户的社会责任。 报告期内，公司与供应商和客户合同履约良好，各方的权益都得到了应有的保护。</w:t>
      </w:r>
    </w:p>
    <w:p>
      <w:pPr>
        <w:pStyle w:val="BodyText"/>
        <w:spacing w:line="300" w:lineRule="auto" w:before="19"/>
        <w:ind w:left="1424" w:right="0" w:hanging="291"/>
        <w:jc w:val="left"/>
      </w:pPr>
      <w:r>
        <w:rPr>
          <w:rFonts w:ascii="Times New Roman" w:hAnsi="Times New Roman" w:cs="Times New Roman" w:eastAsia="Times New Roman" w:hint="default"/>
        </w:rPr>
        <w:t>3</w:t>
      </w:r>
      <w:r>
        <w:rPr/>
        <w:t>、维护职工权益方面 </w:t>
      </w:r>
      <w:r>
        <w:rPr>
          <w:spacing w:val="-1"/>
        </w:rPr>
        <w:t>人力资源是公司重要的战略资源，公司注重实现员工与企业的共同成长，提供良好的发展空间及合理的福利待遇，并通</w:t>
      </w:r>
    </w:p>
    <w:p>
      <w:pPr>
        <w:pStyle w:val="BodyText"/>
        <w:spacing w:line="240" w:lineRule="auto" w:before="31"/>
        <w:ind w:left="1134" w:right="0"/>
        <w:jc w:val="left"/>
      </w:pPr>
      <w:r>
        <w:rPr/>
        <w:t>过股权激励等方式，充分调动员工的积极性。公司将持续关注员工健康、安全和满意度，维护员工的切身利益。</w:t>
      </w:r>
    </w:p>
    <w:p>
      <w:pPr>
        <w:pStyle w:val="BodyText"/>
        <w:spacing w:line="300" w:lineRule="auto" w:before="76"/>
        <w:ind w:left="1424" w:right="0" w:hanging="291"/>
        <w:jc w:val="left"/>
      </w:pPr>
      <w:r>
        <w:rPr>
          <w:rFonts w:ascii="Times New Roman" w:hAnsi="Times New Roman" w:cs="Times New Roman" w:eastAsia="Times New Roman" w:hint="default"/>
        </w:rPr>
        <w:t>4</w:t>
      </w:r>
      <w:r>
        <w:rPr/>
        <w:t>、社会公益事业方面 </w:t>
      </w:r>
      <w:r>
        <w:rPr>
          <w:spacing w:val="-1"/>
        </w:rPr>
        <w:t>公司铭记企业社会责任，不忘回馈社会，积极投身于社会公益事业。公司设立的汇金科技慈善基金会，至今已有八个年</w:t>
      </w:r>
    </w:p>
    <w:p>
      <w:pPr>
        <w:pStyle w:val="BodyText"/>
        <w:spacing w:line="309" w:lineRule="auto" w:before="31"/>
        <w:ind w:right="1131"/>
        <w:jc w:val="both"/>
      </w:pPr>
      <w:r>
        <w:rPr>
          <w:spacing w:val="-2"/>
        </w:rPr>
        <w:t>头，致力于以支持社会公益事业为己任，实施人文关怀；公司在珠海市福利中心建立爱心服务基地，对福利中心儿童的帮扶</w:t>
      </w:r>
      <w:r>
        <w:rPr>
          <w:spacing w:val="-66"/>
        </w:rPr>
        <w:t> </w:t>
      </w:r>
      <w:r>
        <w:rPr>
          <w:spacing w:val="-66"/>
        </w:rPr>
      </w:r>
      <w:r>
        <w:rPr>
          <w:spacing w:val="-2"/>
        </w:rPr>
        <w:t>实现了常规化和制度化。公司将继续秉承</w:t>
      </w:r>
      <w:r>
        <w:rPr>
          <w:rFonts w:ascii="Times New Roman" w:hAnsi="Times New Roman" w:cs="Times New Roman" w:eastAsia="Times New Roman" w:hint="default"/>
          <w:spacing w:val="-2"/>
        </w:rPr>
        <w:t>“</w:t>
      </w:r>
      <w:r>
        <w:rPr>
          <w:spacing w:val="-2"/>
        </w:rPr>
        <w:t>献出一份爱，帮助更多人</w:t>
      </w:r>
      <w:r>
        <w:rPr>
          <w:rFonts w:ascii="Times New Roman" w:hAnsi="Times New Roman" w:cs="Times New Roman" w:eastAsia="Times New Roman" w:hint="default"/>
          <w:spacing w:val="-2"/>
        </w:rPr>
        <w:t>”</w:t>
      </w:r>
      <w:r>
        <w:rPr>
          <w:spacing w:val="-2"/>
        </w:rPr>
        <w:t>的理念，依法依规的开展慈善事业并不断推进，将公司</w:t>
      </w:r>
      <w:r>
        <w:rPr>
          <w:spacing w:val="-44"/>
        </w:rPr>
        <w:t> </w:t>
      </w:r>
      <w:r>
        <w:rPr>
          <w:spacing w:val="-44"/>
        </w:rPr>
      </w:r>
      <w:r>
        <w:rPr/>
        <w:t>的慈善事业打造成一张耀眼的名片。</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否</w:t>
      </w:r>
    </w:p>
    <w:p>
      <w:pPr>
        <w:pStyle w:val="BodyText"/>
        <w:spacing w:line="240" w:lineRule="auto" w:before="28"/>
        <w:ind w:left="1134" w:right="0"/>
        <w:jc w:val="both"/>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left="1134" w:right="0"/>
        <w:jc w:val="both"/>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公司报告期内发生的其他重大事项，已在指定信息披露网巨潮资讯网上披露临时公告，相关查询索引见下：</w:t>
      </w:r>
    </w:p>
    <w:p>
      <w:pPr>
        <w:spacing w:line="240" w:lineRule="auto" w:before="11"/>
        <w:rPr>
          <w:rFonts w:ascii="宋体" w:hAnsi="宋体" w:cs="宋体" w:eastAsia="宋体" w:hint="default"/>
          <w:sz w:val="7"/>
          <w:szCs w:val="7"/>
        </w:rPr>
      </w:pPr>
    </w:p>
    <w:p>
      <w:pPr>
        <w:spacing w:line="4770" w:lineRule="exact"/>
        <w:ind w:left="1134"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5496560" cy="30289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5496560" cy="3028950"/>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2"/>
        <w:spacing w:line="240" w:lineRule="auto"/>
        <w:ind w:left="1134" w:right="0"/>
        <w:jc w:val="both"/>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42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公司基于发展战略，为进一步提升市场竞争力，充分运用贵安新区金融创新试验区先行先试政策优势，专注金融科技产</w:t>
      </w:r>
    </w:p>
    <w:p>
      <w:pPr>
        <w:pStyle w:val="BodyText"/>
        <w:spacing w:line="309" w:lineRule="auto" w:before="2"/>
        <w:ind w:right="1131"/>
        <w:jc w:val="both"/>
      </w:pPr>
      <w:r>
        <w:rPr>
          <w:spacing w:val="-2"/>
        </w:rPr>
        <w:t>品创新、研发与设计，助力金融业务管理及风险体系改革，提升金融业精细化运营和管理水平，以自有资金出资投资设立贵</w:t>
      </w:r>
      <w:r>
        <w:rPr>
          <w:spacing w:val="-66"/>
        </w:rPr>
        <w:t> </w:t>
      </w:r>
      <w:r>
        <w:rPr>
          <w:spacing w:val="-66"/>
        </w:rPr>
      </w:r>
      <w:r>
        <w:rPr/>
        <w:t>安新区贵金科技有限公司（注册资本</w:t>
      </w:r>
      <w:r>
        <w:rPr>
          <w:rFonts w:ascii="Times New Roman" w:hAnsi="Times New Roman" w:cs="Times New Roman" w:eastAsia="Times New Roman" w:hint="default"/>
        </w:rPr>
        <w:t>500</w:t>
      </w:r>
      <w:r>
        <w:rPr/>
        <w:t>万元），公司持股比例为</w:t>
      </w:r>
      <w:r>
        <w:rPr>
          <w:rFonts w:ascii="Times New Roman" w:hAnsi="Times New Roman" w:cs="Times New Roman" w:eastAsia="Times New Roman" w:hint="default"/>
        </w:rPr>
        <w:t>51%</w:t>
      </w:r>
      <w:r>
        <w:rPr/>
        <w:t>。详见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日披露的《关于投资设立控股子 公司并完成工商注册登记的公告》（公告编号：</w:t>
      </w:r>
      <w:r>
        <w:rPr>
          <w:rFonts w:ascii="Times New Roman" w:hAnsi="Times New Roman" w:cs="Times New Roman" w:eastAsia="Times New Roman" w:hint="default"/>
        </w:rPr>
        <w:t>2017-057</w:t>
      </w:r>
      <w:r>
        <w:rPr/>
        <w:t>）。</w:t>
      </w:r>
    </w:p>
    <w:p>
      <w:pPr>
        <w:spacing w:after="0" w:line="309"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_TOC_250006"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1,160,000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-12,616,8</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9,543,125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51,543,12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60.52%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1,160,000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-12,616,8</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9,543,125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51,543,12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60.52%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4,950,000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8.83%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2,475,000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-4,500,00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-2,025,00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2,925,000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3.43%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66.16%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1,160,000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18,525,00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48,618,12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7,000,000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33,616,87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39.48%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7,000,000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33,616,87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39.48%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1,160,000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、报告期内，公司实施了</w:t>
      </w:r>
      <w:r>
        <w:rPr>
          <w:rFonts w:ascii="Times New Roman" w:hAnsi="Times New Roman" w:cs="Times New Roman" w:eastAsia="Times New Roman" w:hint="default"/>
          <w:spacing w:val="-1"/>
        </w:rPr>
        <w:t>2016</w:t>
      </w:r>
      <w:r>
        <w:rPr>
          <w:spacing w:val="-1"/>
        </w:rPr>
        <w:t>年年度权益分派方案：以公司股本</w:t>
      </w:r>
      <w:r>
        <w:rPr>
          <w:rFonts w:ascii="Times New Roman" w:hAnsi="Times New Roman" w:cs="Times New Roman" w:eastAsia="Times New Roman" w:hint="default"/>
          <w:spacing w:val="-1"/>
        </w:rPr>
        <w:t>56,000,000</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3.60</w:t>
      </w:r>
      <w:r>
        <w:rPr>
          <w:rFonts w:ascii="Times New Roman" w:hAnsi="Times New Roman" w:cs="Times New Roman" w:eastAsia="Times New Roman" w:hint="default"/>
          <w:spacing w:val="-21"/>
        </w:rPr>
        <w:t> </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300" w:lineRule="auto"/>
        <w:ind w:right="1118"/>
        <w:jc w:val="left"/>
      </w:pPr>
      <w:r>
        <w:rPr>
          <w:rFonts w:ascii="Times New Roman" w:hAnsi="Times New Roman" w:cs="Times New Roman" w:eastAsia="Times New Roman" w:hint="default"/>
          <w:spacing w:val="-2"/>
        </w:rPr>
        <w:t>2</w:t>
      </w:r>
      <w:r>
        <w:rPr>
          <w:spacing w:val="-2"/>
        </w:rPr>
        <w:t>、报告期内，公司完成了</w:t>
      </w:r>
      <w:r>
        <w:rPr>
          <w:rFonts w:ascii="Times New Roman" w:hAnsi="Times New Roman" w:cs="Times New Roman" w:eastAsia="Times New Roman" w:hint="default"/>
          <w:spacing w:val="-2"/>
        </w:rPr>
        <w:t>2017</w:t>
      </w:r>
      <w:r>
        <w:rPr>
          <w:spacing w:val="-2"/>
        </w:rPr>
        <w:t>年限制性股票激励计划限制性股票的首次授予登记工作，向</w:t>
      </w:r>
      <w:r>
        <w:rPr>
          <w:rFonts w:ascii="Times New Roman" w:hAnsi="Times New Roman" w:cs="Times New Roman" w:eastAsia="Times New Roman" w:hint="default"/>
          <w:spacing w:val="-2"/>
        </w:rPr>
        <w:t>42</w:t>
      </w:r>
      <w:r>
        <w:rPr>
          <w:spacing w:val="-2"/>
        </w:rPr>
        <w:t>名激励对象授予</w:t>
      </w:r>
      <w:r>
        <w:rPr>
          <w:rFonts w:ascii="Times New Roman" w:hAnsi="Times New Roman" w:cs="Times New Roman" w:eastAsia="Times New Roman" w:hint="default"/>
          <w:spacing w:val="-2"/>
        </w:rPr>
        <w:t>116</w:t>
      </w:r>
      <w:r>
        <w:rPr>
          <w:spacing w:val="-2"/>
        </w:rPr>
        <w:t>万股限制性</w:t>
      </w:r>
      <w:r>
        <w:rPr>
          <w:spacing w:val="-56"/>
        </w:rPr>
        <w:t> </w:t>
      </w:r>
      <w:r>
        <w:rPr/>
        <w:t>股票。</w:t>
      </w:r>
    </w:p>
    <w:p>
      <w:pPr>
        <w:pStyle w:val="BodyText"/>
        <w:spacing w:line="340" w:lineRule="auto" w:before="31"/>
        <w:ind w:right="4903"/>
        <w:jc w:val="left"/>
      </w:pPr>
      <w:r>
        <w:rPr>
          <w:rFonts w:ascii="Times New Roman" w:hAnsi="Times New Roman" w:cs="Times New Roman" w:eastAsia="Times New Roman" w:hint="default"/>
        </w:rPr>
        <w:t>3</w:t>
      </w:r>
      <w:r>
        <w:rPr/>
        <w:t>、报告期内，公司为符合条件的首发前限售股股东办理了解除股份限售。 股份变动的批准情况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日召开第二届董事会第八次会议和</w:t>
      </w:r>
      <w:r>
        <w:rPr>
          <w:rFonts w:ascii="Times New Roman" w:hAnsi="Times New Roman" w:cs="Times New Roman" w:eastAsia="Times New Roman" w:hint="default"/>
        </w:rPr>
        <w:t>2016</w:t>
      </w:r>
      <w:r>
        <w:rPr/>
        <w:t>年度股东大会，审议通过了《关于</w:t>
      </w:r>
      <w:r>
        <w:rPr>
          <w:rFonts w:ascii="Times New Roman" w:hAnsi="Times New Roman" w:cs="Times New Roman" w:eastAsia="Times New Roman" w:hint="default"/>
        </w:rPr>
        <w:t>&lt;</w:t>
      </w:r>
      <w:r>
        <w:rPr/>
        <w:t>公司</w:t>
      </w:r>
    </w:p>
    <w:p>
      <w:pPr>
        <w:pStyle w:val="BodyText"/>
        <w:spacing w:line="300" w:lineRule="auto" w:before="63"/>
        <w:ind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spacing w:val="-2"/>
        </w:rPr>
        <w:t>年度利润分配及资本公积金转增股本预案</w:t>
      </w:r>
      <w:r>
        <w:rPr>
          <w:rFonts w:ascii="Times New Roman" w:hAnsi="Times New Roman" w:cs="Times New Roman" w:eastAsia="Times New Roman" w:hint="default"/>
          <w:spacing w:val="-2"/>
        </w:rPr>
        <w:t>&gt;</w:t>
      </w:r>
      <w:r>
        <w:rPr>
          <w:spacing w:val="-2"/>
        </w:rPr>
        <w:t>的议案》；公司于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日发布了《</w:t>
      </w:r>
      <w:r>
        <w:rPr>
          <w:rFonts w:ascii="Times New Roman" w:hAnsi="Times New Roman" w:cs="Times New Roman" w:eastAsia="Times New Roman" w:hint="default"/>
          <w:spacing w:val="-2"/>
        </w:rPr>
        <w:t>2016</w:t>
      </w:r>
      <w:r>
        <w:rPr>
          <w:spacing w:val="-2"/>
        </w:rPr>
        <w:t>年年度权益分派实施公告》，</w:t>
      </w:r>
      <w:r>
        <w:rPr>
          <w:spacing w:val="-86"/>
        </w:rPr>
        <w:t> </w:t>
      </w:r>
      <w:r>
        <w:rPr>
          <w:spacing w:val="-86"/>
        </w:rPr>
      </w:r>
      <w:r>
        <w:rPr/>
        <w:t>本次权益分派股权登记日为：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日，公司召开</w:t>
      </w:r>
      <w:r>
        <w:rPr>
          <w:rFonts w:ascii="Times New Roman" w:hAnsi="Times New Roman" w:cs="Times New Roman" w:eastAsia="Times New Roman" w:hint="default"/>
        </w:rPr>
        <w:t>2017</w:t>
      </w:r>
      <w:r>
        <w:rPr/>
        <w:t>年第一次临时股东大会审议通过《关于</w:t>
      </w:r>
      <w:r>
        <w:rPr>
          <w:rFonts w:ascii="Times New Roman" w:hAnsi="Times New Roman" w:cs="Times New Roman" w:eastAsia="Times New Roman" w:hint="default"/>
        </w:rPr>
        <w:t>&lt;</w:t>
      </w:r>
      <w:r>
        <w:rPr/>
        <w:t>珠海汇金科技股份有限公司</w:t>
      </w:r>
      <w:r>
        <w:rPr>
          <w:rFonts w:ascii="Times New Roman" w:hAnsi="Times New Roman" w:cs="Times New Roman" w:eastAsia="Times New Roman" w:hint="default"/>
        </w:rPr>
        <w:t>2017</w:t>
      </w:r>
      <w:r>
        <w:rPr/>
        <w:t>年限制性股票激 励计划（草案）</w:t>
      </w:r>
      <w:r>
        <w:rPr>
          <w:rFonts w:ascii="Times New Roman" w:hAnsi="Times New Roman" w:cs="Times New Roman" w:eastAsia="Times New Roman" w:hint="default"/>
        </w:rPr>
        <w:t>&gt;</w:t>
      </w:r>
      <w:r>
        <w:rPr/>
        <w:t>及其摘要的议案》以及《关于提请公司股东大会授权董事会办理公司</w:t>
      </w:r>
      <w:r>
        <w:rPr>
          <w:rFonts w:ascii="Times New Roman" w:hAnsi="Times New Roman" w:cs="Times New Roman" w:eastAsia="Times New Roman" w:hint="default"/>
        </w:rPr>
        <w:t>2017</w:t>
      </w:r>
      <w:r>
        <w:rPr/>
        <w:t>年限制性股票激励计划有关事项</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134" w:right="0"/>
        <w:jc w:val="left"/>
      </w:pPr>
      <w:r>
        <w:rPr>
          <w:spacing w:val="-5"/>
        </w:rPr>
        <w:t>的议案》；</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27</w:t>
      </w:r>
      <w:r>
        <w:rPr>
          <w:spacing w:val="-5"/>
        </w:rPr>
        <w:t>日，公司召开第二届董事会第十四次会议审议通过了《关于向激励对象首次授予限制性股票的议案》，</w:t>
      </w:r>
      <w:r>
        <w:rPr>
          <w:spacing w:val="-59"/>
        </w:rPr>
        <w:t> </w:t>
      </w:r>
      <w:r>
        <w:rPr>
          <w:spacing w:val="-59"/>
        </w:rPr>
      </w:r>
      <w:r>
        <w:rPr/>
        <w:t>确定授予日为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日，向激励对象授予限制性股票。</w:t>
      </w:r>
    </w:p>
    <w:p>
      <w:pPr>
        <w:pStyle w:val="BodyText"/>
        <w:spacing w:line="240" w:lineRule="auto" w:before="53"/>
        <w:ind w:left="1134" w:right="0"/>
        <w:jc w:val="left"/>
      </w:pPr>
      <w:r>
        <w:rPr/>
        <w:t>股份变动的过户情况</w:t>
      </w:r>
    </w:p>
    <w:p>
      <w:pPr>
        <w:pStyle w:val="BodyText"/>
        <w:spacing w:line="314"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、报告期内，公司实施</w:t>
      </w:r>
      <w:r>
        <w:rPr>
          <w:rFonts w:ascii="Times New Roman" w:hAnsi="Times New Roman" w:cs="Times New Roman" w:eastAsia="Times New Roman" w:hint="default"/>
        </w:rPr>
        <w:t>2016</w:t>
      </w:r>
      <w:r>
        <w:rPr/>
        <w:t>年年度权益分派后，及时办理了相关工商登记手续，并于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日披露《关于完成因资本 公积转增股本工商登记及章程变更并换发营业执照的公告》。 </w:t>
      </w:r>
      <w:r>
        <w:rPr>
          <w:rFonts w:ascii="Times New Roman" w:hAnsi="Times New Roman" w:cs="Times New Roman" w:eastAsia="Times New Roman" w:hint="default"/>
        </w:rPr>
        <w:t>2</w:t>
      </w:r>
      <w:r>
        <w:rPr/>
        <w:t>、报告期内，公司按照深圳证券交易所、中国证券登记结算有限责任公司深圳分公司的要求办理限制性股票的首次授予登 </w:t>
      </w:r>
      <w:r>
        <w:rPr>
          <w:spacing w:val="-10"/>
        </w:rPr>
        <w:t>记工作；瑞华会计师事务所（特殊普通合伙）对相关新增注册资本及实收资本（股本）情况进行审验，并出具了瑞华验字【</w:t>
      </w:r>
      <w:r>
        <w:rPr>
          <w:rFonts w:ascii="Times New Roman" w:hAnsi="Times New Roman" w:cs="Times New Roman" w:eastAsia="Times New Roman" w:hint="default"/>
          <w:spacing w:val="-10"/>
        </w:rPr>
        <w:t>2017</w:t>
      </w:r>
      <w:r>
        <w:rPr>
          <w:spacing w:val="-10"/>
        </w:rPr>
        <w:t>】</w:t>
      </w:r>
    </w:p>
    <w:p>
      <w:pPr>
        <w:pStyle w:val="BodyText"/>
        <w:spacing w:line="319" w:lineRule="auto" w:before="1"/>
        <w:ind w:right="0"/>
        <w:jc w:val="left"/>
      </w:pPr>
      <w:r>
        <w:rPr>
          <w:rFonts w:ascii="Times New Roman" w:hAnsi="Times New Roman" w:cs="Times New Roman" w:eastAsia="Times New Roman" w:hint="default"/>
          <w:spacing w:val="-2"/>
        </w:rPr>
        <w:t>40060002</w:t>
      </w:r>
      <w:r>
        <w:rPr>
          <w:spacing w:val="-2"/>
        </w:rPr>
        <w:t>号验资报告。公司于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日披露了《关于</w:t>
      </w:r>
      <w:r>
        <w:rPr>
          <w:rFonts w:ascii="Times New Roman" w:hAnsi="Times New Roman" w:cs="Times New Roman" w:eastAsia="Times New Roman" w:hint="default"/>
          <w:spacing w:val="-2"/>
        </w:rPr>
        <w:t>2017</w:t>
      </w:r>
      <w:r>
        <w:rPr>
          <w:spacing w:val="-2"/>
        </w:rPr>
        <w:t>年限制性股票激励计划首次授予登记完成的公告》，首次授</w:t>
      </w:r>
      <w:r>
        <w:rPr>
          <w:spacing w:val="-47"/>
        </w:rPr>
        <w:t> </w:t>
      </w:r>
      <w:r>
        <w:rPr>
          <w:spacing w:val="-47"/>
        </w:rPr>
      </w:r>
      <w:r>
        <w:rPr/>
        <w:t>予限制性股票的上市日期为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 股份变动对最近一年和最近一期基本每股收益和稀释每股收益、归属于公司普通股股东的每股净资产等财务指标的影响</w:t>
      </w:r>
    </w:p>
    <w:p>
      <w:pPr>
        <w:pStyle w:val="BodyText"/>
        <w:spacing w:line="338" w:lineRule="auto" w:before="58"/>
        <w:ind w:left="149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报告期内，总股本由</w:t>
      </w:r>
      <w:r>
        <w:rPr>
          <w:rFonts w:ascii="Times New Roman" w:hAnsi="Times New Roman" w:cs="Times New Roman" w:eastAsia="Times New Roman" w:hint="default"/>
        </w:rPr>
        <w:t>5,600</w:t>
      </w:r>
      <w:r>
        <w:rPr/>
        <w:t>万股增加至</w:t>
      </w:r>
      <w:r>
        <w:rPr>
          <w:rFonts w:ascii="Times New Roman" w:hAnsi="Times New Roman" w:cs="Times New Roman" w:eastAsia="Times New Roman" w:hint="default"/>
        </w:rPr>
        <w:t>8,516</w:t>
      </w:r>
      <w:r>
        <w:rPr/>
        <w:t>万股，股份变动对公司最近一年和最近一期基本每股收益和稀释每股收益、</w:t>
      </w:r>
    </w:p>
    <w:p>
      <w:pPr>
        <w:pStyle w:val="BodyText"/>
        <w:spacing w:line="230" w:lineRule="exact"/>
        <w:ind w:right="0"/>
        <w:jc w:val="left"/>
      </w:pPr>
      <w:r>
        <w:rPr/>
        <w:t>归属于公司普股股东的每股净资产等财务指标的影响如下：报告期内公司基本每股收益为</w:t>
      </w:r>
      <w:r>
        <w:rPr>
          <w:rFonts w:ascii="Times New Roman" w:hAnsi="Times New Roman" w:cs="Times New Roman" w:eastAsia="Times New Roman" w:hint="default"/>
        </w:rPr>
        <w:t>0.95</w:t>
      </w:r>
      <w:r>
        <w:rPr/>
        <w:t>元</w:t>
      </w:r>
      <w:r>
        <w:rPr>
          <w:rFonts w:ascii="Times New Roman" w:hAnsi="Times New Roman" w:cs="Times New Roman" w:eastAsia="Times New Roman" w:hint="default"/>
        </w:rPr>
        <w:t>/</w:t>
      </w:r>
      <w:r>
        <w:rPr/>
        <w:t>股，同比减少</w:t>
      </w:r>
      <w:r>
        <w:rPr>
          <w:rFonts w:ascii="Times New Roman" w:hAnsi="Times New Roman" w:cs="Times New Roman" w:eastAsia="Times New Roman" w:hint="default"/>
        </w:rPr>
        <w:t>22.13%</w:t>
      </w:r>
      <w:r>
        <w:rPr/>
        <w:t>；稀</w:t>
      </w:r>
    </w:p>
    <w:p>
      <w:pPr>
        <w:pStyle w:val="BodyText"/>
        <w:spacing w:line="300" w:lineRule="auto" w:before="63"/>
        <w:ind w:right="1173"/>
        <w:jc w:val="left"/>
      </w:pPr>
      <w:r>
        <w:rPr/>
        <w:t>释每股收益为</w:t>
      </w:r>
      <w:r>
        <w:rPr>
          <w:rFonts w:ascii="Times New Roman" w:hAnsi="Times New Roman" w:cs="Times New Roman" w:eastAsia="Times New Roman" w:hint="default"/>
        </w:rPr>
        <w:t>0.95</w:t>
      </w:r>
      <w:r>
        <w:rPr/>
        <w:t>元</w:t>
      </w:r>
      <w:r>
        <w:rPr>
          <w:rFonts w:ascii="Times New Roman" w:hAnsi="Times New Roman" w:cs="Times New Roman" w:eastAsia="Times New Roman" w:hint="default"/>
        </w:rPr>
        <w:t>/</w:t>
      </w:r>
      <w:r>
        <w:rPr/>
        <w:t>股，同比减少</w:t>
      </w:r>
      <w:r>
        <w:rPr>
          <w:rFonts w:ascii="Times New Roman" w:hAnsi="Times New Roman" w:cs="Times New Roman" w:eastAsia="Times New Roman" w:hint="default"/>
        </w:rPr>
        <w:t>22.13%</w:t>
      </w:r>
      <w:r>
        <w:rPr/>
        <w:t>。报告期归属于上市公司股东的每股净资产为</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股，同比减少</w:t>
      </w:r>
      <w:r>
        <w:rPr>
          <w:rFonts w:ascii="Times New Roman" w:hAnsi="Times New Roman" w:cs="Times New Roman" w:eastAsia="Times New Roman" w:hint="default"/>
        </w:rPr>
        <w:t>27.80%</w:t>
      </w:r>
      <w:r>
        <w:rPr/>
        <w:t>，主要 系报告期内公司以资本公积金转增股本所致。</w:t>
      </w:r>
    </w:p>
    <w:p>
      <w:pPr>
        <w:pStyle w:val="BodyText"/>
        <w:spacing w:line="240" w:lineRule="auto" w:before="72"/>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32,175,000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13,533,000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5,074,875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6,766,500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15,224,625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高管锁定股按高 管法定锁定比例 持续锁定</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苏州衡赢真盛创 业投资中心（有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珠海瑞信投资管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梁铁民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宋昌林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李志良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李智勇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445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原公司董事宋京 生先生因个人原 因，在公司首次 公开发行股票上 市之日起第七个 月至第十二个月 之间申报辞职， 依据其承诺及有 关规定，其所持 有的公司首发前 限售股份自离职 之日（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02" w:lineRule="auto"/>
              <w:ind w:left="23"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日）起十二</w:t>
            </w:r>
            <w:r>
              <w:rPr>
                <w:rFonts w:ascii="宋体" w:hAnsi="宋体" w:cs="宋体" w:eastAsia="宋体" w:hint="default"/>
                <w:sz w:val="18"/>
                <w:szCs w:val="18"/>
              </w:rPr>
              <w:t> 个月内不得转让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股权激励对象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按股权激励计划 执行</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12,616,875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51,543,125</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jc w:val="left"/>
      </w:pPr>
      <w:r>
        <w:rPr>
          <w:rFonts w:ascii="Times New Roman" w:hAnsi="Times New Roman" w:cs="Times New Roman" w:eastAsia="Times New Roman" w:hint="default"/>
          <w:spacing w:val="-5"/>
        </w:rPr>
        <w:t>1</w:t>
      </w:r>
      <w:r>
        <w:rPr>
          <w:spacing w:val="-5"/>
        </w:rPr>
        <w:t>、因公司实施</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4"/>
        </w:rPr>
        <w:t> </w:t>
      </w:r>
      <w:r>
        <w:rPr>
          <w:spacing w:val="-3"/>
        </w:rPr>
        <w:t>年年度权益分派方案：以公司股本</w:t>
      </w:r>
      <w:r>
        <w:rPr>
          <w:rFonts w:ascii="Times New Roman" w:hAnsi="Times New Roman" w:cs="Times New Roman" w:eastAsia="Times New Roman" w:hint="default"/>
          <w:spacing w:val="-3"/>
        </w:rPr>
        <w:t>56,000,000</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3.60</w:t>
      </w:r>
      <w:r>
        <w:rPr>
          <w:rFonts w:ascii="Times New Roman" w:hAnsi="Times New Roman" w:cs="Times New Roman" w:eastAsia="Times New Roman" w:hint="default"/>
          <w:spacing w:val="2"/>
        </w:rPr>
        <w:t> </w:t>
      </w:r>
      <w:r>
        <w:rPr>
          <w:spacing w:val="-19"/>
        </w:rPr>
        <w:t>元（含税），</w:t>
      </w:r>
      <w:r>
        <w:rPr>
          <w:spacing w:val="-87"/>
        </w:rPr>
        <w:t> </w:t>
      </w:r>
      <w:r>
        <w:rPr>
          <w:spacing w:val="-87"/>
        </w:rPr>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股，实施完毕后，公司股本由</w:t>
      </w:r>
      <w:r>
        <w:rPr>
          <w:rFonts w:ascii="Times New Roman" w:hAnsi="Times New Roman" w:cs="Times New Roman" w:eastAsia="Times New Roman" w:hint="default"/>
        </w:rPr>
        <w:t>56,000,000</w:t>
      </w:r>
      <w:r>
        <w:rPr/>
        <w:t>股变更为</w:t>
      </w:r>
      <w:r>
        <w:rPr>
          <w:rFonts w:ascii="Times New Roman" w:hAnsi="Times New Roman" w:cs="Times New Roman" w:eastAsia="Times New Roman" w:hint="default"/>
        </w:rPr>
        <w:t>84,000,000</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w:t>
      </w:r>
      <w:r>
        <w:rPr>
          <w:rFonts w:ascii="Times New Roman" w:hAnsi="Times New Roman" w:cs="Times New Roman" w:eastAsia="Times New Roman" w:hint="default"/>
        </w:rPr>
        <w:t>2017</w:t>
      </w:r>
      <w:r>
        <w:rPr/>
        <w:t>年第一次临时股东大会审议通过《关于</w:t>
      </w:r>
      <w:r>
        <w:rPr>
          <w:rFonts w:ascii="Times New Roman" w:hAnsi="Times New Roman" w:cs="Times New Roman" w:eastAsia="Times New Roman" w:hint="default"/>
        </w:rPr>
        <w:t>&lt;</w:t>
      </w:r>
      <w:r>
        <w:rPr/>
        <w:t>珠海汇金科技股份有限公司</w:t>
      </w:r>
      <w:r>
        <w:rPr>
          <w:rFonts w:ascii="Times New Roman" w:hAnsi="Times New Roman" w:cs="Times New Roman" w:eastAsia="Times New Roman" w:hint="default"/>
        </w:rPr>
        <w:t>2017</w:t>
      </w:r>
      <w:r>
        <w:rPr/>
        <w:t>年限制性股票激励计 划（草案）</w:t>
      </w:r>
      <w:r>
        <w:rPr>
          <w:rFonts w:ascii="Times New Roman" w:hAnsi="Times New Roman" w:cs="Times New Roman" w:eastAsia="Times New Roman" w:hint="default"/>
        </w:rPr>
        <w:t>&gt;</w:t>
      </w:r>
      <w:r>
        <w:rPr/>
        <w:t>及其摘要的议案》并同意授权公司董事会办理相关事宜。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日，第二届董事会第十四次会议审议通 过《关于向激励对象首次授予限制性股票的议案》，确定授予日为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日，向激励对象授予限制性股票。因部分激 励对象离职或自愿放弃获授的限制性股票，公司实际授予</w:t>
      </w:r>
      <w:r>
        <w:rPr>
          <w:rFonts w:ascii="Times New Roman" w:hAnsi="Times New Roman" w:cs="Times New Roman" w:eastAsia="Times New Roman" w:hint="default"/>
        </w:rPr>
        <w:t>42</w:t>
      </w:r>
      <w:r>
        <w:rPr/>
        <w:t>名激励对象共计</w:t>
      </w:r>
      <w:r>
        <w:rPr>
          <w:rFonts w:ascii="Times New Roman" w:hAnsi="Times New Roman" w:cs="Times New Roman" w:eastAsia="Times New Roman" w:hint="default"/>
        </w:rPr>
        <w:t>1,160,000</w:t>
      </w:r>
      <w:r>
        <w:rPr/>
        <w:t>股限制性股票。公司股本由</w:t>
      </w:r>
      <w:r>
        <w:rPr>
          <w:rFonts w:ascii="Times New Roman" w:hAnsi="Times New Roman" w:cs="Times New Roman" w:eastAsia="Times New Roman" w:hint="default"/>
        </w:rPr>
        <w:t>84,000,000 </w:t>
      </w:r>
      <w:r>
        <w:rPr/>
        <w:t>股变更为</w:t>
      </w:r>
      <w:r>
        <w:rPr>
          <w:rFonts w:ascii="Times New Roman" w:hAnsi="Times New Roman" w:cs="Times New Roman" w:eastAsia="Times New Roman" w:hint="default"/>
        </w:rPr>
        <w:t>85,160,000</w:t>
      </w:r>
      <w:r>
        <w:rPr/>
        <w:t>股。</w:t>
      </w:r>
    </w:p>
    <w:p>
      <w:pPr>
        <w:pStyle w:val="BodyText"/>
        <w:spacing w:line="240" w:lineRule="auto" w:before="13"/>
        <w:ind w:left="1134" w:right="0"/>
        <w:jc w:val="left"/>
      </w:pPr>
      <w:r>
        <w:rPr>
          <w:rFonts w:ascii="Times New Roman" w:hAnsi="Times New Roman" w:cs="Times New Roman" w:eastAsia="Times New Roman" w:hint="default"/>
        </w:rPr>
        <w:t>3</w:t>
      </w:r>
      <w:r>
        <w:rPr/>
        <w:t>、公司资产和负债结构未发生变动。</w:t>
      </w:r>
    </w:p>
    <w:p>
      <w:pPr>
        <w:spacing w:line="240" w:lineRule="auto" w:before="12"/>
        <w:rPr>
          <w:rFonts w:ascii="宋体" w:hAnsi="宋体" w:cs="宋体" w:eastAsia="宋体" w:hint="default"/>
          <w:sz w:val="25"/>
          <w:szCs w:val="25"/>
        </w:rPr>
      </w:pPr>
    </w:p>
    <w:p>
      <w:pPr>
        <w:pStyle w:val="Heading3"/>
        <w:spacing w:line="240" w:lineRule="auto"/>
        <w:ind w:left="1134"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699pt;width:85.6pt;height:31.2pt;mso-position-horizontal-relative:page;mso-position-vertical-relative:paragraph;z-index:-1185664" type="#_x0000_t202" filled="false" stroked="false">
            <v:textbox inset="0,0,0,0">
              <w:txbxContent>
                <w:p>
                  <w:pPr>
                    <w:pStyle w:val="BodyText"/>
                    <w:spacing w:line="207" w:lineRule="exact"/>
                    <w:ind w:left="0" w:right="0"/>
                    <w:jc w:val="left"/>
                  </w:pPr>
                  <w:r>
                    <w:rPr/>
                    <w:t>（如有）</w:t>
                  </w:r>
                </w:p>
              </w:txbxContent>
            </v:textbox>
            <w10:wrap type="none"/>
          </v:shape>
        </w:pict>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line="624" w:lineRule="exact"/>
        <w:ind w:left="964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52.45pt;height:31.2pt;mso-position-horizontal-relative:char;mso-position-vertical-relative:line" coordorigin="0,0" coordsize="1049,624">
            <v:group style="position:absolute;left:0;top:0;width:1049;height:624" coordorigin="0,0" coordsize="1049,624">
              <v:shape style="position:absolute;left:0;top:0;width:1049;height:624" coordorigin="0,0" coordsize="1049,624" path="m0,624l1049,624,1049,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141"/>
        <w:jc w:val="right"/>
      </w:pPr>
      <w:r>
        <w:rPr/>
        <w:pict>
          <v:shape style="position:absolute;margin-left:56.459999pt;margin-top:-505.228271pt;width:479.2pt;height:600.8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8"/>
                    <w:gridCol w:w="317"/>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11,548</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12,807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2693"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2693"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1344"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37.78%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10,725,00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32,175,00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344" w:type="dxa"/>
                        <w:gridSpan w:val="2"/>
                        <w:tcBorders>
                          <w:top w:val="single" w:sz="48" w:space="0" w:color="D2D2D2"/>
                          <w:left w:val="single" w:sz="4" w:space="0" w:color="000000"/>
                          <w:bottom w:val="single" w:sz="4" w:space="0" w:color="000000"/>
                          <w:right w:val="single" w:sz="4" w:space="0" w:color="000000"/>
                        </w:tcBorders>
                      </w:tcPr>
                      <w:p>
                        <w:pPr/>
                      </w:p>
                    </w:tc>
                    <w:tc>
                      <w:tcPr>
                        <w:tcW w:w="1350" w:type="dxa"/>
                        <w:gridSpan w:val="3"/>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23.84%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20,299,50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6,766,500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15,224,62</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5,074,875</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苏州衡赢真盛创 </w:t>
                        </w:r>
                        <w:r>
                          <w:rPr>
                            <w:rFonts w:ascii="宋体" w:hAnsi="宋体" w:cs="宋体" w:eastAsia="宋体" w:hint="default"/>
                            <w:spacing w:val="-4"/>
                            <w:sz w:val="18"/>
                            <w:szCs w:val="18"/>
                          </w:rPr>
                          <w:t>业投资中心（有限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4,500,000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珠海瑞信投资管 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2,925,000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2,925,000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梁铁民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560,000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1,730,000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宋昌林</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0.69%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585,000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0.69%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585,000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陈忠兴</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0.30%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254,500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254,500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罗秀红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0.20%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174,000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陈振静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0.20%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168,300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168,300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马德桃</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0.18%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150,000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300" w:lineRule="auto" w:before="52"/>
                          <w:ind w:left="16" w:right="113"/>
                          <w:jc w:val="left"/>
                          <w:rPr>
                            <w:rFonts w:ascii="宋体" w:hAnsi="宋体" w:cs="宋体" w:eastAsia="宋体" w:hint="default"/>
                            <w:sz w:val="18"/>
                            <w:szCs w:val="18"/>
                          </w:rPr>
                        </w:pPr>
                        <w:r>
                          <w:rPr>
                            <w:rFonts w:ascii="宋体" w:hAnsi="宋体" w:cs="宋体" w:eastAsia="宋体" w:hint="default"/>
                            <w:sz w:val="18"/>
                            <w:szCs w:val="18"/>
                          </w:rPr>
                          <w:t>公司控股股东、实际控制人陈喆女士持有珠海瑞信投资管理有限公司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65.13%</w:t>
                        </w:r>
                        <w:r>
                          <w:rPr>
                            <w:rFonts w:ascii="宋体" w:hAnsi="宋体" w:cs="宋体" w:eastAsia="宋体" w:hint="default"/>
                            <w:sz w:val="18"/>
                            <w:szCs w:val="18"/>
                          </w:rPr>
                          <w:t>的股份 为珠海瑞信投资管理有限公司的实际控制人。</w:t>
                        </w: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3"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0" w:type="dxa"/>
                        <w:gridSpan w:val="4"/>
                        <w:vMerge/>
                        <w:tcBorders>
                          <w:left w:val="single" w:sz="4" w:space="0" w:color="000000"/>
                          <w:bottom w:val="nil" w:sz="6" w:space="0" w:color="auto"/>
                          <w:right w:val="single" w:sz="4" w:space="0" w:color="000000"/>
                        </w:tcBorders>
                        <w:shd w:val="clear" w:color="auto" w:fill="D2D2D2"/>
                      </w:tcPr>
                      <w:p>
                        <w:pPr/>
                      </w:p>
                    </w:tc>
                    <w:tc>
                      <w:tcPr>
                        <w:tcW w:w="3995" w:type="dxa"/>
                        <w:gridSpan w:val="6"/>
                        <w:vMerge/>
                        <w:tcBorders>
                          <w:left w:val="single" w:sz="4" w:space="0" w:color="000000"/>
                          <w:bottom w:val="nil" w:sz="6" w:space="0" w:color="auto"/>
                          <w:right w:val="single" w:sz="4" w:space="0" w:color="000000"/>
                        </w:tcBorders>
                        <w:shd w:val="clear" w:color="auto" w:fill="D2D2D2"/>
                      </w:tcPr>
                      <w:p>
                        <w:pP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5,074,875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5,074,875</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苏州衡赢真盛创业投资中心（有限合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梁铁民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宋昌林</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陈忠兴</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254,500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陈振静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168,300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武汉华泰自动化工程有限公司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顾美兰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杜恒瑞</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公司未知上述股东之间是否存在关联关系和一致行动的情形。</w:t>
            </w:r>
          </w:p>
        </w:tc>
      </w:tr>
      <w:tr>
        <w:trPr>
          <w:trHeight w:val="270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、公司股东陈忠兴通过浙商证券股份有限公司客户信用交易担保证券账户持有公司 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254,500 </w:t>
            </w:r>
            <w:r>
              <w:rPr>
                <w:rFonts w:ascii="宋体" w:hAnsi="宋体" w:cs="宋体" w:eastAsia="宋体" w:hint="default"/>
                <w:sz w:val="18"/>
                <w:szCs w:val="18"/>
              </w:rPr>
              <w:t>股。</w:t>
            </w:r>
          </w:p>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、公司股东陈振静除通过普通证券账户持有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64,050 </w:t>
            </w:r>
            <w:r>
              <w:rPr>
                <w:rFonts w:ascii="宋体" w:hAnsi="宋体" w:cs="宋体" w:eastAsia="宋体" w:hint="default"/>
                <w:sz w:val="18"/>
                <w:szCs w:val="18"/>
              </w:rPr>
              <w:t>股外，还通过上海证券有限责任</w:t>
            </w:r>
          </w:p>
          <w:p>
            <w:pPr>
              <w:pStyle w:val="TableParagraph"/>
              <w:spacing w:line="319" w:lineRule="auto" w:before="64"/>
              <w:ind w:left="22" w:right="83"/>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、公司股东武汉华泰自动化工程有限公司通过广发证券股份有限公司客户信用交易 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02" w:lineRule="auto" w:before="36"/>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、公司股东顾美兰通过广州证券股份有限公司客户信用交易担保证券账户持有公司 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128,000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控股股东报告期内变更</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7"/>
          <w:szCs w:val="17"/>
        </w:rPr>
      </w:pPr>
    </w:p>
    <w:p>
      <w:pPr>
        <w:spacing w:line="3326" w:lineRule="exact"/>
        <w:ind w:left="3566"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030032" cy="2112264"/>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3030032" cy="2112264"/>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6"/>
        <w:rPr>
          <w:rFonts w:ascii="宋体" w:hAnsi="宋体" w:cs="宋体" w:eastAsia="宋体" w:hint="default"/>
          <w:sz w:val="20"/>
          <w:szCs w:val="20"/>
        </w:rPr>
      </w:pPr>
    </w:p>
    <w:p>
      <w:pPr>
        <w:pStyle w:val="BodyText"/>
        <w:spacing w:line="240" w:lineRule="auto"/>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5"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4"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董事长、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13,533,00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20,299,50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罗秀红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35,022,00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17,785,00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52,807,00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罗秀红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个人原因，辞去董事会秘书一职（辞职后仍担任公司 董事、副董事长、副总经理）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公司召开职工代表大会选举杨贤帮先生为职工代表监 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经董事长提名，董事会提名委员会审核，董事会同意 聘任蔡林生先生担任公司董事会秘书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5"/>
        <w:ind w:left="1493" w:right="1118" w:hanging="360"/>
        <w:jc w:val="left"/>
      </w:pPr>
      <w:r>
        <w:rPr>
          <w:rFonts w:ascii="Times New Roman" w:hAnsi="Times New Roman" w:cs="Times New Roman" w:eastAsia="Times New Roman" w:hint="default"/>
        </w:rPr>
        <w:t>1</w:t>
      </w:r>
      <w:r>
        <w:rPr/>
        <w:t>、现任董事简历： </w:t>
      </w:r>
      <w:r>
        <w:rPr>
          <w:spacing w:val="-2"/>
        </w:rPr>
        <w:t>陈喆女士：</w:t>
      </w:r>
      <w:r>
        <w:rPr>
          <w:rFonts w:ascii="Times New Roman" w:hAnsi="Times New Roman" w:cs="Times New Roman" w:eastAsia="Times New Roman" w:hint="default"/>
          <w:spacing w:val="-2"/>
        </w:rPr>
        <w:t>1963</w:t>
      </w:r>
      <w:r>
        <w:rPr>
          <w:spacing w:val="-2"/>
        </w:rPr>
        <w:t>年出生，中国国籍，无永久境外居留权，中共党员，本科学历。</w:t>
      </w:r>
      <w:r>
        <w:rPr>
          <w:rFonts w:ascii="Times New Roman" w:hAnsi="Times New Roman" w:cs="Times New Roman" w:eastAsia="Times New Roman" w:hint="default"/>
          <w:spacing w:val="-2"/>
        </w:rPr>
        <w:t>1985</w:t>
      </w:r>
      <w:r>
        <w:rPr>
          <w:spacing w:val="-2"/>
        </w:rPr>
        <w:t>年至</w:t>
      </w:r>
      <w:r>
        <w:rPr>
          <w:rFonts w:ascii="Times New Roman" w:hAnsi="Times New Roman" w:cs="Times New Roman" w:eastAsia="Times New Roman" w:hint="default"/>
          <w:spacing w:val="-2"/>
        </w:rPr>
        <w:t>1989</w:t>
      </w:r>
      <w:r>
        <w:rPr>
          <w:spacing w:val="-2"/>
        </w:rPr>
        <w:t>年，于青海省统计局经济</w:t>
      </w:r>
    </w:p>
    <w:p>
      <w:pPr>
        <w:pStyle w:val="BodyText"/>
        <w:spacing w:line="300" w:lineRule="auto" w:before="13"/>
        <w:ind w:right="0"/>
        <w:jc w:val="left"/>
      </w:pPr>
      <w:r>
        <w:rPr>
          <w:spacing w:val="-2"/>
        </w:rPr>
        <w:t>统计处任职；</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1997</w:t>
      </w:r>
      <w:r>
        <w:rPr>
          <w:spacing w:val="-2"/>
        </w:rPr>
        <w:t>年，历任中国银行甘肃省分行人事处科员、副科长；</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2003</w:t>
      </w:r>
      <w:r>
        <w:rPr>
          <w:spacing w:val="-2"/>
        </w:rPr>
        <w:t>年，历任中国银行广东省珠海</w:t>
      </w:r>
      <w:r>
        <w:rPr>
          <w:spacing w:val="-50"/>
        </w:rPr>
        <w:t> </w:t>
      </w:r>
      <w:r>
        <w:rPr>
          <w:spacing w:val="-50"/>
        </w:rPr>
      </w:r>
      <w:r>
        <w:rPr/>
        <w:t>湾仔支行副行长、行长；</w:t>
      </w:r>
      <w:r>
        <w:rPr>
          <w:rFonts w:ascii="Times New Roman" w:hAnsi="Times New Roman" w:cs="Times New Roman" w:eastAsia="Times New Roman" w:hint="default"/>
        </w:rPr>
        <w:t>2005</w:t>
      </w:r>
      <w:r>
        <w:rPr/>
        <w:t>年创立本公司，任执行董事，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月至今任董事长兼总经理。</w:t>
      </w:r>
    </w:p>
    <w:p>
      <w:pPr>
        <w:pStyle w:val="BodyText"/>
        <w:spacing w:line="300" w:lineRule="auto" w:before="13"/>
        <w:ind w:right="1033" w:firstLine="360"/>
        <w:jc w:val="left"/>
      </w:pPr>
      <w:r>
        <w:rPr/>
        <w:t>马铮先生：</w:t>
      </w:r>
      <w:r>
        <w:rPr>
          <w:rFonts w:ascii="Times New Roman" w:hAnsi="Times New Roman" w:cs="Times New Roman" w:eastAsia="Times New Roman" w:hint="default"/>
        </w:rPr>
        <w:t>1957</w:t>
      </w:r>
      <w:r>
        <w:rPr/>
        <w:t>年出生，中国国籍，无永久境外居留权，中共党员，研究生学历。</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1987</w:t>
      </w:r>
      <w:r>
        <w:rPr/>
        <w:t>年，于空军某部服役； </w:t>
      </w:r>
      <w:r>
        <w:rPr>
          <w:rFonts w:ascii="Times New Roman" w:hAnsi="Times New Roman" w:cs="Times New Roman" w:eastAsia="Times New Roman" w:hint="default"/>
          <w:spacing w:val="-2"/>
        </w:rPr>
        <w:t>1987</w:t>
      </w:r>
      <w:r>
        <w:rPr>
          <w:spacing w:val="-2"/>
        </w:rPr>
        <w:t>年至</w:t>
      </w:r>
      <w:r>
        <w:rPr>
          <w:rFonts w:ascii="Times New Roman" w:hAnsi="Times New Roman" w:cs="Times New Roman" w:eastAsia="Times New Roman" w:hint="default"/>
          <w:spacing w:val="-2"/>
        </w:rPr>
        <w:t>2011</w:t>
      </w:r>
      <w:r>
        <w:rPr>
          <w:spacing w:val="-2"/>
        </w:rPr>
        <w:t>年，历任中国银行总行人力资源部副处长、处长、中国银行（香港）有限公司人力资源部助理总经理、副总经</w:t>
      </w:r>
      <w:r>
        <w:rPr>
          <w:spacing w:val="-61"/>
        </w:rPr>
        <w:t> </w:t>
      </w:r>
      <w:r>
        <w:rPr>
          <w:spacing w:val="-61"/>
        </w:rPr>
      </w:r>
      <w:r>
        <w:rPr/>
        <w:t>理、俄罗斯中国银行监事等职务；现任本公司董事、副董事长、副总经理。</w:t>
      </w:r>
    </w:p>
    <w:p>
      <w:pPr>
        <w:pStyle w:val="BodyText"/>
        <w:spacing w:line="300" w:lineRule="auto" w:before="31"/>
        <w:ind w:right="1129" w:firstLine="360"/>
        <w:jc w:val="both"/>
      </w:pPr>
      <w:r>
        <w:rPr>
          <w:spacing w:val="-2"/>
        </w:rPr>
        <w:t>肖志宏先生：</w:t>
      </w:r>
      <w:r>
        <w:rPr>
          <w:rFonts w:ascii="Times New Roman" w:hAnsi="Times New Roman" w:cs="Times New Roman" w:eastAsia="Times New Roman" w:hint="default"/>
          <w:spacing w:val="-2"/>
        </w:rPr>
        <w:t>1975</w:t>
      </w:r>
      <w:r>
        <w:rPr>
          <w:spacing w:val="-2"/>
        </w:rPr>
        <w:t>年出生，中国国籍，无永久境外居留权，硕士学位。</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年，任珠海优特电力科技股份有限</w:t>
      </w:r>
      <w:r>
        <w:rPr/>
        <w:t> </w:t>
      </w:r>
      <w:r>
        <w:rPr>
          <w:spacing w:val="-2"/>
        </w:rPr>
        <w:t>公司系统工程师；</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年，任博世（珠海）安保系统有限公司软件工程师；</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2010</w:t>
      </w:r>
      <w:r>
        <w:rPr>
          <w:spacing w:val="-2"/>
        </w:rPr>
        <w:t>年，任珠海优特电力科技</w:t>
      </w:r>
      <w:r>
        <w:rPr>
          <w:spacing w:val="-50"/>
        </w:rPr>
        <w:t> </w:t>
      </w:r>
      <w:r>
        <w:rPr>
          <w:spacing w:val="-50"/>
        </w:rPr>
      </w:r>
      <w:r>
        <w:rPr/>
        <w:t>股份有限公司系统工程师；</w:t>
      </w:r>
      <w:r>
        <w:rPr>
          <w:rFonts w:ascii="Times New Roman" w:hAnsi="Times New Roman" w:cs="Times New Roman" w:eastAsia="Times New Roman" w:hint="default"/>
        </w:rPr>
        <w:t>2010</w:t>
      </w:r>
      <w:r>
        <w:rPr/>
        <w:t>年加入本公司，现任本公司董事、副总经理。</w:t>
      </w:r>
    </w:p>
    <w:p>
      <w:pPr>
        <w:pStyle w:val="BodyText"/>
        <w:spacing w:line="300" w:lineRule="auto" w:before="13"/>
        <w:ind w:left="1134" w:right="0" w:firstLine="360"/>
        <w:jc w:val="left"/>
      </w:pPr>
      <w:r>
        <w:rPr>
          <w:spacing w:val="-2"/>
        </w:rPr>
        <w:t>侯平先生：</w:t>
      </w:r>
      <w:r>
        <w:rPr>
          <w:rFonts w:ascii="Times New Roman" w:hAnsi="Times New Roman" w:cs="Times New Roman" w:eastAsia="Times New Roman" w:hint="default"/>
          <w:spacing w:val="-2"/>
        </w:rPr>
        <w:t>1960</w:t>
      </w:r>
      <w:r>
        <w:rPr>
          <w:spacing w:val="-2"/>
        </w:rPr>
        <w:t>年出生，中国国籍，无永久境外居留权，中共党员，硕士学位。</w:t>
      </w:r>
      <w:r>
        <w:rPr>
          <w:rFonts w:ascii="Times New Roman" w:hAnsi="Times New Roman" w:cs="Times New Roman" w:eastAsia="Times New Roman" w:hint="default"/>
          <w:spacing w:val="-2"/>
        </w:rPr>
        <w:t>1981</w:t>
      </w:r>
      <w:r>
        <w:rPr>
          <w:spacing w:val="-2"/>
        </w:rPr>
        <w:t>年至</w:t>
      </w:r>
      <w:r>
        <w:rPr>
          <w:rFonts w:ascii="Times New Roman" w:hAnsi="Times New Roman" w:cs="Times New Roman" w:eastAsia="Times New Roman" w:hint="default"/>
          <w:spacing w:val="-2"/>
        </w:rPr>
        <w:t>2006</w:t>
      </w:r>
      <w:r>
        <w:rPr>
          <w:spacing w:val="-2"/>
        </w:rPr>
        <w:t>年就职于中国银行，历任</w:t>
      </w:r>
      <w:r>
        <w:rPr/>
        <w:t> </w:t>
      </w:r>
      <w:r>
        <w:rPr>
          <w:spacing w:val="-2"/>
        </w:rPr>
        <w:t>个人银行助理经理、总行信用卡部副总经理、中银信用卡（国际）有限公司于香港的副总经理；</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2011</w:t>
      </w:r>
      <w:r>
        <w:rPr>
          <w:spacing w:val="-2"/>
        </w:rPr>
        <w:t>年，任德意志</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spacing w:val="-2"/>
        </w:rPr>
        <w:t>银行（中国）有限公司北京分行信用卡总管，同时兼任意志银行（中国）有限公司与华夏银行股份有限公司合作的信用卡中</w:t>
      </w:r>
      <w:r>
        <w:rPr>
          <w:spacing w:val="-65"/>
        </w:rPr>
        <w:t> </w:t>
      </w:r>
      <w:r>
        <w:rPr>
          <w:spacing w:val="-65"/>
        </w:rPr>
      </w:r>
      <w:r>
        <w:rPr/>
        <w:t>心首席执行官；</w:t>
      </w:r>
      <w:r>
        <w:rPr>
          <w:rFonts w:ascii="Times New Roman" w:hAnsi="Times New Roman" w:cs="Times New Roman" w:eastAsia="Times New Roman" w:hint="default"/>
        </w:rPr>
        <w:t>2011</w:t>
      </w:r>
      <w:r>
        <w:rPr/>
        <w:t>年至今，任金邦达宝嘉控股有限公司</w:t>
      </w:r>
      <w:r>
        <w:rPr>
          <w:rFonts w:ascii="Times New Roman" w:hAnsi="Times New Roman" w:cs="Times New Roman" w:eastAsia="Times New Roman" w:hint="default"/>
        </w:rPr>
        <w:t>[03315.HK]</w:t>
      </w:r>
      <w:r>
        <w:rPr>
          <w:rFonts w:ascii="Times New Roman" w:hAnsi="Times New Roman" w:cs="Times New Roman" w:eastAsia="Times New Roman" w:hint="default"/>
          <w:spacing w:val="26"/>
        </w:rPr>
        <w:t> </w:t>
      </w:r>
      <w:r>
        <w:rPr/>
        <w:t>执行董事兼首席执行官，并任其全资子公司金邦达数</w:t>
      </w:r>
      <w:r>
        <w:rPr>
          <w:w w:val="99"/>
        </w:rPr>
        <w:t> </w:t>
      </w:r>
      <w:r>
        <w:rPr/>
        <w:t>据有限公司董事兼首席执行官，及全资子公司珠海市金邦达保密卡有限公司董事。</w:t>
      </w:r>
    </w:p>
    <w:p>
      <w:pPr>
        <w:pStyle w:val="BodyText"/>
        <w:spacing w:line="300" w:lineRule="auto" w:before="24"/>
        <w:ind w:right="1030" w:firstLine="360"/>
        <w:jc w:val="left"/>
      </w:pPr>
      <w:r>
        <w:rPr>
          <w:spacing w:val="-3"/>
        </w:rPr>
        <w:t>于风政先生：</w:t>
      </w:r>
      <w:r>
        <w:rPr>
          <w:rFonts w:ascii="Times New Roman" w:hAnsi="Times New Roman" w:cs="Times New Roman" w:eastAsia="Times New Roman" w:hint="default"/>
          <w:spacing w:val="-3"/>
        </w:rPr>
        <w:t>1956</w:t>
      </w:r>
      <w:r>
        <w:rPr>
          <w:spacing w:val="-3"/>
        </w:rPr>
        <w:t>年出生，中国国籍，无永久境外居留权，中共党员，法学博士。</w:t>
      </w:r>
      <w:r>
        <w:rPr>
          <w:rFonts w:ascii="Times New Roman" w:hAnsi="Times New Roman" w:cs="Times New Roman" w:eastAsia="Times New Roman" w:hint="default"/>
          <w:spacing w:val="-3"/>
        </w:rPr>
        <w:t>1972</w:t>
      </w:r>
      <w:r>
        <w:rPr>
          <w:spacing w:val="-3"/>
        </w:rPr>
        <w:t>年至</w:t>
      </w:r>
      <w:r>
        <w:rPr>
          <w:rFonts w:ascii="Times New Roman" w:hAnsi="Times New Roman" w:cs="Times New Roman" w:eastAsia="Times New Roman" w:hint="default"/>
          <w:spacing w:val="-3"/>
        </w:rPr>
        <w:t>1992</w:t>
      </w:r>
      <w:r>
        <w:rPr>
          <w:spacing w:val="-3"/>
        </w:rPr>
        <w:t>年，于长沙铁道兵学院、</w:t>
      </w:r>
      <w:r>
        <w:rPr/>
        <w:t> </w:t>
      </w:r>
      <w:r>
        <w:rPr>
          <w:spacing w:val="-5"/>
        </w:rPr>
        <w:t>解放军西安政治学院服役；</w:t>
      </w:r>
      <w:r>
        <w:rPr>
          <w:rFonts w:ascii="Times New Roman" w:hAnsi="Times New Roman" w:cs="Times New Roman" w:eastAsia="Times New Roman" w:hint="default"/>
          <w:spacing w:val="-5"/>
        </w:rPr>
        <w:t>1992</w:t>
      </w:r>
      <w:r>
        <w:rPr>
          <w:spacing w:val="-5"/>
        </w:rPr>
        <w:t>年至</w:t>
      </w:r>
      <w:r>
        <w:rPr>
          <w:rFonts w:ascii="Times New Roman" w:hAnsi="Times New Roman" w:cs="Times New Roman" w:eastAsia="Times New Roman" w:hint="default"/>
          <w:spacing w:val="-5"/>
        </w:rPr>
        <w:t>2002</w:t>
      </w:r>
      <w:r>
        <w:rPr>
          <w:spacing w:val="-5"/>
        </w:rPr>
        <w:t>年，历任北京师范大学讲师、副教授、教授、研究生院副院长等职务；</w:t>
      </w:r>
      <w:r>
        <w:rPr>
          <w:rFonts w:ascii="Times New Roman" w:hAnsi="Times New Roman" w:cs="Times New Roman" w:eastAsia="Times New Roman" w:hint="default"/>
          <w:spacing w:val="-5"/>
        </w:rPr>
        <w:t>2002</w:t>
      </w:r>
      <w:r>
        <w:rPr>
          <w:spacing w:val="-5"/>
        </w:rPr>
        <w:t>年至</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6"/>
        </w:rPr>
        <w:t> </w:t>
      </w:r>
      <w:r>
        <w:rPr>
          <w:spacing w:val="-2"/>
        </w:rPr>
        <w:t>年，历任北京师范大学珠海分校副校长、副书记，现任北京师范大学珠海分校法律与行政学院院长；</w:t>
      </w:r>
      <w:r>
        <w:rPr>
          <w:rFonts w:ascii="Times New Roman" w:hAnsi="Times New Roman" w:cs="Times New Roman" w:eastAsia="Times New Roman" w:hint="default"/>
          <w:spacing w:val="-2"/>
        </w:rPr>
        <w:t>2004</w:t>
      </w:r>
      <w:r>
        <w:rPr>
          <w:spacing w:val="-2"/>
        </w:rPr>
        <w:t>年起，曾兼任珠海</w:t>
      </w:r>
      <w:r>
        <w:rPr>
          <w:spacing w:val="-61"/>
        </w:rPr>
        <w:t> </w:t>
      </w:r>
      <w:r>
        <w:rPr>
          <w:spacing w:val="-61"/>
        </w:rPr>
      </w:r>
      <w:r>
        <w:rPr/>
        <w:t>市第六届、第七届人大常委会法律顾问、广东省法学教育研究会副会长、珠海市法学会副会长。</w:t>
      </w:r>
    </w:p>
    <w:p>
      <w:pPr>
        <w:pStyle w:val="BodyText"/>
        <w:spacing w:line="300" w:lineRule="auto" w:before="31"/>
        <w:ind w:right="1132" w:firstLine="360"/>
        <w:jc w:val="both"/>
      </w:pPr>
      <w:r>
        <w:rPr>
          <w:spacing w:val="-2"/>
        </w:rPr>
        <w:t>杨大贺先生：</w:t>
      </w:r>
      <w:r>
        <w:rPr>
          <w:rFonts w:ascii="Times New Roman" w:hAnsi="Times New Roman" w:cs="Times New Roman" w:eastAsia="Times New Roman" w:hint="default"/>
          <w:spacing w:val="-2"/>
        </w:rPr>
        <w:t>1972</w:t>
      </w:r>
      <w:r>
        <w:rPr>
          <w:spacing w:val="-2"/>
        </w:rPr>
        <w:t>年出生，中国国籍，无永久境外居留权，大专学历，注册会计师。</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1996</w:t>
      </w:r>
      <w:r>
        <w:rPr>
          <w:spacing w:val="-2"/>
        </w:rPr>
        <w:t>年，任辽阳市运输管</w:t>
      </w:r>
      <w:r>
        <w:rPr/>
        <w:t> </w:t>
      </w:r>
      <w:r>
        <w:rPr>
          <w:spacing w:val="-2"/>
        </w:rPr>
        <w:t>理处会计；</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1999</w:t>
      </w:r>
      <w:r>
        <w:rPr>
          <w:spacing w:val="-2"/>
        </w:rPr>
        <w:t>年，任深圳市会计师事务所项目经理；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年，任深圳华鹏会计师事务所项目经理；</w:t>
      </w:r>
      <w:r>
        <w:rPr>
          <w:rFonts w:ascii="Times New Roman" w:hAnsi="Times New Roman" w:cs="Times New Roman" w:eastAsia="Times New Roman" w:hint="default"/>
          <w:spacing w:val="-2"/>
        </w:rPr>
        <w:t>2002</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年至</w:t>
      </w:r>
      <w:r>
        <w:rPr>
          <w:rFonts w:ascii="Times New Roman" w:hAnsi="Times New Roman" w:cs="Times New Roman" w:eastAsia="Times New Roman" w:hint="default"/>
          <w:spacing w:val="-2"/>
        </w:rPr>
        <w:t>2005</w:t>
      </w:r>
      <w:r>
        <w:rPr>
          <w:spacing w:val="-2"/>
        </w:rPr>
        <w:t>年，任中华财务咨询有限公司高级经理；</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2007</w:t>
      </w:r>
      <w:r>
        <w:rPr>
          <w:spacing w:val="-2"/>
        </w:rPr>
        <w:t>年，北京立信会计师事务所部门副经理；</w:t>
      </w:r>
      <w:r>
        <w:rPr>
          <w:rFonts w:ascii="Times New Roman" w:hAnsi="Times New Roman" w:cs="Times New Roman" w:eastAsia="Times New Roman" w:hint="default"/>
          <w:spacing w:val="-2"/>
        </w:rPr>
        <w:t>2008</w:t>
      </w:r>
      <w:r>
        <w:rPr>
          <w:spacing w:val="-2"/>
        </w:rPr>
        <w:t>年至今，任中</w:t>
      </w:r>
      <w:r>
        <w:rPr>
          <w:spacing w:val="-50"/>
        </w:rPr>
        <w:t> </w:t>
      </w:r>
      <w:r>
        <w:rPr>
          <w:spacing w:val="-50"/>
        </w:rPr>
      </w:r>
      <w:r>
        <w:rPr/>
        <w:t>勤万信会计师事务所部门经理。</w:t>
      </w:r>
    </w:p>
    <w:p>
      <w:pPr>
        <w:pStyle w:val="BodyText"/>
        <w:spacing w:line="300" w:lineRule="auto" w:before="31"/>
        <w:ind w:left="1493" w:right="1118" w:hanging="360"/>
        <w:jc w:val="left"/>
      </w:pPr>
      <w:r>
        <w:rPr>
          <w:rFonts w:ascii="Times New Roman" w:hAnsi="Times New Roman" w:cs="Times New Roman" w:eastAsia="Times New Roman" w:hint="default"/>
        </w:rPr>
        <w:t>2</w:t>
      </w:r>
      <w:r>
        <w:rPr/>
        <w:t>、现任监事简历： </w:t>
      </w:r>
      <w:r>
        <w:rPr>
          <w:spacing w:val="-2"/>
        </w:rPr>
        <w:t>何锋先生：</w:t>
      </w:r>
      <w:r>
        <w:rPr>
          <w:rFonts w:ascii="Times New Roman" w:hAnsi="Times New Roman" w:cs="Times New Roman" w:eastAsia="Times New Roman" w:hint="default"/>
          <w:spacing w:val="-2"/>
        </w:rPr>
        <w:t>1977</w:t>
      </w:r>
      <w:r>
        <w:rPr>
          <w:spacing w:val="-2"/>
        </w:rPr>
        <w:t>年出生，中国国籍，无永久境外居留权，中共党员，本科学历。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2002</w:t>
      </w:r>
      <w:r>
        <w:rPr>
          <w:spacing w:val="-2"/>
        </w:rPr>
        <w:t>年，于中国人民解放军某</w:t>
      </w:r>
    </w:p>
    <w:p>
      <w:pPr>
        <w:pStyle w:val="BodyText"/>
        <w:spacing w:line="300" w:lineRule="auto" w:before="13"/>
        <w:ind w:right="1118"/>
        <w:jc w:val="left"/>
      </w:pPr>
      <w:r>
        <w:rPr>
          <w:spacing w:val="-2"/>
        </w:rPr>
        <w:t>部服役；</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年，任珠海外经贸专修学院远程教育处副处长；</w:t>
      </w:r>
      <w:r>
        <w:rPr>
          <w:rFonts w:ascii="Times New Roman" w:hAnsi="Times New Roman" w:cs="Times New Roman" w:eastAsia="Times New Roman" w:hint="default"/>
          <w:spacing w:val="-2"/>
        </w:rPr>
        <w:t>2005</w:t>
      </w:r>
      <w:r>
        <w:rPr>
          <w:spacing w:val="-2"/>
        </w:rPr>
        <w:t>年加入本公司，现任公司生产中心副总监兼生产</w:t>
      </w:r>
      <w:r>
        <w:rPr>
          <w:spacing w:val="-53"/>
        </w:rPr>
        <w:t> </w:t>
      </w:r>
      <w:r>
        <w:rPr>
          <w:spacing w:val="-53"/>
        </w:rPr>
      </w:r>
      <w:r>
        <w:rPr/>
        <w:t>管理部经理。</w:t>
      </w:r>
    </w:p>
    <w:p>
      <w:pPr>
        <w:pStyle w:val="BodyText"/>
        <w:spacing w:line="309" w:lineRule="auto" w:before="31"/>
        <w:ind w:right="1132" w:firstLine="360"/>
        <w:jc w:val="both"/>
      </w:pPr>
      <w:r>
        <w:rPr>
          <w:spacing w:val="-2"/>
        </w:rPr>
        <w:t>陈家贤先生：</w:t>
      </w:r>
      <w:r>
        <w:rPr>
          <w:rFonts w:ascii="Times New Roman" w:hAnsi="Times New Roman" w:cs="Times New Roman" w:eastAsia="Times New Roman" w:hint="default"/>
          <w:spacing w:val="-2"/>
        </w:rPr>
        <w:t>1975</w:t>
      </w:r>
      <w:r>
        <w:rPr>
          <w:spacing w:val="-2"/>
        </w:rPr>
        <w:t>年出生，中国国籍，无永久境外居留权，大专学历。具有多年电力安全和金融安全领域从业经验以及</w:t>
      </w:r>
      <w:r>
        <w:rPr/>
        <w:t> </w:t>
      </w:r>
      <w:r>
        <w:rPr>
          <w:spacing w:val="-2"/>
        </w:rPr>
        <w:t>锁类结构研发经验，先后就职于珠海金电电源工业有限公司、长园共创电力安全技术股份有限公司、珠海优特电力科技股份</w:t>
      </w:r>
      <w:r>
        <w:rPr>
          <w:spacing w:val="-66"/>
        </w:rPr>
        <w:t> </w:t>
      </w:r>
      <w:r>
        <w:rPr>
          <w:spacing w:val="-66"/>
        </w:rPr>
      </w:r>
      <w:r>
        <w:rPr/>
        <w:t>有限公司任结构工程师；</w:t>
      </w:r>
      <w:r>
        <w:rPr>
          <w:rFonts w:ascii="Times New Roman" w:hAnsi="Times New Roman" w:cs="Times New Roman" w:eastAsia="Times New Roman" w:hint="default"/>
        </w:rPr>
        <w:t>2010</w:t>
      </w:r>
      <w:r>
        <w:rPr/>
        <w:t>年加入公司，现任公司产品研发中心结构部工程师。</w:t>
      </w:r>
    </w:p>
    <w:p>
      <w:pPr>
        <w:pStyle w:val="BodyText"/>
        <w:spacing w:line="300" w:lineRule="auto" w:before="5"/>
        <w:ind w:left="1134" w:right="1130" w:firstLine="360"/>
        <w:jc w:val="both"/>
      </w:pPr>
      <w:r>
        <w:rPr>
          <w:spacing w:val="-2"/>
        </w:rPr>
        <w:t>杨贤帮先生：</w:t>
      </w:r>
      <w:r>
        <w:rPr>
          <w:rFonts w:ascii="Times New Roman" w:hAnsi="Times New Roman" w:cs="Times New Roman" w:eastAsia="Times New Roman" w:hint="default"/>
          <w:spacing w:val="-2"/>
        </w:rPr>
        <w:t>1981</w:t>
      </w:r>
      <w:r>
        <w:rPr>
          <w:spacing w:val="-2"/>
        </w:rPr>
        <w:t>年出生，中国国籍，无境外永久居留权，本科学历。先后任职于武汉金牛经济发展有限公司、珠海金</w:t>
      </w:r>
      <w:r>
        <w:rPr/>
        <w:t> 力防水技术有限公司；</w:t>
      </w:r>
      <w:r>
        <w:rPr>
          <w:rFonts w:ascii="Times New Roman" w:hAnsi="Times New Roman" w:cs="Times New Roman" w:eastAsia="Times New Roman" w:hint="default"/>
        </w:rPr>
        <w:t>2011</w:t>
      </w:r>
      <w:r>
        <w:rPr/>
        <w:t>年加入公司，现任公司总裁办总务主管。</w:t>
      </w:r>
    </w:p>
    <w:p>
      <w:pPr>
        <w:pStyle w:val="BodyText"/>
        <w:spacing w:line="300" w:lineRule="auto" w:before="13"/>
        <w:ind w:left="1494" w:right="3822" w:hanging="360"/>
        <w:jc w:val="left"/>
      </w:pPr>
      <w:r>
        <w:rPr>
          <w:rFonts w:ascii="Times New Roman" w:hAnsi="Times New Roman" w:cs="Times New Roman" w:eastAsia="Times New Roman" w:hint="default"/>
        </w:rPr>
        <w:t>3</w:t>
      </w:r>
      <w:r>
        <w:rPr/>
        <w:t>、现任高级管理人员简历： 高级管理人员陈喆女士、马铮先生、肖志宏先生简历见本节第</w:t>
      </w:r>
      <w:r>
        <w:rPr>
          <w:rFonts w:ascii="Times New Roman" w:hAnsi="Times New Roman" w:cs="Times New Roman" w:eastAsia="Times New Roman" w:hint="default"/>
        </w:rPr>
        <w:t>1</w:t>
      </w:r>
      <w:r>
        <w:rPr/>
        <w:t>点之现任董事简历。</w:t>
      </w:r>
    </w:p>
    <w:p>
      <w:pPr>
        <w:pStyle w:val="BodyText"/>
        <w:spacing w:line="300" w:lineRule="auto" w:before="13"/>
        <w:ind w:right="1132" w:firstLine="360"/>
        <w:jc w:val="both"/>
      </w:pPr>
      <w:r>
        <w:rPr>
          <w:spacing w:val="-2"/>
        </w:rPr>
        <w:t>马晓丽女士：</w:t>
      </w:r>
      <w:r>
        <w:rPr>
          <w:rFonts w:ascii="Times New Roman" w:hAnsi="Times New Roman" w:cs="Times New Roman" w:eastAsia="Times New Roman" w:hint="default"/>
          <w:spacing w:val="-2"/>
        </w:rPr>
        <w:t>1973</w:t>
      </w:r>
      <w:r>
        <w:rPr>
          <w:spacing w:val="-2"/>
        </w:rPr>
        <w:t>年出生，中国国籍，无永久境外居留权，大专学历，中级会计师，注册会计师。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2003</w:t>
      </w:r>
      <w:r>
        <w:rPr>
          <w:spacing w:val="-2"/>
        </w:rPr>
        <w:t>年，任</w:t>
      </w:r>
      <w:r>
        <w:rPr/>
        <w:t> 吉林省辽源市龙泉酒厂会计；</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2007</w:t>
      </w:r>
      <w:r>
        <w:rPr/>
        <w:t>年，任上海金星液压件有限公司财务经理；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月，任中勤万信会 计师事务所深圳分所项目经理；</w:t>
      </w:r>
      <w:r>
        <w:rPr>
          <w:rFonts w:ascii="Times New Roman" w:hAnsi="Times New Roman" w:cs="Times New Roman" w:eastAsia="Times New Roman" w:hint="default"/>
        </w:rPr>
        <w:t>2012</w:t>
      </w:r>
      <w:r>
        <w:rPr/>
        <w:t>年加入公司，现任公司财务负责人。</w:t>
      </w:r>
    </w:p>
    <w:p>
      <w:pPr>
        <w:pStyle w:val="BodyText"/>
        <w:spacing w:line="300" w:lineRule="auto" w:before="13"/>
        <w:ind w:left="1134" w:right="1033" w:firstLine="360"/>
        <w:jc w:val="left"/>
      </w:pPr>
      <w:r>
        <w:rPr/>
        <w:t>蔡林生先生：</w:t>
      </w:r>
      <w:r>
        <w:rPr>
          <w:rFonts w:ascii="Times New Roman" w:hAnsi="Times New Roman" w:cs="Times New Roman" w:eastAsia="Times New Roman" w:hint="default"/>
        </w:rPr>
        <w:t>1983 </w:t>
      </w:r>
      <w:r>
        <w:rPr/>
        <w:t>年出生，中国国籍，无境外永久居留权，硕士学历，具有法学、</w:t>
      </w:r>
      <w:r>
        <w:rPr>
          <w:rFonts w:ascii="Times New Roman" w:hAnsi="Times New Roman" w:cs="Times New Roman" w:eastAsia="Times New Roman" w:hint="default"/>
        </w:rPr>
        <w:t>International Accounting and</w:t>
      </w:r>
      <w:r>
        <w:rPr>
          <w:rFonts w:ascii="Times New Roman" w:hAnsi="Times New Roman" w:cs="Times New Roman" w:eastAsia="Times New Roman" w:hint="default"/>
          <w:spacing w:val="-24"/>
        </w:rPr>
        <w:t> </w:t>
      </w:r>
      <w:r>
        <w:rPr>
          <w:rFonts w:ascii="Times New Roman" w:hAnsi="Times New Roman" w:cs="Times New Roman" w:eastAsia="Times New Roman" w:hint="default"/>
        </w:rPr>
        <w:t>Finance</w:t>
      </w:r>
      <w:r>
        <w:rPr>
          <w:rFonts w:ascii="Times New Roman" w:hAnsi="Times New Roman" w:cs="Times New Roman" w:eastAsia="Times New Roman" w:hint="default"/>
        </w:rPr>
        <w:t> </w:t>
      </w:r>
      <w:r>
        <w:rPr>
          <w:spacing w:val="-3"/>
        </w:rPr>
        <w:t>学位，</w:t>
      </w:r>
      <w:r>
        <w:rPr>
          <w:rFonts w:ascii="Times New Roman" w:hAnsi="Times New Roman" w:cs="Times New Roman" w:eastAsia="Times New Roman" w:hint="default"/>
          <w:spacing w:val="-3"/>
        </w:rPr>
        <w:t>2016</w:t>
      </w:r>
      <w:r>
        <w:rPr>
          <w:spacing w:val="-3"/>
        </w:rPr>
        <w:t>年至今</w:t>
      </w:r>
      <w:r>
        <w:rPr>
          <w:rFonts w:ascii="Times New Roman" w:hAnsi="Times New Roman" w:cs="Times New Roman" w:eastAsia="Times New Roman" w:hint="default"/>
          <w:spacing w:val="-3"/>
        </w:rPr>
        <w:t>EMBA</w:t>
      </w:r>
      <w:r>
        <w:rPr>
          <w:spacing w:val="-3"/>
        </w:rPr>
        <w:t>在读。具有深圳证券交易所颁发的董事会秘书资格证书。曾先后任深圳华强集团有限公司投资经理、</w:t>
      </w:r>
      <w:r>
        <w:rPr>
          <w:spacing w:val="-70"/>
        </w:rPr>
        <w:t> </w:t>
      </w:r>
      <w:r>
        <w:rPr>
          <w:spacing w:val="-70"/>
        </w:rPr>
      </w:r>
      <w:r>
        <w:rPr/>
        <w:t>深圳市佳创视讯技术股份有限公司投资总监、深圳广田集团股份有限公司投资总监，</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月加入公司，现任公司董事 会秘书。</w:t>
      </w:r>
    </w:p>
    <w:p>
      <w:pPr>
        <w:pStyle w:val="BodyText"/>
        <w:spacing w:line="240" w:lineRule="auto" w:before="72"/>
        <w:ind w:left="1134"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金邦达宝嘉控股有限公司</w:t>
            </w:r>
            <w:r>
              <w:rPr>
                <w:rFonts w:ascii="Times New Roman" w:hAnsi="Times New Roman" w:cs="Times New Roman" w:eastAsia="Times New Roman" w:hint="default"/>
                <w:sz w:val="18"/>
                <w:szCs w:val="18"/>
              </w:rPr>
              <w:t>[03315.HK]</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金邦达数据有限公司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金邦达有限公司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凯鑫控股有限公司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30"/>
              <w:jc w:val="left"/>
              <w:rPr>
                <w:rFonts w:ascii="Times New Roman" w:hAnsi="Times New Roman" w:cs="Times New Roman" w:eastAsia="Times New Roman" w:hint="default"/>
                <w:sz w:val="18"/>
                <w:szCs w:val="18"/>
              </w:rPr>
            </w:pPr>
            <w:r>
              <w:rPr>
                <w:rFonts w:ascii="Times New Roman"/>
                <w:sz w:val="18"/>
              </w:rPr>
              <w:t>Goldpac Fintech Singapore</w:t>
            </w:r>
            <w:r>
              <w:rPr>
                <w:rFonts w:ascii="Times New Roman"/>
                <w:spacing w:val="-2"/>
                <w:sz w:val="18"/>
              </w:rPr>
              <w:t> </w:t>
            </w:r>
            <w:r>
              <w:rPr>
                <w:rFonts w:ascii="Times New Roman"/>
                <w:sz w:val="18"/>
              </w:rPr>
              <w:t>Private</w:t>
            </w:r>
            <w:r>
              <w:rPr>
                <w:rFonts w:ascii="Times New Roman"/>
                <w:w w:val="99"/>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北京师范大学珠海分校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法律与行政 学院院长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珠海高新区邦利贸易有限公司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2"/>
        </w:rPr>
        <w:t>公司董事、监事报酬由股东大会决定，高级管理人员报酬由董事会决定；在公司担任职务的董事、监事、高级管理人员</w:t>
      </w:r>
    </w:p>
    <w:p>
      <w:pPr>
        <w:pStyle w:val="BodyText"/>
        <w:spacing w:line="224" w:lineRule="exact"/>
        <w:ind w:right="0"/>
        <w:jc w:val="left"/>
      </w:pPr>
      <w:r>
        <w:rPr/>
        <w:t>报酬由公司支付，董事、监事不另外支付津贴；独立董事及不在公司任职的非独立董事津贴根据股东大会通过的决议进行支</w:t>
      </w:r>
    </w:p>
    <w:p>
      <w:pPr>
        <w:pStyle w:val="BodyText"/>
        <w:spacing w:line="240" w:lineRule="auto" w:before="76"/>
        <w:ind w:right="0"/>
        <w:jc w:val="left"/>
      </w:pPr>
      <w:r>
        <w:rPr/>
        <w:t>付。</w:t>
      </w:r>
    </w:p>
    <w:p>
      <w:pPr>
        <w:pStyle w:val="BodyText"/>
        <w:spacing w:line="316" w:lineRule="auto" w:before="76"/>
        <w:ind w:left="1493" w:right="0"/>
        <w:jc w:val="left"/>
      </w:pPr>
      <w:r>
        <w:rPr/>
        <w:t>公司依据当年盈利水平及董事、监事、高级管理人员的职责履行情况并结合年度绩效完成情况综合确定报酬。 </w:t>
      </w:r>
      <w:r>
        <w:rPr>
          <w:spacing w:val="-2"/>
        </w:rPr>
        <w:t>公司高级管理人员基本工资已发放，年度绩效考核薪酬在董事会审议通过后按时发放；公司独立董事及不在公司任职的</w:t>
      </w:r>
    </w:p>
    <w:p>
      <w:pPr>
        <w:pStyle w:val="BodyText"/>
        <w:spacing w:line="360" w:lineRule="auto" w:before="19"/>
        <w:ind w:right="6793"/>
        <w:jc w:val="left"/>
      </w:pPr>
      <w:r>
        <w:rPr/>
        <w:t>非独立董事津贴已发放。 公司报告期内董事、监事和高级管理人员报酬情况</w:t>
      </w:r>
    </w:p>
    <w:p>
      <w:pPr>
        <w:pStyle w:val="BodyText"/>
        <w:spacing w:line="240" w:lineRule="auto" w:before="27"/>
        <w:ind w:left="0" w:right="1130"/>
        <w:jc w:val="right"/>
      </w:pPr>
      <w:r>
        <w:rPr/>
        <w:pict>
          <v:group style="position:absolute;margin-left:193.759995pt;margin-top:74.621704pt;width:67.9pt;height:28pt;mso-position-horizontal-relative:page;mso-position-vertical-relative:paragraph;z-index:-1185616" coordorigin="3875,1492" coordsize="1358,560">
            <v:group style="position:absolute;left:3875;top:1492;width:1358;height:156" coordorigin="3875,1492" coordsize="1358,156">
              <v:shape style="position:absolute;left:3875;top:1492;width:1358;height:156" coordorigin="3875,1492" coordsize="1358,156" path="m3875,1648l5233,1648,5233,1492,3875,1492,3875,1648xe" filled="true" fillcolor="#ffffff" stroked="false">
                <v:path arrowok="t"/>
                <v:fill type="solid"/>
              </v:shape>
            </v:group>
            <v:group style="position:absolute;left:3887;top:1648;width:2;height:393" coordorigin="3887,1648" coordsize="2,393">
              <v:shape style="position:absolute;left:3887;top:1648;width:2;height:393" coordorigin="3887,1648" coordsize="0,393" path="m3887,1648l3887,2041e" filled="false" stroked="true" strokeweight="1.140pt" strokecolor="#ffffff">
                <v:path arrowok="t"/>
              </v:shape>
            </v:group>
            <v:group style="position:absolute;left:3898;top:1648;width:1312;height:393" coordorigin="3898,1648" coordsize="1312,393">
              <v:shape style="position:absolute;left:3898;top:1648;width:1312;height:393" coordorigin="3898,1648" coordsize="1312,393" path="m3898,2041l5210,2041,5210,1648,3898,1648,3898,2041xe" filled="true" fillcolor="#ffffff" stroked="false">
                <v:path arrowok="t"/>
                <v:fill type="solid"/>
              </v:shape>
            </v:group>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董事、副董事长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罗秀红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公司董事、高级管理人员报告期内被授予的股权激励情况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5635" w:space="328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24.45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24.45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报告期内，公司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年限制性股票激励计划首次授予并在中国证券登记结算有限责任公司深圳分公司完成登</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记，首次授予限制性股票的上市日期为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290"/>
        <w:jc w:val="both"/>
      </w:pPr>
      <w:r>
        <w:rPr>
          <w:spacing w:val="-1"/>
        </w:rPr>
        <w:t>公司本着鼓励各级员工恪尽职守，且能为公司赢利与发展积极贡献的目的，实行以责任、能力、绩效为核心计酬依据的</w:t>
      </w:r>
      <w:r>
        <w:rPr/>
        <w:t> </w:t>
      </w:r>
      <w:r>
        <w:rPr>
          <w:spacing w:val="-2"/>
        </w:rPr>
        <w:t>薪酬制度。使员工能合理分享公司经营成果，充分发挥薪酬的激励作用，从而激励员工改善工作表现，加强和提升员工的工</w:t>
      </w:r>
      <w:r>
        <w:rPr>
          <w:spacing w:val="-66"/>
        </w:rPr>
        <w:t> </w:t>
      </w:r>
      <w:r>
        <w:rPr>
          <w:spacing w:val="-66"/>
        </w:rPr>
      </w:r>
      <w:r>
        <w:rPr/>
        <w:t>作绩效和公司的经营业绩，以实现公司发展战略目标。</w:t>
      </w:r>
    </w:p>
    <w:p>
      <w:pPr>
        <w:pStyle w:val="BodyText"/>
        <w:spacing w:line="316" w:lineRule="auto" w:before="19"/>
        <w:ind w:left="1134" w:right="1028" w:firstLine="290"/>
        <w:jc w:val="left"/>
      </w:pPr>
      <w:r>
        <w:rPr>
          <w:spacing w:val="-3"/>
        </w:rPr>
        <w:t>公司严格遵守劳动法律法规，遵循合法、平等、自愿的原则与员工签订书面劳动合同，依法进行劳动合同的履行、变更、</w:t>
      </w:r>
      <w:r>
        <w:rPr/>
        <w:t> </w:t>
      </w:r>
      <w:r>
        <w:rPr>
          <w:spacing w:val="-1"/>
        </w:rPr>
        <w:t>解除和终止。报告期内，员工劳动合同签订率为</w:t>
      </w:r>
      <w:r>
        <w:rPr>
          <w:rFonts w:ascii="Times New Roman" w:hAnsi="Times New Roman" w:cs="Times New Roman" w:eastAsia="Times New Roman" w:hint="default"/>
          <w:spacing w:val="-1"/>
        </w:rPr>
        <w:t>100%</w:t>
      </w:r>
      <w:r>
        <w:rPr>
          <w:spacing w:val="-1"/>
        </w:rPr>
        <w:t>。公司严格遵照国家相关法律法规为员工缴纳社会保险和住房公积金。</w:t>
      </w:r>
    </w:p>
    <w:p>
      <w:pPr>
        <w:spacing w:line="240" w:lineRule="auto" w:before="13"/>
        <w:rPr>
          <w:rFonts w:ascii="宋体" w:hAnsi="宋体" w:cs="宋体" w:eastAsia="宋体" w:hint="default"/>
          <w:sz w:val="20"/>
          <w:szCs w:val="20"/>
        </w:rPr>
      </w:pPr>
    </w:p>
    <w:p>
      <w:pPr>
        <w:pStyle w:val="Heading3"/>
        <w:spacing w:line="240" w:lineRule="auto"/>
        <w:ind w:left="1134"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360"/>
        <w:jc w:val="left"/>
      </w:pPr>
      <w:r>
        <w:rPr>
          <w:rFonts w:ascii="Times New Roman" w:hAnsi="Times New Roman" w:cs="Times New Roman" w:eastAsia="Times New Roman" w:hint="default"/>
        </w:rPr>
        <w:t>1</w:t>
      </w:r>
      <w:r>
        <w:rPr/>
        <w:t>、公司完善了培训体系，除了开展</w:t>
      </w:r>
      <w:r>
        <w:rPr>
          <w:rFonts w:ascii="Times New Roman" w:hAnsi="Times New Roman" w:cs="Times New Roman" w:eastAsia="Times New Roman" w:hint="default"/>
        </w:rPr>
        <w:t>“</w:t>
      </w:r>
      <w:r>
        <w:rPr/>
        <w:t>新员工入职培训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通用技能培训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管理技能培训</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专业技能培训</w:t>
      </w:r>
      <w:r>
        <w:rPr>
          <w:rFonts w:ascii="Times New Roman" w:hAnsi="Times New Roman" w:cs="Times New Roman" w:eastAsia="Times New Roman" w:hint="default"/>
        </w:rPr>
        <w:t>”</w:t>
      </w:r>
      <w:r>
        <w:rPr/>
        <w:t>外，还针 </w:t>
      </w:r>
      <w:r>
        <w:rPr>
          <w:spacing w:val="-4"/>
        </w:rPr>
        <w:t>对基层、中层、高层员工的不同成长、提升需求，建立了基层、中层、高层三级培训体系，借助线上、线下多渠道培训方式，</w:t>
      </w:r>
      <w:r>
        <w:rPr>
          <w:spacing w:val="-46"/>
        </w:rPr>
        <w:t> </w:t>
      </w:r>
      <w:r>
        <w:rPr>
          <w:spacing w:val="-46"/>
        </w:rPr>
      </w:r>
      <w:r>
        <w:rPr/>
        <w:t>持续对基层、中层、高层员工的基础素养、专业素养、管理素养进行持续赋能。</w:t>
      </w:r>
    </w:p>
    <w:p>
      <w:pPr>
        <w:pStyle w:val="BodyText"/>
        <w:spacing w:line="300" w:lineRule="auto" w:before="24"/>
        <w:ind w:right="0" w:firstLine="360"/>
        <w:jc w:val="left"/>
      </w:pPr>
      <w:r>
        <w:rPr>
          <w:rFonts w:ascii="Times New Roman" w:hAnsi="Times New Roman" w:cs="Times New Roman" w:eastAsia="Times New Roman" w:hint="default"/>
          <w:spacing w:val="-2"/>
        </w:rPr>
        <w:t>2</w:t>
      </w:r>
      <w:r>
        <w:rPr>
          <w:spacing w:val="-2"/>
        </w:rPr>
        <w:t>、公司不仅强化内部培训、逐步建立内部专业讲师队伍，同时也积极与外部专业培训机构展开紧密合作，</w:t>
      </w:r>
      <w:r>
        <w:rPr>
          <w:rFonts w:ascii="Times New Roman" w:hAnsi="Times New Roman" w:cs="Times New Roman" w:eastAsia="Times New Roman" w:hint="default"/>
          <w:spacing w:val="-2"/>
        </w:rPr>
        <w:t>“</w:t>
      </w:r>
      <w:r>
        <w:rPr>
          <w:spacing w:val="-2"/>
        </w:rPr>
        <w:t>派出去、引</w:t>
      </w:r>
      <w:r>
        <w:rPr/>
        <w:t> 进来</w:t>
      </w:r>
      <w:r>
        <w:rPr>
          <w:rFonts w:ascii="Times New Roman" w:hAnsi="Times New Roman" w:cs="Times New Roman" w:eastAsia="Times New Roman" w:hint="default"/>
        </w:rPr>
        <w:t>”</w:t>
      </w:r>
      <w:r>
        <w:rPr/>
        <w:t>，开展各类人才开发和培训项目。</w:t>
      </w:r>
    </w:p>
    <w:p>
      <w:pPr>
        <w:pStyle w:val="BodyText"/>
        <w:spacing w:line="240" w:lineRule="auto" w:before="13"/>
        <w:ind w:left="1494" w:right="0"/>
        <w:jc w:val="left"/>
      </w:pPr>
      <w:r>
        <w:rPr>
          <w:rFonts w:ascii="Times New Roman" w:hAnsi="Times New Roman" w:cs="Times New Roman" w:eastAsia="Times New Roman" w:hint="default"/>
        </w:rPr>
        <w:t>3</w:t>
      </w:r>
      <w:r>
        <w:rPr/>
        <w:t>、公司正在建立人才梯队，通过内部培养方式，不断为各层级输送管理、技术人才。</w:t>
      </w:r>
    </w:p>
    <w:p>
      <w:pPr>
        <w:pStyle w:val="BodyText"/>
        <w:spacing w:line="240" w:lineRule="auto" w:before="63"/>
        <w:ind w:left="1493" w:right="0"/>
        <w:jc w:val="left"/>
      </w:pPr>
      <w:r>
        <w:rPr>
          <w:rFonts w:ascii="Times New Roman" w:hAnsi="Times New Roman" w:cs="Times New Roman" w:eastAsia="Times New Roman" w:hint="default"/>
        </w:rPr>
        <w:t>4</w:t>
      </w:r>
      <w:r>
        <w:rPr/>
        <w:t>、公司建立了全方位的人才培养体系，持续提升员工综合能力，助力公司战略目标的顺利达成和持续发展。</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3" w:id="129"/>
      <w:bookmarkStart w:name="第九节 公司治理" w:id="130"/>
      <w:r>
        <w:rPr>
          <w:b w:val="0"/>
          <w:bCs w:val="0"/>
        </w:rPr>
      </w:r>
      <w:r>
        <w:rPr/>
        <w:t>第九节</w:t>
      </w:r>
      <w:r>
        <w:rPr>
          <w:spacing w:val="-5"/>
        </w:rPr>
        <w:t> </w:t>
      </w:r>
      <w:r>
        <w:rPr/>
        <w:t>公司治理</w:t>
      </w:r>
      <w:bookmarkEnd w:id="12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290"/>
        <w:jc w:val="left"/>
      </w:pPr>
      <w:r>
        <w:rPr/>
        <w:t>报告期内，公司整体运作规范，公司治理的基本情况与中国证监会、深圳证券交易所的相关规范性文件的要求不存在差 </w:t>
      </w:r>
      <w:r>
        <w:rPr>
          <w:spacing w:val="-2"/>
        </w:rPr>
        <w:t>异。公司严格按照《公司法》、《证券法》、《深圳证券交易所创业板股票上市规则》、《深圳证券交易所创业板上市公司</w:t>
      </w:r>
      <w:r>
        <w:rPr>
          <w:spacing w:val="-73"/>
        </w:rPr>
        <w:t> </w:t>
      </w:r>
      <w:r>
        <w:rPr>
          <w:spacing w:val="-73"/>
        </w:rPr>
      </w:r>
      <w:r>
        <w:rPr/>
        <w:t>规范运作指引》等法律法规要求，不断完善公司治理结构，健全内部管理和控制体系，规范公司运作，提高公司治理水平； 公司董事、监事和高级管理人员加强对上市公司治理相关法规的学习，切实维护股东利益。</w:t>
      </w:r>
    </w:p>
    <w:p>
      <w:pPr>
        <w:pStyle w:val="BodyText"/>
        <w:spacing w:line="300" w:lineRule="auto" w:before="19"/>
        <w:ind w:left="1424" w:right="0" w:hanging="291"/>
        <w:jc w:val="left"/>
      </w:pPr>
      <w:r>
        <w:rPr>
          <w:rFonts w:ascii="Times New Roman" w:hAnsi="Times New Roman" w:cs="Times New Roman" w:eastAsia="Times New Roman" w:hint="default"/>
        </w:rPr>
        <w:t>1</w:t>
      </w:r>
      <w:r>
        <w:rPr/>
        <w:t>、关于股东和股东大会 </w:t>
      </w:r>
      <w:r>
        <w:rPr>
          <w:spacing w:val="-1"/>
        </w:rPr>
        <w:t>报告期内，公司共召开一次年度股东大会，两次临时股东大会。公司严格按照《公司法》、《公司章程》及公司《股东</w:t>
      </w:r>
    </w:p>
    <w:p>
      <w:pPr>
        <w:pStyle w:val="BodyText"/>
        <w:spacing w:line="316" w:lineRule="auto" w:before="31"/>
        <w:ind w:left="1134" w:right="0"/>
        <w:jc w:val="left"/>
      </w:pPr>
      <w:r>
        <w:rPr>
          <w:spacing w:val="-2"/>
        </w:rPr>
        <w:t>大会议事规则》的规定召集和召开股东大会，平等对待所有投资者，尽可能为股东提供便利，使其充分行使权利；公司聘请</w:t>
      </w:r>
      <w:r>
        <w:rPr>
          <w:spacing w:val="-66"/>
        </w:rPr>
        <w:t> </w:t>
      </w:r>
      <w:r>
        <w:rPr>
          <w:spacing w:val="-66"/>
        </w:rPr>
      </w:r>
      <w:r>
        <w:rPr/>
        <w:t>专业律师进行现场见证股东大会，审议程序符合规定。</w:t>
      </w:r>
    </w:p>
    <w:p>
      <w:pPr>
        <w:pStyle w:val="BodyText"/>
        <w:spacing w:line="300" w:lineRule="auto" w:before="19"/>
        <w:ind w:left="1424" w:right="1102" w:hanging="291"/>
        <w:jc w:val="left"/>
      </w:pPr>
      <w:r>
        <w:rPr>
          <w:rFonts w:ascii="Times New Roman" w:hAnsi="Times New Roman" w:cs="Times New Roman" w:eastAsia="Times New Roman" w:hint="default"/>
        </w:rPr>
        <w:t>2</w:t>
      </w:r>
      <w:r>
        <w:rPr/>
        <w:t>、关于董事和董事会 报告期内，公司董事会的人数及人员构成符合法律、法规的要求，全体董事以诚信、勤勉、尽责的态度认真履行职责，</w:t>
      </w:r>
    </w:p>
    <w:p>
      <w:pPr>
        <w:pStyle w:val="BodyText"/>
        <w:spacing w:line="316" w:lineRule="auto" w:before="31"/>
        <w:ind w:right="1118"/>
        <w:jc w:val="left"/>
      </w:pPr>
      <w:r>
        <w:rPr>
          <w:spacing w:val="-2"/>
        </w:rPr>
        <w:t>按时出席会议，积极参加培训，不断提高履职水平。公司董事会下设立有战略委员会、提名委员会、审计委员会、薪酬与考</w:t>
      </w:r>
      <w:r>
        <w:rPr>
          <w:spacing w:val="-68"/>
        </w:rPr>
        <w:t> </w:t>
      </w:r>
      <w:r>
        <w:rPr>
          <w:spacing w:val="-68"/>
        </w:rPr>
      </w:r>
      <w:r>
        <w:rPr/>
        <w:t>核委员会四个专门委员会，并制定了相应的议事规则，在促进公司规范运作、维护股东权益等方面发挥重要作用。 </w:t>
      </w:r>
      <w:r>
        <w:rPr>
          <w:rFonts w:ascii="Times New Roman" w:hAnsi="Times New Roman" w:cs="Times New Roman" w:eastAsia="Times New Roman" w:hint="default"/>
        </w:rPr>
        <w:t>3</w:t>
      </w:r>
      <w:r>
        <w:rPr/>
        <w:t>、关于监事和监事会</w:t>
      </w:r>
    </w:p>
    <w:p>
      <w:pPr>
        <w:pStyle w:val="BodyText"/>
        <w:spacing w:line="235" w:lineRule="exact"/>
        <w:ind w:left="1424" w:right="0"/>
        <w:jc w:val="left"/>
      </w:pPr>
      <w:r>
        <w:rPr/>
        <w:t>公司监事会由三名成员组成，其中职工代表监事一名，由职工代表大会选举产生。监事会的人数和构成符合法律法规和</w:t>
      </w:r>
    </w:p>
    <w:p>
      <w:pPr>
        <w:pStyle w:val="BodyText"/>
        <w:spacing w:line="319" w:lineRule="auto" w:before="76"/>
        <w:ind w:right="1118"/>
        <w:jc w:val="left"/>
      </w:pPr>
      <w:r>
        <w:rPr>
          <w:spacing w:val="-2"/>
        </w:rPr>
        <w:t>《公司章程》的规定。报告期内，监事会严格按照规定召开会议，全体监事能够从保护股东利益出发，认真履行职责，对公</w:t>
      </w:r>
      <w:r>
        <w:rPr>
          <w:spacing w:val="-68"/>
        </w:rPr>
        <w:t> </w:t>
      </w:r>
      <w:r>
        <w:rPr>
          <w:spacing w:val="-68"/>
        </w:rPr>
      </w:r>
      <w:r>
        <w:rPr/>
        <w:t>司财务以及公司董事、高级管理人员履行职责的合法、合规性进行监督，维护公司及股东的合法权益。 </w:t>
      </w:r>
      <w:r>
        <w:rPr>
          <w:rFonts w:ascii="Times New Roman" w:hAnsi="Times New Roman" w:cs="Times New Roman" w:eastAsia="Times New Roman" w:hint="default"/>
        </w:rPr>
        <w:t>4</w:t>
      </w:r>
      <w:r>
        <w:rPr/>
        <w:t>、关于公司与控股股东</w:t>
      </w:r>
    </w:p>
    <w:p>
      <w:pPr>
        <w:pStyle w:val="BodyText"/>
        <w:spacing w:line="316" w:lineRule="auto"/>
        <w:ind w:left="1134" w:right="1131" w:firstLine="290"/>
        <w:jc w:val="both"/>
      </w:pPr>
      <w:r>
        <w:rPr>
          <w:spacing w:val="-1"/>
        </w:rPr>
        <w:t>公司具有独立的业务经营能力及完备的运营体系，在业务、人员、资产、财务上均独立于控股股东。报告期内，公司控</w:t>
      </w:r>
      <w:r>
        <w:rPr/>
        <w:t> </w:t>
      </w:r>
      <w:r>
        <w:rPr>
          <w:spacing w:val="-2"/>
        </w:rPr>
        <w:t>股股东行为规范，能依法行使权利并承担相应的义务，不存在直接或间接干预公司决策和经营活动的行为。公司没有为控股</w:t>
      </w:r>
      <w:r>
        <w:rPr>
          <w:spacing w:val="-66"/>
        </w:rPr>
        <w:t> </w:t>
      </w:r>
      <w:r>
        <w:rPr>
          <w:spacing w:val="-66"/>
        </w:rPr>
      </w:r>
      <w:r>
        <w:rPr/>
        <w:t>股东提供担保，亦不存在控股股东非经营性占用公司资金的情形。</w:t>
      </w:r>
    </w:p>
    <w:p>
      <w:pPr>
        <w:pStyle w:val="BodyText"/>
        <w:spacing w:line="300" w:lineRule="auto" w:before="19"/>
        <w:ind w:left="1424" w:right="0" w:hanging="291"/>
        <w:jc w:val="left"/>
      </w:pPr>
      <w:r>
        <w:rPr>
          <w:rFonts w:ascii="Times New Roman" w:hAnsi="Times New Roman" w:cs="Times New Roman" w:eastAsia="Times New Roman" w:hint="default"/>
        </w:rPr>
        <w:t>5</w:t>
      </w:r>
      <w:r>
        <w:rPr/>
        <w:t>、关于绩效评价与激励约束机制 </w:t>
      </w:r>
      <w:r>
        <w:rPr>
          <w:spacing w:val="-1"/>
        </w:rPr>
        <w:t>公司建立了公正、透明的绩效评价标准与激励约束机制，并结合实际持续进行完善，以量化的考核指标对管理人员进行</w:t>
      </w:r>
    </w:p>
    <w:p>
      <w:pPr>
        <w:pStyle w:val="BodyText"/>
        <w:spacing w:line="316" w:lineRule="auto" w:before="31"/>
        <w:ind w:right="1033"/>
        <w:jc w:val="left"/>
      </w:pPr>
      <w:r>
        <w:rPr/>
        <w:t>业绩考核，并按考核结果兑现薪酬的支付。报告期内，公司实施了限制性股票股权激励计划，形成多层次的综合激励机制， 吸引和稳定优秀人才。</w:t>
      </w:r>
    </w:p>
    <w:p>
      <w:pPr>
        <w:pStyle w:val="BodyText"/>
        <w:spacing w:line="300" w:lineRule="auto" w:before="19"/>
        <w:ind w:left="1424" w:right="0" w:hanging="291"/>
        <w:jc w:val="left"/>
      </w:pPr>
      <w:r>
        <w:rPr>
          <w:rFonts w:ascii="Times New Roman" w:hAnsi="Times New Roman" w:cs="Times New Roman" w:eastAsia="Times New Roman" w:hint="default"/>
        </w:rPr>
        <w:t>6</w:t>
      </w:r>
      <w:r>
        <w:rPr/>
        <w:t>、关于信息披露与透明度 </w:t>
      </w:r>
      <w:r>
        <w:rPr>
          <w:spacing w:val="-1"/>
        </w:rPr>
        <w:t>报告期内，公司严格遵守法律法规的规定，真实、准确、完整、及时地履行信息披露义务，不存在虚假记载、误导性陈</w:t>
      </w:r>
    </w:p>
    <w:p>
      <w:pPr>
        <w:pStyle w:val="BodyText"/>
        <w:spacing w:line="316" w:lineRule="auto" w:before="31"/>
        <w:ind w:left="1134" w:right="1131"/>
        <w:jc w:val="both"/>
      </w:pPr>
      <w:r>
        <w:rPr>
          <w:spacing w:val="-2"/>
        </w:rPr>
        <w:t>述或重大遗漏，确保所有投资者平等的获取公司信息。公司注重与投资者的交流，通过深交所互动平台、投资者热线等多种</w:t>
      </w:r>
      <w:r>
        <w:rPr>
          <w:spacing w:val="-66"/>
        </w:rPr>
        <w:t> </w:t>
      </w:r>
      <w:r>
        <w:rPr>
          <w:spacing w:val="-66"/>
        </w:rPr>
      </w:r>
      <w:r>
        <w:rPr>
          <w:spacing w:val="-2"/>
        </w:rPr>
        <w:t>方式加强与投资者的沟通，增加公司透明度。公司建立并执行内幕信息知情人登记管理机制，对重大事项严格控制内幕信息</w:t>
      </w:r>
      <w:r>
        <w:rPr>
          <w:spacing w:val="-66"/>
        </w:rPr>
        <w:t> </w:t>
      </w:r>
      <w:r>
        <w:rPr>
          <w:spacing w:val="-66"/>
        </w:rPr>
      </w:r>
      <w:r>
        <w:rPr/>
        <w:t>知情人范围，未发生内幕信息泄露等违规行为。</w:t>
      </w:r>
    </w:p>
    <w:p>
      <w:pPr>
        <w:pStyle w:val="BodyText"/>
        <w:spacing w:line="300" w:lineRule="auto" w:before="19"/>
        <w:ind w:left="1424" w:right="0" w:hanging="291"/>
        <w:jc w:val="left"/>
      </w:pPr>
      <w:r>
        <w:rPr>
          <w:rFonts w:ascii="Times New Roman" w:hAnsi="Times New Roman" w:cs="Times New Roman" w:eastAsia="Times New Roman" w:hint="default"/>
        </w:rPr>
        <w:t>7</w:t>
      </w:r>
      <w:r>
        <w:rPr/>
        <w:t>、关于相关利益者 </w:t>
      </w:r>
      <w:r>
        <w:rPr>
          <w:spacing w:val="-1"/>
        </w:rPr>
        <w:t>公司充分尊重和维护相关利益者的合法权益，实现股东、员工、社会等各方利益的协调平衡，树立良好的公司形象，推</w:t>
      </w:r>
    </w:p>
    <w:p>
      <w:pPr>
        <w:pStyle w:val="BodyText"/>
        <w:spacing w:line="360" w:lineRule="auto" w:before="31"/>
        <w:ind w:left="1134" w:right="3552"/>
        <w:jc w:val="left"/>
      </w:pPr>
      <w:r>
        <w:rPr/>
        <w:t>动公司平稳健康发展。 公司治理的实际状况与中国证监会发布的有关上市公司治理的规范性文件是否存在重大差异</w:t>
      </w:r>
    </w:p>
    <w:p>
      <w:pPr>
        <w:pStyle w:val="BodyText"/>
        <w:spacing w:line="338" w:lineRule="auto" w:before="2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0"/>
        <w:jc w:val="left"/>
      </w:pPr>
      <w:r>
        <w:rPr/>
        <w:t>公司在业务、人员、资产、机构和财务等方面与控股股东相互独立，具体情况如下：</w:t>
      </w:r>
    </w:p>
    <w:p>
      <w:pPr>
        <w:pStyle w:val="BodyText"/>
        <w:spacing w:line="240" w:lineRule="auto" w:before="76"/>
        <w:ind w:right="0"/>
        <w:jc w:val="left"/>
      </w:pPr>
      <w:r>
        <w:rPr>
          <w:rFonts w:ascii="Times New Roman" w:hAnsi="Times New Roman" w:cs="Times New Roman" w:eastAsia="Times New Roman" w:hint="default"/>
        </w:rPr>
        <w:t>1.</w:t>
      </w:r>
      <w:r>
        <w:rPr/>
        <w:t>业务独立</w:t>
      </w:r>
    </w:p>
    <w:p>
      <w:pPr>
        <w:pStyle w:val="BodyText"/>
        <w:spacing w:line="316" w:lineRule="auto" w:before="63"/>
        <w:ind w:right="1132" w:firstLine="290"/>
        <w:jc w:val="both"/>
      </w:pPr>
      <w:r>
        <w:rPr>
          <w:spacing w:val="-1"/>
        </w:rPr>
        <w:t>公司拥有完整的法人财产权，具备独立的采购、生产和销售系统，独立开展业务，独立承担责任和风险，所需原材料的</w:t>
      </w:r>
      <w:r>
        <w:rPr/>
        <w:t> </w:t>
      </w:r>
      <w:r>
        <w:rPr>
          <w:spacing w:val="-2"/>
        </w:rPr>
        <w:t>采购及客户群、市场均不依赖于控股股东。公司与控股股东之间无同业竞争，不存在控股股东利用其地位干涉公司决策和生</w:t>
      </w:r>
      <w:r>
        <w:rPr>
          <w:spacing w:val="-66"/>
        </w:rPr>
        <w:t> </w:t>
      </w:r>
      <w:r>
        <w:rPr>
          <w:spacing w:val="-66"/>
        </w:rPr>
      </w:r>
      <w:r>
        <w:rPr/>
        <w:t>产经营活动的情形。</w:t>
      </w:r>
    </w:p>
    <w:p>
      <w:pPr>
        <w:pStyle w:val="BodyText"/>
        <w:spacing w:line="240" w:lineRule="auto" w:before="19"/>
        <w:ind w:right="0"/>
        <w:jc w:val="left"/>
      </w:pPr>
      <w:r>
        <w:rPr>
          <w:rFonts w:ascii="Times New Roman" w:hAnsi="Times New Roman" w:cs="Times New Roman" w:eastAsia="Times New Roman" w:hint="default"/>
        </w:rPr>
        <w:t>2.</w:t>
      </w:r>
      <w:r>
        <w:rPr/>
        <w:t>人员独立</w:t>
      </w:r>
    </w:p>
    <w:p>
      <w:pPr>
        <w:pStyle w:val="BodyText"/>
        <w:spacing w:line="316" w:lineRule="auto" w:before="63"/>
        <w:ind w:right="1131" w:firstLine="290"/>
        <w:jc w:val="both"/>
      </w:pPr>
      <w:r>
        <w:rPr>
          <w:spacing w:val="-1"/>
        </w:rPr>
        <w:t>公司建立了独立的劳动人事、社会保障及薪酬管理体系，人员管理做到了制度化。公司董事、监事及高级管理人员严格</w:t>
      </w:r>
      <w:r>
        <w:rPr/>
        <w:t> </w:t>
      </w:r>
      <w:r>
        <w:rPr>
          <w:spacing w:val="-2"/>
        </w:rPr>
        <w:t>按照《公司法》、《公司章程》的规定产生，公司高级管理人员均在公司工作并领取薪酬，不存在任职于关联企业兼职领薪</w:t>
      </w:r>
      <w:r>
        <w:rPr>
          <w:spacing w:val="-70"/>
        </w:rPr>
        <w:t> </w:t>
      </w:r>
      <w:r>
        <w:rPr>
          <w:spacing w:val="-70"/>
        </w:rPr>
      </w:r>
      <w:r>
        <w:rPr/>
        <w:t>的情形。</w:t>
      </w:r>
    </w:p>
    <w:p>
      <w:pPr>
        <w:pStyle w:val="BodyText"/>
        <w:spacing w:line="240" w:lineRule="auto" w:before="19"/>
        <w:ind w:right="0"/>
        <w:jc w:val="left"/>
      </w:pPr>
      <w:r>
        <w:rPr>
          <w:rFonts w:ascii="Times New Roman" w:hAnsi="Times New Roman" w:cs="Times New Roman" w:eastAsia="Times New Roman" w:hint="default"/>
        </w:rPr>
        <w:t>3.</w:t>
      </w:r>
      <w:r>
        <w:rPr/>
        <w:t>资产独立</w:t>
      </w:r>
    </w:p>
    <w:p>
      <w:pPr>
        <w:pStyle w:val="BodyText"/>
        <w:spacing w:line="316" w:lineRule="auto" w:before="63"/>
        <w:ind w:right="1133" w:firstLine="290"/>
        <w:jc w:val="both"/>
      </w:pPr>
      <w:r>
        <w:rPr>
          <w:spacing w:val="-1"/>
        </w:rPr>
        <w:t>公司拥有独立完整的资产，与控股股东之间产权关系明确，不存在对控股股东及其控制的其他企业的依赖情况。公司拥</w:t>
      </w:r>
      <w:r>
        <w:rPr/>
        <w:t> 有独立的经营场所、生产设施及与业务相关的商标、专利、非专利技术的所有权或使用权。</w:t>
      </w:r>
    </w:p>
    <w:p>
      <w:pPr>
        <w:pStyle w:val="BodyText"/>
        <w:spacing w:line="240" w:lineRule="auto" w:before="19"/>
        <w:ind w:right="0"/>
        <w:jc w:val="left"/>
      </w:pPr>
      <w:r>
        <w:rPr>
          <w:rFonts w:ascii="Times New Roman" w:hAnsi="Times New Roman" w:cs="Times New Roman" w:eastAsia="Times New Roman" w:hint="default"/>
        </w:rPr>
        <w:t>4.</w:t>
      </w:r>
      <w:r>
        <w:rPr/>
        <w:t>机构独立</w:t>
      </w:r>
    </w:p>
    <w:p>
      <w:pPr>
        <w:pStyle w:val="BodyText"/>
        <w:spacing w:line="316" w:lineRule="auto" w:before="63"/>
        <w:ind w:right="1131" w:firstLine="290"/>
        <w:jc w:val="both"/>
      </w:pPr>
      <w:r>
        <w:rPr>
          <w:spacing w:val="-1"/>
        </w:rPr>
        <w:t>公司组织机构体系健全，建立了包含股东大会、董事会、监事会、经营管理层的现代法人治理结构，强化分权制衡和相</w:t>
      </w:r>
      <w:r>
        <w:rPr/>
        <w:t> </w:t>
      </w:r>
      <w:r>
        <w:rPr>
          <w:spacing w:val="-2"/>
        </w:rPr>
        <w:t>互监督，并根据企业发展调整优化，制定了较为完善的岗位职责和管理制度，公司各部门按照规定的职责开展工作，相互独</w:t>
      </w:r>
      <w:r>
        <w:rPr>
          <w:spacing w:val="-66"/>
        </w:rPr>
        <w:t> </w:t>
      </w:r>
      <w:r>
        <w:rPr>
          <w:spacing w:val="-66"/>
        </w:rPr>
      </w:r>
      <w:r>
        <w:rPr/>
        <w:t>立、协作和制约。不存在控股股东及其控制的其他企业、个人直接或间接干预公司的机构设置的情形。</w:t>
      </w:r>
    </w:p>
    <w:p>
      <w:pPr>
        <w:pStyle w:val="BodyText"/>
        <w:spacing w:line="240" w:lineRule="auto" w:before="19"/>
        <w:ind w:right="0"/>
        <w:jc w:val="left"/>
      </w:pPr>
      <w:r>
        <w:rPr>
          <w:rFonts w:ascii="Times New Roman" w:hAnsi="Times New Roman" w:cs="Times New Roman" w:eastAsia="Times New Roman" w:hint="default"/>
        </w:rPr>
        <w:t>5.</w:t>
      </w:r>
      <w:r>
        <w:rPr/>
        <w:t>财务独立</w:t>
      </w:r>
    </w:p>
    <w:p>
      <w:pPr>
        <w:pStyle w:val="BodyText"/>
        <w:spacing w:line="316" w:lineRule="auto" w:before="63"/>
        <w:ind w:right="1131" w:firstLine="290"/>
        <w:jc w:val="both"/>
      </w:pPr>
      <w:r>
        <w:rPr>
          <w:spacing w:val="-1"/>
        </w:rPr>
        <w:t>公司设有独立的财务部门，配备专职财务人员，实行独立核算，建立了独立的会计核算系统和财务管理制度，能够独立</w:t>
      </w:r>
      <w:r>
        <w:rPr/>
        <w:t> </w:t>
      </w:r>
      <w:r>
        <w:rPr>
          <w:spacing w:val="-2"/>
        </w:rPr>
        <w:t>做出财务决策，实施严格的内部审计制度。公司开设有独立的银行账号，依法独立进行纳税申报并履行纳税义务。不存在被</w:t>
      </w:r>
      <w:r>
        <w:rPr>
          <w:spacing w:val="-66"/>
        </w:rPr>
        <w:t> </w:t>
      </w:r>
      <w:r>
        <w:rPr>
          <w:spacing w:val="-66"/>
        </w:rPr>
      </w:r>
      <w:r>
        <w:rPr/>
        <w:t>控股股东干预资金使用、资产被占用等损害公司利益的情况。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5"/>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2017-009</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23" w:right="84"/>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临时股东大会决议 公告（公告编号： </w:t>
            </w:r>
            <w:r>
              <w:rPr>
                <w:rFonts w:ascii="Times New Roman" w:hAnsi="Times New Roman" w:cs="Times New Roman" w:eastAsia="Times New Roman" w:hint="default"/>
                <w:sz w:val="18"/>
                <w:szCs w:val="18"/>
              </w:rPr>
              <w:t>2017-033</w:t>
            </w:r>
            <w:r>
              <w:rPr>
                <w:rFonts w:ascii="宋体" w:hAnsi="宋体" w:cs="宋体" w:eastAsia="宋体" w:hint="default"/>
                <w:sz w:val="18"/>
                <w:szCs w:val="18"/>
              </w:rPr>
              <w:t>）</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65.15%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3" w:right="84"/>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临时股东大会决议 公告（公告编号： </w:t>
            </w:r>
            <w:r>
              <w:rPr>
                <w:rFonts w:ascii="Times New Roman" w:hAnsi="Times New Roman" w:cs="Times New Roman" w:eastAsia="Times New Roman" w:hint="default"/>
                <w:sz w:val="18"/>
                <w:szCs w:val="18"/>
              </w:rPr>
              <w:t>2017-071</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left="113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right="1131" w:firstLine="290"/>
        <w:jc w:val="both"/>
      </w:pPr>
      <w:r>
        <w:rPr>
          <w:spacing w:val="-1"/>
        </w:rPr>
        <w:t>报告期内，公司独立董事本着对公司及股东负责的态度，忠实、勤勉地履行职责，积极参加董事会、股东大会，客观审</w:t>
      </w:r>
      <w:r>
        <w:rPr/>
        <w:t> </w:t>
      </w:r>
      <w:r>
        <w:rPr>
          <w:spacing w:val="-2"/>
        </w:rPr>
        <w:t>慎地发表独立意见；深入公司现场调查，了解生产经营状况、内部控制实施情况及会议决议的执行情况，关注外部环境变化</w:t>
      </w:r>
      <w:r>
        <w:rPr>
          <w:spacing w:val="-66"/>
        </w:rPr>
        <w:t> </w:t>
      </w:r>
      <w:r>
        <w:rPr>
          <w:spacing w:val="-66"/>
        </w:rPr>
      </w:r>
      <w:r>
        <w:rPr>
          <w:spacing w:val="-2"/>
        </w:rPr>
        <w:t>对公司造成的影响。独立董事发挥各自专业上的优势和经验，为公司的经营管理、规范运作提出合理建议，公司相关部门积</w:t>
      </w:r>
      <w:r>
        <w:rPr>
          <w:spacing w:val="-65"/>
        </w:rPr>
        <w:t> </w:t>
      </w:r>
      <w:r>
        <w:rPr>
          <w:spacing w:val="-65"/>
        </w:rPr>
      </w:r>
      <w:r>
        <w:rPr/>
        <w:t>极配合独立董事履行职责，并持续落实有关建议。</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424" w:right="1102" w:hanging="291"/>
        <w:jc w:val="left"/>
      </w:pPr>
      <w:r>
        <w:rPr>
          <w:rFonts w:ascii="Times New Roman" w:hAnsi="Times New Roman" w:cs="Times New Roman" w:eastAsia="Times New Roman" w:hint="default"/>
        </w:rPr>
        <w:t>1.</w:t>
      </w:r>
      <w:r>
        <w:rPr/>
        <w:t>审计委员会履职情况 报告期内，董事会审计委员会根据《公司法》、《证券法》、《上市公司治理准则》及《董事会审计委员会实施细则》</w:t>
      </w:r>
    </w:p>
    <w:p>
      <w:pPr>
        <w:pStyle w:val="BodyText"/>
        <w:spacing w:line="316" w:lineRule="auto" w:before="32"/>
        <w:ind w:right="1132"/>
        <w:jc w:val="both"/>
      </w:pPr>
      <w:r>
        <w:rPr>
          <w:spacing w:val="-2"/>
        </w:rPr>
        <w:t>等有关规定，积极履行职责，对公司定期报告、内部审计工作的开展情况进行审议，并提出合理的建议；定期了解公司财务</w:t>
      </w:r>
      <w:r>
        <w:rPr>
          <w:spacing w:val="-66"/>
        </w:rPr>
        <w:t> </w:t>
      </w:r>
      <w:r>
        <w:rPr>
          <w:spacing w:val="-66"/>
        </w:rPr>
      </w:r>
      <w:r>
        <w:rPr>
          <w:spacing w:val="-2"/>
        </w:rPr>
        <w:t>状况和经营情况，督促和指导内审部门对公司财务管理运行情况进行定期和不定期的检查和评估，督促公司内部控制的有效</w:t>
      </w:r>
      <w:r>
        <w:rPr>
          <w:spacing w:val="-64"/>
        </w:rPr>
        <w:t> </w:t>
      </w:r>
      <w:r>
        <w:rPr>
          <w:spacing w:val="-64"/>
        </w:rPr>
      </w:r>
      <w:r>
        <w:rPr/>
        <w:t>执行。</w:t>
      </w:r>
    </w:p>
    <w:p>
      <w:pPr>
        <w:pStyle w:val="BodyText"/>
        <w:spacing w:line="300" w:lineRule="auto" w:before="19"/>
        <w:ind w:left="1424" w:right="0" w:hanging="291"/>
        <w:jc w:val="left"/>
      </w:pPr>
      <w:r>
        <w:rPr>
          <w:rFonts w:ascii="Times New Roman" w:hAnsi="Times New Roman" w:cs="Times New Roman" w:eastAsia="Times New Roman" w:hint="default"/>
        </w:rPr>
        <w:t>2.</w:t>
      </w:r>
      <w:r>
        <w:rPr/>
        <w:t>战略委员会履职情况 </w:t>
      </w:r>
      <w:r>
        <w:rPr>
          <w:spacing w:val="-1"/>
        </w:rPr>
        <w:t>报告期内，董事会战略委员会按照《公司章程》、公司《董事会战略委员会实施细则》的规定，深入了解公司的经营情</w:t>
      </w:r>
    </w:p>
    <w:p>
      <w:pPr>
        <w:pStyle w:val="BodyText"/>
        <w:spacing w:line="316" w:lineRule="auto" w:before="31"/>
        <w:ind w:left="1134" w:right="0"/>
        <w:jc w:val="left"/>
      </w:pPr>
      <w:r>
        <w:rPr>
          <w:spacing w:val="-2"/>
        </w:rPr>
        <w:t>况及发展状况，积极研究符合公司发展方向的战略布局，对公司发展布局及业务扩展等方面提出宝贵建议，促进了公司董事</w:t>
      </w:r>
      <w:r>
        <w:rPr>
          <w:spacing w:val="-66"/>
        </w:rPr>
        <w:t> </w:t>
      </w:r>
      <w:r>
        <w:rPr>
          <w:spacing w:val="-66"/>
        </w:rPr>
      </w:r>
      <w:r>
        <w:rPr/>
        <w:t>会决策的科学性。</w:t>
      </w:r>
    </w:p>
    <w:p>
      <w:pPr>
        <w:pStyle w:val="BodyText"/>
        <w:spacing w:line="300" w:lineRule="auto" w:before="19"/>
        <w:ind w:left="1424" w:right="0" w:hanging="291"/>
        <w:jc w:val="left"/>
      </w:pPr>
      <w:r>
        <w:rPr>
          <w:rFonts w:ascii="Times New Roman" w:hAnsi="Times New Roman" w:cs="Times New Roman" w:eastAsia="Times New Roman" w:hint="default"/>
        </w:rPr>
        <w:t>3.</w:t>
      </w:r>
      <w:r>
        <w:rPr/>
        <w:t>提名委员会履职情况 </w:t>
      </w:r>
      <w:r>
        <w:rPr>
          <w:spacing w:val="-1"/>
        </w:rPr>
        <w:t>报告期内，董事会提名委员会依照法律法规以及《公司章程》、公司《董事会提名委员会实施细则》的有关要求履行职</w:t>
      </w:r>
    </w:p>
    <w:p>
      <w:pPr>
        <w:pStyle w:val="BodyText"/>
        <w:spacing w:line="316" w:lineRule="auto" w:before="31"/>
        <w:ind w:left="1134" w:right="0"/>
        <w:jc w:val="left"/>
      </w:pPr>
      <w:r>
        <w:rPr>
          <w:spacing w:val="-2"/>
        </w:rPr>
        <w:t>责，按规定召开会议，研究高级管理人员的选择标准和程序，认真审核被提名人任职资格，对促进公司治理及完善管理层队</w:t>
      </w:r>
      <w:r>
        <w:rPr>
          <w:spacing w:val="-66"/>
        </w:rPr>
        <w:t> </w:t>
      </w:r>
      <w:r>
        <w:rPr>
          <w:spacing w:val="-66"/>
        </w:rPr>
      </w:r>
      <w:r>
        <w:rPr/>
        <w:t>伍发挥了重要作用。</w:t>
      </w:r>
    </w:p>
    <w:p>
      <w:pPr>
        <w:pStyle w:val="BodyText"/>
        <w:spacing w:line="300" w:lineRule="auto" w:before="19"/>
        <w:ind w:left="1424" w:right="1028" w:hanging="291"/>
        <w:jc w:val="left"/>
      </w:pPr>
      <w:r>
        <w:rPr>
          <w:rFonts w:ascii="Times New Roman" w:hAnsi="Times New Roman" w:cs="Times New Roman" w:eastAsia="Times New Roman" w:hint="default"/>
        </w:rPr>
        <w:t>4.</w:t>
      </w:r>
      <w:r>
        <w:rPr/>
        <w:t>薪酬与考核委员会履职情况 </w:t>
      </w:r>
      <w:r>
        <w:rPr>
          <w:spacing w:val="-2"/>
        </w:rPr>
        <w:t>报告期内，董事会薪酬与考核委员会严格按照相关法律法规及《公司章程》、公司《董事会薪酬与考核委员会实施细则》</w:t>
      </w:r>
    </w:p>
    <w:p>
      <w:pPr>
        <w:pStyle w:val="BodyText"/>
        <w:spacing w:line="316" w:lineRule="auto" w:before="31"/>
        <w:ind w:left="1134" w:right="0"/>
        <w:jc w:val="left"/>
      </w:pPr>
      <w:r>
        <w:rPr>
          <w:spacing w:val="-2"/>
        </w:rPr>
        <w:t>的规定开展相关工作，对公司实施的限制性股票激励计划相关事项进行审议；审查公司董事及高级管理人员的履行职责情况</w:t>
      </w:r>
      <w:r>
        <w:rPr>
          <w:spacing w:val="-64"/>
        </w:rPr>
        <w:t> </w:t>
      </w:r>
      <w:r>
        <w:rPr>
          <w:spacing w:val="-64"/>
        </w:rPr>
      </w:r>
      <w:r>
        <w:rPr/>
        <w:t>并对其进行年度绩效考评，监督公司薪酬制度的执行情况。</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公司高级管理人员均由董事会聘任，对董事会负责，执行董事会的决议。公司建立了公正、有效的高级管理人员的绩效</w:t>
      </w:r>
      <w:r>
        <w:rPr/>
        <w:t> </w:t>
      </w:r>
      <w:r>
        <w:rPr>
          <w:spacing w:val="-2"/>
        </w:rPr>
        <w:t>评价和激励约束机制，并适应公司发展需要而不断完善。公司依据年度经营业绩状况、高级管理人员的岗位职责和年度工作</w:t>
      </w:r>
      <w:r>
        <w:rPr>
          <w:spacing w:val="-66"/>
        </w:rPr>
        <w:t> </w:t>
      </w:r>
      <w:r>
        <w:rPr>
          <w:spacing w:val="-66"/>
        </w:rPr>
      </w:r>
      <w:r>
        <w:rPr>
          <w:spacing w:val="-2"/>
        </w:rPr>
        <w:t>目标完成等情况，进行综合考评，核查高级管理人员履行职责的情况，根据考评结果确定高级管理人员的薪酬绩效，促进高</w:t>
      </w:r>
      <w:r>
        <w:rPr>
          <w:spacing w:val="-66"/>
        </w:rPr>
        <w:t> </w:t>
      </w:r>
      <w:r>
        <w:rPr>
          <w:spacing w:val="-66"/>
        </w:rPr>
      </w:r>
      <w:r>
        <w:rPr/>
        <w:t>级管理人员良好的履行职责。</w:t>
      </w:r>
    </w:p>
    <w:p>
      <w:pPr>
        <w:pStyle w:val="BodyText"/>
        <w:spacing w:line="316" w:lineRule="auto" w:before="19"/>
        <w:ind w:right="1131" w:firstLine="290"/>
        <w:jc w:val="both"/>
      </w:pPr>
      <w:r>
        <w:rPr>
          <w:spacing w:val="-1"/>
        </w:rPr>
        <w:t>为进一步提高公司经营管理者的积极性、创造性，公司将探索建立多层次考核与激励机制，吸引和稳定人才，促进公司</w:t>
      </w:r>
      <w:r>
        <w:rPr/>
        <w:t> 业绩持续增长。</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340.696991pt;margin-top:204.199982pt;width:194.25pt;height:62.4pt;mso-position-horizontal-relative:page;mso-position-vertical-relative:page;z-index:-1185568" type="#_x0000_t202" filled="false" stroked="false">
            <v:textbox inset="0,0,0,0">
              <w:txbxContent>
                <w:p>
                  <w:pPr>
                    <w:pStyle w:val="BodyText"/>
                    <w:spacing w:line="240" w:lineRule="auto" w:before="51"/>
                    <w:ind w:left="0" w:right="0"/>
                    <w:jc w:val="left"/>
                  </w:pPr>
                  <w:r>
                    <w:rPr/>
                    <w:t>公司董事、</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p>
      <w:pPr>
        <w:spacing w:line="1248" w:lineRule="exact"/>
        <w:ind w:left="7656"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52.1pt;height:62.4pt;mso-position-horizontal-relative:char;mso-position-vertical-relative:line" coordorigin="0,0" coordsize="3042,1248">
            <v:group style="position:absolute;left:0;top:0;width:3042;height:1248" coordorigin="0,0" coordsize="3042,1248">
              <v:shape style="position:absolute;left:0;top:0;width:3042;height:1248" coordorigin="0,0" coordsize="3042,1248" path="m0,1248l3041,1248,3041,0,0,0,0,1248xe" filled="true" fillcolor="#ffffff" stroked="false">
                <v:path arrowok="t"/>
                <v:fill type="solid"/>
              </v:shape>
            </v:group>
          </v:group>
        </w:pict>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BodyText"/>
        <w:spacing w:line="240" w:lineRule="auto" w:before="44"/>
        <w:ind w:left="0" w:right="1140"/>
        <w:jc w:val="right"/>
      </w:pPr>
      <w:r>
        <w:rPr/>
        <w:pict>
          <v:shape style="position:absolute;margin-left:56.459999pt;margin-top:-449.088287pt;width:479.2pt;height:580.4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财务报告重大缺陷的定性标准： 监事和高级管理人员的舞弊行为；公司更 正已公布的财务报告；注册会计师发现的 却未被公司内部控制识别的当期财务报告 中的重大错报；审计委员会和审计部对公 司的对外财务报告和财务报告内部监督无 效；财务报告重要缺陷的定性标准：未依 照公认会计准则选择和应用会计政策；未 建立反舞弊程序和控制措施；对于非常规 或特殊交易的账务处理没有建立相应的控 制机制或没有相应的补偿性控制；对于期 末财务报告过程的控制存在一项或多项缺 陷且不能合理保证编制的财务报表达到真 实、准确的目标；一般缺陷是指除上述重 大缺陷、重大缺陷之外的其他控制缺陷。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20"/>
                          <w:jc w:val="left"/>
                          <w:rPr>
                            <w:rFonts w:ascii="宋体" w:hAnsi="宋体" w:cs="宋体" w:eastAsia="宋体" w:hint="default"/>
                            <w:sz w:val="18"/>
                            <w:szCs w:val="18"/>
                          </w:rPr>
                        </w:pPr>
                        <w:r>
                          <w:rPr>
                            <w:rFonts w:ascii="宋体" w:hAnsi="宋体" w:cs="宋体" w:eastAsia="宋体" w:hint="default"/>
                            <w:spacing w:val="-4"/>
                            <w:sz w:val="18"/>
                            <w:szCs w:val="18"/>
                          </w:rPr>
                          <w:t>非财务报告重大缺陷定性标准：违犯国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家法律法规或规范性文件、重大决策程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序不科学、制度缺失可能导致系统性失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效、重大或重要缺陷不能得到整改、其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他对公司负面影响重大的情形；其他情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形按影响程度分别确定为重要缺陷或 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18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09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重大缺陷指考虑补偿性控制措施和实际偏 差率后，该缺陷总体影响水平高于营业收 入的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；重要缺陷考虑补偿性控制措施 和实际偏差率后，该缺陷总体影响水平低 于营业收入的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，但高于营业收入的 </w:t>
                        </w:r>
                        <w:r>
                          <w:rPr>
                            <w:rFonts w:ascii="Times New Roman" w:hAnsi="Times New Roman" w:cs="Times New Roman" w:eastAsia="Times New Roman" w:hint="default"/>
                            <w:sz w:val="18"/>
                            <w:szCs w:val="18"/>
                          </w:rPr>
                          <w:t>0.1%</w:t>
                        </w:r>
                        <w:r>
                          <w:rPr>
                            <w:rFonts w:ascii="宋体" w:hAnsi="宋体" w:cs="宋体" w:eastAsia="宋体" w:hint="default"/>
                            <w:sz w:val="18"/>
                            <w:szCs w:val="18"/>
                          </w:rPr>
                          <w:t>；一般缺陷考虑补偿性控制措施和实 际偏差率后，该缺陷总体影响水平低于营 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已经对外正式披露并对公司定期报告 </w:t>
                        </w:r>
                        <w:r>
                          <w:rPr>
                            <w:rFonts w:ascii="宋体" w:hAnsi="宋体" w:cs="宋体" w:eastAsia="宋体" w:hint="default"/>
                            <w:spacing w:val="-4"/>
                            <w:sz w:val="18"/>
                            <w:szCs w:val="18"/>
                          </w:rPr>
                          <w:t>披露造成负面影响、企业关键岗位人员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流失严重、重大决策失误、重大安全事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故、受到国家政府部门处罚等，造成直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接财产损失或潜在负面影响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ind w:left="22" w:right="91"/>
                          <w:jc w:val="both"/>
                          <w:rPr>
                            <w:rFonts w:ascii="宋体" w:hAnsi="宋体" w:cs="宋体" w:eastAsia="宋体" w:hint="default"/>
                            <w:sz w:val="18"/>
                            <w:szCs w:val="18"/>
                          </w:rPr>
                        </w:pPr>
                        <w:r>
                          <w:rPr>
                            <w:rFonts w:ascii="宋体" w:hAnsi="宋体" w:cs="宋体" w:eastAsia="宋体" w:hint="default"/>
                            <w:spacing w:val="-4"/>
                            <w:sz w:val="18"/>
                            <w:szCs w:val="18"/>
                          </w:rPr>
                          <w:t>（含）以上为重大缺陷；</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 为一般缺陷。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9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before="26"/>
        <w:ind w:left="1134"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汇金科技于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2" w:id="148"/>
      <w:bookmarkStart w:name="第十节 公司债券相关情况" w:id="149"/>
      <w:r>
        <w:rPr>
          <w:b w:val="0"/>
          <w:bCs w:val="0"/>
        </w:rPr>
      </w:r>
      <w:r>
        <w:rPr/>
        <w:t>第十节</w:t>
      </w:r>
      <w:r>
        <w:rPr>
          <w:spacing w:val="-9"/>
        </w:rPr>
        <w:t> </w:t>
      </w:r>
      <w:r>
        <w:rPr/>
        <w:t>公司债券相关情况</w:t>
      </w:r>
      <w:bookmarkEnd w:id="148"/>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1" w:id="150"/>
      <w:bookmarkStart w:name="第十一节 财务报告" w:id="151"/>
      <w:r>
        <w:rPr>
          <w:b w:val="0"/>
          <w:bCs w:val="0"/>
        </w:rPr>
      </w:r>
      <w:r>
        <w:rPr/>
        <w:t>第十一节</w:t>
      </w:r>
      <w:r>
        <w:rPr>
          <w:spacing w:val="-6"/>
        </w:rPr>
        <w:t> </w:t>
      </w:r>
      <w:r>
        <w:rPr/>
        <w:t>财务报告</w:t>
      </w:r>
      <w:bookmarkEnd w:id="15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40060007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王莹、邵桂荣</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16" w:lineRule="auto"/>
        <w:ind w:right="-19"/>
        <w:jc w:val="left"/>
      </w:pPr>
      <w:r>
        <w:rPr/>
        <w:t>珠海汇金科技股份有限公司全体股东： 一、审计意见</w:t>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0" w:right="0"/>
          <w:cols w:num="2" w:equalWidth="0">
            <w:col w:w="4195" w:space="85"/>
            <w:col w:w="7630"/>
          </w:cols>
        </w:sectPr>
      </w:pPr>
    </w:p>
    <w:p>
      <w:pPr>
        <w:pStyle w:val="BodyText"/>
        <w:spacing w:line="300" w:lineRule="auto" w:before="19"/>
        <w:ind w:right="1123" w:firstLine="290"/>
        <w:jc w:val="left"/>
      </w:pPr>
      <w:r>
        <w:rPr/>
        <w:t>我们审计了珠海汇金科技股份有限公司（以下简称</w:t>
      </w:r>
      <w:r>
        <w:rPr>
          <w:rFonts w:ascii="Times New Roman" w:hAnsi="Times New Roman" w:cs="Times New Roman" w:eastAsia="Times New Roman" w:hint="default"/>
        </w:rPr>
        <w:t>“</w:t>
      </w:r>
      <w:r>
        <w:rPr/>
        <w:t>汇金科技</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 表，</w:t>
      </w:r>
      <w:r>
        <w:rPr>
          <w:rFonts w:ascii="Times New Roman" w:hAnsi="Times New Roman" w:cs="Times New Roman" w:eastAsia="Times New Roman" w:hint="default"/>
        </w:rPr>
        <w:t>2017</w:t>
      </w:r>
      <w:r>
        <w:rPr/>
        <w:t>年度的合并及公司利润表、合并及公司现金流量表、合并及公司股东权益变动表以及相关财务报表附注。</w:t>
      </w:r>
    </w:p>
    <w:p>
      <w:pPr>
        <w:pStyle w:val="BodyText"/>
        <w:spacing w:line="300" w:lineRule="auto" w:before="13"/>
        <w:ind w:right="0" w:firstLine="290"/>
        <w:jc w:val="left"/>
      </w:pPr>
      <w:r>
        <w:rPr>
          <w:spacing w:val="-1"/>
        </w:rPr>
        <w:t>我们认为，后附的财务报表在所有重大方面按照企业会计准则的规定编制，公允反映了汇金科技</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日合并及</w:t>
      </w:r>
      <w:r>
        <w:rPr/>
        <w:t> 公司的财务状况以及</w:t>
      </w:r>
      <w:r>
        <w:rPr>
          <w:rFonts w:ascii="Times New Roman" w:hAnsi="Times New Roman" w:cs="Times New Roman" w:eastAsia="Times New Roman" w:hint="default"/>
        </w:rPr>
        <w:t>2017</w:t>
      </w:r>
      <w:r>
        <w:rPr/>
        <w:t>年度合并及公司的经营成果和现金流量。</w:t>
      </w:r>
    </w:p>
    <w:p>
      <w:pPr>
        <w:pStyle w:val="BodyText"/>
        <w:spacing w:line="316" w:lineRule="auto" w:before="13"/>
        <w:ind w:left="1424" w:right="1122" w:hanging="291"/>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w:t>
      </w:r>
    </w:p>
    <w:p>
      <w:pPr>
        <w:pStyle w:val="BodyText"/>
        <w:spacing w:line="316" w:lineRule="auto"/>
        <w:ind w:right="0"/>
        <w:jc w:val="left"/>
      </w:pPr>
      <w:r>
        <w:rPr>
          <w:spacing w:val="-2"/>
        </w:rPr>
        <w:t>阐述了我们在这些准则下的责任。按照中国注册会计师职业道德守则，我们独立于汇金科技，并履行了职业道德方面的其他</w:t>
      </w:r>
      <w:r>
        <w:rPr>
          <w:spacing w:val="-66"/>
        </w:rPr>
        <w:t> </w:t>
      </w:r>
      <w:r>
        <w:rPr>
          <w:spacing w:val="-66"/>
        </w:rPr>
      </w:r>
      <w:r>
        <w:rPr/>
        <w:t>责任。我们相信，我们获取的审计证据是充分、适当的，为发表审计意见提供了基础。</w:t>
      </w:r>
    </w:p>
    <w:p>
      <w:pPr>
        <w:pStyle w:val="BodyText"/>
        <w:spacing w:line="316" w:lineRule="auto" w:before="19"/>
        <w:ind w:left="1424" w:right="1118" w:hanging="291"/>
        <w:jc w:val="left"/>
      </w:pPr>
      <w:r>
        <w:rPr/>
        <w:t>三、关键审计事项 </w:t>
      </w:r>
      <w:r>
        <w:rPr>
          <w:spacing w:val="-1"/>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240" w:lineRule="auto" w:before="76"/>
        <w:ind w:right="0"/>
        <w:jc w:val="left"/>
      </w:pPr>
      <w:r>
        <w:rPr/>
        <w:t>（一）收入确认</w:t>
      </w:r>
    </w:p>
    <w:p>
      <w:pPr>
        <w:pStyle w:val="BodyText"/>
        <w:spacing w:line="300" w:lineRule="auto" w:before="76"/>
        <w:ind w:left="1424" w:right="1118" w:hanging="291"/>
        <w:jc w:val="left"/>
      </w:pPr>
      <w:r>
        <w:rPr>
          <w:rFonts w:ascii="Times New Roman" w:hAnsi="Times New Roman" w:cs="Times New Roman" w:eastAsia="Times New Roman" w:hint="default"/>
        </w:rPr>
        <w:t>1</w:t>
      </w:r>
      <w:r>
        <w:rPr/>
        <w:t>、事项描述 </w:t>
      </w:r>
      <w:r>
        <w:rPr>
          <w:spacing w:val="-1"/>
        </w:rPr>
        <w:t>如财务报表附注四、</w:t>
      </w:r>
      <w:r>
        <w:rPr>
          <w:rFonts w:ascii="Times New Roman" w:hAnsi="Times New Roman" w:cs="Times New Roman" w:eastAsia="Times New Roman" w:hint="default"/>
          <w:spacing w:val="-1"/>
        </w:rPr>
        <w:t>22</w:t>
      </w:r>
      <w:r>
        <w:rPr>
          <w:spacing w:val="-1"/>
        </w:rPr>
        <w:t>所述的会计政策和财务报表附注六、</w:t>
      </w:r>
      <w:r>
        <w:rPr>
          <w:rFonts w:ascii="Times New Roman" w:hAnsi="Times New Roman" w:cs="Times New Roman" w:eastAsia="Times New Roman" w:hint="default"/>
          <w:spacing w:val="-1"/>
        </w:rPr>
        <w:t>26</w:t>
      </w:r>
      <w:r>
        <w:rPr>
          <w:spacing w:val="-1"/>
        </w:rPr>
        <w:t>，公司银行自助设备现金管理系统产品通常按照合同约定</w:t>
      </w:r>
    </w:p>
    <w:p>
      <w:pPr>
        <w:pStyle w:val="BodyText"/>
        <w:spacing w:line="307" w:lineRule="auto" w:before="13"/>
        <w:ind w:right="1118"/>
        <w:jc w:val="left"/>
      </w:pPr>
      <w:r>
        <w:rPr>
          <w:spacing w:val="-2"/>
        </w:rPr>
        <w:t>向购买方移交，并完成安装、调试工作，取得了购买方验收确认单据后确认销售收入。</w:t>
      </w:r>
      <w:r>
        <w:rPr>
          <w:rFonts w:ascii="Times New Roman" w:hAnsi="Times New Roman" w:cs="Times New Roman" w:eastAsia="Times New Roman" w:hint="default"/>
          <w:spacing w:val="-2"/>
        </w:rPr>
        <w:t>2017</w:t>
      </w:r>
      <w:r>
        <w:rPr>
          <w:spacing w:val="-2"/>
        </w:rPr>
        <w:t>年度，汇金科技确认的银行自助</w:t>
      </w:r>
      <w:r>
        <w:rPr>
          <w:spacing w:val="-61"/>
        </w:rPr>
        <w:t> </w:t>
      </w:r>
      <w:r>
        <w:rPr>
          <w:spacing w:val="-61"/>
        </w:rPr>
      </w:r>
      <w:r>
        <w:rPr>
          <w:spacing w:val="-2"/>
        </w:rPr>
        <w:t>设备现金管理系统收入为</w:t>
      </w:r>
      <w:r>
        <w:rPr>
          <w:rFonts w:ascii="Times New Roman" w:hAnsi="Times New Roman" w:cs="Times New Roman" w:eastAsia="Times New Roman" w:hint="default"/>
          <w:spacing w:val="-2"/>
        </w:rPr>
        <w:t>17,203.90</w:t>
      </w:r>
      <w:r>
        <w:rPr>
          <w:spacing w:val="-2"/>
        </w:rPr>
        <w:t>万元。由于营业收入是汇金科技的关键绩效指标之一，商品从发货至安装验收存在一定的</w:t>
      </w:r>
      <w:r>
        <w:rPr>
          <w:spacing w:val="-58"/>
        </w:rPr>
        <w:t> </w:t>
      </w:r>
      <w:r>
        <w:rPr>
          <w:spacing w:val="-58"/>
        </w:rPr>
      </w:r>
      <w:r>
        <w:rPr/>
        <w:t>期间，存在管理层为特定目的或预期而操纵收入确认时点的风险，我们将汇金科技收入确认列为关键审计事项。 </w:t>
      </w:r>
      <w:r>
        <w:rPr>
          <w:rFonts w:ascii="Times New Roman" w:hAnsi="Times New Roman" w:cs="Times New Roman" w:eastAsia="Times New Roman" w:hint="default"/>
        </w:rPr>
        <w:t>2</w:t>
      </w:r>
      <w:r>
        <w:rPr/>
        <w:t>、审计应对</w:t>
      </w:r>
    </w:p>
    <w:p>
      <w:pPr>
        <w:pStyle w:val="BodyText"/>
        <w:spacing w:line="240" w:lineRule="auto" w:before="7"/>
        <w:ind w:right="0"/>
        <w:jc w:val="left"/>
      </w:pPr>
      <w:r>
        <w:rPr/>
        <w:t>（</w:t>
      </w:r>
      <w:r>
        <w:rPr>
          <w:rFonts w:ascii="Times New Roman" w:hAnsi="Times New Roman" w:cs="Times New Roman" w:eastAsia="Times New Roman" w:hint="default"/>
        </w:rPr>
        <w:t>1</w:t>
      </w:r>
      <w:r>
        <w:rPr/>
        <w:t>）我们了解、评估了管理层对汇金科技与收入确认相关的相关关键内部控制的设计，并测试了关键控制执行的有效性；</w:t>
      </w:r>
    </w:p>
    <w:p>
      <w:pPr>
        <w:pStyle w:val="BodyText"/>
        <w:spacing w:line="300" w:lineRule="auto" w:before="63"/>
        <w:ind w:left="1134" w:right="1122"/>
        <w:jc w:val="left"/>
      </w:pPr>
      <w:r>
        <w:rPr/>
        <w:t>（</w:t>
      </w:r>
      <w:r>
        <w:rPr>
          <w:rFonts w:ascii="Times New Roman" w:hAnsi="Times New Roman" w:cs="Times New Roman" w:eastAsia="Times New Roman" w:hint="default"/>
        </w:rPr>
        <w:t>2</w:t>
      </w:r>
      <w:r>
        <w:rPr/>
        <w:t>）选取样本检查销售合同，识别与商品所有权上的风险和报酬转移相关的合同条款与条件，评价收入确认时点是否符合 企业会计准则的要求；</w:t>
      </w:r>
    </w:p>
    <w:p>
      <w:pPr>
        <w:pStyle w:val="BodyText"/>
        <w:spacing w:line="300" w:lineRule="auto" w:before="31"/>
        <w:ind w:left="1134" w:right="1122"/>
        <w:jc w:val="left"/>
      </w:pPr>
      <w:r>
        <w:rPr/>
        <w:t>（</w:t>
      </w:r>
      <w:r>
        <w:rPr>
          <w:rFonts w:ascii="Times New Roman" w:hAnsi="Times New Roman" w:cs="Times New Roman" w:eastAsia="Times New Roman" w:hint="default"/>
        </w:rPr>
        <w:t>3</w:t>
      </w:r>
      <w:r>
        <w:rPr/>
        <w:t>）我们抽样检查了与收入确认相关的支持性文件，包括销售订单、发货单、安装验收单等，评价收入确认是否符合公司 收入确认的会计政策；</w:t>
      </w:r>
    </w:p>
    <w:p>
      <w:pPr>
        <w:pStyle w:val="BodyText"/>
        <w:spacing w:line="240" w:lineRule="auto" w:before="31"/>
        <w:ind w:left="1134" w:right="0"/>
        <w:jc w:val="left"/>
      </w:pPr>
      <w:r>
        <w:rPr/>
        <w:t>（</w:t>
      </w:r>
      <w:r>
        <w:rPr>
          <w:rFonts w:ascii="Times New Roman" w:hAnsi="Times New Roman" w:cs="Times New Roman" w:eastAsia="Times New Roman" w:hint="default"/>
        </w:rPr>
        <w:t>4</w:t>
      </w:r>
      <w:r>
        <w:rPr/>
        <w:t>）我们抽样对汇金科技的客户进行了函证，包括对客户期末应收账款的余额以及本期确认的收入金额进行函证；</w:t>
      </w:r>
    </w:p>
    <w:p>
      <w:pPr>
        <w:pStyle w:val="BodyText"/>
        <w:spacing w:line="300" w:lineRule="auto" w:before="63"/>
        <w:ind w:left="1134" w:right="1122"/>
        <w:jc w:val="left"/>
      </w:pPr>
      <w:r>
        <w:rPr/>
        <w:t>（</w:t>
      </w:r>
      <w:r>
        <w:rPr>
          <w:rFonts w:ascii="Times New Roman" w:hAnsi="Times New Roman" w:cs="Times New Roman" w:eastAsia="Times New Roman" w:hint="default"/>
        </w:rPr>
        <w:t>5</w:t>
      </w:r>
      <w:r>
        <w:rPr/>
        <w:t>）我们对汇金科技资产负债表日前后确认的收入记录、选取样本核对、发货单、验收单等支持性文件，以评估收入是否 在恰当的会计期间确认。</w:t>
      </w:r>
    </w:p>
    <w:p>
      <w:pPr>
        <w:pStyle w:val="BodyText"/>
        <w:spacing w:line="240" w:lineRule="auto" w:before="31"/>
        <w:ind w:left="1134" w:right="0"/>
        <w:jc w:val="left"/>
      </w:pPr>
      <w:r>
        <w:rPr/>
        <w:t>（二）应收账款可回收性</w:t>
      </w:r>
    </w:p>
    <w:p>
      <w:pPr>
        <w:pStyle w:val="BodyText"/>
        <w:spacing w:line="240" w:lineRule="auto" w:before="76"/>
        <w:ind w:left="1134" w:right="0"/>
        <w:jc w:val="left"/>
      </w:pPr>
      <w:r>
        <w:rPr>
          <w:rFonts w:ascii="Times New Roman" w:hAnsi="Times New Roman" w:cs="Times New Roman" w:eastAsia="Times New Roman" w:hint="default"/>
        </w:rPr>
        <w:t>1</w:t>
      </w:r>
      <w:r>
        <w:rPr/>
        <w:t>、事项描述</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131" w:firstLine="290"/>
        <w:jc w:val="both"/>
      </w:pPr>
      <w:r>
        <w:rPr>
          <w:spacing w:val="-1"/>
        </w:rPr>
        <w:t>如财务报表附注六、</w:t>
      </w:r>
      <w:r>
        <w:rPr>
          <w:rFonts w:ascii="Times New Roman" w:hAnsi="Times New Roman" w:cs="Times New Roman" w:eastAsia="Times New Roman" w:hint="default"/>
          <w:spacing w:val="-1"/>
        </w:rPr>
        <w:t>2</w:t>
      </w:r>
      <w:r>
        <w:rPr>
          <w:spacing w:val="-1"/>
        </w:rPr>
        <w:t>所述，截至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日，汇金科技应收账款账面余额</w:t>
      </w:r>
      <w:r>
        <w:rPr>
          <w:rFonts w:ascii="Times New Roman" w:hAnsi="Times New Roman" w:cs="Times New Roman" w:eastAsia="Times New Roman" w:hint="default"/>
          <w:spacing w:val="-1"/>
        </w:rPr>
        <w:t>11,675.26</w:t>
      </w:r>
      <w:r>
        <w:rPr>
          <w:spacing w:val="-1"/>
        </w:rPr>
        <w:t>万元，坏账准备金额</w:t>
      </w:r>
      <w:r>
        <w:rPr>
          <w:rFonts w:ascii="Times New Roman" w:hAnsi="Times New Roman" w:cs="Times New Roman" w:eastAsia="Times New Roman" w:hint="default"/>
          <w:spacing w:val="-1"/>
        </w:rPr>
        <w:t>1,104.09</w:t>
      </w:r>
      <w:r>
        <w:rPr>
          <w:spacing w:val="-1"/>
        </w:rPr>
        <w:t>万</w:t>
      </w:r>
      <w:r>
        <w:rPr/>
        <w:t> </w:t>
      </w:r>
      <w:r>
        <w:rPr>
          <w:spacing w:val="-2"/>
        </w:rPr>
        <w:t>元，账面价值较高。由于汇金科技管理层在确定应收账款预计可收回金额时基于应收款的账龄、是否存在回款纠纷、以往付</w:t>
      </w:r>
      <w:r>
        <w:rPr>
          <w:spacing w:val="-66"/>
        </w:rPr>
        <w:t> </w:t>
      </w:r>
      <w:r>
        <w:rPr>
          <w:spacing w:val="-66"/>
        </w:rPr>
      </w:r>
      <w:r>
        <w:rPr>
          <w:spacing w:val="-2"/>
        </w:rPr>
        <w:t>款历史或者其他影响对方信用的信息，需要运用重要会计估计和判断，且影响金额重大，为此我们确定应收账款的可回收性</w:t>
      </w:r>
      <w:r>
        <w:rPr>
          <w:spacing w:val="-66"/>
        </w:rPr>
        <w:t> </w:t>
      </w:r>
      <w:r>
        <w:rPr>
          <w:spacing w:val="-66"/>
        </w:rPr>
      </w:r>
      <w:r>
        <w:rPr/>
        <w:t>为关键审计事项。</w:t>
      </w:r>
    </w:p>
    <w:p>
      <w:pPr>
        <w:pStyle w:val="BodyText"/>
        <w:spacing w:line="240" w:lineRule="auto" w:before="23"/>
        <w:ind w:right="0"/>
        <w:jc w:val="both"/>
      </w:pPr>
      <w:r>
        <w:rPr>
          <w:rFonts w:ascii="Times New Roman" w:hAnsi="Times New Roman" w:cs="Times New Roman" w:eastAsia="Times New Roman" w:hint="default"/>
        </w:rPr>
        <w:t>2</w:t>
      </w:r>
      <w:r>
        <w:rPr/>
        <w:t>、审计应对</w:t>
      </w:r>
    </w:p>
    <w:p>
      <w:pPr>
        <w:pStyle w:val="BodyText"/>
        <w:spacing w:line="240" w:lineRule="auto" w:before="63"/>
        <w:ind w:right="0"/>
        <w:jc w:val="both"/>
      </w:pPr>
      <w:r>
        <w:rPr/>
        <w:t>（</w:t>
      </w:r>
      <w:r>
        <w:rPr>
          <w:rFonts w:ascii="Times New Roman" w:hAnsi="Times New Roman" w:cs="Times New Roman" w:eastAsia="Times New Roman" w:hint="default"/>
        </w:rPr>
        <w:t>1</w:t>
      </w:r>
      <w:r>
        <w:rPr/>
        <w:t>）测试管理</w:t>
      </w:r>
      <w:r>
        <w:rPr>
          <w:rFonts w:ascii="Times New Roman" w:hAnsi="Times New Roman" w:cs="Times New Roman" w:eastAsia="Times New Roman" w:hint="default"/>
        </w:rPr>
        <w:t>.</w:t>
      </w:r>
      <w:r>
        <w:rPr/>
        <w:t>层对于应收账款日常管理及期末可回收性评估相关的内部控制；</w:t>
      </w:r>
    </w:p>
    <w:p>
      <w:pPr>
        <w:pStyle w:val="BodyText"/>
        <w:spacing w:line="240" w:lineRule="auto" w:before="63"/>
        <w:ind w:left="1134" w:right="0"/>
        <w:jc w:val="both"/>
      </w:pPr>
      <w:r>
        <w:rPr/>
        <w:t>（</w:t>
      </w:r>
      <w:r>
        <w:rPr>
          <w:rFonts w:ascii="Times New Roman" w:hAnsi="Times New Roman" w:cs="Times New Roman" w:eastAsia="Times New Roman" w:hint="default"/>
        </w:rPr>
        <w:t>2</w:t>
      </w:r>
      <w:r>
        <w:rPr/>
        <w:t>）复核管理层对应收账款进行减值测试的相关考虑及客观证据，关注管理层是否充分识别已发生减值的项目；</w:t>
      </w:r>
    </w:p>
    <w:p>
      <w:pPr>
        <w:pStyle w:val="BodyText"/>
        <w:spacing w:line="240" w:lineRule="auto" w:before="63"/>
        <w:ind w:right="0"/>
        <w:jc w:val="both"/>
      </w:pPr>
      <w:r>
        <w:rPr/>
        <w:t>（</w:t>
      </w:r>
      <w:r>
        <w:rPr>
          <w:rFonts w:ascii="Times New Roman" w:hAnsi="Times New Roman" w:cs="Times New Roman" w:eastAsia="Times New Roman" w:hint="default"/>
        </w:rPr>
        <w:t>3</w:t>
      </w:r>
      <w:r>
        <w:rPr/>
        <w:t>）对于单独计提坏账准备的应收账款选取样本，复核管理层对预计未来可获得的现金流量做出估计的依据及合理性；</w:t>
      </w:r>
    </w:p>
    <w:p>
      <w:pPr>
        <w:pStyle w:val="BodyText"/>
        <w:spacing w:line="300" w:lineRule="auto" w:before="63"/>
        <w:ind w:left="1134" w:right="1122"/>
        <w:jc w:val="left"/>
      </w:pPr>
      <w:r>
        <w:rPr/>
        <w:t>（</w:t>
      </w:r>
      <w:r>
        <w:rPr>
          <w:rFonts w:ascii="Times New Roman" w:hAnsi="Times New Roman" w:cs="Times New Roman" w:eastAsia="Times New Roman" w:hint="default"/>
        </w:rPr>
        <w:t>4</w:t>
      </w:r>
      <w:r>
        <w:rPr/>
        <w:t>）对于按账龄分析法计提坏账准备的应收账款，获取坏账准备计提表，检查计提方法是否按照坏账政策执行，重新计算 坏账计提金额是否准确。</w:t>
      </w:r>
    </w:p>
    <w:p>
      <w:pPr>
        <w:pStyle w:val="BodyText"/>
        <w:spacing w:line="300" w:lineRule="auto" w:before="31"/>
        <w:ind w:left="1134" w:right="1122"/>
        <w:jc w:val="left"/>
      </w:pPr>
      <w:r>
        <w:rPr/>
        <w:t>（</w:t>
      </w:r>
      <w:r>
        <w:rPr>
          <w:rFonts w:ascii="Times New Roman" w:hAnsi="Times New Roman" w:cs="Times New Roman" w:eastAsia="Times New Roman" w:hint="default"/>
        </w:rPr>
        <w:t>5</w:t>
      </w:r>
      <w:r>
        <w:rPr/>
        <w:t>）通过分析应收账款的账龄和客户信誉情况，结合执行应收账款函证程序及检查期后回款情况，评价应收账款坏账准备 计提的合理性。</w:t>
      </w:r>
    </w:p>
    <w:p>
      <w:pPr>
        <w:pStyle w:val="BodyText"/>
        <w:spacing w:line="316" w:lineRule="auto" w:before="31"/>
        <w:ind w:left="1424" w:right="1118" w:hanging="291"/>
        <w:jc w:val="left"/>
      </w:pPr>
      <w:r>
        <w:rPr/>
        <w:t>四、其他信息 汇金科技管理层对其他信息负责。其他信息包括年度报告中涵盖的信息，但不包括财务报表和我们的审计报告。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结合我们对财务报表的审计，我们的责任是阅读其他信息，在此过程中，考虑其他信息是否与财务报表或我们在审计过</w:t>
      </w:r>
    </w:p>
    <w:p>
      <w:pPr>
        <w:pStyle w:val="BodyText"/>
        <w:spacing w:line="316" w:lineRule="auto" w:before="19"/>
        <w:ind w:left="1424" w:right="0" w:hanging="291"/>
        <w:jc w:val="left"/>
      </w:pPr>
      <w:r>
        <w:rPr/>
        <w:t>程中了解到的情况存在重大不一致或者似乎存在重大错报。 </w:t>
      </w:r>
      <w:r>
        <w:rPr>
          <w:spacing w:val="-1"/>
        </w:rPr>
        <w:t>基于我们已执行的工作，如果我们确定其他信息存在重大错报，我们应当报告该事实。在这方面，我们无任何事项需要</w:t>
      </w:r>
    </w:p>
    <w:p>
      <w:pPr>
        <w:pStyle w:val="BodyText"/>
        <w:spacing w:line="316" w:lineRule="auto" w:before="19"/>
        <w:ind w:left="1134" w:right="7692"/>
        <w:jc w:val="left"/>
      </w:pPr>
      <w:r>
        <w:rPr/>
        <w:t>报告。 五、管理层和治理层对财务报表的责任</w:t>
      </w:r>
    </w:p>
    <w:p>
      <w:pPr>
        <w:pStyle w:val="BodyText"/>
        <w:spacing w:line="316" w:lineRule="auto" w:before="19"/>
        <w:ind w:left="1134" w:right="1132" w:firstLine="290"/>
        <w:jc w:val="both"/>
      </w:pPr>
      <w:r>
        <w:rPr>
          <w:spacing w:val="-1"/>
        </w:rPr>
        <w:t>汇金科技管理层（以下简称管理层）负责按照企业会计准则的规定编制财务报表，使其实现公允反映，并设计、执行和</w:t>
      </w:r>
      <w:r>
        <w:rPr/>
        <w:t> 维护必要的内部控制，以使财务报表不存在由于舞弊或错误导致的重大错报。</w:t>
      </w:r>
    </w:p>
    <w:p>
      <w:pPr>
        <w:pStyle w:val="BodyText"/>
        <w:spacing w:line="316" w:lineRule="auto" w:before="19"/>
        <w:ind w:right="1133" w:firstLine="290"/>
        <w:jc w:val="both"/>
      </w:pPr>
      <w:r>
        <w:rPr>
          <w:spacing w:val="-1"/>
        </w:rPr>
        <w:t>在编制财务报表时，管理层负责评估汇金科技的持续经营能力，披露与持续经营相关的事项（如适用），并运用持续经</w:t>
      </w:r>
      <w:r>
        <w:rPr/>
        <w:t> 营假设，除非管理层计划清算汇金科技、终止运营或别无其他现实的选择。</w:t>
      </w:r>
    </w:p>
    <w:p>
      <w:pPr>
        <w:pStyle w:val="BodyText"/>
        <w:spacing w:line="316" w:lineRule="auto" w:before="19"/>
        <w:ind w:left="1134" w:right="7042" w:firstLine="290"/>
        <w:jc w:val="left"/>
      </w:pPr>
      <w:r>
        <w:rPr/>
        <w:t>治理层负责监督汇金科技的财务报告过程。 六、注册会计师对财务报表审计的责任</w:t>
      </w:r>
    </w:p>
    <w:p>
      <w:pPr>
        <w:pStyle w:val="BodyText"/>
        <w:spacing w:line="316" w:lineRule="auto" w:before="19"/>
        <w:ind w:left="1134" w:right="1132" w:firstLine="290"/>
        <w:jc w:val="both"/>
      </w:pPr>
      <w:r>
        <w:rPr>
          <w:spacing w:val="-1"/>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1424" w:right="0"/>
        <w:jc w:val="left"/>
      </w:pPr>
      <w:r>
        <w:rPr/>
        <w:t>在按照审计准则执行审计工作的过程中，我们运用职业判断，并保持职业怀疑。同时，我们也执行以下工作：</w:t>
      </w:r>
    </w:p>
    <w:p>
      <w:pPr>
        <w:pStyle w:val="BodyText"/>
        <w:spacing w:line="316" w:lineRule="auto" w:before="76"/>
        <w:ind w:left="1134" w:right="1129"/>
        <w:jc w:val="both"/>
      </w:pPr>
      <w:r>
        <w:rPr>
          <w:spacing w:val="-2"/>
        </w:rPr>
        <w:t>（一）识别和评估由于舞弊或错误导致的财务报表重大错报风险，设计和实施审计程序以应对这些风险，并获取充分、适当</w:t>
      </w:r>
      <w:r>
        <w:rPr>
          <w:spacing w:val="-66"/>
        </w:rPr>
        <w:t> </w:t>
      </w:r>
      <w:r>
        <w:rPr>
          <w:spacing w:val="-66"/>
        </w:rPr>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19"/>
        <w:ind w:left="1134" w:right="0"/>
        <w:jc w:val="both"/>
      </w:pPr>
      <w:r>
        <w:rPr/>
        <w:t>（二）了解与审计相关的内部控制，以设计恰当的审计程序，但目的并非对内部控制的有效性发表意见。</w:t>
      </w:r>
    </w:p>
    <w:p>
      <w:pPr>
        <w:pStyle w:val="BodyText"/>
        <w:spacing w:line="240" w:lineRule="auto" w:before="76"/>
        <w:ind w:left="1134" w:right="0"/>
        <w:jc w:val="both"/>
      </w:pPr>
      <w:r>
        <w:rPr/>
        <w:t>（三）评价管理层选用会计政策的恰当性和作出会计估计及相关披露的合理性。</w:t>
      </w:r>
    </w:p>
    <w:p>
      <w:pPr>
        <w:pStyle w:val="BodyText"/>
        <w:spacing w:line="316" w:lineRule="auto" w:before="76"/>
        <w:ind w:left="1134" w:right="1130"/>
        <w:jc w:val="both"/>
      </w:pPr>
      <w:r>
        <w:rPr>
          <w:spacing w:val="-2"/>
        </w:rPr>
        <w:t>（四）对管理层使用持续经营假设的恰当性得出结论。同时，根据获取的审计证据，就可能导致对汇金科技持续经营能力产</w:t>
      </w:r>
      <w:r>
        <w:rPr>
          <w:spacing w:val="-66"/>
        </w:rPr>
        <w:t> </w:t>
      </w:r>
      <w:r>
        <w:rPr>
          <w:spacing w:val="-66"/>
        </w:rPr>
      </w:r>
      <w:r>
        <w:rPr>
          <w:spacing w:val="-2"/>
        </w:rPr>
        <w:t>生重大疑虑的事项或情况是否存在重大不确定性得出结论。如果我们得出结论认为存在重大不确定性，审计准则要求我们在</w:t>
      </w:r>
      <w:r>
        <w:rPr>
          <w:spacing w:val="-63"/>
        </w:rPr>
        <w:t> </w:t>
      </w:r>
      <w:r>
        <w:rPr>
          <w:spacing w:val="-63"/>
        </w:rPr>
      </w:r>
      <w:r>
        <w:rPr>
          <w:spacing w:val="-2"/>
        </w:rPr>
        <w:t>审计报告中提请报表使用者注意财务报表中的相关披露；如果披露不充分，我们应当发表非无保留意见。我们的结论基于截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至审计报告日可获得的信息。然而，未来的事项或情况可能导致汇金科技不能持续经营。</w:t>
      </w:r>
    </w:p>
    <w:p>
      <w:pPr>
        <w:pStyle w:val="BodyText"/>
        <w:spacing w:line="240" w:lineRule="auto" w:before="19"/>
        <w:ind w:left="1134" w:right="0"/>
        <w:jc w:val="both"/>
      </w:pPr>
      <w:r>
        <w:rPr/>
        <w:t>（五）评价财务报表的总体列报、结构和内容（包括披露），并评价财务报表是否公允反映相关交易和事项。</w:t>
      </w:r>
    </w:p>
    <w:p>
      <w:pPr>
        <w:pStyle w:val="BodyText"/>
        <w:spacing w:line="316" w:lineRule="auto" w:before="76"/>
        <w:ind w:left="1134" w:right="0"/>
        <w:jc w:val="left"/>
      </w:pPr>
      <w:r>
        <w:rPr>
          <w:spacing w:val="-2"/>
        </w:rPr>
        <w:t>（六）就汇金科技中实体或业务活动的财务信息获取充分、适当的审计证据，以对财务报表发表意见。我们负责指导、监督</w:t>
      </w:r>
      <w:r>
        <w:rPr>
          <w:spacing w:val="-66"/>
        </w:rPr>
        <w:t> </w:t>
      </w:r>
      <w:r>
        <w:rPr>
          <w:spacing w:val="-66"/>
        </w:rPr>
      </w:r>
      <w:r>
        <w:rPr/>
        <w:t>和执行集团审计。我们对审计意见承担全部责任。</w:t>
      </w:r>
    </w:p>
    <w:p>
      <w:pPr>
        <w:pStyle w:val="BodyText"/>
        <w:spacing w:line="240" w:lineRule="auto" w:before="19"/>
        <w:ind w:left="1424" w:right="0"/>
        <w:jc w:val="left"/>
      </w:pPr>
      <w:r>
        <w:rPr/>
        <w:t>我们与治理层就计划的审计范围、时间安排和重大审计发现等事项进行沟通，包括沟通我们在审计中识别出的值得关注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24" w:right="1118" w:hanging="291"/>
        <w:jc w:val="left"/>
      </w:pPr>
      <w:r>
        <w:rPr/>
        <w:t>的内部控制缺陷。 </w:t>
      </w:r>
      <w:r>
        <w:rPr>
          <w:spacing w:val="-1"/>
        </w:rPr>
        <w:t>我们还就已遵守与独立性相关的职业道德要求向治理层提供声明，并与治理层沟通可能被合理认为影响我们独立性的所</w:t>
      </w:r>
    </w:p>
    <w:p>
      <w:pPr>
        <w:pStyle w:val="BodyText"/>
        <w:spacing w:line="316" w:lineRule="auto" w:before="19"/>
        <w:ind w:left="1424" w:right="0" w:hanging="291"/>
        <w:jc w:val="left"/>
      </w:pPr>
      <w:r>
        <w:rPr/>
        <w:t>有关系和其他事项，以及相关的防范措施（如适用）。 </w:t>
      </w:r>
      <w:r>
        <w:rPr>
          <w:spacing w:val="-1"/>
        </w:rPr>
        <w:t>从与治理层沟通过的事项中，我们确定哪些事项对本期财务报表审计最为重要，因而构成关键审计事项。我们在审计报</w:t>
      </w:r>
    </w:p>
    <w:p>
      <w:pPr>
        <w:pStyle w:val="BodyText"/>
        <w:spacing w:line="316" w:lineRule="auto" w:before="19"/>
        <w:ind w:right="0"/>
        <w:jc w:val="left"/>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编制单位：珠海汇金科技股份有限公司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97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514,554,542.06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138,688,374.25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10,280,540.00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105,711,641.83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44,808,957.69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1,895,254.64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1,907,307.39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949,715.07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706,917.81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2,424,566.76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1,305,054.23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54,283,743.53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54,306,320.13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49,026,496.15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405,231,960.87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728,845,960.04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657,235,432.37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14,565,887.73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16,410,128.45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7,303,351.21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5,282,345.07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11,849,897.45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10,663,057.41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720,178.79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1,345,937.22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3,400,315.09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2,093,659.25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931,000.43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824,786.32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38,770,630.70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36,619,913.72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767,616,590.74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693,855,346.09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18,831,256.07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12,128,641.82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36,187,046.22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15,844,519.34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14,914,314.89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12,376,414.32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3,996,919.74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28,934,248.77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244,935.32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78,903,903.32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67,471,857.99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7,316,045.51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5,869,564.50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7,316,045.51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5,869,564.50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86,219,948.83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73,341,422.49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360,283,126.28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359,721,226.28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36,394,354.45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28,417,518.75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227,963,075.14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176,375,178.57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681,438,555.87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620,513,923.60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-41,913.96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681,396,641.91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620,513,923.60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767,616,590.74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693,855,346.09</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法定代表人：陈喆</w:t>
        <w:tab/>
        <w:t>主管会计工作负责人：马晓丽</w:t>
        <w:tab/>
        <w:t>会计机构负责人：马晓丽</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512,933,474.05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138,688,374.25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10,280,540.00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105,711,641.83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44,808,957.69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1,895,254.64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1,907,307.39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949,715.07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706,917.81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2,413,801.89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1,305,054.23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54,283,743.53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54,306,320.13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405,231,960.87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727,187,631.01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657,235,432.37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14,406,281.68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16,410,128.45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7,303,351.21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5,282,345.07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11,849,897.45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10,663,057.41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581,528.79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1,345,937.22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3,371,938.86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2,093,659.25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931,000.43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824,786.32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40,443,998.42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36,619,913.72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767,631,629.43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693,855,346.09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18,760,756.07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12,128,641.82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36,187,046.22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15,844,519.34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14,914,314.89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12,376,414.32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3,996,919.74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28,934,248.77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244,935.32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78,833,403.32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67,471,857.99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7,316,045.51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5,869,564.50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7,316,045.51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5,869,564.50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86,149,448.83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73,341,422.49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360,283,126.28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359,721,226.28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36,394,354.45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28,417,518.75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228,006,699.87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176,375,178.57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681,482,180.60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620,513,923.60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767,631,629.43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693,855,346.09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218,054,407.37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218,054,407.37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01.219971pt;width:157.7pt;height:19.650pt;mso-position-horizontal-relative:page;mso-position-vertical-relative:page;z-index:-1185520"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r>
        <w:rPr/>
        <w:pict>
          <v:group style="position:absolute;margin-left:212.119995pt;margin-top:637.419983pt;width:157.7pt;height:19.650pt;mso-position-horizontal-relative:page;mso-position-vertical-relative:page;z-index:-1185496" coordorigin="4242,12748" coordsize="3154,393">
            <v:shape style="position:absolute;left:4242;top:12748;width:3154;height:393" coordorigin="4242,12748" coordsize="3154,393" path="m4242,13141l7396,13141,7396,12748,4242,12748,4242,1314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187,586,536.97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152,956,961.86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74,502,957.48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58,607,292.52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2,225,016.24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3,127,439.96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55,737,886.76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47,621,708.76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49,210,528.50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39,771,605.89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-526,638.97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-381,937.27</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6,436,786.96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4,210,852.00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14,541,383.46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3,195,224.41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16,172,292.67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85,122,465.17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68,292,669.92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2,100,027.00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23,089,621.35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7,049.81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9,478.66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87,215,442.36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91,372,812.61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7,532,624.05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12,511,320.95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79,682,818.31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79,682,818.31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79,724,732.27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-41,913.96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79,682,818.31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79,724,732.27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-41,913.96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r>
    </w:tbl>
    <w:p>
      <w:pPr>
        <w:pStyle w:val="BodyText"/>
        <w:tabs>
          <w:tab w:pos="446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法定代表人：陈喆</w:t>
        <w:tab/>
        <w:t>主管会计工作负责人：马晓丽</w:t>
        <w:tab/>
        <w:t>会计机构负责人：马晓丽</w:t>
      </w:r>
    </w:p>
    <w:p>
      <w:pPr>
        <w:spacing w:after="0" w:line="624" w:lineRule="auto"/>
        <w:jc w:val="left"/>
        <w:sectPr>
          <w:footerReference w:type="default" r:id="rId19"/>
          <w:pgSz w:w="11910" w:h="16840"/>
          <w:pgMar w:footer="979" w:header="747" w:top="1060" w:bottom="1160" w:left="0" w:right="0"/>
          <w:pgNumType w:start="101"/>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218,054,407.37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74,502,957.48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58,607,292.52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2,225,016.24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3,127,439.96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55,737,886.76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47,621,708.76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49,097,243.90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39,771,605.89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-526,702.72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-381,937.27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6,436,220.39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4,210,852.00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14,541,383.46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3,195,224.41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16,172,292.67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85,236,380.09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68,292,669.92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23,089,621.35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7,049.81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9,478.66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87,329,357.28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91,372,812.61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7,561,000.28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12,511,320.95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79,768,357.00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79,768,357.00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79,768,357.00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194,206,788.80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220,463,179.50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17,523,528.77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22,085,744.87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6,714,937.87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1,532,572.23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218,445,255.44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244,081,496.60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75,919,885.40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59,186,677.89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59,965,752.33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52,014,614.98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28,906,817.22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35,425,555.54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44,626,119.92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34,008,674.05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209,418,574.87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180,635,522.46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9,026,680.57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63,445,974.14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14,298,586.20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2,488,306.60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32,478.63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1,491,331,064.83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456,288,306.60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5,693,577.59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9,120,848.34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1,132,693,577.59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861,920,848.34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358,637,487.24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-405,632,541.74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334,740,329.70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334,740,329.70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304,740,329.70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375,866,167.81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-37,446,237.90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138,588,374.25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176,034,612.15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514,454,542.06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194,206,788.80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220,463,179.50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17,523,528.77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22,085,744.87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6,714,696.62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1,532,572.23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218,445,014.19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244,081,496.60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75,919,885.40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59,186,677.89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59,965,752.33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52,014,614.98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28,906,817.22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35,425,555.54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44,501,965.75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34,008,674.05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209,294,420.70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180,635,522.46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9,150,593.49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63,445,974.14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14,298,586.20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2,488,306.60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32,478.63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1,491,331,064.83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456,288,306.60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5,438,558.52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9,120,848.34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1,134,438,558.52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861,920,848.34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356,892,506.31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-405,632,541.74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334,740,329.70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334,740,329.70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304,740,329.70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374,245,099.80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-37,446,237.90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138,588,374.25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176,034,612.15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512,833,474.05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359,721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,226.28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28,417,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518.75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,178.57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620,513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,923.60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359,721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,226.28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28,417,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518.75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,178.57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620,513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,923.60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561,900</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51,587,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896.57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60,882,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718.31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79,724,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732.27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79,682,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818.31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1,160,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28,561,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1,160,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27,202,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35.70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-28,136,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835.70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35.70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360,283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354.45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227,963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,075.14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681,396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,641.91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38,980,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896.58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369.58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135,399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,836.08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236,912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,102.24</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38,980,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896.58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135,399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,836.08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236,912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,102.24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320,740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,329.70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49.17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40,975,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342.49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383,601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,821.36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491.66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491.66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320,740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,329.70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334,740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,329.70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320,740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,329.70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334,740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,329.70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49.17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-37,886,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149.17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49.17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49.17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359,721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,226.28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28,417,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518.75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,178.57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620,513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,923.60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359,721,2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26.28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28,417,51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,178.57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620,513,9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23.60</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359,721,2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26.28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28,417,51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,178.57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620,513,9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23.60</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29,160,0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51,631,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521.30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60,968,25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357.00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28,561,90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1,359,900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27,202,00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1,359,900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-28,136,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835.70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-20,160,0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35.70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-20,160,0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85,160,0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360,283,1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36,394,35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228,006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681,482,1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80.60</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38,980,89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20,531,36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135,399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,836.08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236,912,1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02.24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38,980,89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20,531,36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135,399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,836.08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236,912,1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02.24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320,740,3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7,886,149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40,975,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342.49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383,601,8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21.36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491.66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78,861,49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320,740,3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334,740,3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320,740,3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334,740,3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7,886,149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-37,886,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149.17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7,886,149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-7,886,1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49.17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359,721,2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28,417,51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620,513,9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23.60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both"/>
        <w:rPr>
          <w:b w:val="0"/>
          <w:bCs w:val="0"/>
        </w:rPr>
      </w:pPr>
      <w:bookmarkStart w:name="三、公司基本情况" w:id="162"/>
      <w:bookmarkEnd w:id="162"/>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20"/>
        <w:jc w:val="both"/>
      </w:pPr>
      <w:r>
        <w:rPr/>
        <w:t>珠海汇金科技股份有限公司（以下简称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）前身为珠海汇金科技有限公司，系由陈喆、马铮以货币投 资设立，于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日，由广东省珠海市工商行政管理局核发企业法人营业执照，注册号为</w:t>
      </w:r>
      <w:r>
        <w:rPr>
          <w:rFonts w:ascii="Times New Roman" w:hAnsi="Times New Roman" w:cs="Times New Roman" w:eastAsia="Times New Roman" w:hint="default"/>
        </w:rPr>
        <w:t>40400000211322</w:t>
      </w:r>
      <w:r>
        <w:rPr/>
        <w:t>。成立时注</w:t>
      </w:r>
      <w:r>
        <w:rPr>
          <w:spacing w:val="-83"/>
        </w:rPr>
        <w:t> </w:t>
      </w:r>
      <w:r>
        <w:rPr/>
        <w:t>册资本为人民币</w:t>
      </w:r>
      <w:r>
        <w:rPr>
          <w:rFonts w:ascii="Times New Roman" w:hAnsi="Times New Roman" w:cs="Times New Roman" w:eastAsia="Times New Roman" w:hint="default"/>
        </w:rPr>
        <w:t>300</w:t>
      </w:r>
      <w:r>
        <w:rPr/>
        <w:t>万元，其中陈喆出资</w:t>
      </w:r>
      <w:r>
        <w:rPr>
          <w:rFonts w:ascii="Times New Roman" w:hAnsi="Times New Roman" w:cs="Times New Roman" w:eastAsia="Times New Roman" w:hint="default"/>
        </w:rPr>
        <w:t>180</w:t>
      </w:r>
      <w:r>
        <w:rPr/>
        <w:t>万元，占</w:t>
      </w:r>
      <w:r>
        <w:rPr>
          <w:rFonts w:ascii="Times New Roman" w:hAnsi="Times New Roman" w:cs="Times New Roman" w:eastAsia="Times New Roman" w:hint="default"/>
        </w:rPr>
        <w:t>60%</w:t>
      </w:r>
      <w:r>
        <w:rPr/>
        <w:t>，马铮出资</w:t>
      </w:r>
      <w:r>
        <w:rPr>
          <w:rFonts w:ascii="Times New Roman" w:hAnsi="Times New Roman" w:cs="Times New Roman" w:eastAsia="Times New Roman" w:hint="default"/>
        </w:rPr>
        <w:t>120</w:t>
      </w:r>
      <w:r>
        <w:rPr/>
        <w:t>万元，占</w:t>
      </w:r>
      <w:r>
        <w:rPr>
          <w:rFonts w:ascii="Times New Roman" w:hAnsi="Times New Roman" w:cs="Times New Roman" w:eastAsia="Times New Roman" w:hint="default"/>
        </w:rPr>
        <w:t>40%</w:t>
      </w:r>
      <w:r>
        <w:rPr/>
        <w:t>；此次出资由珠海公信有限责任会计</w:t>
      </w:r>
      <w:r>
        <w:rPr>
          <w:spacing w:val="-32"/>
        </w:rPr>
        <w:t> </w:t>
      </w:r>
      <w:r>
        <w:rPr>
          <w:spacing w:val="-32"/>
        </w:rPr>
      </w:r>
      <w:r>
        <w:rPr/>
        <w:t>师事务所以珠海公信验字</w:t>
      </w:r>
      <w:r>
        <w:rPr>
          <w:rFonts w:ascii="Times New Roman" w:hAnsi="Times New Roman" w:cs="Times New Roman" w:eastAsia="Times New Roman" w:hint="default"/>
        </w:rPr>
        <w:t>[2005]</w:t>
      </w:r>
      <w:r>
        <w:rPr/>
        <w:t>第</w:t>
      </w:r>
      <w:r>
        <w:rPr>
          <w:rFonts w:ascii="Times New Roman" w:hAnsi="Times New Roman" w:cs="Times New Roman" w:eastAsia="Times New Roman" w:hint="default"/>
        </w:rPr>
        <w:t>074</w:t>
      </w:r>
      <w:r>
        <w:rPr/>
        <w:t>号验资报告验证确认。</w:t>
      </w:r>
    </w:p>
    <w:p>
      <w:pPr>
        <w:pStyle w:val="BodyText"/>
        <w:spacing w:line="240" w:lineRule="auto" w:before="13"/>
        <w:ind w:left="1554" w:right="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日本公司股东会作出决议，同意原股东马铮将其持有的股权转让给新股东陈宸。</w:t>
      </w:r>
    </w:p>
    <w:p>
      <w:pPr>
        <w:pStyle w:val="BodyText"/>
        <w:spacing w:line="300" w:lineRule="auto" w:before="63"/>
        <w:ind w:right="1132"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日本公司股东会作出决议，同意将注册资本由</w:t>
      </w:r>
      <w:r>
        <w:rPr>
          <w:rFonts w:ascii="Times New Roman" w:hAnsi="Times New Roman" w:cs="Times New Roman" w:eastAsia="Times New Roman" w:hint="default"/>
        </w:rPr>
        <w:t>300</w:t>
      </w:r>
      <w:r>
        <w:rPr/>
        <w:t>万元增至</w:t>
      </w:r>
      <w:r>
        <w:rPr>
          <w:rFonts w:ascii="Times New Roman" w:hAnsi="Times New Roman" w:cs="Times New Roman" w:eastAsia="Times New Roman" w:hint="default"/>
        </w:rPr>
        <w:t>1,000</w:t>
      </w:r>
      <w:r>
        <w:rPr/>
        <w:t>万元，各股东按同比例以货币增资。本次 增资由珠海国睿衡赋会计师事务所有限公司以珠海国赋内验字（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Z068</w:t>
      </w:r>
      <w:r>
        <w:rPr/>
        <w:t>号验资报告验证确认。</w:t>
      </w:r>
    </w:p>
    <w:p>
      <w:pPr>
        <w:pStyle w:val="BodyText"/>
        <w:spacing w:line="300" w:lineRule="auto" w:before="13"/>
        <w:ind w:right="1134"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日本公司股东会作出决议，同意股东陈宸将其持有的本公司</w:t>
      </w:r>
      <w:r>
        <w:rPr>
          <w:rFonts w:ascii="Times New Roman" w:hAnsi="Times New Roman" w:cs="Times New Roman" w:eastAsia="Times New Roman" w:hint="default"/>
        </w:rPr>
        <w:t>37%</w:t>
      </w:r>
      <w:r>
        <w:rPr/>
        <w:t>股权转让给马铮；股东陈宸将其持有的 本公司</w:t>
      </w:r>
      <w:r>
        <w:rPr>
          <w:rFonts w:ascii="Times New Roman" w:hAnsi="Times New Roman" w:cs="Times New Roman" w:eastAsia="Times New Roman" w:hint="default"/>
        </w:rPr>
        <w:t>3%</w:t>
      </w:r>
      <w:r>
        <w:rPr/>
        <w:t>股权转让给梁铁民。</w:t>
      </w:r>
    </w:p>
    <w:p>
      <w:pPr>
        <w:pStyle w:val="BodyText"/>
        <w:spacing w:line="300" w:lineRule="auto" w:before="13"/>
        <w:ind w:right="1133"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日本公司股东会作出决议，同意股东陈喆将其持有的本公司</w:t>
      </w:r>
      <w:r>
        <w:rPr>
          <w:rFonts w:ascii="Times New Roman" w:hAnsi="Times New Roman" w:cs="Times New Roman" w:eastAsia="Times New Roman" w:hint="default"/>
        </w:rPr>
        <w:t>5%</w:t>
      </w:r>
      <w:r>
        <w:rPr/>
        <w:t>股权转让给珠海瑞信投资管理有限公司； 股东马铮将其持有的本公司</w:t>
      </w:r>
      <w:r>
        <w:rPr>
          <w:rFonts w:ascii="Times New Roman" w:hAnsi="Times New Roman" w:cs="Times New Roman" w:eastAsia="Times New Roman" w:hint="default"/>
        </w:rPr>
        <w:t>2.3%</w:t>
      </w:r>
      <w:r>
        <w:rPr/>
        <w:t>股权分别转让给宋昌林、王毅、宋京生、李志良和李智勇。</w:t>
      </w:r>
    </w:p>
    <w:p>
      <w:pPr>
        <w:pStyle w:val="BodyText"/>
        <w:spacing w:line="240" w:lineRule="auto" w:before="13"/>
        <w:ind w:left="1554"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日本公司股东会作出决议，同意由有限责任公司整体改制变更为股份有限公司，注册资本变更为人民币</w:t>
      </w:r>
    </w:p>
    <w:p>
      <w:pPr>
        <w:pStyle w:val="BodyText"/>
        <w:spacing w:line="300" w:lineRule="auto" w:before="63"/>
        <w:ind w:right="1131"/>
        <w:jc w:val="both"/>
      </w:pPr>
      <w:r>
        <w:rPr>
          <w:rFonts w:ascii="Times New Roman" w:hAnsi="Times New Roman" w:cs="Times New Roman" w:eastAsia="Times New Roman" w:hint="default"/>
          <w:spacing w:val="-2"/>
        </w:rPr>
        <w:t>3,900.00</w:t>
      </w:r>
      <w:r>
        <w:rPr>
          <w:spacing w:val="-2"/>
        </w:rPr>
        <w:t>万元，由各发起人以其拥有的珠海汇金科技有限公司截至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日止的净资产折股投入，净资产折合股本后的</w:t>
      </w:r>
      <w:r>
        <w:rPr>
          <w:spacing w:val="-49"/>
        </w:rPr>
        <w:t> </w:t>
      </w:r>
      <w:r>
        <w:rPr>
          <w:spacing w:val="-49"/>
        </w:rPr>
      </w:r>
      <w:r>
        <w:rPr>
          <w:spacing w:val="-3"/>
        </w:rPr>
        <w:t>余额转为资本公积。本公司整体变更的注册资本实收情况业经天衡会计师事务所有限公司验证并出具天衡验字（</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00035</w:t>
      </w:r>
      <w:r>
        <w:rPr>
          <w:rFonts w:ascii="Times New Roman" w:hAnsi="Times New Roman" w:cs="Times New Roman" w:eastAsia="Times New Roman" w:hint="default"/>
          <w:spacing w:val="-41"/>
        </w:rPr>
        <w:t> </w:t>
      </w:r>
      <w:r>
        <w:rPr/>
        <w:t>号验资报告。</w:t>
      </w:r>
    </w:p>
    <w:p>
      <w:pPr>
        <w:pStyle w:val="BodyText"/>
        <w:spacing w:line="300" w:lineRule="auto" w:before="31"/>
        <w:ind w:right="1130"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日本公司股东会作出决议，同意苏州衡赢真盛创业投资中心（有限合伙）投入资金</w:t>
      </w:r>
      <w:r>
        <w:rPr>
          <w:rFonts w:ascii="Times New Roman" w:hAnsi="Times New Roman" w:cs="Times New Roman" w:eastAsia="Times New Roman" w:hint="default"/>
        </w:rPr>
        <w:t>3,000</w:t>
      </w:r>
      <w:r>
        <w:rPr/>
        <w:t>万元，其中</w:t>
      </w:r>
      <w:r>
        <w:rPr>
          <w:rFonts w:ascii="Times New Roman" w:hAnsi="Times New Roman" w:cs="Times New Roman" w:eastAsia="Times New Roman" w:hint="default"/>
        </w:rPr>
        <w:t>300 </w:t>
      </w:r>
      <w:r>
        <w:rPr/>
        <w:t>万元作为注册资本，</w:t>
      </w:r>
      <w:r>
        <w:rPr>
          <w:rFonts w:ascii="Times New Roman" w:hAnsi="Times New Roman" w:cs="Times New Roman" w:eastAsia="Times New Roman" w:hint="default"/>
        </w:rPr>
        <w:t>2,700</w:t>
      </w:r>
      <w:r>
        <w:rPr/>
        <w:t>万元作为资本公积。变更后注册资本为</w:t>
      </w:r>
      <w:r>
        <w:rPr>
          <w:rFonts w:ascii="Times New Roman" w:hAnsi="Times New Roman" w:cs="Times New Roman" w:eastAsia="Times New Roman" w:hint="default"/>
        </w:rPr>
        <w:t>4,200</w:t>
      </w:r>
      <w:r>
        <w:rPr/>
        <w:t>万元。本次验资业经瑞华会计师事务所（特殊普通合</w:t>
      </w:r>
      <w:r>
        <w:rPr>
          <w:spacing w:val="-85"/>
        </w:rPr>
        <w:t> </w:t>
      </w:r>
      <w:r>
        <w:rPr>
          <w:spacing w:val="-85"/>
        </w:rPr>
      </w:r>
      <w:r>
        <w:rPr/>
        <w:t>伙）珠海分所验证确认，并出具瑞华珠验字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846C0004</w:t>
      </w:r>
      <w:r>
        <w:rPr/>
        <w:t>号验资报告。</w:t>
      </w:r>
    </w:p>
    <w:p>
      <w:pPr>
        <w:pStyle w:val="BodyText"/>
        <w:spacing w:line="300" w:lineRule="auto" w:before="13"/>
        <w:ind w:right="1130" w:firstLine="420"/>
        <w:jc w:val="both"/>
      </w:pPr>
      <w:r>
        <w:rPr/>
        <w:t>根据本公司</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1</w:t>
      </w:r>
      <w:r>
        <w:rPr/>
        <w:t>次临时股东大会决议及中国证券监督管理委员会证监许可</w:t>
      </w:r>
      <w:r>
        <w:rPr>
          <w:rFonts w:ascii="Times New Roman" w:hAnsi="Times New Roman" w:cs="Times New Roman" w:eastAsia="Times New Roman" w:hint="default"/>
        </w:rPr>
        <w:t>[2016]2434</w:t>
      </w:r>
      <w:r>
        <w:rPr/>
        <w:t>号文《关于核准珠海汇金科 </w:t>
      </w:r>
      <w:r>
        <w:rPr>
          <w:spacing w:val="-1"/>
        </w:rPr>
        <w:t>技股份有限公司首次公开发行股票的批复》，本公司向社会公开发行新股</w:t>
      </w:r>
      <w:r>
        <w:rPr>
          <w:rFonts w:ascii="Times New Roman" w:hAnsi="Times New Roman" w:cs="Times New Roman" w:eastAsia="Times New Roman" w:hint="default"/>
          <w:spacing w:val="-1"/>
        </w:rPr>
        <w:t>1,400</w:t>
      </w:r>
      <w:r>
        <w:rPr>
          <w:spacing w:val="-1"/>
        </w:rPr>
        <w:t>万股，每股面值人民币</w:t>
      </w:r>
      <w:r>
        <w:rPr>
          <w:rFonts w:ascii="Times New Roman" w:hAnsi="Times New Roman" w:cs="Times New Roman" w:eastAsia="Times New Roman" w:hint="default"/>
          <w:spacing w:val="-1"/>
        </w:rPr>
        <w:t>1</w:t>
      </w:r>
      <w:r>
        <w:rPr>
          <w:spacing w:val="-1"/>
        </w:rPr>
        <w:t>元，每股发行价格为</w:t>
      </w:r>
      <w:r>
        <w:rPr>
          <w:spacing w:val="-74"/>
        </w:rPr>
        <w:t> </w:t>
      </w:r>
      <w:r>
        <w:rPr>
          <w:spacing w:val="-74"/>
        </w:rPr>
      </w:r>
      <w:r>
        <w:rPr>
          <w:spacing w:val="-1"/>
        </w:rPr>
        <w:t>人民币</w:t>
      </w:r>
      <w:r>
        <w:rPr>
          <w:rFonts w:ascii="Times New Roman" w:hAnsi="Times New Roman" w:cs="Times New Roman" w:eastAsia="Times New Roman" w:hint="default"/>
          <w:spacing w:val="-1"/>
        </w:rPr>
        <w:t>26.11</w:t>
      </w:r>
      <w:r>
        <w:rPr>
          <w:spacing w:val="-1"/>
        </w:rPr>
        <w:t>元，共募集资金</w:t>
      </w:r>
      <w:r>
        <w:rPr>
          <w:rFonts w:ascii="Times New Roman" w:hAnsi="Times New Roman" w:cs="Times New Roman" w:eastAsia="Times New Roman" w:hint="default"/>
          <w:spacing w:val="-1"/>
        </w:rPr>
        <w:t>365,540,000.00</w:t>
      </w:r>
      <w:r>
        <w:rPr>
          <w:spacing w:val="-1"/>
        </w:rPr>
        <w:t>元；发行后公司的注册资本为人民币</w:t>
      </w:r>
      <w:r>
        <w:rPr>
          <w:rFonts w:ascii="Times New Roman" w:hAnsi="Times New Roman" w:cs="Times New Roman" w:eastAsia="Times New Roman" w:hint="default"/>
          <w:spacing w:val="-1"/>
        </w:rPr>
        <w:t>5,600</w:t>
      </w:r>
      <w:r>
        <w:rPr>
          <w:spacing w:val="-1"/>
        </w:rPr>
        <w:t>万元，本次验资业经瑞华会计师事务所</w:t>
      </w:r>
    </w:p>
    <w:p>
      <w:pPr>
        <w:pStyle w:val="BodyText"/>
        <w:spacing w:line="240" w:lineRule="auto" w:before="13"/>
        <w:ind w:right="0"/>
        <w:jc w:val="both"/>
      </w:pPr>
      <w:r>
        <w:rPr/>
        <w:t>（特殊普通合伙）验证确认，并出具瑞华珠验字</w:t>
      </w:r>
      <w:r>
        <w:rPr>
          <w:rFonts w:ascii="Times New Roman" w:hAnsi="Times New Roman" w:cs="Times New Roman" w:eastAsia="Times New Roman" w:hint="default"/>
        </w:rPr>
        <w:t>[2016]40040014</w:t>
      </w:r>
      <w:r>
        <w:rPr/>
        <w:t>号验资报告。</w:t>
      </w:r>
    </w:p>
    <w:p>
      <w:pPr>
        <w:pStyle w:val="BodyText"/>
        <w:spacing w:line="300" w:lineRule="auto" w:before="63"/>
        <w:ind w:right="1132"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7</w:t>
      </w:r>
      <w:r>
        <w:rPr>
          <w:spacing w:val="-1"/>
        </w:rPr>
        <w:t>日，经</w:t>
      </w:r>
      <w:r>
        <w:rPr>
          <w:rFonts w:ascii="Times New Roman" w:hAnsi="Times New Roman" w:cs="Times New Roman" w:eastAsia="Times New Roman" w:hint="default"/>
          <w:spacing w:val="-1"/>
        </w:rPr>
        <w:t>2016</w:t>
      </w:r>
      <w:r>
        <w:rPr>
          <w:spacing w:val="-1"/>
        </w:rPr>
        <w:t>年度股东大会会议决议通过，公司以截至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5,600</w:t>
      </w:r>
      <w:r>
        <w:rPr>
          <w:spacing w:val="-1"/>
        </w:rPr>
        <w:t>万股为基数向全体股东以</w:t>
      </w:r>
      <w:r>
        <w:rPr/>
        <w:t> </w:t>
      </w:r>
      <w:r>
        <w:rPr>
          <w:spacing w:val="-5"/>
        </w:rPr>
        <w:t>资本公积每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股股本，增加注册资本</w:t>
      </w:r>
      <w:r>
        <w:rPr>
          <w:rFonts w:ascii="Times New Roman" w:hAnsi="Times New Roman" w:cs="Times New Roman" w:eastAsia="Times New Roman" w:hint="default"/>
          <w:spacing w:val="-5"/>
        </w:rPr>
        <w:t>2,800</w:t>
      </w:r>
      <w:r>
        <w:rPr>
          <w:spacing w:val="-5"/>
        </w:rPr>
        <w:t>万元，变更后的注册资本为</w:t>
      </w:r>
      <w:r>
        <w:rPr>
          <w:rFonts w:ascii="Times New Roman" w:hAnsi="Times New Roman" w:cs="Times New Roman" w:eastAsia="Times New Roman" w:hint="default"/>
          <w:spacing w:val="-5"/>
        </w:rPr>
        <w:t>8,400</w:t>
      </w:r>
      <w:r>
        <w:rPr>
          <w:spacing w:val="-5"/>
        </w:rPr>
        <w:t>万元，本次验资业经瑞华会计师事务所（特</w:t>
      </w:r>
      <w:r>
        <w:rPr>
          <w:spacing w:val="-49"/>
        </w:rPr>
        <w:t> </w:t>
      </w:r>
      <w:r>
        <w:rPr>
          <w:spacing w:val="-49"/>
        </w:rPr>
      </w:r>
      <w:r>
        <w:rPr/>
        <w:t>殊普通合伙）验证确认，并出具瑞华珠验字</w:t>
      </w:r>
      <w:r>
        <w:rPr>
          <w:rFonts w:ascii="Times New Roman" w:hAnsi="Times New Roman" w:cs="Times New Roman" w:eastAsia="Times New Roman" w:hint="default"/>
        </w:rPr>
        <w:t>[2017]40060001</w:t>
      </w:r>
      <w:r>
        <w:rPr/>
        <w:t>号验资报告。</w:t>
      </w:r>
    </w:p>
    <w:p>
      <w:pPr>
        <w:pStyle w:val="BodyText"/>
        <w:spacing w:line="240" w:lineRule="auto" w:before="13"/>
        <w:ind w:left="1553" w:right="0"/>
        <w:jc w:val="left"/>
      </w:pPr>
      <w:r>
        <w:rPr>
          <w:spacing w:val="3"/>
        </w:rPr>
        <w:t>根据公司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日第二届董事会第十一次会议决议和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日的</w:t>
      </w:r>
      <w:r>
        <w:rPr>
          <w:rFonts w:ascii="Times New Roman" w:hAnsi="Times New Roman" w:cs="Times New Roman" w:eastAsia="Times New Roman" w:hint="default"/>
          <w:spacing w:val="3"/>
        </w:rPr>
        <w:t>2017</w:t>
      </w:r>
      <w:r>
        <w:rPr>
          <w:spacing w:val="3"/>
        </w:rPr>
        <w:t>年第一次临时股东大会审议通过的</w:t>
      </w:r>
    </w:p>
    <w:p>
      <w:pPr>
        <w:pStyle w:val="BodyText"/>
        <w:spacing w:line="300" w:lineRule="auto" w:before="63"/>
        <w:ind w:right="1129"/>
        <w:jc w:val="both"/>
      </w:pPr>
      <w:r>
        <w:rPr/>
        <w:t>《珠海汇金科技股份有限公司</w:t>
      </w:r>
      <w:r>
        <w:rPr>
          <w:rFonts w:ascii="Times New Roman" w:hAnsi="Times New Roman" w:cs="Times New Roman" w:eastAsia="Times New Roman" w:hint="default"/>
        </w:rPr>
        <w:t>2017</w:t>
      </w:r>
      <w:r>
        <w:rPr/>
        <w:t>年限制性股票激励计划（草案）》及其摘要，及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日第二届董事会第十四次会</w:t>
      </w:r>
      <w:r>
        <w:rPr>
          <w:spacing w:val="-83"/>
        </w:rPr>
        <w:t> </w:t>
      </w:r>
      <w:r>
        <w:rPr>
          <w:spacing w:val="-83"/>
        </w:rPr>
      </w:r>
      <w:r>
        <w:rPr>
          <w:spacing w:val="-2"/>
        </w:rPr>
        <w:t>议决议，由</w:t>
      </w:r>
      <w:r>
        <w:rPr>
          <w:rFonts w:ascii="Times New Roman" w:hAnsi="Times New Roman" w:cs="Times New Roman" w:eastAsia="Times New Roman" w:hint="default"/>
          <w:spacing w:val="-2"/>
        </w:rPr>
        <w:t>42</w:t>
      </w:r>
      <w:r>
        <w:rPr>
          <w:spacing w:val="-2"/>
        </w:rPr>
        <w:t>名限制性股票激励对象行权，实际行权数量为</w:t>
      </w:r>
      <w:r>
        <w:rPr>
          <w:rFonts w:ascii="Times New Roman" w:hAnsi="Times New Roman" w:cs="Times New Roman" w:eastAsia="Times New Roman" w:hint="default"/>
          <w:spacing w:val="-2"/>
        </w:rPr>
        <w:t>116</w:t>
      </w:r>
      <w:r>
        <w:rPr>
          <w:spacing w:val="-2"/>
        </w:rPr>
        <w:t>万份，行权价格为</w:t>
      </w:r>
      <w:r>
        <w:rPr>
          <w:rFonts w:ascii="Times New Roman" w:hAnsi="Times New Roman" w:cs="Times New Roman" w:eastAsia="Times New Roman" w:hint="default"/>
          <w:spacing w:val="-2"/>
        </w:rPr>
        <w:t>24.45</w:t>
      </w:r>
      <w:r>
        <w:rPr>
          <w:spacing w:val="-2"/>
        </w:rPr>
        <w:t>元</w:t>
      </w:r>
      <w:r>
        <w:rPr>
          <w:rFonts w:ascii="Times New Roman" w:hAnsi="Times New Roman" w:cs="Times New Roman" w:eastAsia="Times New Roman" w:hint="default"/>
          <w:spacing w:val="-2"/>
        </w:rPr>
        <w:t>/</w:t>
      </w:r>
      <w:r>
        <w:rPr>
          <w:spacing w:val="-2"/>
        </w:rPr>
        <w:t>股。变更后公司注册资本为人民币</w:t>
      </w:r>
      <w:r>
        <w:rPr>
          <w:spacing w:val="-60"/>
        </w:rPr>
        <w:t> </w:t>
      </w:r>
      <w:r>
        <w:rPr>
          <w:spacing w:val="-60"/>
        </w:rPr>
      </w:r>
      <w:r>
        <w:rPr>
          <w:rFonts w:ascii="Times New Roman" w:hAnsi="Times New Roman" w:cs="Times New Roman" w:eastAsia="Times New Roman" w:hint="default"/>
        </w:rPr>
        <w:t>8,516</w:t>
      </w:r>
      <w:r>
        <w:rPr/>
        <w:t>万元。本次验资业经瑞华会计师事务所（特殊普通合伙）验证确认，并出具瑞华珠验字</w:t>
      </w:r>
      <w:r>
        <w:rPr>
          <w:rFonts w:ascii="Times New Roman" w:hAnsi="Times New Roman" w:cs="Times New Roman" w:eastAsia="Times New Roman" w:hint="default"/>
        </w:rPr>
        <w:t>[2017]40060002</w:t>
      </w:r>
      <w:r>
        <w:rPr/>
        <w:t>号验资报告。</w:t>
      </w:r>
    </w:p>
    <w:p>
      <w:pPr>
        <w:pStyle w:val="BodyText"/>
        <w:spacing w:line="316" w:lineRule="auto" w:before="13"/>
        <w:ind w:left="1554" w:right="0"/>
        <w:jc w:val="left"/>
      </w:pPr>
      <w:r>
        <w:rPr/>
        <w:t>本公司所属行业：软件和信息技术服务业。 本公司经营范围：电子计算机软硬件、电子产品、安全防范技术产品、通信设备的设计、研发、生产、批发、零售及</w:t>
      </w:r>
    </w:p>
    <w:p>
      <w:pPr>
        <w:pStyle w:val="BodyText"/>
        <w:spacing w:line="316" w:lineRule="auto" w:before="19"/>
        <w:ind w:left="1134" w:right="1133"/>
        <w:jc w:val="both"/>
      </w:pPr>
      <w:r>
        <w:rPr>
          <w:spacing w:val="-2"/>
        </w:rPr>
        <w:t>其他商业批发零售（不含许可经营项目）；卡封锁、卡封片、卡封箱、卡封包及其识别系统的设计、研发、生产、批发、零</w:t>
      </w:r>
      <w:r>
        <w:rPr>
          <w:spacing w:val="-71"/>
        </w:rPr>
        <w:t> </w:t>
      </w:r>
      <w:r>
        <w:rPr>
          <w:spacing w:val="-71"/>
        </w:rPr>
      </w:r>
      <w:r>
        <w:rPr/>
        <w:t>售。</w:t>
      </w:r>
    </w:p>
    <w:p>
      <w:pPr>
        <w:pStyle w:val="BodyText"/>
        <w:spacing w:line="316" w:lineRule="auto" w:before="19"/>
        <w:ind w:left="1553" w:right="1243"/>
        <w:jc w:val="left"/>
      </w:pPr>
      <w:r>
        <w:rPr/>
        <w:t>本公司的主要产品：银行自助设备现金管理系统、银行现金流转内控系统、银行印章管理系统等。 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日决议批准报出。根据本公司章程，本财务报表将提交股东大会审议。</w:t>
      </w:r>
    </w:p>
    <w:p>
      <w:pPr>
        <w:pStyle w:val="BodyText"/>
        <w:spacing w:line="249" w:lineRule="exact"/>
        <w:ind w:right="0"/>
        <w:jc w:val="left"/>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1</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after="0" w:line="249" w:lineRule="exact"/>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firstLine="420"/>
        <w:jc w:val="both"/>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w:t>
      </w:r>
      <w:r>
        <w:rPr>
          <w:spacing w:val="1"/>
        </w:rPr>
        <w:t> </w:t>
      </w:r>
      <w:r>
        <w:rPr/>
        <w:t>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7"/>
        </w:rPr>
        <w:t> </w:t>
      </w:r>
      <w:r>
        <w:rPr>
          <w:spacing w:val="-47"/>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3" w:firstLine="420"/>
        <w:jc w:val="both"/>
      </w:pPr>
      <w:r>
        <w:rPr/>
        <w:t>根据企业会计准则的相关规定，本公司会计核算以权责发生制为基础。除某些金融工具外，本财务报表均以历史成本 为计量基础。资产如果发生减值，则按照相关规定计提相应的减值准备。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38" w:lineRule="auto" w:before="26"/>
        <w:ind w:right="0"/>
        <w:jc w:val="left"/>
      </w:pPr>
      <w:r>
        <w:rPr/>
        <w:t>具体会计政策和会计估计提示： </w:t>
      </w:r>
      <w:r>
        <w:rPr>
          <w:spacing w:val="-2"/>
        </w:rPr>
        <w:t>本公司从事银行安防系统产品的研发及销售。本公司及各子公司根据实际生产经营特点，依据相关企业会计准则的规定，对</w:t>
      </w:r>
      <w:r>
        <w:rPr>
          <w:spacing w:val="-66"/>
        </w:rPr>
        <w:t> </w:t>
      </w:r>
      <w:r>
        <w:rPr>
          <w:spacing w:val="-66"/>
        </w:rPr>
      </w:r>
      <w:r>
        <w:rPr>
          <w:spacing w:val="-2"/>
        </w:rPr>
        <w:t>收入确认等交易和事项制定了若干项具体会计政策和会计估计，详见本附注五、</w:t>
      </w:r>
      <w:r>
        <w:rPr>
          <w:rFonts w:ascii="Times New Roman" w:hAnsi="Times New Roman" w:cs="Times New Roman" w:eastAsia="Times New Roman" w:hint="default"/>
          <w:spacing w:val="-2"/>
        </w:rPr>
        <w:t>28“</w:t>
      </w:r>
      <w:r>
        <w:rPr>
          <w:spacing w:val="-2"/>
        </w:rPr>
        <w:t>收入</w:t>
      </w:r>
      <w:r>
        <w:rPr>
          <w:rFonts w:ascii="Times New Roman" w:hAnsi="Times New Roman" w:cs="Times New Roman" w:eastAsia="Times New Roman" w:hint="default"/>
          <w:spacing w:val="-2"/>
        </w:rPr>
        <w:t>”</w:t>
      </w:r>
      <w:r>
        <w:rPr>
          <w:spacing w:val="-2"/>
        </w:rPr>
        <w:t>各项描述。关于管理层所作出的重</w:t>
      </w:r>
    </w:p>
    <w:p>
      <w:pPr>
        <w:pStyle w:val="BodyText"/>
        <w:spacing w:line="231" w:lineRule="exact"/>
        <w:ind w:right="0"/>
        <w:jc w:val="left"/>
      </w:pPr>
      <w:r>
        <w:rPr/>
        <w:t>大会计判断和估计的说明，请参阅附注五、</w:t>
      </w:r>
      <w:r>
        <w:rPr>
          <w:rFonts w:ascii="Times New Roman" w:hAnsi="Times New Roman" w:cs="Times New Roman" w:eastAsia="Times New Roman" w:hint="default"/>
        </w:rPr>
        <w:t>32“</w:t>
      </w:r>
      <w:r>
        <w:rPr/>
        <w:t>其他重要的会计政策和会计估计</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both"/>
      </w:pPr>
      <w:r>
        <w:rPr/>
        <w:t>本公司编制的财务报表符合企业会计准则的要求，真实、完整地反映了本公司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2017</w:t>
      </w:r>
      <w:r>
        <w:rPr/>
        <w:t>年度</w:t>
      </w:r>
      <w:r>
        <w:rPr>
          <w:spacing w:val="1"/>
        </w:rPr>
        <w:t>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68"/>
        </w:rPr>
        <w:t> </w:t>
      </w:r>
      <w:r>
        <w:rPr>
          <w:spacing w:val="-68"/>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64" w:firstLine="229"/>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248" w:firstLine="325"/>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人民币为本公司及境内子公司经营所处的主要经济环境中的货币，本公司及境内子公司以人民币为记账本位币。本公 司编制本财务报表时所采用的货币为人民币。</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6" w:right="0" w:firstLine="420"/>
        <w:jc w:val="left"/>
      </w:pPr>
      <w:r>
        <w:rPr/>
        <w:t>企业合并，是指将两个或两个以上单独的企业合并形成一个报告主体的交易或事项。企业合并分为同一控制下企业合 并和非同一控制下企业合并。</w:t>
      </w:r>
    </w:p>
    <w:p>
      <w:pPr>
        <w:pStyle w:val="BodyText"/>
        <w:spacing w:line="300" w:lineRule="auto" w:before="19"/>
        <w:ind w:left="1554" w:right="0"/>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left="1134"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left="1134" w:right="0" w:firstLine="420"/>
        <w:jc w:val="left"/>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1554" w:right="0"/>
        <w:jc w:val="left"/>
      </w:pPr>
      <w:r>
        <w:rPr/>
        <w:t>合并方为进行企业合并发生的各项直接费用，于发生时计入当期损益。</w:t>
      </w:r>
    </w:p>
    <w:p>
      <w:pPr>
        <w:pStyle w:val="BodyText"/>
        <w:spacing w:line="300" w:lineRule="auto" w:before="76"/>
        <w:ind w:left="1554" w:right="0"/>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w:t>
      </w:r>
    </w:p>
    <w:p>
      <w:pPr>
        <w:pStyle w:val="BodyText"/>
        <w:spacing w:line="316" w:lineRule="auto" w:before="31"/>
        <w:ind w:left="1134"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left="1134" w:right="1131" w:firstLine="420"/>
        <w:jc w:val="both"/>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19"/>
        <w:ind w:left="1134" w:right="1128" w:firstLine="42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3"/>
        </w:rPr>
        <w:t> </w:t>
      </w:r>
      <w:r>
        <w:rPr>
          <w:spacing w:val="-63"/>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1039" w:firstLine="420"/>
        <w:jc w:val="left"/>
      </w:pPr>
      <w:r>
        <w:rPr>
          <w:spacing w:val="-6"/>
        </w:rPr>
        <w:t>通过多次交易分步实现的非同一控制下企业合并，根据《财政部关于印发企业会计准则解释第</w:t>
      </w:r>
      <w:r>
        <w:rPr>
          <w:rFonts w:ascii="Times New Roman" w:hAnsi="Times New Roman" w:cs="Times New Roman" w:eastAsia="Times New Roman" w:hint="default"/>
          <w:spacing w:val="-6"/>
        </w:rPr>
        <w:t>5</w:t>
      </w:r>
      <w:r>
        <w:rPr>
          <w:spacing w:val="-6"/>
        </w:rPr>
        <w:t>号的通知》（财会〔</w:t>
      </w:r>
      <w:r>
        <w:rPr>
          <w:rFonts w:ascii="Times New Roman" w:hAnsi="Times New Roman" w:cs="Times New Roman" w:eastAsia="Times New Roman" w:hint="default"/>
          <w:spacing w:val="-6"/>
        </w:rPr>
        <w:t>2012</w:t>
      </w:r>
      <w:r>
        <w:rPr>
          <w:spacing w:val="-6"/>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0" w:firstLine="420"/>
        <w:jc w:val="left"/>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3" w:right="0"/>
        <w:jc w:val="left"/>
      </w:pPr>
      <w:r>
        <w:rPr/>
        <w:t>（</w:t>
      </w:r>
      <w:r>
        <w:rPr>
          <w:rFonts w:ascii="Times New Roman" w:hAnsi="Times New Roman" w:cs="Times New Roman" w:eastAsia="Times New Roman" w:hint="default"/>
        </w:rPr>
        <w:t>1</w:t>
      </w:r>
      <w:r>
        <w:rPr/>
        <w:t>）合并财务报表范围的确定原则</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420"/>
        <w:jc w:val="both"/>
      </w:pPr>
      <w:r>
        <w:rPr/>
        <w:t>合并财务报表的合并范围以控制为基础予以确定。控制是指本公司拥有对被投资方的权力，通过参与被投资方的相关 </w:t>
      </w: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1553" w:right="0"/>
        <w:jc w:val="left"/>
      </w:pPr>
      <w:r>
        <w:rPr/>
        <w:t>一旦相关事实和情况的变化导致上述控制定义涉及的相关要素发生了变化，本公司将进行重新评估。</w:t>
      </w:r>
    </w:p>
    <w:p>
      <w:pPr>
        <w:pStyle w:val="BodyText"/>
        <w:spacing w:line="300" w:lineRule="auto" w:before="77"/>
        <w:ind w:left="1554"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31"/>
        <w:ind w:left="1134"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中；当期处置的子公司，不调整合并资产负债表的年初余额。非同一控制下企业合并增加的子公司，其购买日后的经营成果</w:t>
      </w:r>
      <w:r>
        <w:rPr>
          <w:spacing w:val="-66"/>
        </w:rPr>
        <w:t> </w:t>
      </w:r>
      <w:r>
        <w:rPr>
          <w:spacing w:val="-66"/>
        </w:rPr>
      </w:r>
      <w:r>
        <w:rPr>
          <w:spacing w:val="-2"/>
        </w:rPr>
        <w:t>及现金流量已经适当地包括在合并利润表和合并现金流量表中，且不调整合并财务报表的年初余额和对比数。同一控制下企</w:t>
      </w:r>
      <w:r>
        <w:rPr>
          <w:spacing w:val="-64"/>
        </w:rPr>
        <w:t> </w:t>
      </w:r>
      <w:r>
        <w:rPr>
          <w:spacing w:val="-64"/>
        </w:rPr>
      </w:r>
      <w:r>
        <w:rPr/>
        <w:t>业合并增加的子公司，其自合并当期期初至合并日的经营成果和现金流量已经适当地包括在合并利润表和合并现金流量表</w:t>
      </w:r>
      <w:r>
        <w:rPr>
          <w:spacing w:val="-9"/>
        </w:rPr>
        <w:t> </w:t>
      </w:r>
      <w:r>
        <w:rPr>
          <w:spacing w:val="-9"/>
        </w:rPr>
      </w:r>
      <w:r>
        <w:rPr/>
        <w:t>中，并且同时调整合并财务报表的对比数。</w:t>
      </w:r>
    </w:p>
    <w:p>
      <w:pPr>
        <w:pStyle w:val="BodyText"/>
        <w:spacing w:line="316" w:lineRule="auto" w:before="19"/>
        <w:ind w:left="1134" w:right="1131" w:firstLine="420"/>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155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132" w:firstLine="420"/>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w w:val="100"/>
        </w:rPr>
        <w:t> </w:t>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3"/>
        <w:ind w:right="103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420"/>
        <w:jc w:val="left"/>
      </w:pPr>
      <w:r>
        <w:rPr>
          <w:spacing w:val="-2"/>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7"/>
        <w:ind w:right="1206" w:firstLine="420"/>
        <w:jc w:val="both"/>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18"/>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 策处理。</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20"/>
        <w:jc w:val="both"/>
      </w:pPr>
      <w:r>
        <w:rPr/>
        <w:t>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2" w:lineRule="auto" w:before="19"/>
        <w:ind w:right="1131" w:firstLine="420"/>
        <w:jc w:val="both"/>
      </w:pPr>
      <w:r>
        <w:rPr/>
        <w:t>当本公司作为合营方向共同经营投出或出售资产（该资产不构成业务，下同）、或者自共同经营购买资产时，在该等 </w:t>
      </w:r>
      <w:r>
        <w:rPr>
          <w:spacing w:val="-2"/>
        </w:rPr>
        <w:t>资产出售给第三方之前，本公司仅确认因该交易产生的损益中归属于共同经营其他参与方的部分。该等资产发生符合《企业</w:t>
      </w:r>
      <w:r>
        <w:rPr>
          <w:spacing w:val="-65"/>
        </w:rPr>
        <w:t> </w:t>
      </w:r>
      <w:r>
        <w:rPr>
          <w:spacing w:val="-65"/>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36"/>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54" w:right="0"/>
        <w:jc w:val="left"/>
      </w:pPr>
      <w:r>
        <w:rPr/>
        <w:t>（</w:t>
      </w:r>
      <w:r>
        <w:rPr>
          <w:rFonts w:ascii="Times New Roman" w:hAnsi="Times New Roman" w:cs="Times New Roman" w:eastAsia="Times New Roman" w:hint="default"/>
        </w:rPr>
        <w:t>1</w:t>
      </w:r>
      <w:r>
        <w:rPr/>
        <w:t>）外币交易的折算方法 本公司发生的外币交易在初始确认时，按交易日的即期汇率折算为记账本位币金额，但公司发生的外币兑换业务或涉</w:t>
      </w:r>
    </w:p>
    <w:p>
      <w:pPr>
        <w:pStyle w:val="BodyText"/>
        <w:spacing w:line="240" w:lineRule="auto" w:before="31"/>
        <w:ind w:left="1134" w:right="0"/>
        <w:jc w:val="left"/>
      </w:pPr>
      <w:r>
        <w:rPr/>
        <w:t>及外币兑换的交易事项，按照实际采用的汇率折算为记账本位币金额。</w:t>
      </w:r>
    </w:p>
    <w:p>
      <w:pPr>
        <w:pStyle w:val="BodyText"/>
        <w:spacing w:line="300" w:lineRule="auto" w:before="76"/>
        <w:ind w:left="1554" w:right="0"/>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资产负债表日，对于外币货币性项目采用资产负债表日即期汇率折算，由此产生的汇兑差额，除：①属于与购建符合</w:t>
      </w:r>
    </w:p>
    <w:p>
      <w:pPr>
        <w:pStyle w:val="BodyText"/>
        <w:spacing w:line="316" w:lineRule="auto" w:before="31"/>
        <w:ind w:left="1134" w:right="0"/>
        <w:jc w:val="left"/>
      </w:pPr>
      <w:r>
        <w:rPr>
          <w:spacing w:val="-2"/>
        </w:rPr>
        <w:t>资本化条件的资产相关的外币专门借款产生的汇兑差额按照借款费用资本化的原则处理；以及②可供出售的外币货币性项目</w:t>
      </w:r>
      <w:r>
        <w:rPr>
          <w:spacing w:val="-64"/>
        </w:rPr>
        <w:t> </w:t>
      </w:r>
      <w:r>
        <w:rPr>
          <w:spacing w:val="-64"/>
        </w:rPr>
      </w:r>
      <w:r>
        <w:rPr/>
        <w:t>除摊余成本之外的其他账面余额变动产生的汇兑差额计入其他综合收益之外，均计入当期损益。</w:t>
      </w:r>
    </w:p>
    <w:p>
      <w:pPr>
        <w:pStyle w:val="BodyText"/>
        <w:spacing w:line="316" w:lineRule="auto" w:before="19"/>
        <w:ind w:right="1131" w:firstLine="420"/>
        <w:jc w:val="both"/>
      </w:pPr>
      <w:r>
        <w:rPr/>
        <w:t>以历史成本计量的外币非货币性项目，仍采用交易发生日的即期汇率折算的记账本位币金额计量。以公允价值计量的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价值变动（含汇率变动）处理，计入当期损益或确认为其他综合收益并计入资本公积。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2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1554" w:right="0"/>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left="1134"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1553" w:right="0"/>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以常规方式买卖金融资产，按交易日进行会计确认和终止确认。金融资产在初始确认时划分为以公允价值计量且其变</w:t>
      </w:r>
    </w:p>
    <w:p>
      <w:pPr>
        <w:pStyle w:val="BodyText"/>
        <w:spacing w:line="240" w:lineRule="auto" w:before="32"/>
        <w:ind w:right="0"/>
        <w:jc w:val="left"/>
      </w:pPr>
      <w:r>
        <w:rPr/>
        <w:t>动计入当期损益的金融资产、持有至到期投资、贷款和应收款项以及可供出售金融资产。</w:t>
      </w:r>
    </w:p>
    <w:p>
      <w:pPr>
        <w:pStyle w:val="BodyText"/>
        <w:spacing w:line="316" w:lineRule="auto" w:before="76"/>
        <w:ind w:left="1553" w:right="0"/>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248" w:lineRule="exact"/>
        <w:ind w:right="0"/>
        <w:jc w:val="left"/>
      </w:pPr>
      <w:r>
        <w:rPr/>
        <w:t>集中管理的可辨认金融工具组合的一部分，且有客观证据表明本公司近期采用短期获利方式对该组合进行管理；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w:t>
      </w:r>
    </w:p>
    <w:p>
      <w:pPr>
        <w:spacing w:after="0" w:line="248"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19"/>
        <w:ind w:right="1128" w:firstLine="420"/>
        <w:jc w:val="both"/>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A.</w:t>
      </w:r>
      <w:r>
        <w:rPr/>
        <w:t>该指定</w:t>
      </w:r>
      <w:r>
        <w:rPr>
          <w:spacing w:val="2"/>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7"/>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6"/>
        <w:ind w:right="1133" w:firstLine="420"/>
        <w:jc w:val="both"/>
      </w:pPr>
      <w:r>
        <w:rPr/>
        <w:t>以公允价值计量且其变动计入当期损益的金融资产采用公允价值进行后续计量，公允价值变动形成的利得或损失以及 与该等金融资产相关的股利和利息收入计入当期损益。</w:t>
      </w:r>
    </w:p>
    <w:p>
      <w:pPr>
        <w:pStyle w:val="BodyText"/>
        <w:spacing w:line="316" w:lineRule="auto" w:before="19"/>
        <w:ind w:left="1553" w:right="1118"/>
        <w:jc w:val="left"/>
      </w:pPr>
      <w:r>
        <w:rPr/>
        <w:t>②持有至到期投资 是指到期日固定、回收金额固定或可确定，且本公司有明确意图和能力持有至到期的非衍生金融资产。 持有至到期投资采用实际利率法，按摊余成本进行后续计量，在终止确认、发生减值或摊销时产生的利得或损失，计</w:t>
      </w:r>
    </w:p>
    <w:p>
      <w:pPr>
        <w:pStyle w:val="BodyText"/>
        <w:spacing w:line="240" w:lineRule="auto" w:before="19"/>
        <w:ind w:right="0"/>
        <w:jc w:val="left"/>
      </w:pPr>
      <w:r>
        <w:rPr/>
        <w:t>入当期损益。</w:t>
      </w:r>
    </w:p>
    <w:p>
      <w:pPr>
        <w:pStyle w:val="BodyText"/>
        <w:spacing w:line="316" w:lineRule="auto" w:before="76"/>
        <w:ind w:right="1132" w:firstLine="420"/>
        <w:jc w:val="both"/>
      </w:pPr>
      <w:r>
        <w:rPr/>
        <w:t>实际利率法是指按照金融资产或金融负债（含一组金融资产或金融负债）的实际利率计算其摊余成本及各期利息收入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131" w:firstLine="420"/>
        <w:jc w:val="both"/>
      </w:pPr>
      <w:r>
        <w:rPr/>
        <w:t>在计算实际利率时，本公司将在考虑金融资产或金融负债所有合同条款的基础上预计未来现金流量（不考虑未来的信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1553" w:right="0"/>
        <w:jc w:val="left"/>
      </w:pPr>
      <w:r>
        <w:rPr/>
        <w:t>③贷款和应收款项 是指在活跃市场中没有报价、回收金额固定或可确定的非衍生金融资产。本公司划分为贷款和应收款的金融资产包括</w:t>
      </w:r>
    </w:p>
    <w:p>
      <w:pPr>
        <w:pStyle w:val="BodyText"/>
        <w:spacing w:line="316" w:lineRule="auto" w:before="19"/>
        <w:ind w:left="1553" w:right="0" w:hanging="420"/>
        <w:jc w:val="left"/>
      </w:pPr>
      <w:r>
        <w:rPr/>
        <w:t>应收票据、应收账款、应收利息、应收股利及其他应收款等。 贷款和应收款项采用实际利率法，按摊余成本进行后续计量，在终止确认、发生减值或摊销时产生的利得或损失，计</w:t>
      </w:r>
    </w:p>
    <w:p>
      <w:pPr>
        <w:pStyle w:val="BodyText"/>
        <w:spacing w:line="240" w:lineRule="auto" w:before="19"/>
        <w:ind w:right="0"/>
        <w:jc w:val="left"/>
      </w:pPr>
      <w:r>
        <w:rPr/>
        <w:t>入当期损益。</w:t>
      </w:r>
    </w:p>
    <w:p>
      <w:pPr>
        <w:pStyle w:val="BodyText"/>
        <w:spacing w:line="316" w:lineRule="auto" w:before="76"/>
        <w:ind w:left="1553" w:right="1025"/>
        <w:jc w:val="left"/>
      </w:pPr>
      <w:r>
        <w:rPr/>
        <w:t>④可供出售金融资产 </w:t>
      </w:r>
      <w:r>
        <w:rPr>
          <w:spacing w:val="-1"/>
        </w:rPr>
        <w:t>包括初始确认时即被指定为可供出售的非衍生金融资产，以及除了以公允价值计量且其变动计入当期损益的金融资产、</w:t>
      </w:r>
    </w:p>
    <w:p>
      <w:pPr>
        <w:pStyle w:val="BodyText"/>
        <w:spacing w:line="316" w:lineRule="auto" w:before="19"/>
        <w:ind w:left="1553" w:right="0" w:hanging="420"/>
        <w:jc w:val="left"/>
      </w:pPr>
      <w:r>
        <w:rPr/>
        <w:t>贷款和应收款项、持有至到期投资以外的金融资产。 可供出售债务工具投资的期末成本按照其摊余成本法确定，即初始确认金额扣除已偿还的本金，加上或减去采用实际</w:t>
      </w:r>
    </w:p>
    <w:p>
      <w:pPr>
        <w:pStyle w:val="BodyText"/>
        <w:spacing w:line="316" w:lineRule="auto" w:before="19"/>
        <w:ind w:right="1132"/>
        <w:jc w:val="both"/>
      </w:pPr>
      <w:r>
        <w:rPr>
          <w:spacing w:val="-2"/>
        </w:rPr>
        <w:t>利率法将该初始确认金额与到期日金额之间的差额进行摊销形成的累计摊销额，并扣除已发生的减值损失后的金额。可供出</w:t>
      </w:r>
      <w:r>
        <w:rPr>
          <w:spacing w:val="-64"/>
        </w:rPr>
        <w:t> </w:t>
      </w:r>
      <w:r>
        <w:rPr>
          <w:spacing w:val="-64"/>
        </w:rPr>
      </w:r>
      <w:r>
        <w:rPr/>
        <w:t>售权益工具投资的期末成本为其初始取得成本。</w:t>
      </w:r>
    </w:p>
    <w:p>
      <w:pPr>
        <w:pStyle w:val="BodyText"/>
        <w:spacing w:line="316" w:lineRule="auto" w:before="19"/>
        <w:ind w:right="1033" w:firstLine="42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1553" w:right="0"/>
        <w:jc w:val="left"/>
      </w:pPr>
      <w:r>
        <w:rPr/>
        <w:t>可供出售金融资产持有期间取得的利息及被投资单位宣告发放的现金股利，计入投资收益。</w:t>
      </w:r>
    </w:p>
    <w:p>
      <w:pPr>
        <w:pStyle w:val="BodyText"/>
        <w:spacing w:line="300" w:lineRule="auto" w:before="76"/>
        <w:ind w:left="1554" w:right="0"/>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w:t>
      </w:r>
    </w:p>
    <w:p>
      <w:pPr>
        <w:pStyle w:val="BodyText"/>
        <w:spacing w:line="316" w:lineRule="auto" w:before="31"/>
        <w:ind w:left="1554" w:right="0" w:hanging="420"/>
        <w:jc w:val="left"/>
      </w:pPr>
      <w:r>
        <w:rPr/>
        <w:t>行检查，有客观证据表明金融资产发生减值的，计提减值准备。 本公司对单项金额重大的金融资产单独进行减值测试；对单项金额不重大的金融资产，单独进行减值测试或包括在具</w:t>
      </w:r>
    </w:p>
    <w:p>
      <w:pPr>
        <w:pStyle w:val="BodyText"/>
        <w:spacing w:line="319" w:lineRule="auto" w:before="19"/>
        <w:ind w:left="1134"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7"/>
        <w:ind w:left="1554" w:right="0"/>
        <w:jc w:val="left"/>
      </w:pPr>
      <w:r>
        <w:rPr/>
        <w:t>①持有至到期投资、贷款和应收款项减值 以成本或摊余成本计量的金融资产将其账面价值减记至预计未来现金流量现值，减记金额确认为减值损失，计入当期</w:t>
      </w:r>
    </w:p>
    <w:p>
      <w:pPr>
        <w:pStyle w:val="BodyText"/>
        <w:spacing w:line="240" w:lineRule="auto" w:before="19"/>
        <w:ind w:left="1134" w:right="0"/>
        <w:jc w:val="left"/>
      </w:pPr>
      <w:r>
        <w:rPr/>
        <w:t>损益。金融资产在确认减值损失后，如有客观证据表明该金融资产价值已恢复，且客观上与确认该损失后发生的事项有关，</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1553" w:right="0"/>
        <w:jc w:val="left"/>
      </w:pPr>
      <w:r>
        <w:rPr/>
        <w:t>②可供出售金融资产减值 当综合相关因素判断可供出售权益工具投资公允价值下跌是严重或非暂时性下跌时，表明该可供出售权益工具投资发</w:t>
      </w:r>
    </w:p>
    <w:p>
      <w:pPr>
        <w:pStyle w:val="BodyText"/>
        <w:spacing w:line="300" w:lineRule="auto" w:before="19"/>
        <w:ind w:left="1553" w:right="0" w:hanging="420"/>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可供出售金融资产发生减值时，将原计入其他综合收益的因公允价值下降形成的累计损失予以转出并计入当期损益，</w:t>
      </w:r>
    </w:p>
    <w:p>
      <w:pPr>
        <w:pStyle w:val="BodyText"/>
        <w:spacing w:line="316" w:lineRule="auto" w:before="31"/>
        <w:ind w:right="1118"/>
        <w:jc w:val="left"/>
      </w:pPr>
      <w:r>
        <w:rPr/>
        <w:t>该转出的累计损失为该资产初始取得成本扣除已收回本金和已摊销金额、当前公允价值和原已计入损益的减值损失后的余</w:t>
      </w:r>
      <w:r>
        <w:rPr>
          <w:spacing w:val="-9"/>
        </w:rPr>
        <w:t> </w:t>
      </w:r>
      <w:r>
        <w:rPr>
          <w:spacing w:val="-9"/>
        </w:rPr>
      </w:r>
      <w:r>
        <w:rPr/>
        <w:t>额。</w:t>
      </w:r>
    </w:p>
    <w:p>
      <w:pPr>
        <w:pStyle w:val="BodyText"/>
        <w:spacing w:line="316" w:lineRule="auto" w:before="19"/>
        <w:ind w:left="1134" w:right="1129" w:firstLine="420"/>
        <w:jc w:val="both"/>
      </w:pPr>
      <w:r>
        <w:rPr/>
        <w:t>在确认减值损失后，期后如有客观证据表明该金融资产价值已恢复，且客观上与确认该损失后发生的事项有关，原确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right="1133" w:firstLine="420"/>
        <w:jc w:val="both"/>
      </w:pPr>
      <w:r>
        <w:rPr/>
        <w:t>在活跃市场中没有报价且其公允价值不能可靠计量的权益工具投资，或与该权益工具挂钩并须通过交付该权益工具结 算的衍生金融资产的减值损失，不予转回。</w:t>
      </w:r>
    </w:p>
    <w:p>
      <w:pPr>
        <w:pStyle w:val="BodyText"/>
        <w:spacing w:line="300" w:lineRule="auto" w:before="19"/>
        <w:ind w:left="1554" w:right="0"/>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31"/>
        <w:ind w:left="1134" w:right="0"/>
        <w:jc w:val="left"/>
      </w:pPr>
      <w:r>
        <w:rPr>
          <w:spacing w:val="-2"/>
        </w:rPr>
        <w:t>且将金融资产所有权上几乎所有的风险和报酬转移给转入方；③该金融资产已转移，虽然企业既没有转移也没有保留金融资</w:t>
      </w:r>
      <w:r>
        <w:rPr>
          <w:spacing w:val="-63"/>
        </w:rPr>
        <w:t> </w:t>
      </w:r>
      <w:r>
        <w:rPr>
          <w:spacing w:val="-63"/>
        </w:rPr>
      </w:r>
      <w:r>
        <w:rPr/>
        <w:t>产所有权上几乎所有的风险和报酬，但是放弃了对该金融资产控制。</w:t>
      </w:r>
    </w:p>
    <w:p>
      <w:pPr>
        <w:pStyle w:val="BodyText"/>
        <w:spacing w:line="316" w:lineRule="auto" w:before="19"/>
        <w:ind w:left="1134" w:right="1133" w:firstLine="420"/>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left="1134" w:right="1133" w:firstLine="420"/>
        <w:jc w:val="both"/>
      </w:pPr>
      <w:r>
        <w:rPr/>
        <w:t>金融资产整体转移满足终止确认条件的，将所转移金融资产的账面价值及因转移而收到的对价与原计入其他综合收益 的公允价值变动累计额之和的差额计入当期损益。</w:t>
      </w:r>
    </w:p>
    <w:p>
      <w:pPr>
        <w:pStyle w:val="BodyText"/>
        <w:spacing w:line="316" w:lineRule="auto" w:before="19"/>
        <w:ind w:left="1134" w:right="1131" w:firstLine="420"/>
        <w:jc w:val="both"/>
      </w:pPr>
      <w:r>
        <w:rPr/>
        <w:t>金融资产部分转移满足终止确认条件的，将所转移金融资产的账面价值在终止确认及未终止确认部分之间按其相对的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19"/>
        <w:ind w:left="1134" w:right="1130" w:firstLine="420"/>
        <w:jc w:val="both"/>
      </w:pPr>
      <w:r>
        <w:rPr/>
        <w:t>本公司对采用附追索权方式出售的金融资产，或将持有的金融资产背书转让，需确定该金融资产所有权上几乎所有的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3"/>
        </w:rPr>
        <w:t> </w:t>
      </w:r>
      <w:r>
        <w:rPr>
          <w:spacing w:val="-63"/>
        </w:rPr>
      </w:r>
      <w:r>
        <w:rPr/>
        <w:t>风险和报酬的，则继续判断企业是否对该资产保留了控制，并根据前面各段所述的原则进行会计处理。</w:t>
      </w:r>
    </w:p>
    <w:p>
      <w:pPr>
        <w:pStyle w:val="BodyText"/>
        <w:spacing w:line="300" w:lineRule="auto" w:before="19"/>
        <w:ind w:left="1554" w:right="1024"/>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金融负债在初始确认时划分为以公允价值计量且其变动计入当期损益的金融负债和其他金融负债。初始确认金融负债，</w:t>
      </w:r>
    </w:p>
    <w:p>
      <w:pPr>
        <w:pStyle w:val="BodyText"/>
        <w:spacing w:line="316" w:lineRule="auto" w:before="31"/>
        <w:ind w:left="1134"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1554" w:right="0"/>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1553" w:right="0" w:hanging="420"/>
        <w:jc w:val="left"/>
      </w:pPr>
      <w:r>
        <w:rPr/>
        <w:t>性金融资产和在初始确认时指定为以公允价值计量且其变动计入当期损益的金融资产的条件一致。 以公允价值计量且其变动计入当期损益的金融负债采用公允价值进行后续计量，公允价值的变动形成的利得或损失以</w:t>
      </w:r>
    </w:p>
    <w:p>
      <w:pPr>
        <w:pStyle w:val="BodyText"/>
        <w:spacing w:line="240" w:lineRule="auto" w:before="19"/>
        <w:ind w:right="0"/>
        <w:jc w:val="left"/>
      </w:pPr>
      <w:r>
        <w:rPr/>
        <w:t>及与该等金融负债相关的股利和利息支出计入当期损益。</w:t>
      </w:r>
    </w:p>
    <w:p>
      <w:pPr>
        <w:pStyle w:val="BodyText"/>
        <w:spacing w:line="316" w:lineRule="auto" w:before="76"/>
        <w:ind w:left="1554" w:right="0"/>
        <w:jc w:val="left"/>
      </w:pPr>
      <w:r>
        <w:rPr/>
        <w:t>②其他金融负债 与在活跃市场中没有报价、公允价值不能可靠计量的权益工具挂钩并须通过交付该权益工具结算的衍生金融负债，按</w:t>
      </w:r>
    </w:p>
    <w:p>
      <w:pPr>
        <w:pStyle w:val="BodyText"/>
        <w:spacing w:line="316" w:lineRule="auto" w:before="19"/>
        <w:ind w:left="1134" w:right="1118"/>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1553" w:right="0"/>
        <w:jc w:val="left"/>
      </w:pPr>
      <w:r>
        <w:rPr/>
        <w:t>③财务担保合同 不属于指定为以公允价值计量且其变动计入当期损益的金融负债的财务担保合同，以公允价值进行初始确认，在初始</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w:t>
      </w:r>
      <w:r>
        <w:rPr>
          <w:spacing w:val="-62"/>
        </w:rPr>
        <w:t> </w:t>
      </w:r>
      <w:r>
        <w:rPr>
          <w:spacing w:val="-62"/>
        </w:rPr>
      </w:r>
      <w:r>
        <w:rPr/>
        <w:t>确定的累计摊销额后的余额之中的较高者进行后续计量。</w:t>
      </w:r>
    </w:p>
    <w:p>
      <w:pPr>
        <w:pStyle w:val="BodyText"/>
        <w:spacing w:line="300" w:lineRule="auto" w:before="31"/>
        <w:ind w:left="1554" w:right="0"/>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金融负债的现时义务全部或部分已经解除的，才能终止确认该金融负债或其一部分。本公司（债务人）与债权人之间</w:t>
      </w:r>
    </w:p>
    <w:p>
      <w:pPr>
        <w:pStyle w:val="BodyText"/>
        <w:spacing w:line="316" w:lineRule="auto" w:before="32"/>
        <w:ind w:left="1134" w:right="0"/>
        <w:jc w:val="left"/>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left="1134" w:right="1133" w:firstLine="420"/>
        <w:jc w:val="both"/>
      </w:pPr>
      <w:r>
        <w:rPr/>
        <w:t>金融负债全部或部分终止确认的，将终止确认部分的账面价值与支付的对价（包括转出的非现金资产或承担的新金融 负债）之间的差额，计入当期损益。</w:t>
      </w:r>
    </w:p>
    <w:p>
      <w:pPr>
        <w:pStyle w:val="BodyText"/>
        <w:spacing w:line="300" w:lineRule="auto" w:before="19"/>
        <w:ind w:left="1554" w:right="1152"/>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衍生工具于相关合同签署日以公允价值进行初始计量，并以公允价值进行后续计量。除指定为套期工具且套期高度有</w:t>
      </w:r>
    </w:p>
    <w:p>
      <w:pPr>
        <w:pStyle w:val="BodyText"/>
        <w:spacing w:line="316" w:lineRule="auto" w:before="31"/>
        <w:ind w:left="1134" w:right="0"/>
        <w:jc w:val="left"/>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6" w:lineRule="auto" w:before="19"/>
        <w:ind w:left="1134" w:right="1132" w:firstLine="420"/>
        <w:jc w:val="both"/>
      </w:pPr>
      <w:r>
        <w:rPr/>
        <w:t>对包含嵌入衍生工具的混合工具，如未指定为以公允价值计量且其变动计入当期损益的金融资产或金融负债，嵌入衍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1553" w:right="1153"/>
        <w:jc w:val="left"/>
      </w:pPr>
      <w:r>
        <w:rPr/>
        <w:t>（</w:t>
      </w:r>
      <w:r>
        <w:rPr>
          <w:rFonts w:ascii="Times New Roman" w:hAnsi="Times New Roman" w:cs="Times New Roman" w:eastAsia="Times New Roman" w:hint="default"/>
        </w:rPr>
        <w:t>8</w:t>
      </w:r>
      <w:r>
        <w:rPr/>
        <w:t>）金融资产和金融负债的抵销 当本公司具有抵销已确认金融资产和金融负债的法定权利，且目前可执行该种法定权利，同时本公司计划以净额结算</w:t>
      </w:r>
    </w:p>
    <w:p>
      <w:pPr>
        <w:pStyle w:val="BodyText"/>
        <w:spacing w:line="316" w:lineRule="auto" w:before="31"/>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1553" w:right="1153"/>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权益工具是指能证明拥有本公司在扣除所有负债后的资产中的剩余权益的合同。本公司发行（含再融资）、回购、出</w:t>
      </w:r>
    </w:p>
    <w:p>
      <w:pPr>
        <w:pStyle w:val="BodyText"/>
        <w:spacing w:line="316" w:lineRule="auto" w:before="32"/>
        <w:ind w:right="1118"/>
        <w:jc w:val="left"/>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19"/>
        <w:ind w:left="1494" w:right="0"/>
        <w:jc w:val="left"/>
      </w:pPr>
      <w:r>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w:t>
            </w:r>
          </w:p>
          <w:p>
            <w:pPr>
              <w:pStyle w:val="TableParagraph"/>
              <w:spacing w:line="302" w:lineRule="auto" w:before="63"/>
              <w:ind w:left="23" w:right="24"/>
              <w:jc w:val="left"/>
              <w:rPr>
                <w:rFonts w:ascii="宋体" w:hAnsi="宋体" w:cs="宋体" w:eastAsia="宋体" w:hint="default"/>
                <w:sz w:val="18"/>
                <w:szCs w:val="18"/>
              </w:rPr>
            </w:pPr>
            <w:r>
              <w:rPr>
                <w:rFonts w:ascii="宋体" w:hAnsi="宋体" w:cs="宋体" w:eastAsia="宋体" w:hint="default"/>
                <w:sz w:val="18"/>
                <w:szCs w:val="18"/>
              </w:rPr>
              <w:t>账款、金额为人民币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万元）以上的其他应收 款确认为单项金额重大的应收款项。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测试未发生减值的应收款项在账龄组合中进行减值测试。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本公司对单项金额不重大但个别信用风险特征明显不同，已 有客观证据表明其发生了减值的应收款项。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本公司对单项金额不重大但个别信用风险特征明显不同，已 有客观证据表明其发生了减值的应收款项，单独进行减值测 试，根据其未来现金流量现值低于其账面价值的差额，确认 减值损失，并据此计提相应的坏账准备。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00" w:lineRule="auto" w:before="28"/>
        <w:ind w:left="1569" w:right="4017" w:hanging="16"/>
        <w:jc w:val="left"/>
      </w:pPr>
      <w:r>
        <w:rPr/>
        <w:t>（</w:t>
      </w:r>
      <w:r>
        <w:rPr>
          <w:rFonts w:ascii="Times New Roman" w:hAnsi="Times New Roman" w:cs="Times New Roman" w:eastAsia="Times New Roman" w:hint="default"/>
        </w:rPr>
        <w:t>1</w:t>
      </w:r>
      <w:r>
        <w:rPr/>
        <w:t>）存货的分类 存货主要包括原材料、委托加工材料、包装物、低值易耗品、在产品及产成品；</w:t>
      </w:r>
    </w:p>
    <w:p>
      <w:pPr>
        <w:pStyle w:val="BodyText"/>
        <w:spacing w:line="300" w:lineRule="auto" w:before="31"/>
        <w:ind w:left="1553" w:right="133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1554" w:right="0"/>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可变现净值是指在日常活动中，存货的估计售价减去至完工时估计将要发生的成本、估计的销售费用以及相关税费后</w:t>
      </w:r>
    </w:p>
    <w:p>
      <w:pPr>
        <w:pStyle w:val="BodyText"/>
        <w:spacing w:line="316" w:lineRule="auto" w:before="31"/>
        <w:ind w:left="1554" w:right="0" w:hanging="420"/>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在资产负债表日，存货按照成本与可变现净值孰低计量。当其可变现净值低于成本时，提取存货跌价准备。存货跌价</w:t>
      </w:r>
    </w:p>
    <w:p>
      <w:pPr>
        <w:pStyle w:val="BodyText"/>
        <w:spacing w:line="316" w:lineRule="auto" w:before="19"/>
        <w:ind w:left="1554" w:right="0" w:hanging="420"/>
        <w:jc w:val="left"/>
      </w:pPr>
      <w:r>
        <w:rPr/>
        <w:t>准备按单个存货项目的成本高于其可变现净值的差额提取。 计提存货跌价准备后，如果以前减记存货价值的影响因素已经消失，导致存货的可变现净值高于其账面价值的，在原</w:t>
      </w:r>
    </w:p>
    <w:p>
      <w:pPr>
        <w:pStyle w:val="BodyText"/>
        <w:spacing w:line="240" w:lineRule="auto" w:before="19"/>
        <w:ind w:left="1134" w:right="0"/>
        <w:jc w:val="left"/>
      </w:pPr>
      <w:r>
        <w:rPr/>
        <w:t>已计提的存货跌价准备金额内予以转回，转回的金额计入当期损益。</w:t>
      </w:r>
    </w:p>
    <w:p>
      <w:pPr>
        <w:pStyle w:val="BodyText"/>
        <w:spacing w:line="240" w:lineRule="auto" w:before="76"/>
        <w:ind w:left="155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right="4633" w:firstLine="420"/>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after="0" w:line="30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0" w:firstLine="420"/>
        <w:jc w:val="both"/>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3"/>
        </w:rPr>
        <w:t> </w:t>
      </w:r>
      <w:r>
        <w:rPr>
          <w:spacing w:val="-63"/>
        </w:rPr>
      </w:r>
      <w:r>
        <w:rPr/>
        <w:t>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left="1134" w:right="1133" w:firstLine="420"/>
        <w:jc w:val="both"/>
      </w:pPr>
      <w:r>
        <w:rPr/>
        <w:t>共同控制，是指本公司按照相关约定对某项安排所共有的控制，并且该安排的相关活动必须经过分享控制权的参与方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00" w:lineRule="auto" w:before="19"/>
        <w:ind w:left="1554" w:right="1152"/>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对于同一控制下的企业合并取得的长期股权投资，在合并日按照被合并方所有者权益在最终控制方合并财务报表中的</w:t>
      </w:r>
    </w:p>
    <w:p>
      <w:pPr>
        <w:pStyle w:val="BodyText"/>
        <w:spacing w:line="314" w:lineRule="auto" w:before="31"/>
        <w:ind w:right="1131"/>
        <w:jc w:val="both"/>
      </w:pPr>
      <w:r>
        <w:rPr>
          <w:spacing w:val="-2"/>
        </w:rPr>
        <w:t>账面价值的份额作为长期股权投资的初始投资成本。长期股权投资初始投资成本与支付的现金、转让的非现金资产以及所承</w:t>
      </w:r>
      <w:r>
        <w:rPr>
          <w:spacing w:val="-64"/>
        </w:rPr>
        <w:t> </w:t>
      </w:r>
      <w:r>
        <w:rPr>
          <w:spacing w:val="-64"/>
        </w:rPr>
      </w:r>
      <w:r>
        <w:rPr>
          <w:spacing w:val="-2"/>
        </w:rPr>
        <w:t>担债务账面价值之间的差额，调整资本公积；资本公积不足冲减的，调整留存收益。以发行权益性证券作为合并对价的，在</w:t>
      </w:r>
      <w:r>
        <w:rPr>
          <w:spacing w:val="-66"/>
        </w:rPr>
        <w:t> </w:t>
      </w:r>
      <w:r>
        <w:rPr>
          <w:spacing w:val="-66"/>
        </w:rPr>
      </w:r>
      <w:r>
        <w:rPr>
          <w:spacing w:val="-2"/>
        </w:rPr>
        <w:t>合并日按照被合并方所有者权益在最终控制方合并财务报表中的账面价值的份额作为长期股权投资的初始投资成本，按照发</w:t>
      </w:r>
      <w:r>
        <w:rPr>
          <w:spacing w:val="-64"/>
        </w:rPr>
        <w:t> </w:t>
      </w:r>
      <w:r>
        <w:rPr>
          <w:spacing w:val="-64"/>
        </w:rPr>
      </w:r>
      <w:r>
        <w:rPr>
          <w:spacing w:val="-2"/>
        </w:rPr>
        <w:t>行股份的面值总额作为股本，长期股权投资初始投资成本与所发行股份面值总额之间的差额，调整资本公积；资本公积不足</w:t>
      </w:r>
      <w:r>
        <w:rPr>
          <w:spacing w:val="-66"/>
        </w:rPr>
        <w:t> </w:t>
      </w:r>
      <w:r>
        <w:rPr>
          <w:spacing w:val="-66"/>
        </w:rPr>
      </w:r>
      <w:r>
        <w:rPr>
          <w:spacing w:val="-2"/>
        </w:rPr>
        <w:t>冲减的，调整留存收益。通过多次交易分步取得同一控制下被合并方的股权，最终形成同一控制下企业合并的，应分别是否</w:t>
      </w:r>
      <w:r>
        <w:rPr>
          <w:spacing w:val="-66"/>
        </w:rPr>
        <w:t> </w:t>
      </w:r>
      <w:r>
        <w:rPr>
          <w:spacing w:val="-66"/>
        </w:rPr>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 </w:t>
      </w:r>
      <w:r>
        <w:rPr>
          <w:spacing w:val="-2"/>
        </w:rPr>
        <w:t>始投资成本，长期股权投资初始投资成本与达到合并前的长期股权投资账面价值加上合并日进一步取得股份新支付对价的账</w:t>
      </w:r>
      <w:r>
        <w:rPr>
          <w:spacing w:val="-64"/>
        </w:rPr>
        <w:t> </w:t>
      </w:r>
      <w:r>
        <w:rPr>
          <w:spacing w:val="-64"/>
        </w:rPr>
      </w:r>
      <w:r>
        <w:rPr>
          <w:spacing w:val="-2"/>
        </w:rPr>
        <w:t>面价值之和的差额，调整资本公积；资本公积不足冲减的，调整留存收益。合并日之前持有的股权投资因采用权益法核算或</w:t>
      </w:r>
      <w:r>
        <w:rPr>
          <w:spacing w:val="-66"/>
        </w:rPr>
        <w:t> </w:t>
      </w:r>
      <w:r>
        <w:rPr>
          <w:spacing w:val="-66"/>
        </w:rPr>
      </w:r>
      <w:r>
        <w:rPr/>
        <w:t>为可供出售金融资产而确认的其他综合收益，暂不进行会计处理。</w:t>
      </w:r>
    </w:p>
    <w:p>
      <w:pPr>
        <w:pStyle w:val="BodyText"/>
        <w:spacing w:line="312" w:lineRule="auto" w:before="21"/>
        <w:ind w:right="1130" w:firstLine="420"/>
        <w:jc w:val="both"/>
      </w:pPr>
      <w:r>
        <w:rPr/>
        <w:t>对于非同一控制下的企业合并取得的长期股权投资，在购买日按照合并成本作为长期股权投资的初始投资成本，合并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1"/>
        </w:rPr>
        <w:t>的股权，最终形成非同一控制下的企业合并的，应分别是否属于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w:t>
      </w:r>
      <w:r>
        <w:rPr>
          <w:spacing w:val="-78"/>
        </w:rPr>
        <w:t> </w:t>
      </w:r>
      <w:r>
        <w:rPr>
          <w:spacing w:val="-78"/>
        </w:rPr>
      </w:r>
      <w:r>
        <w:rPr>
          <w:spacing w:val="-2"/>
        </w:rPr>
        <w:t>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w:t>
      </w:r>
      <w:r>
        <w:rPr>
          <w:spacing w:val="-44"/>
        </w:rPr>
        <w:t> </w:t>
      </w:r>
      <w:r>
        <w:rPr>
          <w:spacing w:val="-44"/>
        </w:rPr>
      </w:r>
      <w:r>
        <w:rPr>
          <w:spacing w:val="-2"/>
        </w:rPr>
        <w:t>成本之和，作为改按成本法核算的长期股权投资的初始投资成本。原持有的股权采用权益法核算的，相关其他综合收益暂不</w:t>
      </w:r>
      <w:r>
        <w:rPr>
          <w:spacing w:val="-66"/>
        </w:rPr>
        <w:t> </w:t>
      </w:r>
      <w:r>
        <w:rPr>
          <w:spacing w:val="-66"/>
        </w:rPr>
      </w:r>
      <w:r>
        <w:rPr>
          <w:spacing w:val="-2"/>
        </w:rPr>
        <w:t>进行会计处理。原持有股权投资为可供出售金融资产的，其公允价值与账面价值之间的差额，以及原计入其他综合收益的累</w:t>
      </w:r>
      <w:r>
        <w:rPr>
          <w:spacing w:val="-66"/>
        </w:rPr>
        <w:t> </w:t>
      </w:r>
      <w:r>
        <w:rPr>
          <w:spacing w:val="-66"/>
        </w:rPr>
      </w:r>
      <w:r>
        <w:rPr/>
        <w:t>计公允价值变动转入当期损益。</w:t>
      </w:r>
    </w:p>
    <w:p>
      <w:pPr>
        <w:pStyle w:val="BodyText"/>
        <w:spacing w:line="316" w:lineRule="auto" w:before="22"/>
        <w:ind w:right="1170" w:firstLine="420"/>
        <w:jc w:val="both"/>
      </w:pPr>
      <w:r>
        <w:rPr/>
        <w:t>合并方或购买方为企业合并发生的审计、法律服务、评估咨询等中介费用以及其他相关管理费用，于发生时计入当期 损益。</w:t>
      </w:r>
    </w:p>
    <w:p>
      <w:pPr>
        <w:pStyle w:val="BodyText"/>
        <w:spacing w:line="314" w:lineRule="auto" w:before="19"/>
        <w:ind w:right="1131" w:firstLine="42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4"/>
        </w:rPr>
        <w:t> </w:t>
      </w:r>
      <w:r>
        <w:rPr>
          <w:spacing w:val="-64"/>
        </w:rPr>
      </w:r>
      <w:r>
        <w:rPr/>
        <w:t>上新增投资成本之和。</w:t>
      </w:r>
    </w:p>
    <w:p>
      <w:pPr>
        <w:pStyle w:val="BodyText"/>
        <w:spacing w:line="300" w:lineRule="auto" w:before="20"/>
        <w:ind w:left="1554" w:right="115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对被投资单位具有共同控制（构成共同经营者除外）或重大影响的长期股权投资，采用权益法核算。此外，公司财务</w:t>
      </w:r>
    </w:p>
    <w:p>
      <w:pPr>
        <w:pStyle w:val="BodyText"/>
        <w:spacing w:line="240" w:lineRule="auto" w:before="31"/>
        <w:ind w:left="1134" w:right="0"/>
        <w:jc w:val="both"/>
      </w:pPr>
      <w:r>
        <w:rPr/>
        <w:t>报表采用成本法核算能够对被投资单位实施控制的长期股权投资。</w:t>
      </w:r>
    </w:p>
    <w:p>
      <w:pPr>
        <w:pStyle w:val="BodyText"/>
        <w:spacing w:line="316" w:lineRule="auto" w:before="77"/>
        <w:ind w:left="1554" w:right="1152"/>
        <w:jc w:val="left"/>
      </w:pPr>
      <w:r>
        <w:rPr/>
        <w:t>①成本法核算的长期股权投资 采用成本法核算时，长期股权投资按初始投资成本计价，追加或收回投资调整长期股权投资的成本。除取得投资时实</w:t>
      </w:r>
    </w:p>
    <w:p>
      <w:pPr>
        <w:pStyle w:val="BodyText"/>
        <w:spacing w:line="316" w:lineRule="auto" w:before="19"/>
        <w:ind w:left="1134" w:right="1131"/>
        <w:jc w:val="both"/>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153"/>
        <w:jc w:val="left"/>
      </w:pPr>
      <w:r>
        <w:rPr/>
        <w:t>②权益法核算的长期股权投资 采用权益法核算时，长期股权投资的初始投资成本大于投资时应享有被投资单位可辨认净资产公允价值份额的，不调</w:t>
      </w:r>
    </w:p>
    <w:p>
      <w:pPr>
        <w:pStyle w:val="BodyText"/>
        <w:spacing w:line="316" w:lineRule="auto" w:before="19"/>
        <w:ind w:right="0"/>
        <w:jc w:val="left"/>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1033" w:firstLine="420"/>
        <w:jc w:val="left"/>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3"/>
        </w:rPr>
        <w:t> </w:t>
      </w:r>
      <w:r>
        <w:rPr>
          <w:spacing w:val="-63"/>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6" w:lineRule="auto" w:before="19"/>
        <w:ind w:right="1131" w:firstLine="420"/>
        <w:jc w:val="both"/>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6" w:lineRule="auto" w:before="19"/>
        <w:ind w:left="1553" w:right="1153"/>
        <w:jc w:val="left"/>
      </w:pPr>
      <w:r>
        <w:rPr/>
        <w:t>③收购少数股权 在编制合并财务报表时，因购买少数股权新增的长期股权投资与按照新增持股比例计算应享有子公司自购买日（或合</w:t>
      </w:r>
    </w:p>
    <w:p>
      <w:pPr>
        <w:pStyle w:val="BodyText"/>
        <w:spacing w:line="240" w:lineRule="auto" w:before="19"/>
        <w:ind w:right="0"/>
        <w:jc w:val="left"/>
      </w:pPr>
      <w:r>
        <w:rPr/>
        <w:t>并日）开始持续计算的净资产份额之间的差额，调整资本公积，资本公积不足冲减的，调整留存收益。</w:t>
      </w:r>
    </w:p>
    <w:p>
      <w:pPr>
        <w:pStyle w:val="BodyText"/>
        <w:spacing w:line="316" w:lineRule="auto" w:before="76"/>
        <w:ind w:left="1553" w:right="1153"/>
        <w:jc w:val="left"/>
      </w:pPr>
      <w:r>
        <w:rPr/>
        <w:t>④处置长期股权投资 在合并财务报表中，母公司在不丧失控制权的情况下部分处置对子公司的长期股权投资，处置价款与处置长期股权投</w:t>
      </w:r>
    </w:p>
    <w:p>
      <w:pPr>
        <w:pStyle w:val="BodyText"/>
        <w:spacing w:line="316" w:lineRule="auto" w:before="19"/>
        <w:ind w:right="0"/>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1553" w:right="1153"/>
        <w:jc w:val="left"/>
      </w:pPr>
      <w:r>
        <w:rPr/>
        <w:t>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316" w:lineRule="auto" w:before="19"/>
        <w:ind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right="1131" w:firstLine="420"/>
        <w:jc w:val="both"/>
      </w:pPr>
      <w:r>
        <w:rPr/>
        <w:t>采用成本法核算的长期股权投资，处置后剩余股权仍采用成本法核算的，其在取得对被投资单位的控制之前因采用权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right="1131" w:firstLine="420"/>
        <w:jc w:val="both"/>
      </w:pPr>
      <w:r>
        <w:rPr/>
        <w:t>本公司因处置部分股权投资丧失了对被投资单位的控制的，在编制个别财务报表时，处置后的剩余股权能够对被投资 </w:t>
      </w:r>
      <w:r>
        <w:rPr>
          <w:spacing w:val="-2"/>
        </w:rPr>
        <w:t>单位实施共同控制或施加重大影响的，改按权益法核算，并对该剩余股权视同自取得时即采用权益法核算进行调整；处置后</w:t>
      </w:r>
      <w:r>
        <w:rPr>
          <w:spacing w:val="-65"/>
        </w:rPr>
        <w:t> </w:t>
      </w:r>
      <w:r>
        <w:rPr>
          <w:spacing w:val="-65"/>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420"/>
        <w:jc w:val="left"/>
      </w:pPr>
      <w:r>
        <w:rPr/>
        <w:t>本公司因处置部分股权投资丧失了对被投资单位的共同控制或重大影响的，处置后的剩余股权改按金融工具确认和计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w:t>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17"/>
        <w:ind w:right="1131" w:firstLine="420"/>
        <w:jc w:val="both"/>
      </w:pPr>
      <w:r>
        <w:rPr/>
        <w:t>本公司通过多次交易分步处置对子公司股权投资直至丧失控制权，如果上述交易属于一揽子交易的，将各项交易作为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固定资产是指为生产商品、提供劳务、出租或经营管理而持有的，使用寿命超过一个会计年度的有形资产。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6.33-31.67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8"/>
        <w:ind w:left="1134" w:right="0" w:firstLine="420"/>
        <w:jc w:val="left"/>
      </w:pPr>
      <w:r>
        <w:rPr/>
        <w:t>在建工程成本按实际工程支出确定，包括在建期间发生的各项工程支出（包括工程达到预定可使用状态前的资本化的 借款费用）以及其他相关费用等。在建工程在达到预定可使用状态后结转为固定资产。</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2" w:firstLine="420"/>
        <w:jc w:val="both"/>
      </w:pPr>
      <w:r>
        <w:rPr/>
        <w:t>借款费用包括借款利息、折价或溢价的摊销、辅助费用以及因外币借款而发生的汇兑差额等。可直接归属于符合资本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7"/>
        <w:ind w:left="1134" w:right="1131" w:firstLine="420"/>
        <w:jc w:val="both"/>
      </w:pPr>
      <w:r>
        <w:rPr/>
        <w:t>专门借款当期实际发生的利息费用，减去尚未动用的借款资金存入银行取得的利息收入或进行暂时性投资取得的投资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1553" w:right="0"/>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符合资本化条件的资产指需要经过相当长时间的购建或者生产活动才能达到预定可使用或可销售状态的固定资产、投</w:t>
      </w:r>
    </w:p>
    <w:p>
      <w:pPr>
        <w:pStyle w:val="BodyText"/>
        <w:spacing w:line="316" w:lineRule="auto" w:before="19"/>
        <w:ind w:left="1424" w:right="0" w:hanging="291"/>
        <w:jc w:val="left"/>
      </w:pPr>
      <w:r>
        <w:rPr/>
        <w:t>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16" w:lineRule="auto" w:before="25"/>
        <w:ind w:left="1553" w:right="0"/>
        <w:jc w:val="left"/>
      </w:pPr>
      <w:r>
        <w:rPr/>
        <w:t>无形资产是指本公司拥有或者控制的没有实物形态的可辨认非货币性资产。 无形资产按成本进行初始计量。与无形资产有关的支出，如果相关的经济利益很可能流入本公司且其成本能可靠地计</w:t>
      </w:r>
    </w:p>
    <w:p>
      <w:pPr>
        <w:pStyle w:val="BodyText"/>
        <w:spacing w:line="316" w:lineRule="auto" w:before="19"/>
        <w:ind w:left="1553" w:right="0" w:hanging="420"/>
        <w:jc w:val="left"/>
      </w:pPr>
      <w:r>
        <w:rPr/>
        <w:t>量，则计入无形资产成本。除此以外的其他项目的支出，在发生时计入当期损益。 取得的土地使用权通常作为无形资产核算。自行开发建造厂房等建筑物，相关的土地使用权支出和建筑物建造成本则</w:t>
      </w:r>
    </w:p>
    <w:p>
      <w:pPr>
        <w:pStyle w:val="BodyText"/>
        <w:spacing w:line="316" w:lineRule="auto" w:before="19"/>
        <w:ind w:right="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left="1134" w:right="1133" w:firstLine="420"/>
        <w:jc w:val="both"/>
      </w:pPr>
      <w:r>
        <w:rPr/>
        <w:t>使用寿命有限的无形资产自可供使用时起，对其原值减去预计净残值和已计提的减值准备累计金额在其预计使用寿命 内采用直线法分期平均摊销。使用寿命不确定的无形资产不予摊销。</w:t>
      </w:r>
    </w:p>
    <w:p>
      <w:pPr>
        <w:pStyle w:val="BodyText"/>
        <w:spacing w:line="316" w:lineRule="auto" w:before="19"/>
        <w:ind w:left="1134" w:right="113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53" w:right="169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7"/>
        <w:ind w:left="1553" w:right="0"/>
        <w:jc w:val="left"/>
      </w:pPr>
      <w:r>
        <w:rPr/>
        <w:t>①完成该无形资产以使其能够使用或出售在技术上具有可行性；</w:t>
      </w:r>
    </w:p>
    <w:p>
      <w:pPr>
        <w:pStyle w:val="BodyText"/>
        <w:spacing w:line="240" w:lineRule="auto" w:before="76"/>
        <w:ind w:left="1554" w:right="0"/>
        <w:jc w:val="left"/>
      </w:pPr>
      <w:r>
        <w:rPr/>
        <w:t>②具有完成该无形资产并使用或出售的意图；</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20"/>
        <w:jc w:val="both"/>
      </w:pPr>
      <w:r>
        <w:rPr/>
        <w:t>③无形资产产生经济利益的方式，包括能够证明运用该无形资产生产的产品存在市场或无形资产自身存在市场，无形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1553" w:right="0"/>
        <w:jc w:val="left"/>
      </w:pPr>
      <w:r>
        <w:rPr/>
        <w:t>④有足够的技术、财务资源和其他资源支持，以完成该无形资产的开发，并有能力使用或出售该无形资产；</w:t>
      </w:r>
    </w:p>
    <w:p>
      <w:pPr>
        <w:pStyle w:val="BodyText"/>
        <w:spacing w:line="319" w:lineRule="auto" w:before="76"/>
        <w:ind w:left="1553" w:right="3853"/>
        <w:jc w:val="left"/>
      </w:pPr>
      <w:r>
        <w:rPr/>
        <w:t>⑤归属于该无形资产开发阶段的支出能够可靠地计量。 无法区分研究阶段支出和开发阶段支出的，将发生的研发支出全部计入当期损益。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2、长期资产减值" w:id="196"/>
      <w:bookmarkEnd w:id="19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42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w:t>
      </w:r>
      <w:r>
        <w:rPr/>
        <w:t> 每年均进行减值测试。</w:t>
      </w:r>
    </w:p>
    <w:p>
      <w:pPr>
        <w:pStyle w:val="BodyText"/>
        <w:spacing w:line="316" w:lineRule="auto" w:before="19"/>
        <w:ind w:left="1134" w:right="1131" w:firstLine="420"/>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9" w:lineRule="auto" w:before="19"/>
        <w:ind w:left="1134" w:right="1130" w:firstLine="420"/>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3"/>
        </w:rPr>
        <w:t> </w:t>
      </w:r>
      <w:r>
        <w:rPr>
          <w:spacing w:val="-63"/>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7"/>
        <w:ind w:left="155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63" w:firstLine="229"/>
        <w:jc w:val="left"/>
      </w:pPr>
      <w:r>
        <w:rPr/>
        <w:t>长期待摊费用为已经发生但应由报告期和以后各期负担的分摊期限在一年以上的各项费用。长期待摊费用在预计受益期 间按直线法摊销。</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0" w:firstLine="420"/>
        <w:jc w:val="both"/>
      </w:pPr>
      <w:r>
        <w:rPr/>
        <w:t>短期薪酬主要包括工资、奖金、津贴和补贴、职工福利费、医疗保险费、生育保险费、工伤保险费、住房公积金、工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离职后福利主要包括设定提存计划。设定提存计划主要包括基本养老保险、失业保险等，相应的应缴存金额于发生时 计入相关资产成本或当期损益。</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20"/>
        <w:jc w:val="both"/>
      </w:pPr>
      <w:r>
        <w:rPr/>
        <w:t>在职工劳动合同到期之前解除与职工的劳动关系，或为鼓励职工自愿接受裁减而提出给予补偿的建议，在本公司不能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316" w:lineRule="auto" w:before="17"/>
        <w:ind w:right="0" w:firstLine="420"/>
        <w:jc w:val="left"/>
      </w:pPr>
      <w:r>
        <w:rPr/>
        <w:t>职工内部退休计划采用上述辞退福利相同的原则处理。本公司将自职工停止提供服务日至正常退休日的期间拟支付的 内退人员工资和缴纳的社会保险费等，在符合预计负债确认条件时，计入当期损益（辞退福利）。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本公司向职工提供的其他长期职工福利，符合设定提存计划的，按照设定提存计划进行会计处理，除此之外按照设定 收益计划进行会计处理。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3" w:firstLine="420"/>
        <w:jc w:val="left"/>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）该义务是本公司承担的现时义务；（</w:t>
      </w:r>
      <w:r>
        <w:rPr>
          <w:rFonts w:ascii="Times New Roman" w:hAnsi="Times New Roman" w:cs="Times New Roman" w:eastAsia="Times New Roman" w:hint="default"/>
        </w:rPr>
        <w:t>2</w:t>
      </w:r>
      <w:r>
        <w:rPr/>
        <w:t>）履行该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134" w:right="0" w:firstLine="420"/>
        <w:jc w:val="left"/>
      </w:pPr>
      <w:r>
        <w:rPr/>
        <w:t>在资产负债表日，考虑与或有事项有关的风险、不确定性和货币时间价值等因素，按照履行相关现时义务所需支出的 最佳估计数对预计负债进行计量。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0" w:hanging="291"/>
        <w:jc w:val="left"/>
      </w:pPr>
      <w:r>
        <w:rPr/>
        <w:t>（</w:t>
      </w:r>
      <w:r>
        <w:rPr>
          <w:rFonts w:ascii="Times New Roman" w:hAnsi="Times New Roman" w:cs="Times New Roman" w:eastAsia="Times New Roman" w:hint="default"/>
        </w:rPr>
        <w:t>1</w:t>
      </w:r>
      <w:r>
        <w:rPr/>
        <w:t>）股份支付的会计处理方法 </w:t>
      </w:r>
      <w:r>
        <w:rPr>
          <w:spacing w:val="-1"/>
        </w:rPr>
        <w:t>股份支付是为了获取职工或其他方提供服务而授予权益工具或者承担以权益工具为基础确定的负债的交易。股份支付分</w:t>
      </w:r>
    </w:p>
    <w:p>
      <w:pPr>
        <w:pStyle w:val="BodyText"/>
        <w:spacing w:line="240" w:lineRule="auto" w:before="31"/>
        <w:ind w:left="1134" w:right="0"/>
        <w:jc w:val="left"/>
      </w:pPr>
      <w:r>
        <w:rPr/>
        <w:t>为以权益结算的股份支付和以现金结算的股份支付。</w:t>
      </w:r>
    </w:p>
    <w:p>
      <w:pPr>
        <w:pStyle w:val="BodyText"/>
        <w:spacing w:line="316" w:lineRule="auto" w:before="76"/>
        <w:ind w:left="1424" w:right="0"/>
        <w:jc w:val="left"/>
      </w:pPr>
      <w:r>
        <w:rPr/>
        <w:t>①以权益结算的股份支付 </w:t>
      </w:r>
      <w:r>
        <w:rPr>
          <w:spacing w:val="-1"/>
        </w:rPr>
        <w:t>用以换取职工提供的服务的权益结算的股份支付，以授予职工权益工具在授予日的公允价值计量。该公允价值的金额在</w:t>
      </w:r>
    </w:p>
    <w:p>
      <w:pPr>
        <w:pStyle w:val="BodyText"/>
        <w:spacing w:line="316" w:lineRule="auto" w:before="19"/>
        <w:ind w:left="1134"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left="1134" w:right="1132" w:firstLine="290"/>
        <w:jc w:val="both"/>
      </w:pPr>
      <w:r>
        <w:rPr>
          <w:spacing w:val="-1"/>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left="1134" w:right="1132" w:firstLine="290"/>
        <w:jc w:val="both"/>
      </w:pPr>
      <w:r>
        <w:rPr>
          <w:spacing w:val="-1"/>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1424" w:right="0"/>
        <w:jc w:val="left"/>
      </w:pPr>
      <w:r>
        <w:rPr/>
        <w:t>②以现金结算的股份支付 </w:t>
      </w:r>
      <w:r>
        <w:rPr>
          <w:spacing w:val="-1"/>
        </w:rPr>
        <w:t>以现金结算的股份支付，按照本公司承担的以股份或其他权益工具为基础确定的负债的公允价值计量。如授予后立即可</w:t>
      </w:r>
    </w:p>
    <w:p>
      <w:pPr>
        <w:pStyle w:val="BodyText"/>
        <w:spacing w:line="319" w:lineRule="auto" w:before="19"/>
        <w:ind w:left="1134"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7"/>
        <w:ind w:left="1424" w:right="0"/>
        <w:jc w:val="left"/>
      </w:pPr>
      <w:r>
        <w:rPr/>
        <w:t>在相关负债结算前的每个资产负债表日以及结算日，对负债的公允价值重新计量，其变动计入当期损益。</w:t>
      </w:r>
    </w:p>
    <w:p>
      <w:pPr>
        <w:pStyle w:val="BodyText"/>
        <w:spacing w:line="300" w:lineRule="auto" w:before="76"/>
        <w:ind w:left="1424" w:right="0" w:hanging="291"/>
        <w:jc w:val="left"/>
      </w:pPr>
      <w:r>
        <w:rPr/>
        <w:t>（</w:t>
      </w: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本公司对股份支付计划进行修改时，若修改增加了所授予权益工具的公允价值，按照权益工具公允价值的增加相应确认</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9" w:lineRule="auto" w:before="19"/>
        <w:ind w:right="1132" w:firstLine="290"/>
        <w:jc w:val="both"/>
      </w:pPr>
      <w:r>
        <w:rPr>
          <w:spacing w:val="-1"/>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240" w:lineRule="auto" w:before="28"/>
        <w:ind w:left="1134" w:right="0"/>
        <w:jc w:val="left"/>
      </w:pPr>
      <w:r>
        <w:rPr>
          <w:rFonts w:ascii="Times New Roman" w:hAnsi="Times New Roman" w:cs="Times New Roman" w:eastAsia="Times New Roman" w:hint="default"/>
        </w:rPr>
        <w:t>1</w:t>
      </w:r>
      <w:r>
        <w:rPr/>
        <w:t>、商品销售收入</w:t>
      </w:r>
    </w:p>
    <w:p>
      <w:pPr>
        <w:pStyle w:val="BodyText"/>
        <w:spacing w:line="316" w:lineRule="auto" w:before="63"/>
        <w:ind w:right="1133" w:firstLine="420"/>
        <w:jc w:val="both"/>
      </w:pPr>
      <w:r>
        <w:rPr/>
        <w:t>在已将商品所有权上的主要风险和报酬转移给买方，既没有保留通常与所有权相联系的继续管理权，也没有对已售商 </w:t>
      </w: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09" w:lineRule="auto" w:before="19"/>
        <w:ind w:left="1553" w:right="0"/>
        <w:jc w:val="left"/>
      </w:pPr>
      <w:r>
        <w:rPr/>
        <w:t>本公司商品销售主要有银行现金流转内控系统产品和银行自助设备现金管理系统产品，其收入的具体确认原则： </w:t>
      </w:r>
      <w:r>
        <w:rPr>
          <w:rFonts w:ascii="Times New Roman" w:hAnsi="Times New Roman" w:cs="Times New Roman" w:eastAsia="Times New Roman" w:hint="default"/>
        </w:rPr>
        <w:t>A</w:t>
      </w:r>
      <w:r>
        <w:rPr/>
        <w:t>、银行现金流转内控系统产品无需进行专门安装，在将产品交付给购买方后确认销售收入的实现。 </w:t>
      </w:r>
      <w:r>
        <w:rPr>
          <w:rFonts w:ascii="Times New Roman" w:hAnsi="Times New Roman" w:cs="Times New Roman" w:eastAsia="Times New Roman" w:hint="default"/>
          <w:spacing w:val="-2"/>
        </w:rPr>
        <w:t>B</w:t>
      </w:r>
      <w:r>
        <w:rPr>
          <w:spacing w:val="-2"/>
        </w:rPr>
        <w:t>、银行自助设备现金管理系统产品通常按照合同约定向购买方移交，并完成安装、调试工作，取得了购买方验收确认</w:t>
      </w:r>
    </w:p>
    <w:p>
      <w:pPr>
        <w:pStyle w:val="BodyText"/>
        <w:spacing w:line="240" w:lineRule="auto" w:before="5"/>
        <w:ind w:right="0"/>
        <w:jc w:val="left"/>
      </w:pPr>
      <w:r>
        <w:rPr/>
        <w:t>单据后确认销售收入的实现。</w:t>
      </w:r>
    </w:p>
    <w:p>
      <w:pPr>
        <w:pStyle w:val="BodyText"/>
        <w:spacing w:line="240" w:lineRule="auto" w:before="76"/>
        <w:ind w:right="0"/>
        <w:jc w:val="left"/>
      </w:pPr>
      <w:r>
        <w:rPr>
          <w:rFonts w:ascii="Times New Roman" w:hAnsi="Times New Roman" w:cs="Times New Roman" w:eastAsia="Times New Roman" w:hint="default"/>
        </w:rPr>
        <w:t>2</w:t>
      </w:r>
      <w:r>
        <w:rPr/>
        <w:t>、提供劳务收入</w:t>
      </w:r>
    </w:p>
    <w:p>
      <w:pPr>
        <w:pStyle w:val="BodyText"/>
        <w:spacing w:line="316" w:lineRule="auto" w:before="63"/>
        <w:ind w:left="1553" w:right="1025"/>
        <w:jc w:val="left"/>
      </w:pPr>
      <w:r>
        <w:rPr/>
        <w:t>在提供劳务交易的结果能够可靠估计的情况下，于资产负债表日按照完工百分比法确认提供的劳务收入。 </w:t>
      </w:r>
      <w:r>
        <w:rPr>
          <w:spacing w:val="-1"/>
        </w:rPr>
        <w:t>提供劳务交易的结果能够可靠估计是指同时满足：①收入的金额能够可靠地计量；②相关的经济利益很可能流入企业；</w:t>
      </w:r>
    </w:p>
    <w:p>
      <w:pPr>
        <w:pStyle w:val="BodyText"/>
        <w:spacing w:line="316" w:lineRule="auto" w:before="19"/>
        <w:ind w:left="1553" w:right="0" w:hanging="42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1553" w:right="0" w:hanging="420"/>
        <w:jc w:val="left"/>
      </w:pPr>
      <w:r>
        <w:rPr/>
        <w:t>并将已发生的劳务成本作为当期费用。已经发生的劳务成本如预计不能得到补偿的，则不确认收入。 本公司与其他企业签订的合同或协议包括销售商品和提供劳务时，如销售商品部分和提供劳务部分能够区分并单独计</w:t>
      </w:r>
    </w:p>
    <w:p>
      <w:pPr>
        <w:pStyle w:val="BodyText"/>
        <w:spacing w:line="316" w:lineRule="auto" w:before="19"/>
        <w:ind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240" w:lineRule="auto" w:before="19"/>
        <w:ind w:right="0"/>
        <w:jc w:val="left"/>
      </w:pPr>
      <w:r>
        <w:rPr>
          <w:rFonts w:ascii="Times New Roman" w:hAnsi="Times New Roman" w:cs="Times New Roman" w:eastAsia="Times New Roman" w:hint="default"/>
        </w:rPr>
        <w:t>3</w:t>
      </w:r>
      <w:r>
        <w:rPr/>
        <w:t>、使用费收入</w:t>
      </w:r>
    </w:p>
    <w:p>
      <w:pPr>
        <w:pStyle w:val="BodyText"/>
        <w:spacing w:line="240" w:lineRule="auto" w:before="63"/>
        <w:ind w:left="1553" w:right="0"/>
        <w:jc w:val="left"/>
      </w:pPr>
      <w:r>
        <w:rPr/>
        <w:t>根据有关合同或协议，按权责发生制确认收入。</w:t>
      </w:r>
    </w:p>
    <w:p>
      <w:pPr>
        <w:pStyle w:val="BodyText"/>
        <w:spacing w:line="240" w:lineRule="auto" w:before="76"/>
        <w:ind w:left="1134" w:right="0"/>
        <w:jc w:val="left"/>
      </w:pPr>
      <w:r>
        <w:rPr>
          <w:rFonts w:ascii="Times New Roman" w:hAnsi="Times New Roman" w:cs="Times New Roman" w:eastAsia="Times New Roman" w:hint="default"/>
        </w:rPr>
        <w:t>4</w:t>
      </w:r>
      <w:r>
        <w:rPr/>
        <w:t>、利息收入</w:t>
      </w:r>
    </w:p>
    <w:p>
      <w:pPr>
        <w:pStyle w:val="BodyText"/>
        <w:spacing w:line="240" w:lineRule="auto" w:before="63"/>
        <w:ind w:left="1554" w:right="0"/>
        <w:jc w:val="left"/>
      </w:pPr>
      <w:r>
        <w:rPr/>
        <w:t>按照他人使用本公司货币资金的时间和实际利率计算确定。</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208"/>
      <w:bookmarkEnd w:id="20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290"/>
        <w:jc w:val="left"/>
      </w:pPr>
      <w:r>
        <w:rPr/>
        <w:t>本公司将所取得的用于购建或以其他方式形成长期资产的政府补助界定为与资产相关的政府补助；若政府文件未明确规 定补助对象，则采用以下方式将补助款划分为与收益相关的政府补助和与资产相关的政府补助：（</w:t>
      </w:r>
      <w:r>
        <w:rPr>
          <w:rFonts w:ascii="Times New Roman" w:hAnsi="Times New Roman" w:cs="Times New Roman" w:eastAsia="Times New Roman" w:hint="default"/>
        </w:rPr>
        <w:t>1</w:t>
      </w:r>
      <w:r>
        <w:rPr/>
        <w:t>）政府文件明确了补助 </w:t>
      </w:r>
      <w:r>
        <w:rPr>
          <w:spacing w:val="-2"/>
        </w:rPr>
        <w:t>所针对的特定项目的，根据该特定项目的预算中将形成资产的支出金额和计入费用的支出金额的相对比例进行划分，对该划</w:t>
      </w:r>
      <w:r>
        <w:rPr>
          <w:spacing w:val="-64"/>
        </w:rPr>
        <w:t> </w:t>
      </w:r>
      <w:r>
        <w:rPr>
          <w:spacing w:val="-64"/>
        </w:rPr>
      </w:r>
      <w:r>
        <w:rPr>
          <w:spacing w:val="-2"/>
        </w:rPr>
        <w:t>分比例需在每个资产负债表日进行复核，必要时进行变更；（</w:t>
      </w:r>
      <w:r>
        <w:rPr>
          <w:rFonts w:ascii="Times New Roman" w:hAnsi="Times New Roman" w:cs="Times New Roman" w:eastAsia="Times New Roman" w:hint="default"/>
          <w:spacing w:val="-2"/>
        </w:rPr>
        <w:t>2</w:t>
      </w:r>
      <w:r>
        <w:rPr>
          <w:spacing w:val="-2"/>
        </w:rPr>
        <w:t>）政府文件中对用途仅作一般性表述，没有指明特定项目的，</w:t>
      </w:r>
      <w:r>
        <w:rPr>
          <w:spacing w:val="-64"/>
        </w:rPr>
        <w:t> </w:t>
      </w:r>
      <w:r>
        <w:rPr>
          <w:spacing w:val="-64"/>
        </w:rPr>
      </w:r>
      <w:r>
        <w:rPr/>
        <w:t>作为与收益相关的政府补助。</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290"/>
        <w:jc w:val="both"/>
      </w:pPr>
      <w:r>
        <w:rPr>
          <w:spacing w:val="-1"/>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right="1132" w:firstLine="290"/>
        <w:jc w:val="both"/>
      </w:pPr>
      <w:r>
        <w:rPr>
          <w:spacing w:val="-1"/>
        </w:rPr>
        <w:t>本公司对于政府补助通常在实际收到时，按照实收金额予以确认和计量。但对于期末有确凿证据表明能够符合财政扶持</w:t>
      </w:r>
      <w:r>
        <w:rPr/>
        <w:t> 政策规定的相关条件预计能够收到财政扶持资金，按照应收的金额计量。</w:t>
      </w:r>
    </w:p>
    <w:p>
      <w:pPr>
        <w:pStyle w:val="BodyText"/>
        <w:spacing w:line="240" w:lineRule="auto" w:before="19"/>
        <w:ind w:left="1424" w:right="0"/>
        <w:jc w:val="left"/>
      </w:pPr>
      <w:r>
        <w:rPr/>
        <w:t>与资产相关的政府补助，确认为递延收益，并在相关资产的使用寿命内按照合理、系统的方法分期计入当期损益。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与收益相关的政府补助判断依据及会计处理方法" w:id="209"/>
      <w:bookmarkEnd w:id="20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2"/>
        </w:rPr>
        <w:t>本公司将所取得的用于购建或以其他方式形成长期资产的政府补助界定为与资产相关的政府补助；其余政府补助界定为</w:t>
      </w:r>
      <w:r>
        <w:rPr/>
        <w:t> </w:t>
      </w:r>
      <w:r>
        <w:rPr>
          <w:spacing w:val="-2"/>
        </w:rPr>
        <w:t>与收益相关的政府补助。若政府文件未明确规定补助对象，则采用以下方式将补助款划分为与收益相关的政府补助和与资产</w:t>
      </w:r>
      <w:r>
        <w:rPr>
          <w:spacing w:val="-64"/>
        </w:rPr>
        <w:t> </w:t>
      </w:r>
      <w:r>
        <w:rPr>
          <w:spacing w:val="-64"/>
        </w:rPr>
      </w:r>
      <w:r>
        <w:rPr/>
        <w:t>相关的政府补助：（</w:t>
      </w:r>
      <w:r>
        <w:rPr>
          <w:rFonts w:ascii="Times New Roman" w:hAnsi="Times New Roman" w:cs="Times New Roman" w:eastAsia="Times New Roman" w:hint="default"/>
        </w:rPr>
        <w:t>1</w:t>
      </w:r>
      <w:r>
        <w:rPr/>
        <w:t>）政府文件明确了补助所针对的特定项目的，根据该特定项目的预算中将形成资产的支出金额和计入 费用的支出金额的相对比例进行划分，对该划分比例需在每个资产负债表日进行复核，必要时进行变更；（</w:t>
      </w:r>
      <w:r>
        <w:rPr>
          <w:rFonts w:ascii="Times New Roman" w:hAnsi="Times New Roman" w:cs="Times New Roman" w:eastAsia="Times New Roman" w:hint="default"/>
        </w:rPr>
        <w:t>2</w:t>
      </w:r>
      <w:r>
        <w:rPr/>
        <w:t>）政府文件中 对用途仅作一般性表述，没有指明特定项目的，作为与收益相关的政府补助。</w:t>
      </w:r>
    </w:p>
    <w:p>
      <w:pPr>
        <w:pStyle w:val="BodyText"/>
        <w:spacing w:line="316" w:lineRule="auto" w:before="24"/>
        <w:ind w:right="1131"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right="1132" w:firstLine="360"/>
        <w:jc w:val="both"/>
      </w:pPr>
      <w:r>
        <w:rPr>
          <w:spacing w:val="-2"/>
        </w:rPr>
        <w:t>本公司对于政府补助通常在实际收到时，按照实收金额予以确认和计量。但对于期末有确凿证据表明能够符合财政扶持</w:t>
      </w:r>
      <w:r>
        <w:rPr/>
        <w:t> 政策规定的相关条件预计能够收到财政扶持资金，按照应收的金额计量。</w:t>
      </w:r>
    </w:p>
    <w:p>
      <w:pPr>
        <w:pStyle w:val="BodyText"/>
        <w:spacing w:line="316" w:lineRule="auto" w:before="19"/>
        <w:ind w:right="1133" w:firstLine="360"/>
        <w:jc w:val="both"/>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pStyle w:val="BodyText"/>
        <w:spacing w:line="316" w:lineRule="auto" w:before="19"/>
        <w:ind w:left="1134" w:right="1133" w:firstLine="360"/>
        <w:jc w:val="both"/>
      </w:pPr>
      <w:r>
        <w:rPr>
          <w:spacing w:val="-2"/>
        </w:rPr>
        <w:t>同时包含与资产相关部分和与收益相关部分的政府补助，区分不同部分分别进行会计处理；难以区分的，将其整体归类</w:t>
      </w:r>
      <w:r>
        <w:rPr/>
        <w:t> 为与收益相关的政府补助。</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54" w:right="0"/>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6" w:lineRule="auto" w:before="31"/>
        <w:ind w:left="1134"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1553" w:right="0"/>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316" w:lineRule="auto" w:before="31"/>
        <w:ind w:right="1118"/>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left="1134" w:right="1131" w:firstLine="420"/>
        <w:jc w:val="both"/>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9" w:lineRule="auto" w:before="19"/>
        <w:ind w:right="1131" w:firstLine="420"/>
        <w:jc w:val="both"/>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7"/>
        <w:ind w:left="1134" w:right="1133" w:firstLine="420"/>
        <w:jc w:val="both"/>
      </w:pPr>
      <w:r>
        <w:rPr/>
        <w:t>对于能够结转以后年度的可抵扣亏损和税款抵减，以很可能获得用来抵扣可抵扣亏损和税款抵减的未来应纳税所得额 为限，确认相应的递延所得税资产。</w:t>
      </w:r>
    </w:p>
    <w:p>
      <w:pPr>
        <w:pStyle w:val="BodyText"/>
        <w:spacing w:line="240" w:lineRule="auto" w:before="19"/>
        <w:ind w:left="1554" w:right="0"/>
        <w:jc w:val="left"/>
      </w:pPr>
      <w:r>
        <w:rPr/>
        <w:t>资产负债表日，对于递延所得税资产和递延所得税负债，根据税法规定，按照预期收回相关资产或清偿相关负债期间</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118" w:hanging="420"/>
        <w:jc w:val="left"/>
      </w:pPr>
      <w:r>
        <w:rPr/>
        <w:t>的适用税率计量。 于资产负债表日，对递延所得税资产的账面价值进行复核，如果未来很可能无法获得足够的应纳税所得额用以抵扣递</w:t>
      </w:r>
    </w:p>
    <w:p>
      <w:pPr>
        <w:pStyle w:val="BodyText"/>
        <w:spacing w:line="240" w:lineRule="auto" w:before="19"/>
        <w:ind w:right="0"/>
        <w:jc w:val="left"/>
      </w:pPr>
      <w:r>
        <w:rPr/>
        <w:t>延所得税资产的利益，则减记递延所得税资产的账面价值。在很可能获得足够的应纳税所得额时，减记的金额予以转回。</w:t>
      </w:r>
    </w:p>
    <w:p>
      <w:pPr>
        <w:pStyle w:val="BodyText"/>
        <w:spacing w:line="300" w:lineRule="auto" w:before="76"/>
        <w:ind w:left="1554" w:right="691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134" w:right="0" w:firstLine="42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1554" w:right="0"/>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当拥有以净额结算的法定权利，且意图以净额结算或取得资产、清偿负债同时进行时，本公司当期所得税资产及当期</w:t>
      </w:r>
    </w:p>
    <w:p>
      <w:pPr>
        <w:pStyle w:val="BodyText"/>
        <w:spacing w:line="316" w:lineRule="auto" w:before="31"/>
        <w:ind w:left="1554" w:right="0" w:hanging="420"/>
        <w:jc w:val="left"/>
      </w:pPr>
      <w:r>
        <w:rPr/>
        <w:t>所得税负债以抵销后的净额列报。 当拥有以净额结算当期所得税资产及当期所得税负债的法定权利，且递延所得税资产及递延所得税负债是与同一税收</w:t>
      </w:r>
    </w:p>
    <w:p>
      <w:pPr>
        <w:pStyle w:val="BodyText"/>
        <w:spacing w:line="316" w:lineRule="auto" w:before="19"/>
        <w:ind w:left="1134"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54" w:right="0" w:hanging="420"/>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经营租赁的租金支出在租赁期内的各个期间按直线法计入相关资产成本或当期损益。初始直接费用计入当期损益。或</w:t>
      </w:r>
    </w:p>
    <w:p>
      <w:pPr>
        <w:pStyle w:val="BodyText"/>
        <w:spacing w:line="240" w:lineRule="auto" w:before="31"/>
        <w:ind w:left="1134" w:right="0"/>
        <w:jc w:val="left"/>
      </w:pPr>
      <w:r>
        <w:rPr/>
        <w:t>有租金于实际发生时计入当期损益。</w:t>
      </w:r>
    </w:p>
    <w:p>
      <w:pPr>
        <w:pStyle w:val="BodyText"/>
        <w:spacing w:line="300" w:lineRule="auto" w:before="77"/>
        <w:ind w:left="1423" w:right="0" w:hanging="290"/>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w:t>
      </w:r>
    </w:p>
    <w:p>
      <w:pPr>
        <w:pStyle w:val="BodyText"/>
        <w:spacing w:line="316" w:lineRule="auto" w:before="31"/>
        <w:ind w:left="1134" w:right="1132"/>
        <w:jc w:val="both"/>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54" w:right="0" w:hanging="420"/>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于租赁期开始日，将租赁开始日租赁资产的公允价值与最低租赁付款额现值两者中较低者作为租入资产的入账价值，</w:t>
      </w:r>
    </w:p>
    <w:p>
      <w:pPr>
        <w:pStyle w:val="BodyText"/>
        <w:spacing w:line="316" w:lineRule="auto" w:before="31"/>
        <w:ind w:left="1134" w:right="1132"/>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240" w:lineRule="auto" w:before="19"/>
        <w:ind w:left="1554" w:right="0"/>
        <w:jc w:val="left"/>
      </w:pPr>
      <w:r>
        <w:rPr/>
        <w:t>未确认融资费用在租赁期内采用实际利率法计算确认当期的融资费用。或有租金于实际发生时计入当期损益。</w:t>
      </w:r>
    </w:p>
    <w:p>
      <w:pPr>
        <w:pStyle w:val="BodyText"/>
        <w:spacing w:line="300" w:lineRule="auto" w:before="76"/>
        <w:ind w:left="1553" w:right="0" w:hanging="420"/>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于租赁期开始日，将租赁开始日最低租赁收款额与初始直接费用之和作为应收融资租赁款的入账价值，同时记录未担</w:t>
      </w:r>
    </w:p>
    <w:p>
      <w:pPr>
        <w:pStyle w:val="BodyText"/>
        <w:spacing w:line="316" w:lineRule="auto" w:before="31"/>
        <w:ind w:right="1133"/>
        <w:jc w:val="both"/>
      </w:pPr>
      <w:r>
        <w:rPr>
          <w:spacing w:val="-2"/>
        </w:rPr>
        <w:t>保余值；将最低租赁收款额、初始直接费用及未担保余值之和与其现值之和的差额确认为未实现融资收益。应收融资租赁款</w:t>
      </w:r>
      <w:r>
        <w:rPr>
          <w:spacing w:val="-66"/>
        </w:rPr>
        <w:t> </w:t>
      </w:r>
      <w:r>
        <w:rPr>
          <w:spacing w:val="-66"/>
        </w:rPr>
      </w:r>
      <w:r>
        <w:rPr/>
        <w:t>扣除未实现融资收益后的余额分别长期债权和一年内到期的长期债权列示。</w:t>
      </w:r>
    </w:p>
    <w:p>
      <w:pPr>
        <w:pStyle w:val="BodyText"/>
        <w:spacing w:line="240" w:lineRule="auto" w:before="19"/>
        <w:ind w:left="1424" w:right="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本公司在运用会计政策过程中，由于经营活动内在的不确定性，本公司需要对无法准确计量的报表项目的账面价值进 </w:t>
      </w:r>
      <w:r>
        <w:rPr>
          <w:spacing w:val="-4"/>
        </w:rPr>
        <w:t>行判断、估计和假设。这些判断、估计和假设是基于本公司管理层过去的历史经验，并在考虑其他相关因素的基础上做出的。</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9" w:lineRule="auto" w:before="19"/>
        <w:ind w:right="1133" w:firstLine="420"/>
        <w:jc w:val="both"/>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BodyText"/>
        <w:spacing w:line="240" w:lineRule="auto" w:before="17"/>
        <w:ind w:left="1553" w:right="0"/>
        <w:jc w:val="left"/>
      </w:pPr>
      <w:r>
        <w:rPr/>
        <w:t>于资产负债表日，本公司需对财务报表项目金额进行判断、估计和假设的重要领域如下：</w:t>
      </w:r>
    </w:p>
    <w:p>
      <w:pPr>
        <w:pStyle w:val="BodyText"/>
        <w:spacing w:line="300" w:lineRule="auto" w:before="76"/>
        <w:ind w:left="1554" w:right="0"/>
        <w:jc w:val="left"/>
      </w:pPr>
      <w:r>
        <w:rPr>
          <w:rFonts w:ascii="Times New Roman" w:hAnsi="Times New Roman" w:cs="Times New Roman" w:eastAsia="Times New Roman" w:hint="default"/>
        </w:rPr>
        <w:t>1</w:t>
      </w:r>
      <w:r>
        <w:rPr/>
        <w:t>、坏账准备计提 本公司根据应收款项的会计政策，采用备抵法核算坏账损失。应收账款减值是基于评估应收账款的可收回性。鉴定应</w:t>
      </w:r>
    </w:p>
    <w:p>
      <w:pPr>
        <w:pStyle w:val="BodyText"/>
        <w:spacing w:line="316" w:lineRule="auto" w:before="31"/>
        <w:ind w:left="1134" w:right="1131"/>
        <w:jc w:val="both"/>
      </w:pPr>
      <w:r>
        <w:rPr>
          <w:spacing w:val="-2"/>
        </w:rPr>
        <w:t>收账款减值要求管理层的判断和估计。实际的结果与原先估计的差异将在估计被改变的期间影响应收账款的账面价值及应收</w:t>
      </w:r>
      <w:r>
        <w:rPr>
          <w:spacing w:val="-64"/>
        </w:rPr>
        <w:t> </w:t>
      </w:r>
      <w:r>
        <w:rPr>
          <w:spacing w:val="-64"/>
        </w:rPr>
      </w:r>
      <w:r>
        <w:rPr/>
        <w:t>账款坏账准备的计提或转回。</w:t>
      </w:r>
    </w:p>
    <w:p>
      <w:pPr>
        <w:pStyle w:val="BodyText"/>
        <w:spacing w:line="300" w:lineRule="auto" w:before="19"/>
        <w:ind w:left="1554" w:right="0"/>
        <w:jc w:val="left"/>
      </w:pPr>
      <w:r>
        <w:rPr>
          <w:rFonts w:ascii="Times New Roman" w:hAnsi="Times New Roman" w:cs="Times New Roman" w:eastAsia="Times New Roman" w:hint="default"/>
        </w:rPr>
        <w:t>2</w:t>
      </w:r>
      <w:r>
        <w:rPr/>
        <w:t>、存货跌价准备 本公司根据存货会计政策，按照成本与可变现净值孰低计量，对成本高于可变现净值及陈旧和滞销的存货，计提存货</w:t>
      </w:r>
    </w:p>
    <w:p>
      <w:pPr>
        <w:pStyle w:val="BodyText"/>
        <w:spacing w:line="316" w:lineRule="auto" w:before="31"/>
        <w:ind w:left="1134" w:right="1132"/>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300" w:lineRule="auto" w:before="19"/>
        <w:ind w:left="1553" w:right="1118"/>
        <w:jc w:val="left"/>
      </w:pPr>
      <w:r>
        <w:rPr>
          <w:rFonts w:ascii="Times New Roman" w:hAnsi="Times New Roman" w:cs="Times New Roman" w:eastAsia="Times New Roman" w:hint="default"/>
        </w:rPr>
        <w:t>3</w:t>
      </w:r>
      <w:r>
        <w:rPr/>
        <w:t>、折旧和摊销 本公司对投资性房地产、固定资产和无形资产在考虑其残值后，在使用寿命内按直线法计提折旧和摊销。本公司定期</w:t>
      </w:r>
    </w:p>
    <w:p>
      <w:pPr>
        <w:pStyle w:val="BodyText"/>
        <w:spacing w:line="316" w:lineRule="auto" w:before="31"/>
        <w:ind w:right="1132"/>
        <w:jc w:val="both"/>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00" w:lineRule="auto" w:before="19"/>
        <w:ind w:left="1554" w:right="0"/>
        <w:jc w:val="left"/>
      </w:pPr>
      <w:r>
        <w:rPr>
          <w:rFonts w:ascii="Times New Roman" w:hAnsi="Times New Roman" w:cs="Times New Roman" w:eastAsia="Times New Roman" w:hint="default"/>
        </w:rPr>
        <w:t>4</w:t>
      </w:r>
      <w:r>
        <w:rPr/>
        <w:t>、递延所得税资产 在很有可能有足够的应纳税利润来抵扣亏损的限度内，本公司就所有未利用的税务亏损确认递延所得税资产。这需要</w:t>
      </w:r>
    </w:p>
    <w:p>
      <w:pPr>
        <w:pStyle w:val="BodyText"/>
        <w:spacing w:line="319" w:lineRule="auto" w:before="31"/>
        <w:ind w:left="1134" w:right="1132"/>
        <w:jc w:val="both"/>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00" w:lineRule="auto" w:before="17"/>
        <w:ind w:left="1553" w:right="1118"/>
        <w:jc w:val="left"/>
      </w:pPr>
      <w:r>
        <w:rPr>
          <w:rFonts w:ascii="Times New Roman" w:hAnsi="Times New Roman" w:cs="Times New Roman" w:eastAsia="Times New Roman" w:hint="default"/>
        </w:rPr>
        <w:t>5</w:t>
      </w:r>
      <w:r>
        <w:rPr/>
        <w:t>、所得税 本公司在正常的经营活动中，有部分交易其最终的税务处理和计算存在一定的不确定性。部分项目是否能够在税前列</w:t>
      </w:r>
    </w:p>
    <w:p>
      <w:pPr>
        <w:pStyle w:val="BodyText"/>
        <w:spacing w:line="316" w:lineRule="auto" w:before="31"/>
        <w:ind w:right="1130"/>
        <w:jc w:val="both"/>
      </w:pPr>
      <w:r>
        <w:rPr>
          <w:spacing w:val="-2"/>
        </w:rPr>
        <w:t>支需要税收主管机关的审批。如果这些税务事项的最终认定结果同最初估计的金额存在差异，则该差异将对其最终认定期间</w:t>
      </w:r>
      <w:r>
        <w:rPr>
          <w:spacing w:val="-63"/>
        </w:rPr>
        <w:t> </w:t>
      </w:r>
      <w:r>
        <w:rPr>
          <w:spacing w:val="-63"/>
        </w:rPr>
      </w:r>
      <w:r>
        <w:rPr/>
        <w:t>的当期所得税和递延所得税产生影响。</w:t>
      </w:r>
    </w:p>
    <w:p>
      <w:pPr>
        <w:pStyle w:val="BodyText"/>
        <w:spacing w:line="300" w:lineRule="auto" w:before="19"/>
        <w:ind w:left="1553" w:right="1118"/>
        <w:jc w:val="left"/>
      </w:pPr>
      <w:r>
        <w:rPr>
          <w:rFonts w:ascii="Times New Roman" w:hAnsi="Times New Roman" w:cs="Times New Roman" w:eastAsia="Times New Roman" w:hint="default"/>
        </w:rPr>
        <w:t>6</w:t>
      </w:r>
      <w:r>
        <w:rPr/>
        <w:t>、预计负债 本公司根据合约条款、现有知识及历史经验，对产品质量保证、预计合同亏损、延迟交货违约金等估计并计提相应准</w:t>
      </w:r>
    </w:p>
    <w:p>
      <w:pPr>
        <w:pStyle w:val="BodyText"/>
        <w:spacing w:line="316" w:lineRule="auto" w:before="31"/>
        <w:ind w:right="1133"/>
        <w:jc w:val="both"/>
      </w:pPr>
      <w:r>
        <w:rPr>
          <w:spacing w:val="-2"/>
        </w:rPr>
        <w:t>备。在该等或有事项已经形成一项现时义务，且履行该等现时义务很可能导致经济利益流出本公司的情况下，本公司对或有</w:t>
      </w:r>
      <w:r>
        <w:rPr>
          <w:spacing w:val="-66"/>
        </w:rPr>
        <w:t> </w:t>
      </w:r>
      <w:r>
        <w:rPr>
          <w:spacing w:val="-66"/>
        </w:rPr>
      </w:r>
      <w:r>
        <w:rPr/>
        <w:t>事项按履行相关现时义务所需支出的最佳估计数确认为预计负债。预计负债的确认和计量在很大程度上依赖于管理层的判</w:t>
      </w:r>
      <w:r>
        <w:rPr>
          <w:spacing w:val="-9"/>
        </w:rPr>
        <w:t> </w:t>
      </w:r>
      <w:r>
        <w:rPr>
          <w:spacing w:val="-9"/>
        </w:rPr>
      </w:r>
      <w:r>
        <w:rPr/>
        <w:t>断。在进行判断过程中本公司需评估该等或有事项相关的风险、不确定性及货币时间价值等因素。</w:t>
      </w:r>
    </w:p>
    <w:p>
      <w:pPr>
        <w:pStyle w:val="BodyText"/>
        <w:spacing w:line="316" w:lineRule="auto" w:before="19"/>
        <w:ind w:right="1130" w:firstLine="420"/>
        <w:jc w:val="both"/>
      </w:pPr>
      <w:r>
        <w:rPr/>
        <w:t>其中，本公司会就出售、维修及改造所售商品向客户提供的售后质量维修承诺预计负债。预计负债时已考虑本公司近 </w:t>
      </w:r>
      <w:r>
        <w:rPr>
          <w:spacing w:val="-2"/>
        </w:rPr>
        <w:t>期的维修经验数据，但近期的维修经验可能无法反映将来的维修情况。这项准备的任何增加或减少，均可能影响未来年度的</w:t>
      </w:r>
      <w:r>
        <w:rPr>
          <w:spacing w:val="-66"/>
        </w:rPr>
        <w:t> </w:t>
      </w:r>
      <w:r>
        <w:rPr>
          <w:spacing w:val="-66"/>
        </w:rPr>
      </w:r>
      <w:r>
        <w:rPr/>
        <w:t>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日，财政部颁布了财会</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日召开第二届董 事会第十二次会议及第二届监事会第十</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194"/>
        <w:gridCol w:w="3190"/>
        <w:gridCol w:w="3189"/>
      </w:tblGrid>
      <w:tr>
        <w:trPr>
          <w:trHeight w:val="161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宋体" w:hAnsi="宋体" w:cs="宋体" w:eastAsia="宋体" w:hint="default"/>
                <w:spacing w:val="-90"/>
                <w:sz w:val="18"/>
                <w:szCs w:val="18"/>
              </w:rPr>
              <w:t>》</w:t>
            </w:r>
            <w:r>
              <w:rPr>
                <w:rFonts w:ascii="宋体" w:hAnsi="宋体" w:cs="宋体" w:eastAsia="宋体" w:hint="default"/>
                <w:sz w:val="18"/>
                <w:szCs w:val="18"/>
              </w:rPr>
              <w:t>，自</w:t>
            </w:r>
          </w:p>
          <w:p>
            <w:pPr>
              <w:pStyle w:val="TableParagraph"/>
              <w:spacing w:line="312" w:lineRule="auto" w:before="6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日起施行。由于上述会计</w:t>
            </w:r>
            <w:r>
              <w:rPr>
                <w:rFonts w:ascii="宋体" w:hAnsi="宋体" w:cs="宋体" w:eastAsia="宋体" w:hint="default"/>
                <w:sz w:val="18"/>
                <w:szCs w:val="18"/>
              </w:rPr>
              <w:t> 准则的颁布，公司需对会计政策进行相 应变更，并按以上文件规定的起始日开 始执行上述会计准则。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二次会议，审议通过了《关于会计政策 </w:t>
            </w:r>
            <w:r>
              <w:rPr>
                <w:rFonts w:ascii="宋体" w:hAnsi="宋体" w:cs="宋体" w:eastAsia="宋体" w:hint="default"/>
                <w:spacing w:val="-6"/>
                <w:sz w:val="18"/>
                <w:szCs w:val="18"/>
              </w:rPr>
              <w:t>变更的议案》，独立董事对本次会计政策</w:t>
            </w:r>
            <w:r>
              <w:rPr>
                <w:rFonts w:ascii="宋体" w:hAnsi="宋体" w:cs="宋体" w:eastAsia="宋体" w:hint="default"/>
                <w:sz w:val="18"/>
                <w:szCs w:val="18"/>
              </w:rPr>
              <w:t> 变更事项发表了同意意见。</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8"/>
      <w:bookmarkEnd w:id="2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9"/>
      <w:bookmarkEnd w:id="21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0"/>
        <w:jc w:val="left"/>
      </w:pPr>
      <w:r>
        <w:rPr/>
        <w:t>（</w:t>
      </w:r>
      <w:r>
        <w:rPr>
          <w:rFonts w:ascii="Times New Roman" w:hAnsi="Times New Roman" w:cs="Times New Roman" w:eastAsia="Times New Roman" w:hint="default"/>
        </w:rPr>
        <w:t>1</w:t>
      </w:r>
      <w:r>
        <w:rPr/>
        <w:t>）增值税</w:t>
      </w:r>
    </w:p>
    <w:p>
      <w:pPr>
        <w:pStyle w:val="BodyText"/>
        <w:spacing w:line="300" w:lineRule="auto" w:before="63"/>
        <w:ind w:right="1130" w:firstLine="420"/>
        <w:jc w:val="both"/>
      </w:pPr>
      <w:r>
        <w:rPr>
          <w:spacing w:val="-1"/>
        </w:rPr>
        <w:t>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日经广东省信息产业厅认定为软件企业，取得粤</w:t>
      </w:r>
      <w:r>
        <w:rPr>
          <w:rFonts w:ascii="Times New Roman" w:hAnsi="Times New Roman" w:cs="Times New Roman" w:eastAsia="Times New Roman" w:hint="default"/>
          <w:spacing w:val="-1"/>
        </w:rPr>
        <w:t>R-2010-0131</w:t>
      </w:r>
      <w:r>
        <w:rPr>
          <w:spacing w:val="-1"/>
        </w:rPr>
        <w:t>号软件企业认定证书，</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w:t>
      </w:r>
      <w:r>
        <w:rPr/>
        <w:t> 经重新认定，换领了粤</w:t>
      </w:r>
      <w:r>
        <w:rPr>
          <w:rFonts w:ascii="Times New Roman" w:hAnsi="Times New Roman" w:cs="Times New Roman" w:eastAsia="Times New Roman" w:hint="default"/>
        </w:rPr>
        <w:t>R-2013-0338</w:t>
      </w:r>
      <w:r>
        <w:rPr/>
        <w:t>号软件企业认定证书。根据国发</w:t>
      </w:r>
      <w:r>
        <w:rPr>
          <w:rFonts w:ascii="Times New Roman" w:hAnsi="Times New Roman" w:cs="Times New Roman" w:eastAsia="Times New Roman" w:hint="default"/>
        </w:rPr>
        <w:t>[2011]4</w:t>
      </w:r>
      <w:r>
        <w:rPr/>
        <w:t>号《国务院关于印发进一步鼓励软件产业和集成</w:t>
      </w:r>
      <w:r>
        <w:rPr>
          <w:spacing w:val="-85"/>
        </w:rPr>
        <w:t> </w:t>
      </w:r>
      <w:r>
        <w:rPr>
          <w:spacing w:val="-85"/>
        </w:rPr>
      </w:r>
      <w:r>
        <w:rPr/>
        <w:t>电路产业发展若干政策的通知》、财税</w:t>
      </w:r>
      <w:r>
        <w:rPr>
          <w:spacing w:val="-26"/>
        </w:rPr>
        <w:t> </w:t>
      </w:r>
      <w:r>
        <w:rPr>
          <w:rFonts w:ascii="Times New Roman" w:hAnsi="Times New Roman" w:cs="Times New Roman" w:eastAsia="Times New Roman" w:hint="default"/>
        </w:rPr>
        <w:t>[2011]100</w:t>
      </w:r>
      <w:r>
        <w:rPr/>
        <w:t>号《关于软件产品增值税政策的通知》，本公司销售自行开发生产的软件 产品，按</w:t>
      </w:r>
      <w:r>
        <w:rPr>
          <w:rFonts w:ascii="Times New Roman" w:hAnsi="Times New Roman" w:cs="Times New Roman" w:eastAsia="Times New Roman" w:hint="default"/>
        </w:rPr>
        <w:t>17%</w:t>
      </w:r>
      <w:r>
        <w:rPr/>
        <w:t>税率征收增值税后，对实际税负超过</w:t>
      </w:r>
      <w:r>
        <w:rPr>
          <w:rFonts w:ascii="Times New Roman" w:hAnsi="Times New Roman" w:cs="Times New Roman" w:eastAsia="Times New Roman" w:hint="default"/>
        </w:rPr>
        <w:t>3%</w:t>
      </w:r>
      <w:r>
        <w:rPr/>
        <w:t>的部分实行即征即退政策。</w:t>
      </w:r>
    </w:p>
    <w:p>
      <w:pPr>
        <w:pStyle w:val="BodyText"/>
        <w:spacing w:line="300" w:lineRule="auto" w:before="13"/>
        <w:ind w:right="1117" w:firstLine="420"/>
        <w:jc w:val="left"/>
      </w:pPr>
      <w:r>
        <w:rPr/>
        <w:t>（</w:t>
      </w:r>
      <w:r>
        <w:rPr>
          <w:rFonts w:ascii="Times New Roman" w:hAnsi="Times New Roman" w:cs="Times New Roman" w:eastAsia="Times New Roman" w:hint="default"/>
        </w:rPr>
        <w:t>2</w:t>
      </w:r>
      <w:r>
        <w:rPr/>
        <w:t>）企业所得税 </w:t>
      </w:r>
      <w:r>
        <w:rPr>
          <w:spacing w:val="6"/>
        </w:rPr>
        <w:t>本公司于</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29</w:t>
      </w:r>
      <w:r>
        <w:rPr>
          <w:spacing w:val="6"/>
        </w:rPr>
        <w:t>日取得广东省科学技术厅、广东省财政厅、广东省国家税务局、广东省地方税务局颁发的编号为</w:t>
      </w:r>
      <w:r>
        <w:rPr>
          <w:spacing w:val="-63"/>
        </w:rPr>
        <w:t> </w:t>
      </w:r>
      <w:r>
        <w:rPr>
          <w:spacing w:val="-63"/>
        </w:rPr>
      </w:r>
      <w:r>
        <w:rPr>
          <w:rFonts w:ascii="Times New Roman" w:hAnsi="Times New Roman" w:cs="Times New Roman" w:eastAsia="Times New Roman" w:hint="default"/>
          <w:spacing w:val="-1"/>
        </w:rPr>
        <w:t>GR201144000043</w:t>
      </w:r>
      <w:r>
        <w:rPr>
          <w:spacing w:val="-1"/>
        </w:rPr>
        <w:t>的《高新技术企业证书》，被认定为高新技术企业，有效期为三年；于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9</w:t>
      </w:r>
      <w:r>
        <w:rPr>
          <w:spacing w:val="-1"/>
        </w:rPr>
        <w:t>日通过高新技术企业复</w:t>
      </w:r>
      <w:r>
        <w:rPr/>
        <w:t> 审，取得编号为</w:t>
      </w:r>
      <w:r>
        <w:rPr>
          <w:rFonts w:ascii="Times New Roman" w:hAnsi="Times New Roman" w:cs="Times New Roman" w:eastAsia="Times New Roman" w:hint="default"/>
        </w:rPr>
        <w:t>GF201444000315</w:t>
      </w:r>
      <w:r>
        <w:rPr/>
        <w:t>的《高新技术企业证书》，有效期为三年。根据《中华人民共和国企业所得税法》第二十</w:t>
      </w:r>
      <w:r>
        <w:rPr>
          <w:spacing w:val="-51"/>
        </w:rPr>
        <w:t> </w:t>
      </w:r>
      <w:r>
        <w:rPr>
          <w:spacing w:val="-51"/>
        </w:rPr>
      </w:r>
      <w:r>
        <w:rPr>
          <w:spacing w:val="-4"/>
        </w:rPr>
        <w:t>八条规定，</w:t>
      </w:r>
      <w:r>
        <w:rPr>
          <w:rFonts w:ascii="Times New Roman" w:hAnsi="Times New Roman" w:cs="Times New Roman" w:eastAsia="Times New Roman" w:hint="default"/>
          <w:spacing w:val="-4"/>
        </w:rPr>
        <w:t>“</w:t>
      </w:r>
      <w:r>
        <w:rPr>
          <w:spacing w:val="-4"/>
        </w:rPr>
        <w:t>国家需要重点扶持的高新技术企业，减按</w:t>
      </w:r>
      <w:r>
        <w:rPr>
          <w:rFonts w:ascii="Times New Roman" w:hAnsi="Times New Roman" w:cs="Times New Roman" w:eastAsia="Times New Roman" w:hint="default"/>
          <w:spacing w:val="-4"/>
        </w:rPr>
        <w:t>15%</w:t>
      </w:r>
      <w:r>
        <w:rPr>
          <w:spacing w:val="-4"/>
        </w:rPr>
        <w:t>的税率征收企业所得税</w:t>
      </w:r>
      <w:r>
        <w:rPr>
          <w:rFonts w:ascii="Times New Roman" w:hAnsi="Times New Roman" w:cs="Times New Roman" w:eastAsia="Times New Roman" w:hint="default"/>
          <w:spacing w:val="-4"/>
        </w:rPr>
        <w:t>”</w:t>
      </w:r>
      <w:r>
        <w:rPr>
          <w:spacing w:val="-4"/>
        </w:rPr>
        <w:t>，本公司自</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日开始连续六年（即</w:t>
      </w:r>
      <w:r>
        <w:rPr>
          <w:spacing w:val="-65"/>
        </w:rPr>
        <w:t> </w:t>
      </w:r>
      <w:r>
        <w:rPr>
          <w:spacing w:val="-65"/>
        </w:rPr>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年）享受国家关于高新技术企业的相关优惠政策，按</w:t>
      </w:r>
      <w:r>
        <w:rPr>
          <w:rFonts w:ascii="Times New Roman" w:hAnsi="Times New Roman" w:cs="Times New Roman" w:eastAsia="Times New Roman" w:hint="default"/>
          <w:spacing w:val="-2"/>
        </w:rPr>
        <w:t>15</w:t>
      </w:r>
      <w:r>
        <w:rPr>
          <w:spacing w:val="-2"/>
        </w:rPr>
        <w:t>％的税率征收企业所得税。全国高新技术企业认定管理</w:t>
      </w:r>
      <w:r>
        <w:rPr>
          <w:spacing w:val="-56"/>
        </w:rPr>
        <w:t> </w:t>
      </w:r>
      <w:r>
        <w:rPr>
          <w:spacing w:val="-56"/>
        </w:rPr>
      </w:r>
      <w:r>
        <w:rPr>
          <w:spacing w:val="-2"/>
        </w:rPr>
        <w:t>工作领导小组办公室于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09</w:t>
      </w:r>
      <w:r>
        <w:rPr>
          <w:spacing w:val="-2"/>
        </w:rPr>
        <w:t>日公示《关于公示广东省</w:t>
      </w:r>
      <w:r>
        <w:rPr>
          <w:rFonts w:ascii="Times New Roman" w:hAnsi="Times New Roman" w:cs="Times New Roman" w:eastAsia="Times New Roman" w:hint="default"/>
          <w:spacing w:val="-2"/>
        </w:rPr>
        <w:t>2017</w:t>
      </w:r>
      <w:r>
        <w:rPr>
          <w:spacing w:val="-2"/>
        </w:rPr>
        <w:t>年第一批拟认定高新技术企业名单的通知》，公司被认定</w:t>
      </w:r>
      <w:r>
        <w:rPr>
          <w:spacing w:val="-54"/>
        </w:rPr>
        <w:t> </w:t>
      </w:r>
      <w:r>
        <w:rPr>
          <w:spacing w:val="-54"/>
        </w:rPr>
      </w:r>
      <w:r>
        <w:rPr/>
        <w:t>为高新技术企业，</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15</w:t>
      </w:r>
      <w:r>
        <w:rPr/>
        <w:t>％的税率征收企业所得税。</w:t>
      </w:r>
    </w:p>
    <w:p>
      <w:pPr>
        <w:spacing w:after="0" w:line="30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7693"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4"/>
      <w:bookmarkEnd w:id="22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6,870.30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514,426,272.80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138,581,503.95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514,554,542.06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138,688,374.25</w:t>
            </w:r>
          </w:p>
        </w:tc>
      </w:tr>
    </w:tbl>
    <w:p>
      <w:pPr>
        <w:pStyle w:val="BodyText"/>
        <w:spacing w:line="357" w:lineRule="auto" w:before="51"/>
        <w:ind w:right="1663"/>
        <w:jc w:val="left"/>
      </w:pPr>
      <w:r>
        <w:rPr/>
        <w:t>其他说明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日止，其他货币资金</w:t>
      </w:r>
      <w:r>
        <w:rPr>
          <w:rFonts w:ascii="Times New Roman" w:hAnsi="Times New Roman" w:cs="Times New Roman" w:eastAsia="Times New Roman" w:hint="default"/>
        </w:rPr>
        <w:t>100,000.00</w:t>
      </w:r>
      <w:r>
        <w:rPr/>
        <w:t>元为受限的保证金，已从现金流量表的现金及现金等价物中扣除。</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7"/>
      <w:bookmarkEnd w:id="22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8"/>
      <w:bookmarkEnd w:id="22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10,280,540.00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10,280,540.00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29"/>
      <w:bookmarkEnd w:id="229"/>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公司已背书或贴现且在资产负债表日尚未到期的应收票据" w:id="230"/>
      <w:bookmarkEnd w:id="23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31"/>
      <w:bookmarkEnd w:id="231"/>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232"/>
      <w:bookmarkEnd w:id="23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33"/>
      <w:bookmarkEnd w:id="23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555.51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11,040,9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105,711,6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50,780,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736.28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5,971,778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44,808,957.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555.51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11,040,9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105,711,6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41.83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50,780,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736.28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5,971,778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44,808,957.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87,312,565.17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4,365,628.26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13,327,532.20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1,332,753.22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7,111,139.38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1,422,227.88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6,232,835.24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1,869,850.57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1,436,059.55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718,029.78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1,332,423.97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1,332,423.97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116,752,555.51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11,040,913.68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r>
    </w:tbl>
    <w:p>
      <w:pPr>
        <w:pStyle w:val="BodyText"/>
        <w:spacing w:line="338" w:lineRule="auto" w:before="51"/>
        <w:ind w:right="0"/>
        <w:jc w:val="left"/>
      </w:pPr>
      <w:r>
        <w:rPr/>
        <w:t>确定该组合依据的说明： </w:t>
      </w:r>
      <w:r>
        <w:rPr>
          <w:spacing w:val="-2"/>
        </w:rPr>
        <w:t>已单独计提减值准备的应收账款除外，公司根据以前年度与之相同或相类似的，按账龄段划分的具有类似信用风险特征的应</w:t>
      </w:r>
      <w:r>
        <w:rPr>
          <w:spacing w:val="-64"/>
        </w:rPr>
        <w:t> </w:t>
      </w:r>
      <w:r>
        <w:rPr>
          <w:spacing w:val="-64"/>
        </w:rPr>
      </w:r>
      <w:r>
        <w:rPr/>
        <w:t>收账款组合的实际损失率为基础，结合现时情况分析法确定坏账准备计提的比例。</w:t>
      </w:r>
    </w:p>
    <w:p>
      <w:pPr>
        <w:pStyle w:val="BodyText"/>
        <w:spacing w:line="240" w:lineRule="auto" w:before="43"/>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5,069,135.09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235"/>
      <w:bookmarkEnd w:id="23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134" w:right="8412"/>
        <w:jc w:val="left"/>
      </w:pPr>
      <w:r>
        <w:rPr/>
        <w:t>应收账款核销说明： 本年无实际核销的应收账款。</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按欠款方归集的期末余额前五名的应收账款情况" w:id="236"/>
      <w:bookmarkEnd w:id="23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00" w:lineRule="auto" w:before="25"/>
        <w:ind w:right="0" w:firstLine="420"/>
        <w:jc w:val="left"/>
      </w:pPr>
      <w:r>
        <w:rPr/>
        <w:t>本公司本年按欠款方归集的年末余额前五名应收账款汇总金额为</w:t>
      </w:r>
      <w:r>
        <w:rPr>
          <w:rFonts w:ascii="Times New Roman" w:hAnsi="Times New Roman" w:cs="Times New Roman" w:eastAsia="Times New Roman" w:hint="default"/>
        </w:rPr>
        <w:t>26,820,517.17</w:t>
      </w:r>
      <w:r>
        <w:rPr/>
        <w:t>元，占应收账款年末余额合计数的比例 为</w:t>
      </w:r>
      <w:r>
        <w:rPr>
          <w:rFonts w:ascii="Times New Roman" w:hAnsi="Times New Roman" w:cs="Times New Roman" w:eastAsia="Times New Roman" w:hint="default"/>
        </w:rPr>
        <w:t>22.97%</w:t>
      </w:r>
      <w:r>
        <w:rPr/>
        <w:t>，相应计提的坏账准备年末余额汇总金额为</w:t>
      </w:r>
      <w:r>
        <w:rPr>
          <w:rFonts w:ascii="Times New Roman" w:hAnsi="Times New Roman" w:cs="Times New Roman" w:eastAsia="Times New Roman" w:hint="default"/>
        </w:rPr>
        <w:t>2,903,002.34</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因金融资产转移而终止确认的应收账款" w:id="237"/>
      <w:bookmarkEnd w:id="23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本年无因金融资产转移而终止确认的应收账款。</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6）转移应收账款且继续涉入形成的资产、负债金额" w:id="238"/>
      <w:bookmarkEnd w:id="23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本年无转移应收账款且继续涉入形成的资产、负债金额。</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预付款项" w:id="239"/>
      <w:bookmarkEnd w:id="239"/>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0"/>
      <w:bookmarkEnd w:id="24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1,464,384.83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1,895,419.31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430,869.81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11,888.08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1,895,254.64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1,907,307.39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按预付对象归集的期末余额前五名的预付款情况" w:id="241"/>
      <w:bookmarkEnd w:id="24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2"/>
        <w:jc w:val="right"/>
      </w:pPr>
      <w:r>
        <w:rPr>
          <w:spacing w:val="2"/>
        </w:rPr>
        <w:t>本公司按预付对象归集的年末余额前五名预付账款汇总金额为</w:t>
      </w:r>
      <w:r>
        <w:rPr>
          <w:rFonts w:ascii="Times New Roman" w:hAnsi="Times New Roman" w:cs="Times New Roman" w:eastAsia="Times New Roman" w:hint="default"/>
          <w:spacing w:val="2"/>
        </w:rPr>
        <w:t>1,036,799.45</w:t>
      </w:r>
      <w:r>
        <w:rPr>
          <w:spacing w:val="2"/>
        </w:rPr>
        <w:t>元，占预付账款年末余额合计数的比例为</w:t>
      </w:r>
    </w:p>
    <w:p>
      <w:pPr>
        <w:pStyle w:val="BodyText"/>
        <w:spacing w:line="240" w:lineRule="auto" w:before="63"/>
        <w:ind w:right="0"/>
        <w:jc w:val="left"/>
      </w:pPr>
      <w:r>
        <w:rPr>
          <w:rFonts w:ascii="Times New Roman" w:hAnsi="Times New Roman" w:cs="Times New Roman" w:eastAsia="Times New Roman" w:hint="default"/>
        </w:rPr>
        <w:t>54.71%</w:t>
      </w:r>
      <w:r>
        <w:rPr/>
        <w:t>。</w:t>
      </w:r>
    </w:p>
    <w:p>
      <w:pPr>
        <w:pStyle w:val="BodyText"/>
        <w:spacing w:line="240" w:lineRule="auto" w:before="103"/>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应收利息" w:id="242"/>
      <w:bookmarkEnd w:id="242"/>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43"/>
      <w:bookmarkEnd w:id="243"/>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706,917.81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706,917.81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逾期利息" w:id="244"/>
      <w:bookmarkEnd w:id="244"/>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应收股利" w:id="245"/>
      <w:bookmarkEnd w:id="245"/>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股利" w:id="246"/>
      <w:bookmarkEnd w:id="246"/>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的账龄超过1年的应收股利" w:id="247"/>
      <w:bookmarkEnd w:id="247"/>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48"/>
      <w:bookmarkEnd w:id="248"/>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9"/>
      <w:bookmarkEnd w:id="24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2,919,56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2.89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494,996.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2,424,566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1,569,5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264,515.3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1,305,054.2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2,919,56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2.89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494,996.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16.95%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1,569,5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264,515.3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16.85%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3"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1,621,704.04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81,085.20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389,250.73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38,925.07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319,410.68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63,882.14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2,919,562.89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494,996.13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16.95%</w:t>
            </w:r>
          </w:p>
        </w:tc>
      </w:tr>
    </w:tbl>
    <w:p>
      <w:pPr>
        <w:pStyle w:val="BodyText"/>
        <w:spacing w:line="357" w:lineRule="auto" w:before="51"/>
        <w:ind w:left="1134" w:right="0"/>
        <w:jc w:val="left"/>
      </w:pPr>
      <w:r>
        <w:rPr/>
        <w:t>确定该组合依据的说明： </w:t>
      </w:r>
      <w:r>
        <w:rPr>
          <w:spacing w:val="-2"/>
        </w:rPr>
        <w:t>已单独计提减值准备的应收账款除外，公司根据以前年度与之相同或相类似的，按账龄段划分的具有类似信用风险特征的应</w:t>
      </w:r>
    </w:p>
    <w:p>
      <w:pPr>
        <w:spacing w:after="0" w:line="357"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收账款组合的实际损失率为基础，结合现时情况分析法确定坏账准备计提的比例。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50"/>
      <w:bookmarkEnd w:id="2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5"/>
        <w:jc w:val="left"/>
      </w:pPr>
      <w:r>
        <w:rPr/>
        <w:t>本期计提坏账准备金额</w:t>
      </w:r>
      <w:r>
        <w:rPr>
          <w:spacing w:val="-46"/>
        </w:rPr>
        <w:t> </w:t>
      </w:r>
      <w:r>
        <w:rPr>
          <w:rFonts w:ascii="Times New Roman" w:hAnsi="Times New Roman" w:cs="Times New Roman" w:eastAsia="Times New Roman" w:hint="default"/>
        </w:rPr>
        <w:t>230,480.76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251"/>
      <w:bookmarkEnd w:id="25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134" w:right="8232"/>
        <w:jc w:val="left"/>
      </w:pPr>
      <w:r>
        <w:rPr/>
        <w:t>其他应收款核销说明： 本年无实际核销的其他应收款。</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其他应收款按款项性质分类情况" w:id="252"/>
      <w:bookmarkEnd w:id="25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2,145,618.28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1,197,634.84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592,706.53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310,993.70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181,238.08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60,941.06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2,919,562.89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1,569,569.60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53"/>
      <w:bookmarkEnd w:id="25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440,000.00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15.07%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89,880.00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275,923.84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38,072.35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1,275,573.84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354,002.35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54"/>
      <w:bookmarkEnd w:id="25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0"/>
        <w:ind w:left="1134" w:right="0"/>
        <w:jc w:val="left"/>
      </w:pPr>
      <w:r>
        <w:rPr/>
        <w:t>本年无涉及政府补助的应收款项。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4" w:right="0"/>
        <w:jc w:val="left"/>
        <w:rPr>
          <w:b w:val="0"/>
          <w:bCs w:val="0"/>
        </w:rPr>
      </w:pPr>
      <w:bookmarkStart w:name="（7）因金融资产转移而终止确认的其他应收款" w:id="255"/>
      <w:bookmarkEnd w:id="25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本年无因金融资产转移而终止确认的其他应收款。</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8）转移其他应收款且继续涉入形成的资产、负债金额" w:id="256"/>
      <w:bookmarkEnd w:id="25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6432"/>
        <w:jc w:val="left"/>
      </w:pPr>
      <w:r>
        <w:rPr/>
        <w:t>本年无转移其他应收款且继续涉入形成的资产、负债。 其他说明：</w:t>
      </w:r>
    </w:p>
    <w:p>
      <w:pPr>
        <w:spacing w:line="240" w:lineRule="auto" w:before="12"/>
        <w:rPr>
          <w:rFonts w:ascii="宋体" w:hAnsi="宋体" w:cs="宋体" w:eastAsia="宋体" w:hint="default"/>
          <w:sz w:val="19"/>
          <w:szCs w:val="19"/>
        </w:rPr>
      </w:pPr>
    </w:p>
    <w:p>
      <w:pPr>
        <w:pStyle w:val="Heading3"/>
        <w:spacing w:line="240" w:lineRule="auto"/>
        <w:ind w:left="1134" w:right="0"/>
        <w:jc w:val="left"/>
        <w:rPr>
          <w:b w:val="0"/>
          <w:bCs w:val="0"/>
        </w:rPr>
      </w:pPr>
      <w:bookmarkStart w:name="10、存货" w:id="257"/>
      <w:bookmarkEnd w:id="257"/>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left="1134" w:right="0"/>
        <w:jc w:val="left"/>
        <w:rPr>
          <w:b w:val="0"/>
          <w:bCs w:val="0"/>
        </w:rPr>
      </w:pPr>
      <w:bookmarkStart w:name="（1）存货分类" w:id="258"/>
      <w:bookmarkEnd w:id="25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24,261,826.01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1,209,635.16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23,052,190.85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15,000,326.23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1,179,504.51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13,820,821.72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72,451.72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72,451.72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202,070.21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202,070.21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21,624,164.02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1,058,668.47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20,565,495.55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19,229,125.41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672,365.28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18,556,760.13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1,656,697.99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1,656,697.99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2,337,282.24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2,337,282.24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8,936,907.42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8,936,907.42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19,389,385.83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19,389,385.83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56,552,047.16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2,268,303.63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54,283,743.53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56,158,189.92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1,851,869.79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54,306,320.13</w:t>
            </w:r>
          </w:p>
        </w:tc>
      </w:tr>
    </w:tbl>
    <w:p>
      <w:pPr>
        <w:pStyle w:val="BodyText"/>
        <w:spacing w:line="240" w:lineRule="auto" w:before="51"/>
        <w:ind w:left="1134" w:right="0"/>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340" w:lineRule="auto" w:before="116"/>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2）存货跌价准备" w:id="259"/>
      <w:bookmarkEnd w:id="25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1,179,504.51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524,813.37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494,682.72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1,209,635.16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672,365.28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1,011,323.17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625,019.98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1,058,668.47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1,851,869.79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1,536,136.54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1,119,702.70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2,268,303.63</w:t>
            </w:r>
          </w:p>
        </w:tc>
      </w:tr>
    </w:tbl>
    <w:p>
      <w:pPr>
        <w:pStyle w:val="BodyText"/>
        <w:spacing w:line="292" w:lineRule="auto" w:before="10"/>
        <w:ind w:left="1134" w:right="1118"/>
        <w:jc w:val="left"/>
        <w:rPr>
          <w:sz w:val="21"/>
          <w:szCs w:val="21"/>
        </w:rPr>
      </w:pPr>
      <w:r>
        <w:rPr>
          <w:spacing w:val="-2"/>
        </w:rPr>
        <w:t>原材料、库存商品计提存货跌价准备的具体依据是呆滞品、无使用价值或变现价值，本年转销存货跌价准备的原因是进行报</w:t>
      </w:r>
      <w:r>
        <w:rPr>
          <w:spacing w:val="-66"/>
        </w:rPr>
        <w:t> </w:t>
      </w:r>
      <w:r>
        <w:rPr>
          <w:spacing w:val="-66"/>
        </w:rPr>
      </w:r>
      <w:r>
        <w:rPr/>
        <w:t>废处置</w:t>
      </w:r>
      <w:r>
        <w:rPr>
          <w:sz w:val="21"/>
          <w:szCs w:val="21"/>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存货期末余额含有借款费用资本化金额的说明" w:id="260"/>
      <w:bookmarkEnd w:id="26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存货期末余额无借款费用资本化金额。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61"/>
      <w:bookmarkEnd w:id="26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持有待售的资产" w:id="262"/>
      <w:bookmarkEnd w:id="262"/>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63"/>
      <w:bookmarkEnd w:id="26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3、其他流动资产" w:id="264"/>
      <w:bookmarkEnd w:id="26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26,496.15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6,231,960.87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49,026,496.15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405,231,960.87</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65"/>
      <w:bookmarkEnd w:id="265"/>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6"/>
      <w:bookmarkEnd w:id="26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公允价值计量的可供出售金融资产" w:id="267"/>
      <w:bookmarkEnd w:id="26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按成本计量的可供出售金融资产" w:id="268"/>
      <w:bookmarkEnd w:id="26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报告期内可供出售金融资产减值的变动情况" w:id="269"/>
      <w:bookmarkEnd w:id="26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可供出售权益工具期末公允价值严重下跌或非暂时性下跌但未计提减值准备的相关说" w:id="270"/>
      <w:bookmarkEnd w:id="27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5、持有至到期投资" w:id="271"/>
      <w:bookmarkEnd w:id="271"/>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72"/>
      <w:bookmarkEnd w:id="27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重要的持有至到期投资" w:id="273"/>
      <w:bookmarkEnd w:id="27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重分类的持有至到期投资" w:id="274"/>
      <w:bookmarkEnd w:id="27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16、长期应收款" w:id="275"/>
      <w:bookmarkEnd w:id="275"/>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76"/>
      <w:bookmarkEnd w:id="27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因金融资产转移而终止确认的长期应收款" w:id="277"/>
      <w:bookmarkEnd w:id="27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3）转移长期应收款且继续涉入形成的资产、负债金额" w:id="278"/>
      <w:bookmarkEnd w:id="27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79"/>
      <w:bookmarkEnd w:id="27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8、投资性房地产" w:id="280"/>
      <w:bookmarkEnd w:id="280"/>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81"/>
      <w:bookmarkEnd w:id="28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82"/>
      <w:bookmarkEnd w:id="28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83"/>
      <w:bookmarkEnd w:id="28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84"/>
      <w:bookmarkEnd w:id="284"/>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85"/>
      <w:bookmarkEnd w:id="28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10,927,042.34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7,659,894.70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4,870,239.26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5,325,428.68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28,782,604.98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889,611.99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88,465.96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596,541.87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1,574,619.82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889,611.99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88,465.96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596,541.87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1,574,619.82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74,761.95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193,093.60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15,093.76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74,761.95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193,093.60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10,927,042.34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8,534,412.93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4,883,943.27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5,818,732.66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30,164,131.20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2,201,713.48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5,336,647.56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2,032,794.75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2,801,320.74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12,372,476.53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519,034.44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1,317,240.16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462,031.43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1,058,278.31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3,356,584.34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519,034.44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1,317,240.16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462,031.43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1,058,278.31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3,356,584.34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14,339.07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18,939.84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130,817.40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14,339.07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18,939.84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130,817.40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2,720,747.92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6,639,548.65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2,475,886.34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3,762,060.56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15,598,243.47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8,206,294.42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1,894,864.28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2,408,056.93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2,056,672.10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14,565,887.73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8,725,328.86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2,323,247.14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2,837,444.51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2,524,107.94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16,410,128.45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暂时闲置的固定资产情况" w:id="286"/>
      <w:bookmarkEnd w:id="28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通过融资租赁租入的固定资产情况" w:id="287"/>
      <w:bookmarkEnd w:id="28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通过经营租赁租出的固定资产" w:id="288"/>
      <w:bookmarkEnd w:id="28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未办妥产权证书的固定资产情况" w:id="289"/>
      <w:bookmarkEnd w:id="28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在建工程" w:id="290"/>
      <w:bookmarkEnd w:id="290"/>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91"/>
      <w:bookmarkEnd w:id="29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创新科技海岸厂 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7,303,351.21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7,303,351.21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5,282,345.07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5,282,345.07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7,303,351.21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7,303,351.21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5,282,345.07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5,282,345.07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92"/>
      <w:bookmarkEnd w:id="29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创新科 技海岸 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101,213,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5,282,34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2,021,00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7,303,35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7.21%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在建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101,213,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5,282,34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2,021,00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7,303,35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计提在建工程减值准备情况" w:id="293"/>
      <w:bookmarkEnd w:id="29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294"/>
      <w:bookmarkEnd w:id="294"/>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2、固定资产清理" w:id="295"/>
      <w:bookmarkEnd w:id="295"/>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96"/>
      <w:bookmarkEnd w:id="29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7"/>
      <w:bookmarkEnd w:id="29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8"/>
      <w:bookmarkEnd w:id="29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299"/>
      <w:bookmarkEnd w:id="29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300"/>
      <w:bookmarkEnd w:id="300"/>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301"/>
      <w:bookmarkEnd w:id="30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6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10,228,141.60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1,947,957.39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12,176,098.99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1,960,683.75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1,960,683.75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1,960,683.75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1,960,683.75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10,228,141.60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3,908,641.14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14,136,782.74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543,934.29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969,107.29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1,513,041.58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204,595.73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569,247.98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773,843.71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204,595.73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569,247.98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773,843.71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748,530.02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1,538,355.27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2,286,885.29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9,479,611.58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2,370,285.87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11,849,897.45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9,684,207.31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978,850.10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10,663,057.41</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302"/>
      <w:bookmarkEnd w:id="30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6、开发支出" w:id="303"/>
      <w:bookmarkEnd w:id="303"/>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商誉" w:id="304"/>
      <w:bookmarkEnd w:id="304"/>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305"/>
      <w:bookmarkEnd w:id="30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306"/>
      <w:bookmarkEnd w:id="30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left="1134"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28、长期待摊费用" w:id="307"/>
      <w:bookmarkEnd w:id="307"/>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1,345,937.22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766,758.43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720,178.79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1,345,937.22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766,758.43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720,178.79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08"/>
      <w:bookmarkEnd w:id="308"/>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9"/>
      <w:bookmarkEnd w:id="30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206"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24"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13,804,213.44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2,070,688.67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8,088,163.75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1,213,224.57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28,234.59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7,316,045.51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1,097,406.83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5,869,564.50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880,434.68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203,985.00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22,593,097.30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3,400,315.09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13,957,728.25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2,093,659.25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310"/>
      <w:bookmarkEnd w:id="31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311"/>
      <w:bookmarkEnd w:id="31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3,400,315.09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2,093,659.25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12"/>
      <w:bookmarkEnd w:id="31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确认递延所得税资产的可抵扣亏损将于以下年度到期" w:id="313"/>
      <w:bookmarkEnd w:id="31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14"/>
      <w:bookmarkEnd w:id="314"/>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预付软件、固定资产购置款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931,000.43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824,786.32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931,000.43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824,786.32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1、短期借款" w:id="315"/>
      <w:bookmarkEnd w:id="315"/>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316"/>
      <w:bookmarkEnd w:id="31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已逾期未偿还的短期借款情况" w:id="317"/>
      <w:bookmarkEnd w:id="31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18"/>
      <w:bookmarkEnd w:id="318"/>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19"/>
      <w:bookmarkEnd w:id="319"/>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20"/>
      <w:bookmarkEnd w:id="320"/>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5、应付账款" w:id="321"/>
      <w:bookmarkEnd w:id="321"/>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22"/>
      <w:bookmarkEnd w:id="32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17,292,524.04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10,724,330.00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1,538,732.03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1,404,311.82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18,831,256.07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12,128,641.82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应付账款"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pStyle w:val="Heading4"/>
        <w:spacing w:line="240" w:lineRule="auto" w:before="89"/>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日，无账龄超过</w:t>
      </w:r>
      <w:r>
        <w:rPr>
          <w:rFonts w:ascii="Times New Roman" w:hAnsi="Times New Roman" w:cs="Times New Roman" w:eastAsia="Times New Roman" w:hint="default"/>
        </w:rPr>
        <w:t>1</w:t>
      </w:r>
      <w:r>
        <w:rPr/>
        <w:t>年的大额应付账款。</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36、预收款项" w:id="324"/>
      <w:bookmarkEnd w:id="324"/>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25"/>
      <w:bookmarkEnd w:id="32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36,187,046.22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36,187,046.22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预收款项"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建造合同形成的已结算未完工项目情况" w:id="327"/>
      <w:bookmarkEnd w:id="32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28"/>
      <w:bookmarkEnd w:id="328"/>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29"/>
      <w:bookmarkEnd w:id="32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14,902,032.01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59,144,930.63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58,202,443.30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15,844,519.34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12,282.88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2,047,532.15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2,059,815.03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14,914,314.89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61,192,462.78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60,262,258.33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15,844,519.34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短期薪酬列示" w:id="330"/>
      <w:bookmarkEnd w:id="33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14,832,815.66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53,752,610.48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52,823,888.47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15,761,537.67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1,801,505.20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1,801,505.20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1,222,025.49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1,224,774.79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1,118,865.39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1,121,108.07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21,042.89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21,177.61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82,117.21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82,489.11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569,641.00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569,641.00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66,467.05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1,799,148.46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1,782,633.84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82,981.67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14,902,032.01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59,144,930.63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58,202,443.30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15,844,519.34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331"/>
      <w:bookmarkEnd w:id="33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1,963,266.05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1,974,977.23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84,266.10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84,837.80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2,047,532.15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2,059,815.03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pStyle w:val="BodyText"/>
        <w:spacing w:line="316" w:lineRule="auto" w:before="116"/>
        <w:ind w:left="1134" w:right="1133" w:firstLine="420"/>
        <w:jc w:val="both"/>
      </w:pPr>
      <w:r>
        <w:rPr/>
        <w:t>本公司按规定参加由政府机构设立的养老保险、失业保险计划，根据该等计划，本公司以员工基本工资为基数按规定 </w:t>
      </w:r>
      <w:r>
        <w:rPr>
          <w:spacing w:val="-2"/>
        </w:rPr>
        <w:t>的缴纳比例每月向该等计划缴存费用。除上述每月缴存费用外，本公司不再承担进一步支付义务。相应的支出于发生时计入</w:t>
      </w:r>
      <w:r>
        <w:rPr>
          <w:spacing w:val="-66"/>
        </w:rPr>
        <w:t> </w:t>
      </w:r>
      <w:r>
        <w:rPr>
          <w:spacing w:val="-66"/>
        </w:rPr>
      </w:r>
      <w:r>
        <w:rPr/>
        <w:t>当期损益或相关资产的成本。</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8、应交税费" w:id="332"/>
      <w:bookmarkEnd w:id="332"/>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5,601,955.44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5,400,804.15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2,695,384.96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410,639.78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298,923.37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537,346.27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420,434.28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230,291.26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180,186.12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153,527.51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120,124.08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41,849.91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215,002.20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51,492.73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12,376,414.32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3,996,919.74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33"/>
      <w:bookmarkEnd w:id="333"/>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应付股利" w:id="334"/>
      <w:bookmarkEnd w:id="334"/>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35"/>
      <w:bookmarkEnd w:id="33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36"/>
      <w:bookmarkEnd w:id="33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53,998.77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员工垫付款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226,935.32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28,852,250.00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28,934,248.77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244,935.32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337"/>
      <w:bookmarkEnd w:id="33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56" w:lineRule="auto" w:before="35"/>
        <w:ind w:right="1118"/>
        <w:jc w:val="left"/>
      </w:pPr>
      <w:r>
        <w:rPr>
          <w:spacing w:val="-2"/>
        </w:rPr>
        <w:t>其他中</w:t>
      </w:r>
      <w:r>
        <w:rPr>
          <w:rFonts w:ascii="Times New Roman" w:hAnsi="Times New Roman" w:cs="Times New Roman" w:eastAsia="Times New Roman" w:hint="default"/>
          <w:spacing w:val="-2"/>
        </w:rPr>
        <w:t>28,362,000.00</w:t>
      </w:r>
      <w:r>
        <w:rPr>
          <w:spacing w:val="-2"/>
        </w:rPr>
        <w:t>元为股份支付限制性股票回购款；截至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日，无账龄超过</w:t>
      </w:r>
      <w:r>
        <w:rPr>
          <w:rFonts w:ascii="Times New Roman" w:hAnsi="Times New Roman" w:cs="Times New Roman" w:eastAsia="Times New Roman" w:hint="default"/>
          <w:spacing w:val="-2"/>
        </w:rPr>
        <w:t>1</w:t>
      </w:r>
      <w:r>
        <w:rPr>
          <w:spacing w:val="-2"/>
        </w:rPr>
        <w:t>年的重要其他应</w:t>
      </w:r>
      <w:r>
        <w:rPr>
          <w:spacing w:val="-73"/>
        </w:rPr>
        <w:t> </w:t>
      </w:r>
      <w:r>
        <w:rPr>
          <w:spacing w:val="-73"/>
        </w:rPr>
      </w:r>
      <w:r>
        <w:rPr/>
        <w:t>付款。</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42、持有待售的负债" w:id="338"/>
      <w:bookmarkEnd w:id="338"/>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39"/>
      <w:bookmarkEnd w:id="339"/>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40"/>
      <w:bookmarkEnd w:id="340"/>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341"/>
      <w:bookmarkEnd w:id="341"/>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42"/>
      <w:bookmarkEnd w:id="34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46、应付债券" w:id="343"/>
      <w:bookmarkEnd w:id="34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债券" w:id="344"/>
      <w:bookmarkEnd w:id="34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应付债券的增减变动（不包括划分为金融负债的优先股、永续债等其他金融工具）" w:id="345"/>
      <w:bookmarkEnd w:id="34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46"/>
      <w:bookmarkEnd w:id="34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47"/>
      <w:bookmarkEnd w:id="34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134" w:right="751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47、长期应付款" w:id="348"/>
      <w:bookmarkEnd w:id="348"/>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长期应付款" w:id="349"/>
      <w:bookmarkEnd w:id="34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50"/>
      <w:bookmarkEnd w:id="350"/>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51"/>
      <w:bookmarkEnd w:id="35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设定受益计划变动情况" w:id="352"/>
      <w:bookmarkEnd w:id="35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设定受益计划净负债（净资产）</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9、专项应付款" w:id="353"/>
      <w:bookmarkEnd w:id="353"/>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54"/>
      <w:bookmarkEnd w:id="354"/>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22" w:right="0"/>
              <w:jc w:val="left"/>
              <w:rPr>
                <w:rFonts w:ascii="Times New Roman" w:hAnsi="Times New Roman" w:cs="Times New Roman" w:eastAsia="Times New Roman" w:hint="default"/>
                <w:sz w:val="18"/>
                <w:szCs w:val="18"/>
              </w:rPr>
            </w:pPr>
            <w:r>
              <w:rPr>
                <w:rFonts w:ascii="Times New Roman"/>
                <w:sz w:val="18"/>
              </w:rPr>
              <w:t>7,316,045.51</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5,869,564.50</w:t>
            </w:r>
          </w:p>
        </w:tc>
        <w:tc>
          <w:tcPr>
            <w:tcW w:w="239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银行自助设备现金管理系统、 银行印章管理系统质量保证</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7,316,045.51</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5,869,564.50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134" w:right="0"/>
        <w:jc w:val="left"/>
      </w:pPr>
      <w:r>
        <w:rPr/>
        <w:t>其他说明，包括重要预计负债的相关重要假设、估计说明： </w:t>
      </w:r>
      <w:r>
        <w:rPr>
          <w:spacing w:val="-2"/>
        </w:rPr>
        <w:t>本公司产品质量保证金主要针对银行自助设备现金管理系统、银行印章管理系统进行计提，按预计故障率对销售产品数量进</w:t>
      </w:r>
      <w:r>
        <w:rPr>
          <w:spacing w:val="-64"/>
        </w:rPr>
        <w:t> </w:t>
      </w:r>
      <w:r>
        <w:rPr>
          <w:spacing w:val="-64"/>
        </w:rPr>
      </w:r>
      <w:r>
        <w:rPr/>
        <w:t>行估算，主要包括维修该类产品所需的差旅费、材料费等。</w:t>
      </w:r>
    </w:p>
    <w:p>
      <w:pPr>
        <w:spacing w:line="240" w:lineRule="auto" w:before="4"/>
        <w:rPr>
          <w:rFonts w:ascii="宋体" w:hAnsi="宋体" w:cs="宋体" w:eastAsia="宋体" w:hint="default"/>
          <w:sz w:val="21"/>
          <w:szCs w:val="21"/>
        </w:rPr>
      </w:pPr>
    </w:p>
    <w:p>
      <w:pPr>
        <w:pStyle w:val="Heading3"/>
        <w:spacing w:line="240" w:lineRule="auto"/>
        <w:ind w:left="1134" w:right="0"/>
        <w:jc w:val="left"/>
        <w:rPr>
          <w:b w:val="0"/>
          <w:bCs w:val="0"/>
        </w:rPr>
      </w:pPr>
      <w:bookmarkStart w:name="51、递延收益" w:id="355"/>
      <w:bookmarkEnd w:id="355"/>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56"/>
      <w:bookmarkEnd w:id="356"/>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3、股本" w:id="357"/>
      <w:bookmarkEnd w:id="357"/>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56,000,000.00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28,000,000.00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1,160,000.00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29,160,000.00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85,160,000.00</w:t>
            </w:r>
          </w:p>
        </w:tc>
      </w:tr>
    </w:tbl>
    <w:p>
      <w:pPr>
        <w:pStyle w:val="BodyText"/>
        <w:spacing w:line="240" w:lineRule="auto" w:before="51"/>
        <w:ind w:left="1134" w:right="0"/>
        <w:jc w:val="left"/>
      </w:pPr>
      <w:r>
        <w:rPr/>
        <w:t>其他说明：</w:t>
      </w:r>
    </w:p>
    <w:p>
      <w:pPr>
        <w:pStyle w:val="BodyText"/>
        <w:spacing w:line="300" w:lineRule="auto" w:before="115"/>
        <w:ind w:left="1134" w:right="1257"/>
        <w:jc w:val="left"/>
      </w:pPr>
      <w:r>
        <w:rPr/>
        <w:t>股本本期增加</w:t>
      </w:r>
      <w:r>
        <w:rPr>
          <w:rFonts w:ascii="Times New Roman" w:hAnsi="Times New Roman" w:cs="Times New Roman" w:eastAsia="Times New Roman" w:hint="default"/>
        </w:rPr>
        <w:t>29,160,000.00</w:t>
      </w:r>
      <w:r>
        <w:rPr/>
        <w:t>元系本公司实施限制性股票激励新增注册资本</w:t>
      </w:r>
      <w:r>
        <w:rPr>
          <w:rFonts w:ascii="Times New Roman" w:hAnsi="Times New Roman" w:cs="Times New Roman" w:eastAsia="Times New Roman" w:hint="default"/>
        </w:rPr>
        <w:t>1,160,000.00</w:t>
      </w:r>
      <w:r>
        <w:rPr/>
        <w:t>元，资本公积转增股本</w:t>
      </w:r>
      <w:r>
        <w:rPr>
          <w:rFonts w:ascii="Times New Roman" w:hAnsi="Times New Roman" w:cs="Times New Roman" w:eastAsia="Times New Roman" w:hint="default"/>
        </w:rPr>
        <w:t>28,000,000.00 </w:t>
      </w:r>
      <w:r>
        <w:rPr/>
        <w:t>元。</w:t>
      </w:r>
    </w:p>
    <w:p>
      <w:pPr>
        <w:spacing w:line="240" w:lineRule="auto" w:before="6"/>
        <w:rPr>
          <w:rFonts w:ascii="宋体" w:hAnsi="宋体" w:cs="宋体" w:eastAsia="宋体" w:hint="default"/>
          <w:sz w:val="23"/>
          <w:szCs w:val="23"/>
        </w:rPr>
      </w:pPr>
    </w:p>
    <w:p>
      <w:pPr>
        <w:pStyle w:val="Heading3"/>
        <w:spacing w:line="240" w:lineRule="auto"/>
        <w:ind w:left="1134" w:right="0"/>
        <w:jc w:val="left"/>
        <w:rPr>
          <w:b w:val="0"/>
          <w:bCs w:val="0"/>
        </w:rPr>
      </w:pPr>
      <w:bookmarkStart w:name="54、其他权益工具" w:id="358"/>
      <w:bookmarkEnd w:id="358"/>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期末发行在外的优先股、永续债等其他金融工具基本情况" w:id="359"/>
      <w:bookmarkEnd w:id="35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期末发行在外的优先股、永续债等金融工具变动情况表" w:id="360"/>
      <w:bookmarkEnd w:id="36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61"/>
      <w:bookmarkEnd w:id="36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359,721,226.28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27,202,000.00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358,923,226.28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1,359,900.00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359,721,226.28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28,561,900.00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360,283,126.28</w:t>
            </w:r>
          </w:p>
        </w:tc>
      </w:tr>
    </w:tbl>
    <w:p>
      <w:pPr>
        <w:pStyle w:val="BodyText"/>
        <w:spacing w:line="240" w:lineRule="auto" w:before="51"/>
        <w:ind w:left="1134" w:right="0"/>
        <w:jc w:val="left"/>
      </w:pPr>
      <w:r>
        <w:rPr/>
        <w:t>其他说明，包括本期增减变动情况、变动原因说明：</w:t>
      </w:r>
    </w:p>
    <w:p>
      <w:pPr>
        <w:pStyle w:val="BodyText"/>
        <w:spacing w:line="300" w:lineRule="auto" w:before="115"/>
        <w:ind w:right="0"/>
        <w:jc w:val="left"/>
      </w:pPr>
      <w:r>
        <w:rPr>
          <w:spacing w:val="-1"/>
        </w:rPr>
        <w:t>资本溢价本期增加</w:t>
      </w:r>
      <w:r>
        <w:rPr>
          <w:rFonts w:ascii="Times New Roman" w:hAnsi="Times New Roman" w:cs="Times New Roman" w:eastAsia="Times New Roman" w:hint="default"/>
          <w:spacing w:val="-1"/>
        </w:rPr>
        <w:t>27,202,000.00</w:t>
      </w:r>
      <w:r>
        <w:rPr>
          <w:spacing w:val="-1"/>
        </w:rPr>
        <w:t>元系本公司实施限制性股票激励</w:t>
      </w:r>
      <w:r>
        <w:rPr>
          <w:rFonts w:ascii="Times New Roman" w:hAnsi="Times New Roman" w:cs="Times New Roman" w:eastAsia="Times New Roman" w:hint="default"/>
          <w:spacing w:val="-1"/>
        </w:rPr>
        <w:t>116</w:t>
      </w:r>
      <w:r>
        <w:rPr>
          <w:spacing w:val="-1"/>
        </w:rPr>
        <w:t>万股，每股价格</w:t>
      </w:r>
      <w:r>
        <w:rPr>
          <w:rFonts w:ascii="Times New Roman" w:hAnsi="Times New Roman" w:cs="Times New Roman" w:eastAsia="Times New Roman" w:hint="default"/>
          <w:spacing w:val="-1"/>
        </w:rPr>
        <w:t>24.45</w:t>
      </w:r>
      <w:r>
        <w:rPr>
          <w:spacing w:val="-1"/>
        </w:rPr>
        <w:t>元，其中新增注册资本</w:t>
      </w:r>
      <w:r>
        <w:rPr>
          <w:rFonts w:ascii="Times New Roman" w:hAnsi="Times New Roman" w:cs="Times New Roman" w:eastAsia="Times New Roman" w:hint="default"/>
          <w:spacing w:val="-1"/>
        </w:rPr>
        <w:t>1,160,000.00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元，计入资本公积</w:t>
      </w:r>
      <w:r>
        <w:rPr>
          <w:rFonts w:ascii="Times New Roman" w:hAnsi="Times New Roman" w:cs="Times New Roman" w:eastAsia="Times New Roman" w:hint="default"/>
        </w:rPr>
        <w:t>27,202,000.00</w:t>
      </w:r>
      <w:r>
        <w:rPr/>
        <w:t>元；资本溢价本期减少</w:t>
      </w:r>
      <w:r>
        <w:rPr>
          <w:rFonts w:ascii="Times New Roman" w:hAnsi="Times New Roman" w:cs="Times New Roman" w:eastAsia="Times New Roman" w:hint="default"/>
        </w:rPr>
        <w:t>28,000,000.00</w:t>
      </w:r>
      <w:r>
        <w:rPr/>
        <w:t>元系资本公积转增股本；其他资本公积本期增加 </w:t>
      </w:r>
      <w:r>
        <w:rPr>
          <w:rFonts w:ascii="Times New Roman" w:hAnsi="Times New Roman" w:cs="Times New Roman" w:eastAsia="Times New Roman" w:hint="default"/>
        </w:rPr>
        <w:t>1,359,900.00</w:t>
      </w:r>
      <w:r>
        <w:rPr/>
        <w:t>元系计提限制性股票激励成本。</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6、库存股" w:id="362"/>
      <w:bookmarkEnd w:id="36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负回购义务限制性股票 激励</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28,362,000.00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28,362,000.00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28,362,000.00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28,362,000.00</w:t>
            </w:r>
          </w:p>
        </w:tc>
      </w:tr>
    </w:tbl>
    <w:p>
      <w:pPr>
        <w:pStyle w:val="BodyText"/>
        <w:spacing w:line="240" w:lineRule="auto" w:before="51"/>
        <w:ind w:left="1134" w:right="0"/>
        <w:jc w:val="left"/>
      </w:pPr>
      <w:r>
        <w:rPr/>
        <w:t>其他说明，包括本期增减变动情况、变动原因说明：</w:t>
      </w:r>
    </w:p>
    <w:p>
      <w:pPr>
        <w:pStyle w:val="BodyText"/>
        <w:spacing w:line="240" w:lineRule="auto" w:before="116"/>
        <w:ind w:left="1434" w:right="0"/>
        <w:jc w:val="left"/>
      </w:pPr>
      <w:r>
        <w:rPr>
          <w:rFonts w:ascii="Times New Roman" w:hAnsi="Times New Roman" w:cs="Times New Roman" w:eastAsia="Times New Roman" w:hint="default"/>
        </w:rPr>
        <w:t>2017</w:t>
      </w:r>
      <w:r>
        <w:rPr/>
        <w:t>年度本公司因实施限制性股票激励而发行负回购义务的股份</w:t>
      </w:r>
      <w:r>
        <w:rPr>
          <w:rFonts w:ascii="Times New Roman" w:hAnsi="Times New Roman" w:cs="Times New Roman" w:eastAsia="Times New Roman" w:hint="default"/>
        </w:rPr>
        <w:t>116</w:t>
      </w:r>
      <w:r>
        <w:rPr/>
        <w:t>万股，每股价格</w:t>
      </w:r>
      <w:r>
        <w:rPr>
          <w:rFonts w:ascii="Times New Roman" w:hAnsi="Times New Roman" w:cs="Times New Roman" w:eastAsia="Times New Roman" w:hint="default"/>
        </w:rPr>
        <w:t>24.45</w:t>
      </w:r>
      <w:r>
        <w:rPr/>
        <w:t>元，做为库存股。</w:t>
      </w:r>
    </w:p>
    <w:p>
      <w:pPr>
        <w:spacing w:line="240" w:lineRule="auto" w:before="12"/>
        <w:rPr>
          <w:rFonts w:ascii="宋体" w:hAnsi="宋体" w:cs="宋体" w:eastAsia="宋体" w:hint="default"/>
          <w:sz w:val="25"/>
          <w:szCs w:val="25"/>
        </w:rPr>
      </w:pPr>
    </w:p>
    <w:p>
      <w:pPr>
        <w:pStyle w:val="Heading3"/>
        <w:spacing w:line="240" w:lineRule="auto"/>
        <w:ind w:left="1134" w:right="0"/>
        <w:jc w:val="left"/>
        <w:rPr>
          <w:b w:val="0"/>
          <w:bCs w:val="0"/>
        </w:rPr>
      </w:pPr>
      <w:bookmarkStart w:name="57、其他综合收益" w:id="363"/>
      <w:bookmarkEnd w:id="36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64"/>
      <w:bookmarkEnd w:id="36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9、盈余公积" w:id="365"/>
      <w:bookmarkEnd w:id="36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28,417,518.75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7,976,835.70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36,394,354.45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28,417,518.75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7,976,835.70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36,394,354.45</w:t>
            </w:r>
          </w:p>
        </w:tc>
      </w:tr>
    </w:tbl>
    <w:p>
      <w:pPr>
        <w:pStyle w:val="BodyText"/>
        <w:spacing w:line="240" w:lineRule="auto" w:before="51"/>
        <w:ind w:left="1134" w:right="0"/>
        <w:jc w:val="left"/>
      </w:pPr>
      <w:r>
        <w:rPr/>
        <w:t>盈余公积说明，包括本期增减变动情况、变动原因说明：</w:t>
      </w:r>
    </w:p>
    <w:p>
      <w:pPr>
        <w:pStyle w:val="Heading4"/>
        <w:spacing w:line="256" w:lineRule="auto"/>
        <w:ind w:right="1128" w:firstLine="420"/>
        <w:jc w:val="left"/>
      </w:pPr>
      <w:r>
        <w:rPr/>
        <w:t>根据《公司法》、公司章程的规定，本公司按净利润的</w:t>
      </w:r>
      <w:r>
        <w:rPr>
          <w:rFonts w:ascii="Times New Roman" w:hAnsi="Times New Roman" w:cs="Times New Roman" w:eastAsia="Times New Roman" w:hint="default"/>
        </w:rPr>
        <w:t>10%</w:t>
      </w:r>
      <w:r>
        <w:rPr/>
        <w:t>提取法定盈余公积。法定盈余公积累计额 达到本公司注册资本</w:t>
      </w:r>
      <w:r>
        <w:rPr>
          <w:rFonts w:ascii="Times New Roman" w:hAnsi="Times New Roman" w:cs="Times New Roman" w:eastAsia="Times New Roman" w:hint="default"/>
        </w:rPr>
        <w:t>50%</w:t>
      </w:r>
      <w:r>
        <w:rPr/>
        <w:t>以上的，不再提取。</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60、未分配利润" w:id="366"/>
      <w:bookmarkEnd w:id="36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176,375,178.57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135,399,836.08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176,375,178.57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135,399,836.08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79,724,732.27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7,976,835.70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7,886,149.17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227,963,075.14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176,375,178.57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61、营业收入和营业成本" w:id="367"/>
      <w:bookmarkEnd w:id="36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74,502,957.48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218,054,407.37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58,607,292.52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74,502,957.48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218,054,407.37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58,607,292.52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2、税金及附加" w:id="368"/>
      <w:bookmarkEnd w:id="368"/>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1,210,004.53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1,535,728.73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518,573.37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658,169.44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71,660.90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82,902.94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51,492.73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76,362.41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348,552.65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345,715.58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438,779.62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2,225,016.24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3,127,439.96</w:t>
            </w:r>
          </w:p>
        </w:tc>
      </w:tr>
    </w:tbl>
    <w:p>
      <w:pPr>
        <w:pStyle w:val="BodyText"/>
        <w:spacing w:line="357" w:lineRule="auto" w:before="51"/>
        <w:ind w:right="6793"/>
        <w:jc w:val="left"/>
      </w:pPr>
      <w:r>
        <w:rPr/>
        <w:t>其他说明： 各项税金及附加的计缴标准详见本附注六、税项。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3、销售费用" w:id="369"/>
      <w:bookmarkEnd w:id="36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23,637,360.09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22,069,795.98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安装维保费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13,394,512.10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11,374,826.40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2,037,488.97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2,834,734.89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4,018,677.20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3,984,383.77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3,116,824.91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1,231,177.38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5,354,954.08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2,159,484.94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1,395,508.04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1,598,541.35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818,499.80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905,403.59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874,702.24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1,241,939.46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588,658.22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55,737,886.76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47,621,708.76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70"/>
      <w:bookmarkEnd w:id="37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8,882,601.11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6,760,427.41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1,540,339.73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1,533,475.22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1,478,585.30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1,626,601.66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1,533,181.17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979,364.91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442,145.40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529,854.22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385,529.66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365,043.34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28,818,427.64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25,245,949.57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1,088,339.78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289,855.95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254,533.65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72,058.16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3,426,945.06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2,368,975.45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49,210,528.50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39,771,605.89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71"/>
      <w:bookmarkEnd w:id="371"/>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570,099.10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425,940.42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43,512.10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-526,638.97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-381,937.27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72"/>
      <w:bookmarkEnd w:id="372"/>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5,299,615.85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2,626,170.38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1,137,171.11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1,584,681.62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6,436,786.96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4,210,852.00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73"/>
      <w:bookmarkEnd w:id="373"/>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74"/>
      <w:bookmarkEnd w:id="37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14,541,383.46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3,195,224.41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14,541,383.46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3,195,224.41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资产处置收益" w:id="375"/>
      <w:bookmarkEnd w:id="375"/>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0、其他收益" w:id="376"/>
      <w:bookmarkEnd w:id="376"/>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16,172,292.67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71、营业外收入" w:id="377"/>
      <w:bookmarkEnd w:id="377"/>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22,775,043.17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314,578.18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23,089,621.35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2,100,027.00</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高新区上市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珠海高新技 术产业开发 区发展改革 和财政局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广东省名牌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珠海市国家 税务局高新 区税务分局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22,085,744.8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研究开发费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珠海高新技 术产业开发 区发展改革 和财政局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知识产权资 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珠海高新技 术产业开发 区发展改革 和财政局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27"/>
              <w:jc w:val="both"/>
              <w:rPr>
                <w:rFonts w:ascii="宋体" w:hAnsi="宋体" w:cs="宋体" w:eastAsia="宋体" w:hint="default"/>
                <w:sz w:val="18"/>
                <w:szCs w:val="18"/>
              </w:rPr>
            </w:pPr>
            <w:r>
              <w:rPr>
                <w:rFonts w:ascii="宋体" w:hAnsi="宋体" w:cs="宋体" w:eastAsia="宋体" w:hint="default"/>
                <w:sz w:val="18"/>
                <w:szCs w:val="18"/>
              </w:rPr>
              <w:t>珠海市人力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35,998.30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高新区奖励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珠海高新技 术产业开发 区发展改革 和财政局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22,775,043.1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营业外支出" w:id="378"/>
      <w:bookmarkEnd w:id="378"/>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9,411.13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滞纳金及罚款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595.72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7,049.81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所得税费用" w:id="379"/>
      <w:bookmarkEnd w:id="379"/>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80"/>
      <w:bookmarkEnd w:id="38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8,839,279.89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13,354,636.61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-1,306,655.84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-843,315.66</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7,532,624.05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12,511,320.95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81"/>
      <w:bookmarkEnd w:id="38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87,215,442.36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13,082,316.35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-11,391.49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-24,573.94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821,103.51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-2,057,059.87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-4,277,770.51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7,532,624.05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4、其他综合收益" w:id="382"/>
      <w:bookmarkEnd w:id="382"/>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5、现金流量表项目" w:id="383"/>
      <w:bookmarkEnd w:id="383"/>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84"/>
      <w:bookmarkEnd w:id="38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570,099.10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425,940.42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689,298.30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493,338.77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387,633.51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6,714,937.87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1,532,572.23</w:t>
            </w:r>
          </w:p>
        </w:tc>
      </w:tr>
    </w:tbl>
    <w:p>
      <w:pPr>
        <w:pStyle w:val="BodyText"/>
        <w:spacing w:line="240" w:lineRule="auto" w:before="51"/>
        <w:ind w:left="113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85"/>
      <w:bookmarkEnd w:id="38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1,478,585.30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1,326,601.66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3,570,670.14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3,814,099.80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2,010,589.99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2,375,802.17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4,292,433.10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4,744,477.07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4,280,653.25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3,394,276.49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6,443,293.86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2,449,340.89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976,655.76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946,760.40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3,116,824.91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1,231,177.38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安装维保费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12,348,360.70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10,471,973.05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947,983.44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163,926.72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405,033.45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53,068.78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4,755,036.02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3,037,169.64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44,626,119.92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34,008,674.05</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386"/>
      <w:bookmarkEnd w:id="38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支付的其他与投资活动有关的现金" w:id="387"/>
      <w:bookmarkEnd w:id="38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388"/>
      <w:bookmarkEnd w:id="38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89"/>
      <w:bookmarkEnd w:id="38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6、现金流量表补充资料" w:id="390"/>
      <w:bookmarkEnd w:id="390"/>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1"/>
      <w:bookmarkEnd w:id="39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79,682,818.31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6,436,786.96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4,210,852.00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23.72998pt;width:151.25pt;height:20.8pt;mso-position-horizontal-relative:page;mso-position-vertical-relative:page;z-index:-1185424" coordorigin="4467,4475" coordsize="3025,416">
            <v:group style="position:absolute;left:4478;top:4486;width:2;height:393" coordorigin="4478,4486" coordsize="2,393">
              <v:shape style="position:absolute;left:4478;top:4486;width:2;height:393" coordorigin="4478,4486" coordsize="0,393" path="m4478,4486l4478,4878e" filled="false" stroked="true" strokeweight="1.140pt" strokecolor="#ffffff">
                <v:path arrowok="t"/>
              </v:shape>
            </v:group>
            <v:group style="position:absolute;left:4490;top:4486;width:3002;height:393" coordorigin="4490,4486" coordsize="3002,393">
              <v:shape style="position:absolute;left:4490;top:4486;width:3002;height:393" coordorigin="4490,4486" coordsize="3002,393" path="m4490,4878l7491,4878,7491,4486,4490,4486,4490,4878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3,356,584.34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3,181,307.51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773,843.71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544,230.12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766,758.43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1,435,114.59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23,343.48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9,411.13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-14,541,383.46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-3,195,224.41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-1,306,655.84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-843,315.66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-1,114,594.51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2,282,254.70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-50,823,755.05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-20,870,677.57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-15,593,419.89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-2,169,469.93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9,026,680.57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63,445,974.14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514,454,542.06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138,588,374.25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176,034,612.15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375,866,167.81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-37,446,237.90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92"/>
      <w:bookmarkEnd w:id="39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93"/>
      <w:bookmarkEnd w:id="39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94"/>
      <w:bookmarkEnd w:id="39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514,454,542.06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28,269.26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6,870.30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514,426,272.80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138,581,503.95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514,454,542.06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7、所有者权益变动表项目注释" w:id="395"/>
      <w:bookmarkEnd w:id="395"/>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396"/>
      <w:bookmarkEnd w:id="396"/>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保证金，不能随时变现。</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100,000.00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9、外币货币性项目" w:id="397"/>
      <w:bookmarkEnd w:id="397"/>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8"/>
      <w:bookmarkEnd w:id="39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99"/>
      <w:bookmarkEnd w:id="39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80、套期" w:id="400"/>
      <w:bookmarkEnd w:id="400"/>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81、其他" w:id="401"/>
      <w:bookmarkEnd w:id="401"/>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2"/>
      <w:bookmarkEnd w:id="40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bookmarkStart w:name="1、非同一控制下企业合并" w:id="403"/>
      <w:bookmarkEnd w:id="403"/>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04"/>
      <w:bookmarkEnd w:id="40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05"/>
      <w:bookmarkEnd w:id="40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pt" strokecolor="#000000">
                <v:path arrowok="t"/>
              </v:shape>
              <v:shape style="position:absolute;left:5;top:10;width:4785;height:403"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left="1134" w:right="6072"/>
        <w:jc w:val="left"/>
      </w:pPr>
      <w:r>
        <w:rPr/>
        <w:t>合并成本公允价值的确定方法、或有对价及其变动的说明： 大额商誉形成的主要原因：</w:t>
      </w:r>
    </w:p>
    <w:p>
      <w:pPr>
        <w:pStyle w:val="BodyText"/>
        <w:spacing w:line="240" w:lineRule="auto" w:before="26"/>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被购买方于购买日可辨认资产、负债" w:id="406"/>
      <w:bookmarkEnd w:id="40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07"/>
      <w:bookmarkEnd w:id="40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t>是否存在通过多次交易分步实现企业合并且在报告期内取得控制权的交易</w:t>
      </w:r>
    </w:p>
    <w:p>
      <w:pPr>
        <w:pStyle w:val="BodyText"/>
        <w:spacing w:line="240" w:lineRule="auto" w:before="116"/>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购买日或合并当期期末无法合理确定合并对价或被购买方可辨认资产、负债公允价值" w:id="408"/>
      <w:bookmarkEnd w:id="40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09"/>
      <w:bookmarkEnd w:id="40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日，本公司与孔祥芬、齐庆璇、刘洪、赵贺文、宋庆荣共同设立子公司贵安新区贵金科技有限公司，注册资本</w:t>
      </w:r>
    </w:p>
    <w:p>
      <w:pPr>
        <w:pStyle w:val="BodyText"/>
        <w:spacing w:line="240" w:lineRule="auto" w:before="63"/>
        <w:ind w:right="0"/>
        <w:jc w:val="left"/>
      </w:pPr>
      <w:r>
        <w:rPr>
          <w:rFonts w:ascii="Times New Roman" w:hAnsi="Times New Roman" w:cs="Times New Roman" w:eastAsia="Times New Roman" w:hint="default"/>
        </w:rPr>
        <w:t>500</w:t>
      </w:r>
      <w:r>
        <w:rPr/>
        <w:t>万元，本公司持有</w:t>
      </w:r>
      <w:r>
        <w:rPr>
          <w:rFonts w:ascii="Times New Roman" w:hAnsi="Times New Roman" w:cs="Times New Roman" w:eastAsia="Times New Roman" w:hint="default"/>
        </w:rPr>
        <w:t>51%</w:t>
      </w:r>
      <w:r>
        <w:rPr/>
        <w:t>股权，该公司自成立之日起纳入合并报表范围。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同一控制下企业合并" w:id="410"/>
      <w:bookmarkEnd w:id="41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1"/>
      <w:bookmarkEnd w:id="41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12"/>
      <w:bookmarkEnd w:id="41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pt" strokecolor="#000000">
                <v:path arrowok="t"/>
              </v:shape>
              <v:shape style="position:absolute;left:5;top:10;width:4785;height:403"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left="113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13"/>
      <w:bookmarkEnd w:id="41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反向购买" w:id="414"/>
      <w:bookmarkEnd w:id="41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4、处置子公司" w:id="415"/>
      <w:bookmarkEnd w:id="41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是否存在单次处置对子公司投资即丧失控制权的情形</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16"/>
      <w:bookmarkEnd w:id="41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Heading4"/>
        <w:spacing w:line="256" w:lineRule="auto"/>
        <w:ind w:left="1134" w:right="0"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日，本公司与孔祥芬、齐庆璇、刘洪、赵贺文、宋庆荣共同设立子公司贵安新区贵金科</w:t>
      </w:r>
      <w:r>
        <w:rPr/>
        <w:t> 技有限公司，注册资本</w:t>
      </w:r>
      <w:r>
        <w:rPr>
          <w:rFonts w:ascii="Times New Roman" w:hAnsi="Times New Roman" w:cs="Times New Roman" w:eastAsia="Times New Roman" w:hint="default"/>
        </w:rPr>
        <w:t>500</w:t>
      </w:r>
      <w:r>
        <w:rPr/>
        <w:t>万元，本公司持有</w:t>
      </w:r>
      <w:r>
        <w:rPr>
          <w:rFonts w:ascii="Times New Roman" w:hAnsi="Times New Roman" w:cs="Times New Roman" w:eastAsia="Times New Roman" w:hint="default"/>
        </w:rPr>
        <w:t>51%</w:t>
      </w:r>
      <w:r>
        <w:rPr/>
        <w:t>股权，该公司自成立之日起纳入合并报表范围。</w:t>
      </w:r>
    </w:p>
    <w:p>
      <w:pPr>
        <w:spacing w:line="240" w:lineRule="auto" w:before="5"/>
        <w:rPr>
          <w:rFonts w:ascii="宋体" w:hAnsi="宋体" w:cs="宋体" w:eastAsia="宋体" w:hint="default"/>
          <w:sz w:val="23"/>
          <w:szCs w:val="23"/>
        </w:rPr>
      </w:pPr>
    </w:p>
    <w:p>
      <w:pPr>
        <w:spacing w:line="487" w:lineRule="auto" w:before="0"/>
        <w:ind w:left="1133" w:right="7693" w:firstLine="0"/>
        <w:jc w:val="left"/>
        <w:rPr>
          <w:rFonts w:ascii="宋体" w:hAnsi="宋体" w:cs="宋体" w:eastAsia="宋体" w:hint="default"/>
          <w:sz w:val="21"/>
          <w:szCs w:val="21"/>
        </w:rPr>
      </w:pPr>
      <w:bookmarkStart w:name="6、其他" w:id="417"/>
      <w:bookmarkEnd w:id="41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8"/>
      <w:bookmarkEnd w:id="418"/>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9"/>
      <w:bookmarkEnd w:id="41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20"/>
      <w:bookmarkEnd w:id="42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贵安新区贵金科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134" w:right="0"/>
        <w:jc w:val="left"/>
        <w:rPr>
          <w:b w:val="0"/>
          <w:bCs w:val="0"/>
        </w:rPr>
      </w:pPr>
      <w:bookmarkStart w:name="（2）重要的非全资子公司" w:id="421"/>
      <w:bookmarkEnd w:id="42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134" w:right="6432"/>
        <w:jc w:val="left"/>
      </w:pPr>
      <w:r>
        <w:rPr/>
        <w:t>子公司少数股东的持股比例不同于表决权比例的说明： 其他说明：</w:t>
      </w:r>
    </w:p>
    <w:p>
      <w:pPr>
        <w:pStyle w:val="Heading4"/>
        <w:spacing w:line="290" w:lineRule="exact" w:before="0"/>
        <w:ind w:left="1134" w:right="0"/>
        <w:jc w:val="left"/>
      </w:pPr>
      <w:r>
        <w:rPr/>
        <w:t>贵安新区贵金科技有限公司</w:t>
      </w:r>
      <w:r>
        <w:rPr>
          <w:rFonts w:ascii="Times New Roman" w:hAnsi="Times New Roman" w:cs="Times New Roman" w:eastAsia="Times New Roman" w:hint="default"/>
        </w:rPr>
        <w:t>2017</w:t>
      </w:r>
      <w:r>
        <w:rPr/>
        <w:t>年度尚未取得业务收入，本公司无重要的非全资子公司。</w:t>
      </w:r>
    </w:p>
    <w:p>
      <w:pPr>
        <w:spacing w:line="240" w:lineRule="auto" w:before="8"/>
        <w:rPr>
          <w:rFonts w:ascii="宋体" w:hAnsi="宋体" w:cs="宋体" w:eastAsia="宋体" w:hint="default"/>
          <w:sz w:val="24"/>
          <w:szCs w:val="24"/>
        </w:rPr>
      </w:pPr>
    </w:p>
    <w:p>
      <w:pPr>
        <w:pStyle w:val="Heading3"/>
        <w:spacing w:line="240" w:lineRule="auto"/>
        <w:ind w:left="1134" w:right="0"/>
        <w:jc w:val="left"/>
        <w:rPr>
          <w:b w:val="0"/>
          <w:bCs w:val="0"/>
        </w:rPr>
      </w:pPr>
      <w:bookmarkStart w:name="（3）重要非全资子公司的主要财务信息" w:id="422"/>
      <w:bookmarkEnd w:id="42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23"/>
      <w:bookmarkEnd w:id="42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24"/>
      <w:bookmarkEnd w:id="42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25"/>
      <w:bookmarkEnd w:id="42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所有者权益份额发生变化的情况说明" w:id="426"/>
      <w:bookmarkEnd w:id="42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交易对于少数股东权益及归属于母公司所有者权益的影响" w:id="427"/>
      <w:bookmarkEnd w:id="42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28"/>
      <w:bookmarkEnd w:id="42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9"/>
      <w:bookmarkEnd w:id="42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重要合营企业的主要财务信息" w:id="430"/>
      <w:bookmarkEnd w:id="43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重要联营企业的主要财务信息" w:id="431"/>
      <w:bookmarkEnd w:id="43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32"/>
      <w:bookmarkEnd w:id="43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33"/>
      <w:bookmarkEnd w:id="43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34"/>
      <w:bookmarkEnd w:id="43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35"/>
      <w:bookmarkEnd w:id="43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36"/>
      <w:bookmarkEnd w:id="43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37"/>
      <w:bookmarkEnd w:id="43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38"/>
      <w:bookmarkEnd w:id="43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未纳入合并财务报表范围的结构化主体的相关说明：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6、其他" w:id="439"/>
      <w:bookmarkEnd w:id="439"/>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40"/>
      <w:bookmarkEnd w:id="440"/>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本公司的主要金融工具包括应收账款、应付账款等，各项金融工具的详细情况说明见本附注七相关项目。与这些金融 </w:t>
      </w:r>
      <w:r>
        <w:rPr>
          <w:spacing w:val="-2"/>
        </w:rPr>
        <w:t>工具有关的风险，以及本公司为降低这些风险所采取的风险管理政策如下所述。本公司管理层对这些风险敞口进行管理和监</w:t>
      </w:r>
      <w:r>
        <w:rPr>
          <w:spacing w:val="-64"/>
        </w:rPr>
        <w:t> </w:t>
      </w:r>
      <w:r>
        <w:rPr>
          <w:spacing w:val="-64"/>
        </w:rPr>
      </w:r>
      <w:r>
        <w:rPr/>
        <w:t>控以确保将上述风险控制在限定的范围之内。</w:t>
      </w:r>
    </w:p>
    <w:p>
      <w:pPr>
        <w:pStyle w:val="BodyText"/>
        <w:spacing w:line="316" w:lineRule="auto" w:before="19"/>
        <w:ind w:right="1130" w:firstLine="420"/>
        <w:jc w:val="both"/>
      </w:pPr>
      <w:r>
        <w:rPr/>
        <w:t>本公司采用敏感性分析技术分析风险变量的合理、可能变化对当期损益或股东权益可能产生的影响。由于任何风险变 </w:t>
      </w:r>
      <w:r>
        <w:rPr>
          <w:spacing w:val="-2"/>
        </w:rPr>
        <w:t>量很少孤立地发生变化，而变量之间存在的相关性对某一风险变量的变化的最终影响金额将产生重大作用，因此下述内容是</w:t>
      </w:r>
      <w:r>
        <w:rPr>
          <w:spacing w:val="-63"/>
        </w:rPr>
        <w:t> </w:t>
      </w:r>
      <w:r>
        <w:rPr>
          <w:spacing w:val="-63"/>
        </w:rPr>
      </w:r>
      <w:r>
        <w:rPr/>
        <w:t>在假设每一变量的变化是在独立的情况下进行的。</w:t>
      </w:r>
    </w:p>
    <w:p>
      <w:pPr>
        <w:pStyle w:val="BodyText"/>
        <w:spacing w:line="300" w:lineRule="auto" w:before="19"/>
        <w:ind w:left="1553" w:right="0" w:hanging="420"/>
        <w:jc w:val="left"/>
      </w:pPr>
      <w:r>
        <w:rPr>
          <w:rFonts w:ascii="Times New Roman" w:hAnsi="Times New Roman" w:cs="Times New Roman" w:eastAsia="Times New Roman" w:hint="default"/>
          <w:b/>
          <w:bCs/>
        </w:rPr>
        <w:t>1</w:t>
      </w:r>
      <w:r>
        <w:rPr>
          <w:rFonts w:ascii="宋体" w:hAnsi="宋体" w:cs="宋体" w:eastAsia="宋体" w:hint="default"/>
          <w:b/>
          <w:bCs/>
        </w:rPr>
        <w:t>、风险管理目标和政策</w:t>
      </w:r>
      <w:r>
        <w:rPr>
          <w:rFonts w:ascii="宋体" w:hAnsi="宋体" w:cs="宋体" w:eastAsia="宋体" w:hint="default"/>
          <w:b/>
          <w:bCs/>
          <w:w w:val="99"/>
        </w:rPr>
        <w:t> </w:t>
      </w:r>
      <w:r>
        <w:rPr/>
        <w:t>本公司从事风险管理的目标是在风险和收益之间取得适当的平衡，将风险对本公司经营业绩的负面影响降低到最低水</w:t>
      </w:r>
    </w:p>
    <w:p>
      <w:pPr>
        <w:pStyle w:val="BodyText"/>
        <w:spacing w:line="316" w:lineRule="auto" w:before="31"/>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）、市场风险</w:t>
      </w:r>
      <w:r>
        <w:rPr>
          <w:b w:val="0"/>
          <w:bCs w:val="0"/>
        </w:rPr>
      </w:r>
    </w:p>
    <w:p>
      <w:pPr>
        <w:pStyle w:val="BodyText"/>
        <w:spacing w:line="316" w:lineRule="auto" w:before="63"/>
        <w:ind w:left="1554" w:right="4752"/>
        <w:jc w:val="left"/>
      </w:pPr>
      <w:r>
        <w:rPr/>
        <w:t>①外汇风险 本公司主要业务活动以人民币计价结算，外汇对经营业绩未产生影响。</w:t>
      </w:r>
    </w:p>
    <w:p>
      <w:pPr>
        <w:pStyle w:val="BodyText"/>
        <w:spacing w:line="316" w:lineRule="auto" w:before="19"/>
        <w:ind w:left="1554" w:right="6732"/>
        <w:jc w:val="left"/>
      </w:pPr>
      <w:r>
        <w:rPr/>
        <w:t>②利率风险－现金流量变动风险 本公司无借款，利率对经营业绩未产生影响。</w:t>
      </w:r>
    </w:p>
    <w:p>
      <w:pPr>
        <w:pStyle w:val="BodyText"/>
        <w:spacing w:line="316" w:lineRule="auto" w:before="19"/>
        <w:ind w:left="1554" w:right="6552"/>
        <w:jc w:val="left"/>
      </w:pPr>
      <w:r>
        <w:rPr/>
        <w:t>③其他价格风险 本公司无其他与金融工具相关的其他价格风险。</w:t>
      </w: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）、信用风险</w:t>
      </w:r>
      <w:r>
        <w:rPr>
          <w:b w:val="0"/>
          <w:bCs w:val="0"/>
        </w:rPr>
      </w:r>
    </w:p>
    <w:p>
      <w:pPr>
        <w:pStyle w:val="BodyText"/>
        <w:spacing w:line="300" w:lineRule="auto" w:before="63"/>
        <w:ind w:left="1134" w:right="1135"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日，可能引起本公司财务损失的最大信用风险敞口主要来自于合同另一方未能履行义务而导致本公司金 融资产产生的损失。</w:t>
      </w:r>
    </w:p>
    <w:p>
      <w:pPr>
        <w:pStyle w:val="BodyText"/>
        <w:spacing w:line="316" w:lineRule="auto" w:before="31"/>
        <w:ind w:left="1134" w:right="1133" w:firstLine="420"/>
        <w:jc w:val="both"/>
      </w:pPr>
      <w:r>
        <w:rPr/>
        <w:t>为降低信用风险，本公司成立了一个小组负责确定信用额度、进行信用审批，并执行其他监控程序以确保采取必要的 </w:t>
      </w:r>
      <w:r>
        <w:rPr>
          <w:spacing w:val="-2"/>
        </w:rPr>
        <w:t>措施回收过期债权。此外，本公司于每个资产负债表日审核每一单项应收款的回收情况，以确保就无法回收的款项计提充分</w:t>
      </w:r>
      <w:r>
        <w:rPr>
          <w:spacing w:val="-66"/>
        </w:rPr>
        <w:t> </w:t>
      </w:r>
      <w:r>
        <w:rPr>
          <w:spacing w:val="-66"/>
        </w:rPr>
      </w:r>
      <w:r>
        <w:rPr/>
        <w:t>的坏账准备。因此，本公司管理层认为本公司所承担的信用风险已经大为降低。</w:t>
      </w:r>
    </w:p>
    <w:p>
      <w:pPr>
        <w:pStyle w:val="BodyText"/>
        <w:spacing w:line="300" w:lineRule="auto" w:before="19"/>
        <w:ind w:left="1554"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t>管理流动风险时，本公司保持管理层认为充分的现金及现金等价物并对其进行监控，以满足本公司经营需要，并降低</w:t>
      </w:r>
    </w:p>
    <w:p>
      <w:pPr>
        <w:pStyle w:val="BodyText"/>
        <w:spacing w:line="240" w:lineRule="auto" w:before="31"/>
        <w:ind w:left="1134" w:right="0"/>
        <w:jc w:val="left"/>
      </w:pPr>
      <w:r>
        <w:rPr/>
        <w:t>现金流量波动的影响。</w:t>
      </w:r>
    </w:p>
    <w:p>
      <w:pPr>
        <w:pStyle w:val="Heading5"/>
        <w:spacing w:line="240" w:lineRule="auto" w:before="76"/>
        <w:ind w:left="1134" w:right="0"/>
        <w:jc w:val="left"/>
        <w:rPr>
          <w:b w:val="0"/>
          <w:bCs w:val="0"/>
        </w:rPr>
      </w:pPr>
      <w:r>
        <w:rPr>
          <w:rFonts w:ascii="Times New Roman" w:hAnsi="Times New Roman" w:cs="Times New Roman" w:eastAsia="Times New Roman" w:hint="default"/>
        </w:rPr>
        <w:t>2</w:t>
      </w:r>
      <w:r>
        <w:rPr/>
        <w:t>、金融资产转移</w:t>
      </w:r>
      <w:r>
        <w:rPr>
          <w:b w:val="0"/>
          <w:bCs w:val="0"/>
        </w:rPr>
      </w:r>
    </w:p>
    <w:p>
      <w:pPr>
        <w:pStyle w:val="BodyText"/>
        <w:spacing w:line="240" w:lineRule="auto" w:before="63"/>
        <w:ind w:left="1554" w:right="0"/>
        <w:jc w:val="left"/>
      </w:pPr>
      <w:r>
        <w:rPr/>
        <w:t>本公司无金融资产转移的情况。</w:t>
      </w:r>
    </w:p>
    <w:p>
      <w:pPr>
        <w:spacing w:line="300" w:lineRule="auto" w:before="76"/>
        <w:ind w:left="1493" w:right="679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、金融资产与金融负债的抵销</w:t>
      </w:r>
      <w:r>
        <w:rPr>
          <w:rFonts w:ascii="宋体" w:hAnsi="宋体" w:cs="宋体" w:eastAsia="宋体" w:hint="default"/>
          <w:b/>
          <w:bCs/>
          <w:w w:val="99"/>
          <w:sz w:val="18"/>
          <w:szCs w:val="18"/>
        </w:rPr>
        <w:t> </w:t>
      </w:r>
      <w:r>
        <w:rPr>
          <w:rFonts w:ascii="宋体" w:hAnsi="宋体" w:cs="宋体" w:eastAsia="宋体" w:hint="default"/>
          <w:sz w:val="18"/>
          <w:szCs w:val="18"/>
        </w:rPr>
        <w:t>本公司无金融资产与金融负债的抵销的情况。</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十一、公允价值的披露" w:id="441"/>
      <w:bookmarkEnd w:id="44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42"/>
      <w:bookmarkEnd w:id="44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持续和非持续第一层次公允价值计量项目市价的确定依据" w:id="443"/>
      <w:bookmarkEnd w:id="44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持续和非持续第二层次公允价值计量项目，采用的估值技术和重要参数的定性及定量信" w:id="444"/>
      <w:bookmarkEnd w:id="44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持续和非持续第三层次公允价值计量项目，采用的估值技术和重要参数的定性及定量信" w:id="445"/>
      <w:bookmarkEnd w:id="44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5、持续的第三层次公允价值计量项目，期初与期末账面价值间的调节信息及不可观察参数" w:id="446"/>
      <w:bookmarkEnd w:id="44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持续的公允价值计量项目，本期内发生各层级之间转换的，转换的原因及确定转换时点" w:id="447"/>
      <w:bookmarkEnd w:id="44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本期内发生的估值技术变更及变更原因" w:id="448"/>
      <w:bookmarkEnd w:id="44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不以公允价值计量的金融资产和金融负债的公允价值情况" w:id="449"/>
      <w:bookmarkEnd w:id="44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9、其他" w:id="450"/>
      <w:bookmarkEnd w:id="450"/>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本公司无金融资产与金融负债的抵销的情况。</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二、关联方及关联交易" w:id="451"/>
      <w:bookmarkEnd w:id="451"/>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本企业的母公司情况" w:id="452"/>
      <w:bookmarkEnd w:id="45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left="1134" w:right="0"/>
        <w:jc w:val="left"/>
      </w:pPr>
      <w:r>
        <w:rPr/>
        <w:t>本企业的母公司情况的说明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60" w:lineRule="auto"/>
        <w:ind w:left="1134" w:right="8952"/>
        <w:jc w:val="left"/>
      </w:pPr>
      <w:r>
        <w:rPr/>
        <w:t>本企业最终控制方是。 其他说明：</w:t>
      </w:r>
    </w:p>
    <w:p>
      <w:pPr>
        <w:pStyle w:val="BodyText"/>
        <w:spacing w:line="240" w:lineRule="auto" w:before="25"/>
        <w:ind w:right="0"/>
        <w:jc w:val="left"/>
      </w:pPr>
      <w:r>
        <w:rPr/>
        <w:t>本公司无母公司，陈喆女士为本公司的实际控制人。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547" w:lineRule="auto" w:before="0"/>
        <w:ind w:left="1134" w:right="6433" w:firstLine="0"/>
        <w:jc w:val="left"/>
        <w:rPr>
          <w:rFonts w:ascii="宋体" w:hAnsi="宋体" w:cs="宋体" w:eastAsia="宋体" w:hint="default"/>
          <w:sz w:val="21"/>
          <w:szCs w:val="21"/>
        </w:rPr>
      </w:pPr>
      <w:bookmarkStart w:name="2、本企业的子公司情况" w:id="453"/>
      <w:bookmarkEnd w:id="4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在子公司中的权益。 </w:t>
      </w:r>
      <w:bookmarkStart w:name="3、本企业合营和联营企业情况" w:id="454"/>
      <w:bookmarkEnd w:id="45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50"/>
        <w:ind w:left="1134" w:right="2292"/>
        <w:jc w:val="left"/>
      </w:pPr>
      <w:r>
        <w:rPr/>
        <w:t>本企业重要的合营或联营企业详见附注。 本期与本公司发生关联方交易，或前期与本公司发生关联方交易形成余额的其他合营或联营企业情况如下：</w:t>
      </w:r>
    </w:p>
    <w:p>
      <w:pPr>
        <w:spacing w:after="0" w:line="360" w:lineRule="auto"/>
        <w:jc w:val="left"/>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134" w:right="0"/>
        <w:jc w:val="left"/>
      </w:pPr>
      <w:r>
        <w:rPr/>
        <w:pict>
          <v:group style="position:absolute;margin-left:55.200001pt;margin-top:-36.978271pt;width:485pt;height:.1pt;mso-position-horizontal-relative:page;mso-position-vertical-relative:paragraph;z-index:-1185208"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55"/>
      <w:bookmarkEnd w:id="45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苏州衡赢真盛创业投资中心（有限合伙）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56"/>
      <w:bookmarkEnd w:id="45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457"/>
      <w:bookmarkEnd w:id="45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关联受托管理/承包及委托管理/出包情况" w:id="458"/>
      <w:bookmarkEnd w:id="45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51"/>
        <w:ind w:left="1134" w:right="0"/>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关联租赁情况" w:id="459"/>
      <w:bookmarkEnd w:id="45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left="1134"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关联担保情况" w:id="460"/>
      <w:bookmarkEnd w:id="46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关联方资金拆借" w:id="461"/>
      <w:bookmarkEnd w:id="46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关联方资产转让、债务重组情况" w:id="462"/>
      <w:bookmarkEnd w:id="46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键管理人员报酬" w:id="463"/>
      <w:bookmarkEnd w:id="46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5,276,700.00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关联交易" w:id="464"/>
      <w:bookmarkEnd w:id="46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应收应付款项" w:id="465"/>
      <w:bookmarkEnd w:id="46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466"/>
      <w:bookmarkEnd w:id="46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467"/>
      <w:bookmarkEnd w:id="46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联方承诺" w:id="468"/>
      <w:bookmarkEnd w:id="46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9"/>
      <w:bookmarkEnd w:id="46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0"/>
      <w:bookmarkEnd w:id="47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1"/>
      <w:bookmarkEnd w:id="47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24.45 </w:t>
            </w:r>
            <w:r>
              <w:rPr>
                <w:rFonts w:ascii="宋体" w:hAnsi="宋体" w:cs="宋体" w:eastAsia="宋体" w:hint="default"/>
                <w:sz w:val="18"/>
                <w:szCs w:val="18"/>
              </w:rPr>
              <w:t>元</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bl>
    <w:p>
      <w:pPr>
        <w:pStyle w:val="BodyText"/>
        <w:spacing w:line="240" w:lineRule="auto" w:before="51"/>
        <w:ind w:left="1134" w:right="0"/>
        <w:jc w:val="both"/>
      </w:pPr>
      <w:r>
        <w:rPr/>
        <w:t>其他说明</w:t>
      </w:r>
    </w:p>
    <w:p>
      <w:pPr>
        <w:pStyle w:val="BodyText"/>
        <w:spacing w:line="240" w:lineRule="auto" w:before="115"/>
        <w:ind w:left="1424" w:right="0"/>
        <w:jc w:val="left"/>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日第二届董事会第十一次会议决议和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2017</w:t>
      </w:r>
      <w:r>
        <w:rPr/>
        <w:t>年第一次临时股东大会审议通过的</w:t>
      </w:r>
    </w:p>
    <w:p>
      <w:pPr>
        <w:pStyle w:val="BodyText"/>
        <w:spacing w:line="300" w:lineRule="auto" w:before="63"/>
        <w:ind w:right="1132"/>
        <w:jc w:val="both"/>
      </w:pPr>
      <w:r>
        <w:rPr/>
        <w:t>《珠海汇金科技股份有限公司</w:t>
      </w:r>
      <w:r>
        <w:rPr>
          <w:rFonts w:ascii="Times New Roman" w:hAnsi="Times New Roman" w:cs="Times New Roman" w:eastAsia="Times New Roman" w:hint="default"/>
        </w:rPr>
        <w:t>2017</w:t>
      </w:r>
      <w:r>
        <w:rPr/>
        <w:t>年限制性股票激励计划（草案）》及其摘要，及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日第二届董事会第十四次会 </w:t>
      </w:r>
      <w:r>
        <w:rPr>
          <w:spacing w:val="-4"/>
        </w:rPr>
        <w:t>议决议通过的《关于向激励对象首次授予限制性股票的议案》，本年度由</w:t>
      </w:r>
      <w:r>
        <w:rPr>
          <w:rFonts w:ascii="Times New Roman" w:hAnsi="Times New Roman" w:cs="Times New Roman" w:eastAsia="Times New Roman" w:hint="default"/>
          <w:spacing w:val="-4"/>
        </w:rPr>
        <w:t>42</w:t>
      </w:r>
      <w:r>
        <w:rPr>
          <w:spacing w:val="-4"/>
        </w:rPr>
        <w:t>名限制性股票激励对象行权，实际行权数量为</w:t>
      </w:r>
      <w:r>
        <w:rPr>
          <w:rFonts w:ascii="Times New Roman" w:hAnsi="Times New Roman" w:cs="Times New Roman" w:eastAsia="Times New Roman" w:hint="default"/>
          <w:spacing w:val="-4"/>
        </w:rPr>
        <w:t>116</w:t>
      </w:r>
      <w:r>
        <w:rPr>
          <w:rFonts w:ascii="Times New Roman" w:hAnsi="Times New Roman" w:cs="Times New Roman" w:eastAsia="Times New Roman" w:hint="default"/>
          <w:spacing w:val="7"/>
        </w:rPr>
        <w:t> </w:t>
      </w:r>
      <w:r>
        <w:rPr/>
        <w:t>万份，行权价格为</w:t>
      </w:r>
      <w:r>
        <w:rPr>
          <w:rFonts w:ascii="Times New Roman" w:hAnsi="Times New Roman" w:cs="Times New Roman" w:eastAsia="Times New Roman" w:hint="default"/>
        </w:rPr>
        <w:t>24.45</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p>
    <w:p>
      <w:pPr>
        <w:pStyle w:val="BodyText"/>
        <w:spacing w:line="240" w:lineRule="auto" w:before="13"/>
        <w:ind w:left="1424" w:right="0"/>
        <w:jc w:val="left"/>
      </w:pPr>
      <w:r>
        <w:rPr/>
        <w:t>本次授予的限制性股票限售期为自相应授予限制性股票授予登记日起</w:t>
      </w:r>
      <w:r>
        <w:rPr>
          <w:rFonts w:ascii="Times New Roman" w:hAnsi="Times New Roman" w:cs="Times New Roman" w:eastAsia="Times New Roman" w:hint="default"/>
        </w:rPr>
        <w:t>12</w:t>
      </w:r>
      <w:r>
        <w:rPr/>
        <w:t>个月。激励对象获授的限制性股票在解除限售前</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不得转让、用于担保或偿还债务。限售期满后，公司为满足解除限售条件的激励对象办理解除限售事宜，未满足解除限售条</w:t>
      </w:r>
      <w:r>
        <w:rPr>
          <w:spacing w:val="-66"/>
        </w:rPr>
        <w:t> </w:t>
      </w:r>
      <w:r>
        <w:rPr>
          <w:spacing w:val="-66"/>
        </w:rPr>
      </w:r>
      <w:r>
        <w:rPr/>
        <w:t>件的激励对象持有的限制性股票由公司按本计划的原则回购注销。</w:t>
      </w:r>
    </w:p>
    <w:p>
      <w:pPr>
        <w:pStyle w:val="BodyText"/>
        <w:spacing w:line="300" w:lineRule="auto" w:before="19"/>
        <w:ind w:left="1134" w:right="0" w:firstLine="290"/>
        <w:jc w:val="left"/>
      </w:pPr>
      <w:r>
        <w:rPr>
          <w:spacing w:val="-2"/>
        </w:rPr>
        <w:t>本次首次授予部分解除限售年度为</w:t>
      </w:r>
      <w:r>
        <w:rPr>
          <w:rFonts w:ascii="Times New Roman" w:hAnsi="Times New Roman" w:cs="Times New Roman" w:eastAsia="Times New Roman" w:hint="default"/>
          <w:spacing w:val="-2"/>
        </w:rPr>
        <w:t>2017-2019</w:t>
      </w:r>
      <w:r>
        <w:rPr>
          <w:spacing w:val="-2"/>
        </w:rPr>
        <w:t>年三个会计年度，分年度对公司营业收入增长率进行考核，首次授予部分各</w:t>
      </w:r>
      <w:r>
        <w:rPr/>
        <w:t> 年度的业绩考核目标如下：</w:t>
      </w:r>
    </w:p>
    <w:tbl>
      <w:tblPr>
        <w:tblW w:w="0" w:type="auto"/>
        <w:jc w:val="left"/>
        <w:tblInd w:w="1129" w:type="dxa"/>
        <w:tblLayout w:type="fixed"/>
        <w:tblCellMar>
          <w:top w:w="0" w:type="dxa"/>
          <w:left w:w="0" w:type="dxa"/>
          <w:bottom w:w="0" w:type="dxa"/>
          <w:right w:w="0" w:type="dxa"/>
        </w:tblCellMar>
        <w:tblLook w:val="01E0"/>
      </w:tblPr>
      <w:tblGrid>
        <w:gridCol w:w="2178"/>
        <w:gridCol w:w="6704"/>
      </w:tblGrid>
      <w:tr>
        <w:trPr>
          <w:trHeight w:val="4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4"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421"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10%</w:t>
            </w:r>
          </w:p>
        </w:tc>
      </w:tr>
      <w:tr>
        <w:trPr>
          <w:trHeight w:val="42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20%</w:t>
            </w:r>
          </w:p>
        </w:tc>
      </w:tr>
      <w:tr>
        <w:trPr>
          <w:trHeight w:val="42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30%</w:t>
            </w:r>
          </w:p>
        </w:tc>
      </w:tr>
    </w:tbl>
    <w:p>
      <w:pPr>
        <w:pStyle w:val="BodyText"/>
        <w:spacing w:line="240" w:lineRule="auto" w:before="31"/>
        <w:ind w:left="1494" w:right="0"/>
        <w:jc w:val="left"/>
      </w:pPr>
      <w:r>
        <w:rPr/>
        <w:t>本次限制性股票的解除限售期及各期解除限售时间安排：</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128"/>
        <w:gridCol w:w="5386"/>
        <w:gridCol w:w="1392"/>
      </w:tblGrid>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8"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73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149"/>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个月后的首个交易日起至限制性股票授予登 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w:t>
            </w:r>
          </w:p>
        </w:tc>
      </w:tr>
      <w:tr>
        <w:trPr>
          <w:trHeight w:val="7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49"/>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个月后的首个交易日起至限制性股票授予登 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40%</w:t>
            </w:r>
          </w:p>
        </w:tc>
      </w:tr>
      <w:tr>
        <w:trPr>
          <w:trHeight w:val="7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49"/>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个月后的首个交易日起至限制性股票授予登 记日起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2、以权益结算的股份支付情况" w:id="472"/>
      <w:bookmarkEnd w:id="47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73"/>
      <w:bookmarkEnd w:id="47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股份支付的修改、终止情况" w:id="474"/>
      <w:bookmarkEnd w:id="47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75"/>
      <w:bookmarkEnd w:id="4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6"/>
      <w:bookmarkEnd w:id="476"/>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Heading4"/>
        <w:spacing w:line="240" w:lineRule="auto"/>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日止，本公司无需要披露的重大承诺事项。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或有事项" w:id="478"/>
      <w:bookmarkEnd w:id="47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133" w:right="5293" w:firstLine="0"/>
        <w:jc w:val="left"/>
        <w:rPr>
          <w:rFonts w:ascii="宋体" w:hAnsi="宋体" w:cs="宋体" w:eastAsia="宋体" w:hint="default"/>
          <w:sz w:val="21"/>
          <w:szCs w:val="21"/>
        </w:rPr>
      </w:pPr>
      <w:bookmarkStart w:name="（1）资产负债表日存在的重要或有事项" w:id="479"/>
      <w:bookmarkEnd w:id="4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日止，本公司无需披露的重大或有事项。</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bookmarkStart w:name="（2）公司没有需要披露的重要或有事项，也应予以说明" w:id="480"/>
      <w:bookmarkEnd w:id="48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3、其他" w:id="481"/>
      <w:bookmarkEnd w:id="4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2"/>
      <w:bookmarkEnd w:id="48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3"/>
      <w:bookmarkEnd w:id="48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利润分配情况" w:id="484"/>
      <w:bookmarkEnd w:id="48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30,657,600.00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销售退回" w:id="485"/>
      <w:bookmarkEnd w:id="48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4、其他资产负债表日后事项说明" w:id="486"/>
      <w:bookmarkEnd w:id="48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167" w:firstLine="29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日，本公司第二届董事会召开第十九次会议，批准</w:t>
      </w:r>
      <w:r>
        <w:rPr>
          <w:rFonts w:ascii="Times New Roman" w:hAnsi="Times New Roman" w:cs="Times New Roman" w:eastAsia="Times New Roman" w:hint="default"/>
        </w:rPr>
        <w:t>2017</w:t>
      </w:r>
      <w:r>
        <w:rPr/>
        <w:t>年度利润分配预案，以截至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 股本总数</w:t>
      </w:r>
      <w:r>
        <w:rPr>
          <w:rFonts w:ascii="Times New Roman" w:hAnsi="Times New Roman" w:cs="Times New Roman" w:eastAsia="Times New Roman" w:hint="default"/>
        </w:rPr>
        <w:t>85,160,000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3.60</w:t>
      </w:r>
      <w:r>
        <w:rPr/>
        <w:t>元（含税），同时以资本公积向股东每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该项决议尚需提交股东大会批准。</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六、其他重要事项" w:id="487"/>
      <w:bookmarkEnd w:id="487"/>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88"/>
      <w:bookmarkEnd w:id="48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89"/>
      <w:bookmarkEnd w:id="48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来适用法" w:id="490"/>
      <w:bookmarkEnd w:id="49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债务重组" w:id="491"/>
      <w:bookmarkEnd w:id="49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资产置换" w:id="492"/>
      <w:bookmarkEnd w:id="49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非货币性资产交换" w:id="493"/>
      <w:bookmarkEnd w:id="49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其他资产置换" w:id="494"/>
      <w:bookmarkEnd w:id="49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年金计划" w:id="495"/>
      <w:bookmarkEnd w:id="49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终止经营" w:id="496"/>
      <w:bookmarkEnd w:id="49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97"/>
      <w:bookmarkEnd w:id="49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报告分部的确定依据与会计政策" w:id="498"/>
      <w:bookmarkEnd w:id="49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报告分部的财务信息" w:id="499"/>
      <w:bookmarkEnd w:id="49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公司无报告分部的，或者不能披露各报告分部的资产总额和负债总额的，应说明原因" w:id="500"/>
      <w:bookmarkEnd w:id="50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501"/>
      <w:bookmarkEnd w:id="50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502"/>
      <w:bookmarkEnd w:id="50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6473" w:firstLine="0"/>
        <w:jc w:val="left"/>
        <w:rPr>
          <w:rFonts w:ascii="宋体" w:hAnsi="宋体" w:cs="宋体" w:eastAsia="宋体" w:hint="default"/>
          <w:sz w:val="21"/>
          <w:szCs w:val="21"/>
        </w:rPr>
      </w:pPr>
      <w:bookmarkStart w:name="8、其他" w:id="503"/>
      <w:bookmarkEnd w:id="50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4"/>
      <w:bookmarkEnd w:id="50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5"/>
      <w:bookmarkEnd w:id="50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506"/>
      <w:bookmarkEnd w:id="50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555.51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11,040,9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13.68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105,711,6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41.83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50,780,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736.28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5,971,778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44,808,957.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555.51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11,040,9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13.68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105,711,6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41.83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50,780,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736.28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5,971,778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44,808,957.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87,312,565.17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4,365,628.26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13,327,532.20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1,332,753.22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7,111,139.38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1,422,227.88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6,232,835.24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1,869,850.57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1,436,059.55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718,029.78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1,332,423.97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1,332,423.97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116,752,555.51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11,040,913.68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0"/>
        <w:jc w:val="left"/>
      </w:pPr>
      <w:r>
        <w:rPr/>
        <w:t>确定该组合依据的说明： </w:t>
      </w:r>
      <w:r>
        <w:rPr>
          <w:spacing w:val="-2"/>
        </w:rPr>
        <w:t>已单独计提减值准备的应收账款除外，公司根据以前年度与之相同或相类似的，按账龄段划分的具有类似信用风险特征的应</w:t>
      </w:r>
      <w:r>
        <w:rPr>
          <w:spacing w:val="-64"/>
        </w:rPr>
        <w:t> </w:t>
      </w:r>
      <w:r>
        <w:rPr>
          <w:spacing w:val="-64"/>
        </w:rPr>
      </w:r>
      <w:r>
        <w:rPr/>
        <w:t>收账款组合的实际损失率为基础，结合现时情况分析法确定坏账准备计提的比例。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507"/>
      <w:bookmarkEnd w:id="5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5,069,135.09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508"/>
      <w:bookmarkEnd w:id="50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134" w:right="8412"/>
        <w:jc w:val="left"/>
      </w:pPr>
      <w:r>
        <w:rPr/>
        <w:t>应收账款核销说明： 本年无实际核销的应收账款。</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按欠款方归集的期末余额前五名的应收账款情况" w:id="509"/>
      <w:bookmarkEnd w:id="50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134" w:right="0"/>
        <w:jc w:val="left"/>
      </w:pPr>
      <w:r>
        <w:rPr>
          <w:spacing w:val="5"/>
        </w:rPr>
        <w:t>本公司本年按欠款方归集的年末余额前五名应收账款汇总金额为</w:t>
      </w:r>
      <w:r>
        <w:rPr>
          <w:rFonts w:ascii="Times New Roman" w:hAnsi="Times New Roman" w:cs="Times New Roman" w:eastAsia="Times New Roman" w:hint="default"/>
          <w:spacing w:val="5"/>
        </w:rPr>
        <w:t>26,820,517.17</w:t>
      </w:r>
      <w:r>
        <w:rPr>
          <w:spacing w:val="5"/>
        </w:rPr>
        <w:t>元，占应收账款年末余额合计数的比例为</w:t>
      </w:r>
      <w:r>
        <w:rPr>
          <w:spacing w:val="-76"/>
        </w:rPr>
        <w:t> </w:t>
      </w:r>
      <w:r>
        <w:rPr>
          <w:spacing w:val="-76"/>
        </w:rPr>
      </w:r>
      <w:r>
        <w:rPr>
          <w:rFonts w:ascii="Times New Roman" w:hAnsi="Times New Roman" w:cs="Times New Roman" w:eastAsia="Times New Roman" w:hint="default"/>
        </w:rPr>
        <w:t>22.97%</w:t>
      </w:r>
      <w:r>
        <w:rPr/>
        <w:t>，相应计提的坏账准备年末余额汇总金额为</w:t>
      </w:r>
      <w:r>
        <w:rPr>
          <w:rFonts w:ascii="Times New Roman" w:hAnsi="Times New Roman" w:cs="Times New Roman" w:eastAsia="Times New Roman" w:hint="default"/>
        </w:rPr>
        <w:t>2,903,002.34</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因金融资产转移而终止确认的应收账款" w:id="510"/>
      <w:bookmarkEnd w:id="51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本年无因金融资产转移而终止确认的应收账款。</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6）转移应收账款且继续涉入形成的资产、负债金额" w:id="511"/>
      <w:bookmarkEnd w:id="51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6252"/>
        <w:jc w:val="left"/>
      </w:pPr>
      <w:r>
        <w:rPr/>
        <w:t>本年无转移应收账款且继续涉入形成的资产、负债金额。 其他说明：</w:t>
      </w:r>
    </w:p>
    <w:p>
      <w:pPr>
        <w:spacing w:after="0" w:line="36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其他应收款" w:id="512"/>
      <w:bookmarkEnd w:id="51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13"/>
      <w:bookmarkEnd w:id="51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2,908,23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494,429.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2,413,801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1,569,5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264,515.3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1,305,054.2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2,908,23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1.45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494,429.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2,413,801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1,569,5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264,515.3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16.85%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1,305,054.2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1,610,372.60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80,518.63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389,250.73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38,925.07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319,410.68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63,882.14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3,273.72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2,908,231.45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494,429.56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r>
    </w:tbl>
    <w:p>
      <w:pPr>
        <w:pStyle w:val="BodyText"/>
        <w:spacing w:line="338" w:lineRule="auto" w:before="51"/>
        <w:ind w:right="0"/>
        <w:jc w:val="left"/>
      </w:pPr>
      <w:r>
        <w:rPr/>
        <w:t>确定该组合依据的说明： </w:t>
      </w:r>
      <w:r>
        <w:rPr>
          <w:spacing w:val="-2"/>
        </w:rPr>
        <w:t>已单独计提减值准备的应收账款除外，公司根据以前年度与之相同或相类似的，按账龄段划分的具有类似信用风险特征的应</w:t>
      </w:r>
      <w:r>
        <w:rPr>
          <w:spacing w:val="-64"/>
        </w:rPr>
        <w:t> </w:t>
      </w:r>
      <w:r>
        <w:rPr>
          <w:spacing w:val="-64"/>
        </w:rPr>
      </w:r>
      <w:r>
        <w:rPr/>
        <w:t>收账款组合的实际损失率为基础，结合现时情况分析法确定坏账准备计提的比例。</w:t>
      </w:r>
    </w:p>
    <w:p>
      <w:pPr>
        <w:pStyle w:val="BodyText"/>
        <w:spacing w:line="240" w:lineRule="auto" w:before="43"/>
        <w:ind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514"/>
      <w:bookmarkEnd w:id="5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229,914.19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515"/>
      <w:bookmarkEnd w:id="51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134" w:right="8232"/>
        <w:jc w:val="left"/>
      </w:pPr>
      <w:r>
        <w:rPr/>
        <w:t>其他应收款核销说明： 本年无实际核销的其他应收款。</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其他应收款按款项性质分类情况" w:id="516"/>
      <w:bookmarkEnd w:id="51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2,140,618.28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1,197,634.84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586,375.09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310,993.70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181,238.08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60,941.06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2,908,231.45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1,569,569.60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517"/>
      <w:bookmarkEnd w:id="51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89,880.00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275,923.84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38,072.35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1,275,573.84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354,002.35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涉及政府补助的应收款项" w:id="518"/>
      <w:bookmarkEnd w:id="51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134" w:right="0"/>
        <w:jc w:val="left"/>
      </w:pPr>
      <w:r>
        <w:rPr/>
        <w:t>本年无涉及政府补助的应收款项。</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7）因金融资产转移而终止确认的其他应收款" w:id="519"/>
      <w:bookmarkEnd w:id="51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本年无因金融资产转移而终止确认的其他应收款。</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8）转移其他应收款且继续涉入形成的资产、负债金额" w:id="520"/>
      <w:bookmarkEnd w:id="52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6432"/>
        <w:jc w:val="left"/>
      </w:pPr>
      <w:r>
        <w:rPr/>
        <w:t>本年无转移其他应收款且继续涉入形成的资产、负债。 其他说明：</w:t>
      </w:r>
    </w:p>
    <w:p>
      <w:pPr>
        <w:spacing w:line="240" w:lineRule="auto" w:before="12"/>
        <w:rPr>
          <w:rFonts w:ascii="宋体" w:hAnsi="宋体" w:cs="宋体" w:eastAsia="宋体" w:hint="default"/>
          <w:sz w:val="19"/>
          <w:szCs w:val="19"/>
        </w:rPr>
      </w:pPr>
    </w:p>
    <w:p>
      <w:pPr>
        <w:pStyle w:val="Heading3"/>
        <w:spacing w:line="240" w:lineRule="auto"/>
        <w:ind w:left="1134" w:right="0"/>
        <w:jc w:val="left"/>
        <w:rPr>
          <w:b w:val="0"/>
          <w:bCs w:val="0"/>
        </w:rPr>
      </w:pPr>
      <w:bookmarkStart w:name="3、长期股权投资" w:id="521"/>
      <w:bookmarkEnd w:id="52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22"/>
      <w:bookmarkEnd w:id="52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贵安新区贵金科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23"/>
      <w:bookmarkEnd w:id="52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402" w:lineRule="exact"/>
        <w:ind w:left="1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1"/>
                    <w:ind w:left="22" w:right="0"/>
                    <w:jc w:val="left"/>
                  </w:pPr>
                  <w:r>
                    <w:rPr/>
                    <w:t>二、联营企业</w:t>
                  </w:r>
                </w:p>
              </w:txbxContent>
            </v:textbox>
            <v:fill type="solid"/>
          </v:shape>
        </w:pict>
      </w:r>
      <w:r>
        <w:rPr>
          <w:rFonts w:ascii="宋体" w:hAnsi="宋体" w:cs="宋体" w:eastAsia="宋体" w:hint="default"/>
          <w:position w:val="-7"/>
          <w:sz w:val="20"/>
          <w:szCs w:val="20"/>
        </w:rPr>
      </w:r>
    </w:p>
    <w:p>
      <w:pPr>
        <w:spacing w:line="240" w:lineRule="auto" w:before="7"/>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24"/>
      <w:bookmarkEnd w:id="52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25"/>
      <w:bookmarkEnd w:id="5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74,502,957.48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218,054,407.37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58,607,292.52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74,502,957.48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218,054,407.37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58,607,292.52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26"/>
      <w:bookmarkEnd w:id="52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14,541,383.46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3,195,224.41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14,541,383.46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3,195,224.41</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527"/>
      <w:bookmarkEnd w:id="52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28"/>
      <w:bookmarkEnd w:id="52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9"/>
      <w:bookmarkEnd w:id="52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5,641,500.00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-7,022.81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18,947,962.86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理财收益及企业所得税退回</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3,022,966.93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21,536,129.64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30"/>
      <w:bookmarkEnd w:id="53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531"/>
      <w:bookmarkEnd w:id="53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532"/>
      <w:bookmarkEnd w:id="53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33"/>
      <w:bookmarkEnd w:id="53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34"/>
      <w:bookmarkEnd w:id="53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35"/>
      <w:bookmarkEnd w:id="53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763" w:right="3764"/>
        <w:jc w:val="center"/>
        <w:rPr>
          <w:b w:val="0"/>
          <w:bCs w:val="0"/>
        </w:rPr>
      </w:pPr>
      <w:bookmarkStart w:name="_TOC_250000" w:id="536"/>
      <w:bookmarkStart w:name="第十二节 备查文件目录" w:id="537"/>
      <w:r>
        <w:rPr>
          <w:b w:val="0"/>
          <w:bCs w:val="0"/>
        </w:rPr>
      </w:r>
      <w:r>
        <w:rPr/>
        <w:t>第十二节</w:t>
      </w:r>
      <w:r>
        <w:rPr>
          <w:spacing w:val="-8"/>
        </w:rPr>
        <w:t> </w:t>
      </w:r>
      <w:r>
        <w:rPr/>
        <w:t>备查文件目录</w:t>
      </w:r>
      <w:bookmarkEnd w:id="536"/>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、载有公司负责人、主管会计工作负责人及会计机构负责人签名并盖章的财务报表。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3"/>
        <w:ind w:right="0"/>
        <w:jc w:val="left"/>
      </w:pPr>
      <w:r>
        <w:rPr>
          <w:rFonts w:ascii="Times New Roman" w:hAnsi="Times New Roman" w:cs="Times New Roman" w:eastAsia="Times New Roman" w:hint="default"/>
        </w:rPr>
        <w:t>4</w:t>
      </w:r>
      <w:r>
        <w:rPr/>
        <w:t>、经公司法定代表人签名的</w:t>
      </w:r>
      <w:r>
        <w:rPr>
          <w:rFonts w:ascii="Times New Roman" w:hAnsi="Times New Roman" w:cs="Times New Roman" w:eastAsia="Times New Roman" w:hint="default"/>
        </w:rPr>
        <w:t>2017</w:t>
      </w:r>
      <w:r>
        <w:rPr/>
        <w:t>年年度报告文本原件。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130"/>
        <w:jc w:val="right"/>
      </w:pPr>
      <w:r>
        <w:rPr/>
        <w:t>珠海汇金科技股份有限公司</w:t>
      </w:r>
    </w:p>
    <w:p>
      <w:pPr>
        <w:spacing w:line="240" w:lineRule="auto" w:before="10"/>
        <w:rPr>
          <w:rFonts w:ascii="宋体" w:hAnsi="宋体" w:cs="宋体" w:eastAsia="宋体" w:hint="default"/>
          <w:sz w:val="17"/>
          <w:szCs w:val="17"/>
        </w:rPr>
      </w:pPr>
    </w:p>
    <w:p>
      <w:pPr>
        <w:pStyle w:val="BodyText"/>
        <w:spacing w:line="240" w:lineRule="auto"/>
        <w:ind w:left="0" w:right="158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86000" type="#_x0000_t75" stroked="false">
          <v:imagedata r:id="rId1" o:title=""/>
        </v:shape>
      </w:pict>
    </w:r>
    <w:r>
      <w:rPr/>
      <w:pict>
        <v:shape style="position:absolute;margin-left:533.179993pt;margin-top:795.517944pt;width:6.5pt;height:11pt;mso-position-horizontal-relative:page;mso-position-vertical-relative:page;z-index:-1185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85952" type="#_x0000_t75" stroked="false">
          <v:imagedata r:id="rId1" o:title=""/>
        </v:shape>
      </w:pict>
    </w:r>
    <w:r>
      <w:rPr/>
      <w:pict>
        <v:shape style="position:absolute;margin-left:527.679993pt;margin-top:781.957947pt;width:13pt;height:11pt;mso-position-horizontal-relative:page;mso-position-vertical-relative:page;z-index:-1185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85904" type="#_x0000_t75" stroked="false">
          <v:imagedata r:id="rId1" o:title=""/>
        </v:shape>
      </w:pict>
    </w:r>
    <w:r>
      <w:rPr/>
      <w:pict>
        <v:shape style="position:absolute;margin-left:524.179993pt;margin-top:781.957947pt;width:15.5pt;height:11pt;mso-position-horizontal-relative:page;mso-position-vertical-relative:page;z-index:-1185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85856" type="#_x0000_t75" stroked="false">
          <v:imagedata r:id="rId1" o:title=""/>
        </v:shape>
      </w:pict>
    </w:r>
    <w:r>
      <w:rPr/>
      <w:pict>
        <v:shape style="position:absolute;margin-left:523.179993pt;margin-top:781.957947pt;width:17.5pt;height:11pt;mso-position-horizontal-relative:page;mso-position-vertical-relative:page;z-index:-1185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86024" type="#_x0000_t202" filled="false" stroked="false">
          <v:textbox inset="0,0,0,0">
            <w:txbxContent>
              <w:p>
                <w:pPr>
                  <w:pStyle w:val="BodyText"/>
                  <w:spacing w:line="214" w:lineRule="exact"/>
                  <w:ind w:left="20" w:right="0"/>
                  <w:jc w:val="left"/>
                </w:pPr>
                <w:r>
                  <w:rPr/>
                  <w:t>珠海汇金科技股份有限公司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76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90"/>
      <w:ind w:left="1133"/>
      <w:outlineLvl w:val="4"/>
    </w:pPr>
    <w:rPr>
      <w:rFonts w:ascii="宋体" w:hAnsi="宋体" w:eastAsia="宋体"/>
      <w:sz w:val="21"/>
      <w:szCs w:val="21"/>
    </w:rPr>
  </w:style>
  <w:style w:styleId="Heading5" w:type="paragraph">
    <w:name w:val="Heading 5"/>
    <w:basedOn w:val="Normal"/>
    <w:uiPriority w:val="1"/>
    <w:qFormat/>
    <w:pPr>
      <w:spacing w:before="19"/>
      <w:ind w:left="1556"/>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gsg.cc/" TargetMode="External"/><Relationship Id="rId10" Type="http://schemas.openxmlformats.org/officeDocument/2006/relationships/hyperlink" Target="mailto:investor@sgsg.cc" TargetMode="External"/><Relationship Id="rId11" Type="http://schemas.openxmlformats.org/officeDocument/2006/relationships/hyperlink" Target="http://www.cninfo.com.cn/"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hyperlink" Target="http://www.cninfo.com/" TargetMode="External"/><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珠海汇金科技股份有限公司</dc:creator>
  <dc:title>珠海汇金科技股份有限公司2017年年度报告全文</dc:title>
  <dcterms:created xsi:type="dcterms:W3CDTF">2020-05-03T01:02:37Z</dcterms:created>
  <dcterms:modified xsi:type="dcterms:W3CDTF">2020-05-03T01:02:37Z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