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705"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410334" cy="44767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10334" cy="447675"/>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2786" w:right="3763" w:firstLine="0"/>
        <w:jc w:val="center"/>
        <w:rPr>
          <w:rFonts w:ascii="宋体" w:hAnsi="宋体" w:cs="宋体" w:eastAsia="宋体" w:hint="default"/>
          <w:sz w:val="36"/>
          <w:szCs w:val="36"/>
        </w:rPr>
      </w:pPr>
      <w:r>
        <w:rPr>
          <w:rFonts w:ascii="宋体" w:hAnsi="宋体" w:cs="宋体" w:eastAsia="宋体" w:hint="default"/>
          <w:b/>
          <w:bCs/>
          <w:sz w:val="36"/>
          <w:szCs w:val="36"/>
        </w:rPr>
        <w:t>珠海汇金科技股份有限公司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786" w:right="3762" w:firstLine="0"/>
        <w:jc w:val="center"/>
        <w:rPr>
          <w:rFonts w:ascii="Times New Roman" w:hAnsi="Times New Roman" w:cs="Times New Roman" w:eastAsia="Times New Roman" w:hint="default"/>
          <w:sz w:val="22"/>
          <w:szCs w:val="22"/>
        </w:rPr>
      </w:pPr>
      <w:r>
        <w:rPr>
          <w:rFonts w:ascii="Times New Roman"/>
          <w:b/>
          <w:sz w:val="22"/>
        </w:rPr>
        <w:t>2019-055</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27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公司负责人陈喆、主管会计工作负责人孙玉玲及会计机构负责人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孙玉玲声明：保证年度报告中财务报告的真实、准确、完整。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本报告中涉及未来计划或经营规划等前瞻性陈述的，不构成公司对投资者</w:t>
      </w:r>
      <w:r>
        <w:rPr>
          <w:rFonts w:ascii="宋体" w:hAnsi="宋体" w:cs="宋体" w:eastAsia="宋体" w:hint="default"/>
          <w:spacing w:val="3"/>
          <w:sz w:val="28"/>
          <w:szCs w:val="28"/>
        </w:rPr>
      </w:r>
    </w:p>
    <w:p>
      <w:pPr>
        <w:spacing w:line="410"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的实质承诺，投资者及相关人士均应对此保持足够的风险认识，并且应当理解</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计划、预测与承诺之间的差异，敬请投资者注意投资风险。</w:t>
      </w:r>
      <w:r>
        <w:rPr>
          <w:rFonts w:ascii="宋体" w:hAnsi="宋体" w:cs="宋体" w:eastAsia="宋体" w:hint="default"/>
          <w:sz w:val="28"/>
          <w:szCs w:val="28"/>
        </w:rPr>
      </w:r>
    </w:p>
    <w:p>
      <w:pPr>
        <w:spacing w:line="460" w:lineRule="auto" w:before="159"/>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公司提请投资者认真阅读本年度报告全文，并特别注意下列风险因素：</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、新产品开发风险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随着银行业信息化及科技化进程的推进，银行系统内控风险管理对相关产</w:t>
      </w:r>
      <w:r>
        <w:rPr>
          <w:rFonts w:ascii="宋体" w:hAnsi="宋体" w:cs="宋体" w:eastAsia="宋体" w:hint="default"/>
          <w:spacing w:val="3"/>
          <w:sz w:val="28"/>
          <w:szCs w:val="28"/>
        </w:rPr>
      </w:r>
    </w:p>
    <w:p>
      <w:pPr>
        <w:spacing w:line="405"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品功能需求和技术参数提升等方面的要求不断提高；且不同银行系统由于管理</w:t>
      </w:r>
      <w:r>
        <w:rPr>
          <w:rFonts w:ascii="宋体" w:hAnsi="宋体" w:cs="宋体" w:eastAsia="宋体" w:hint="default"/>
          <w:b/>
          <w:bCs/>
          <w:w w:val="99"/>
          <w:sz w:val="28"/>
          <w:szCs w:val="28"/>
        </w:rPr>
        <w:t> </w:t>
      </w:r>
      <w:r>
        <w:rPr>
          <w:rFonts w:ascii="宋体" w:hAnsi="宋体" w:cs="宋体" w:eastAsia="宋体" w:hint="default"/>
          <w:b/>
          <w:bCs/>
          <w:spacing w:val="3"/>
          <w:sz w:val="28"/>
          <w:szCs w:val="28"/>
        </w:rPr>
        <w:t>制度、操作习惯等差异对于产品的具体需求往往存在一定差异，这在一定程度</w:t>
      </w:r>
      <w:r>
        <w:rPr>
          <w:rFonts w:ascii="宋体" w:hAnsi="宋体" w:cs="宋体" w:eastAsia="宋体" w:hint="default"/>
          <w:b/>
          <w:bCs/>
          <w:w w:val="99"/>
          <w:sz w:val="28"/>
          <w:szCs w:val="28"/>
        </w:rPr>
        <w:t> </w:t>
      </w:r>
      <w:r>
        <w:rPr>
          <w:rFonts w:ascii="宋体" w:hAnsi="宋体" w:cs="宋体" w:eastAsia="宋体" w:hint="default"/>
          <w:b/>
          <w:bCs/>
          <w:spacing w:val="3"/>
          <w:sz w:val="28"/>
          <w:szCs w:val="28"/>
        </w:rPr>
        <w:t>上增加了新产品开发难度。银行内控风险管理整体解决方案及相关应用产品涉</w:t>
      </w:r>
      <w:r>
        <w:rPr>
          <w:rFonts w:ascii="宋体" w:hAnsi="宋体" w:cs="宋体" w:eastAsia="宋体" w:hint="default"/>
          <w:b/>
          <w:bCs/>
          <w:w w:val="99"/>
          <w:sz w:val="28"/>
          <w:szCs w:val="28"/>
        </w:rPr>
        <w:t> </w:t>
      </w:r>
      <w:r>
        <w:rPr>
          <w:rFonts w:ascii="宋体" w:hAnsi="宋体" w:cs="宋体" w:eastAsia="宋体" w:hint="default"/>
          <w:b/>
          <w:bCs/>
          <w:spacing w:val="3"/>
          <w:sz w:val="28"/>
          <w:szCs w:val="28"/>
        </w:rPr>
        <w:t>及多学科、多领域的技术应用。如果公司未来不能准确地把握行业技术的发展</w:t>
      </w:r>
      <w:r>
        <w:rPr>
          <w:rFonts w:ascii="宋体" w:hAnsi="宋体" w:cs="宋体" w:eastAsia="宋体" w:hint="default"/>
          <w:b/>
          <w:bCs/>
          <w:w w:val="99"/>
          <w:sz w:val="28"/>
          <w:szCs w:val="28"/>
        </w:rPr>
        <w:t> </w:t>
      </w:r>
      <w:r>
        <w:rPr>
          <w:rFonts w:ascii="宋体" w:hAnsi="宋体" w:cs="宋体" w:eastAsia="宋体" w:hint="default"/>
          <w:b/>
          <w:bCs/>
          <w:spacing w:val="3"/>
          <w:sz w:val="28"/>
          <w:szCs w:val="28"/>
        </w:rPr>
        <w:t>趋势或前瞻性地预测客户需求，在产品开发方向的决策上发生失误，或不能及</w:t>
      </w:r>
      <w:r>
        <w:rPr>
          <w:rFonts w:ascii="宋体" w:hAnsi="宋体" w:cs="宋体" w:eastAsia="宋体" w:hint="default"/>
          <w:b/>
          <w:bCs/>
          <w:w w:val="99"/>
          <w:sz w:val="28"/>
          <w:szCs w:val="28"/>
        </w:rPr>
        <w:t> </w:t>
      </w:r>
      <w:r>
        <w:rPr>
          <w:rFonts w:ascii="宋体" w:hAnsi="宋体" w:cs="宋体" w:eastAsia="宋体" w:hint="default"/>
          <w:b/>
          <w:bCs/>
          <w:spacing w:val="-5"/>
          <w:w w:val="95"/>
          <w:sz w:val="28"/>
          <w:szCs w:val="28"/>
        </w:rPr>
        <w:t>时将新技术运用于产品开发和升级，将可能使公司丧失技术优势和市场地位。</w:t>
      </w:r>
      <w:r>
        <w:rPr>
          <w:rFonts w:ascii="Times New Roman" w:hAnsi="Times New Roman" w:cs="Times New Roman" w:eastAsia="Times New Roman" w:hint="default"/>
          <w:b/>
          <w:bCs/>
          <w:spacing w:val="-5"/>
          <w:w w:val="95"/>
          <w:sz w:val="28"/>
          <w:szCs w:val="28"/>
        </w:rPr>
        <w:t>2</w:t>
      </w:r>
      <w:r>
        <w:rPr>
          <w:rFonts w:ascii="宋体" w:hAnsi="宋体" w:cs="宋体" w:eastAsia="宋体" w:hint="default"/>
          <w:b/>
          <w:bCs/>
          <w:spacing w:val="-5"/>
          <w:w w:val="95"/>
          <w:sz w:val="28"/>
          <w:szCs w:val="28"/>
        </w:rPr>
        <w:t>、</w:t>
      </w:r>
      <w:r>
        <w:rPr>
          <w:rFonts w:ascii="宋体" w:hAnsi="宋体" w:cs="宋体" w:eastAsia="宋体" w:hint="default"/>
          <w:b/>
          <w:bCs/>
          <w:spacing w:val="63"/>
          <w:w w:val="95"/>
          <w:sz w:val="28"/>
          <w:szCs w:val="28"/>
        </w:rPr>
        <w:t> </w:t>
      </w:r>
      <w:r>
        <w:rPr>
          <w:rFonts w:ascii="宋体" w:hAnsi="宋体" w:cs="宋体" w:eastAsia="宋体" w:hint="default"/>
          <w:b/>
          <w:bCs/>
          <w:sz w:val="28"/>
          <w:szCs w:val="28"/>
        </w:rPr>
        <w:t>新产品市场开拓风险</w:t>
      </w:r>
      <w:r>
        <w:rPr>
          <w:rFonts w:ascii="宋体" w:hAnsi="宋体" w:cs="宋体" w:eastAsia="宋体" w:hint="default"/>
          <w:sz w:val="28"/>
          <w:szCs w:val="28"/>
        </w:rPr>
      </w:r>
    </w:p>
    <w:p>
      <w:pPr>
        <w:spacing w:after="0" w:line="405"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8" w:lineRule="auto" w:before="13"/>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公司积极关注金融业改革和金融科技发展动向，聚焦需求，积极研究和开</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发适应银行业发展需求的新产品。银行风险管理整体解决方案及相关应用产品</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直接关系到银行业客户的资产安全和系统的可靠性，银行业客户采购时对于新</w:t>
      </w:r>
      <w:r>
        <w:rPr>
          <w:rFonts w:ascii="宋体" w:hAnsi="宋体" w:cs="宋体" w:eastAsia="宋体" w:hint="default"/>
          <w:b/>
          <w:bCs/>
          <w:spacing w:val="26"/>
          <w:w w:val="95"/>
          <w:sz w:val="28"/>
          <w:szCs w:val="28"/>
        </w:rPr>
        <w:t> </w:t>
      </w:r>
      <w:r>
        <w:rPr>
          <w:rFonts w:ascii="宋体" w:hAnsi="宋体" w:cs="宋体" w:eastAsia="宋体" w:hint="default"/>
          <w:b/>
          <w:bCs/>
          <w:spacing w:val="26"/>
          <w:w w:val="95"/>
          <w:sz w:val="28"/>
          <w:szCs w:val="28"/>
        </w:rPr>
      </w:r>
      <w:r>
        <w:rPr>
          <w:rFonts w:ascii="宋体" w:hAnsi="宋体" w:cs="宋体" w:eastAsia="宋体" w:hint="default"/>
          <w:b/>
          <w:bCs/>
          <w:spacing w:val="3"/>
          <w:w w:val="95"/>
          <w:sz w:val="28"/>
          <w:szCs w:val="28"/>
        </w:rPr>
        <w:t>产品的应用推广一般需要经过严格的考核；且在正式进入采购环节之前，银行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客户会重新梳理、制定业务流程相关管理办法以及进行员工培训，新产品上线</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的准备周期也较长；此外，各银行客户在采购管理体制方面也存在一定差异，</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导致上述推广测试周期和上线准备周期的可预测性难度较高。因此，公司新产</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品面临市场开拓推广过程较长、未来产生收益预期不确定性较高的风险。</w:t>
      </w:r>
      <w:r>
        <w:rPr>
          <w:rFonts w:ascii="宋体" w:hAnsi="宋体" w:cs="宋体" w:eastAsia="宋体" w:hint="default"/>
          <w:sz w:val="28"/>
          <w:szCs w:val="28"/>
        </w:rPr>
      </w:r>
    </w:p>
    <w:p>
      <w:pPr>
        <w:spacing w:line="448" w:lineRule="auto" w:before="161"/>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、对银行业依赖的风险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公司主业是基于银行现金、票据、印章等内控风险管理整体解决方案的应</w:t>
      </w:r>
      <w:r>
        <w:rPr>
          <w:rFonts w:ascii="宋体" w:hAnsi="宋体" w:cs="宋体" w:eastAsia="宋体" w:hint="default"/>
          <w:spacing w:val="3"/>
          <w:sz w:val="28"/>
          <w:szCs w:val="28"/>
        </w:rPr>
      </w:r>
    </w:p>
    <w:p>
      <w:pPr>
        <w:spacing w:line="408" w:lineRule="auto" w:before="14"/>
        <w:ind w:left="15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用产品研发、生产和销售，市场需求直接受下游银行业变化影响。银行业的经</w:t>
      </w:r>
      <w:r>
        <w:rPr>
          <w:rFonts w:ascii="宋体" w:hAnsi="宋体" w:cs="宋体" w:eastAsia="宋体" w:hint="default"/>
          <w:b/>
          <w:bCs/>
          <w:w w:val="99"/>
          <w:sz w:val="28"/>
          <w:szCs w:val="28"/>
        </w:rPr>
        <w:t> </w:t>
      </w:r>
      <w:r>
        <w:rPr>
          <w:rFonts w:ascii="宋体" w:hAnsi="宋体" w:cs="宋体" w:eastAsia="宋体" w:hint="default"/>
          <w:b/>
          <w:bCs/>
          <w:spacing w:val="3"/>
          <w:sz w:val="28"/>
          <w:szCs w:val="28"/>
        </w:rPr>
        <w:t>营受到国内外宏观经济形势、货币金融政策、监管机关监管要求、产业发展模</w:t>
      </w:r>
      <w:r>
        <w:rPr>
          <w:rFonts w:ascii="宋体" w:hAnsi="宋体" w:cs="宋体" w:eastAsia="宋体" w:hint="default"/>
          <w:b/>
          <w:bCs/>
          <w:w w:val="99"/>
          <w:sz w:val="28"/>
          <w:szCs w:val="28"/>
        </w:rPr>
        <w:t> </w:t>
      </w:r>
      <w:r>
        <w:rPr>
          <w:rFonts w:ascii="宋体" w:hAnsi="宋体" w:cs="宋体" w:eastAsia="宋体" w:hint="default"/>
          <w:b/>
          <w:bCs/>
          <w:spacing w:val="3"/>
          <w:sz w:val="28"/>
          <w:szCs w:val="28"/>
        </w:rPr>
        <w:t>式和人们的金融消费习惯等多种因素的影响。银行业客户的稳定和增长对公司</w:t>
      </w:r>
      <w:r>
        <w:rPr>
          <w:rFonts w:ascii="宋体" w:hAnsi="宋体" w:cs="宋体" w:eastAsia="宋体" w:hint="default"/>
          <w:b/>
          <w:bCs/>
          <w:w w:val="99"/>
          <w:sz w:val="28"/>
          <w:szCs w:val="28"/>
        </w:rPr>
        <w:t> </w:t>
      </w:r>
      <w:r>
        <w:rPr>
          <w:rFonts w:ascii="宋体" w:hAnsi="宋体" w:cs="宋体" w:eastAsia="宋体" w:hint="default"/>
          <w:b/>
          <w:bCs/>
          <w:spacing w:val="3"/>
          <w:sz w:val="28"/>
          <w:szCs w:val="28"/>
        </w:rPr>
        <w:t>经营的稳定性、成长性十分重要。若未来上述因素的变化导致银行业经营状况</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不景气致使其信息化、集约化建设速度放缓，或银行业客户的投资和采购方式、</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宋体" w:hAnsi="宋体" w:cs="宋体" w:eastAsia="宋体" w:hint="default"/>
          <w:b/>
          <w:bCs/>
          <w:spacing w:val="3"/>
          <w:sz w:val="28"/>
          <w:szCs w:val="28"/>
        </w:rPr>
        <w:t>风险控制模式、经营情况等发生重大变化，将会对公司的经营状况和业务发展</w:t>
      </w:r>
      <w:r>
        <w:rPr>
          <w:rFonts w:ascii="宋体" w:hAnsi="宋体" w:cs="宋体" w:eastAsia="宋体" w:hint="default"/>
          <w:b/>
          <w:bCs/>
          <w:w w:val="99"/>
          <w:sz w:val="28"/>
          <w:szCs w:val="28"/>
        </w:rPr>
        <w:t> </w:t>
      </w:r>
      <w:r>
        <w:rPr>
          <w:rFonts w:ascii="宋体" w:hAnsi="宋体" w:cs="宋体" w:eastAsia="宋体" w:hint="default"/>
          <w:b/>
          <w:bCs/>
          <w:sz w:val="28"/>
          <w:szCs w:val="28"/>
        </w:rPr>
        <w:t>产生较大影响，因而影响公司的持续盈利能力。</w:t>
      </w:r>
      <w:r>
        <w:rPr>
          <w:rFonts w:ascii="宋体" w:hAnsi="宋体" w:cs="宋体" w:eastAsia="宋体" w:hint="default"/>
          <w:sz w:val="28"/>
          <w:szCs w:val="28"/>
        </w:rPr>
      </w:r>
    </w:p>
    <w:p>
      <w:pPr>
        <w:spacing w:line="446" w:lineRule="auto" w:before="161"/>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、市场竞争加剧导致毛利率下降的风险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银行内控风险管理领域作为一个发展较快的新兴市场，随着新竞争者的进</w:t>
      </w:r>
      <w:r>
        <w:rPr>
          <w:rFonts w:ascii="宋体" w:hAnsi="宋体" w:cs="宋体" w:eastAsia="宋体" w:hint="default"/>
          <w:spacing w:val="3"/>
          <w:sz w:val="28"/>
          <w:szCs w:val="28"/>
        </w:rPr>
      </w:r>
    </w:p>
    <w:p>
      <w:pPr>
        <w:spacing w:line="408" w:lineRule="auto" w:before="17"/>
        <w:ind w:left="15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入，公司将面临国内外较强竞争对手的竞争。如果公司不能及时推出新产品和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对原有产品进行升级换代以提高市场的进入门槛、不能扩大和维持现有的市场</w:t>
      </w:r>
      <w:r>
        <w:rPr>
          <w:rFonts w:ascii="宋体" w:hAnsi="宋体" w:cs="宋体" w:eastAsia="宋体" w:hint="default"/>
          <w:spacing w:val="3"/>
          <w:sz w:val="28"/>
          <w:szCs w:val="28"/>
        </w:rPr>
      </w:r>
    </w:p>
    <w:p>
      <w:pPr>
        <w:spacing w:after="0" w:line="408" w:lineRule="auto"/>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460" w:lineRule="auto" w:before="13"/>
        <w:ind w:left="716" w:right="0" w:hanging="562"/>
        <w:jc w:val="left"/>
        <w:rPr>
          <w:rFonts w:ascii="宋体" w:hAnsi="宋体" w:cs="宋体" w:eastAsia="宋体" w:hint="default"/>
          <w:sz w:val="28"/>
          <w:szCs w:val="28"/>
        </w:rPr>
      </w:pPr>
      <w:r>
        <w:rPr>
          <w:rFonts w:ascii="宋体" w:hAnsi="宋体" w:cs="宋体" w:eastAsia="宋体" w:hint="default"/>
          <w:b/>
          <w:bCs/>
          <w:sz w:val="28"/>
          <w:szCs w:val="28"/>
        </w:rPr>
        <w:t>份额和市场影响力，公司将面临因市场竞争加剧导致毛利率下降的风险。</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、募集资金投资项目实施风险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公司首次公开发行股票募集资金投资项目主要集中于公司多年来持续专注</w:t>
      </w:r>
      <w:r>
        <w:rPr>
          <w:rFonts w:ascii="宋体" w:hAnsi="宋体" w:cs="宋体" w:eastAsia="宋体" w:hint="default"/>
          <w:spacing w:val="3"/>
          <w:sz w:val="28"/>
          <w:szCs w:val="28"/>
        </w:rPr>
      </w:r>
    </w:p>
    <w:p>
      <w:pPr>
        <w:spacing w:line="408"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的银行内控风险管理领域，符合行业发展趋势，具有广泛而现实的银行客户基</w:t>
      </w:r>
      <w:r>
        <w:rPr>
          <w:rFonts w:ascii="宋体" w:hAnsi="宋体" w:cs="宋体" w:eastAsia="宋体" w:hint="default"/>
          <w:b/>
          <w:bCs/>
          <w:w w:val="99"/>
          <w:sz w:val="28"/>
          <w:szCs w:val="28"/>
        </w:rPr>
        <w:t> </w:t>
      </w:r>
      <w:r>
        <w:rPr>
          <w:rFonts w:ascii="宋体" w:hAnsi="宋体" w:cs="宋体" w:eastAsia="宋体" w:hint="default"/>
          <w:b/>
          <w:bCs/>
          <w:spacing w:val="3"/>
          <w:sz w:val="28"/>
          <w:szCs w:val="28"/>
        </w:rPr>
        <w:t>础，市场潜力较大。但是公司在开拓新市场、推销新产品的过程中依然会面临</w:t>
      </w:r>
      <w:r>
        <w:rPr>
          <w:rFonts w:ascii="宋体" w:hAnsi="宋体" w:cs="宋体" w:eastAsia="宋体" w:hint="default"/>
          <w:b/>
          <w:bCs/>
          <w:w w:val="99"/>
          <w:sz w:val="28"/>
          <w:szCs w:val="28"/>
        </w:rPr>
        <w:t> </w:t>
      </w:r>
      <w:r>
        <w:rPr>
          <w:rFonts w:ascii="宋体" w:hAnsi="宋体" w:cs="宋体" w:eastAsia="宋体" w:hint="default"/>
          <w:b/>
          <w:bCs/>
          <w:spacing w:val="3"/>
          <w:sz w:val="28"/>
          <w:szCs w:val="28"/>
        </w:rPr>
        <w:t>一定的不确定性。如果新产品未来的市场需求低于预期，或新产品的市场推广</w:t>
      </w:r>
      <w:r>
        <w:rPr>
          <w:rFonts w:ascii="宋体" w:hAnsi="宋体" w:cs="宋体" w:eastAsia="宋体" w:hint="default"/>
          <w:b/>
          <w:bCs/>
          <w:w w:val="99"/>
          <w:sz w:val="28"/>
          <w:szCs w:val="28"/>
        </w:rPr>
        <w:t> </w:t>
      </w:r>
      <w:r>
        <w:rPr>
          <w:rFonts w:ascii="宋体" w:hAnsi="宋体" w:cs="宋体" w:eastAsia="宋体" w:hint="default"/>
          <w:b/>
          <w:bCs/>
          <w:spacing w:val="3"/>
          <w:sz w:val="28"/>
          <w:szCs w:val="28"/>
        </w:rPr>
        <w:t>进展与公司预测产生偏差，将会导致募集资金投资项目投产后不能达到预期效</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益的风险。如果本次募集资金投资项目无法实现预期收益，公司则存在因折旧、</w:t>
      </w:r>
      <w:r>
        <w:rPr>
          <w:rFonts w:ascii="宋体" w:hAnsi="宋体" w:cs="宋体" w:eastAsia="宋体" w:hint="default"/>
          <w:b/>
          <w:bCs/>
          <w:spacing w:val="65"/>
          <w:w w:val="95"/>
          <w:sz w:val="28"/>
          <w:szCs w:val="28"/>
        </w:rPr>
        <w:t> </w:t>
      </w:r>
      <w:r>
        <w:rPr>
          <w:rFonts w:ascii="宋体" w:hAnsi="宋体" w:cs="宋体" w:eastAsia="宋体" w:hint="default"/>
          <w:b/>
          <w:bCs/>
          <w:spacing w:val="65"/>
          <w:w w:val="95"/>
          <w:sz w:val="28"/>
          <w:szCs w:val="28"/>
        </w:rPr>
      </w:r>
      <w:r>
        <w:rPr>
          <w:rFonts w:ascii="宋体" w:hAnsi="宋体" w:cs="宋体" w:eastAsia="宋体" w:hint="default"/>
          <w:b/>
          <w:bCs/>
          <w:sz w:val="28"/>
          <w:szCs w:val="28"/>
        </w:rPr>
        <w:t>摊销和研发支出大幅增加而导致经营业绩下滑的风险。</w:t>
      </w:r>
      <w:r>
        <w:rPr>
          <w:rFonts w:ascii="宋体" w:hAnsi="宋体" w:cs="宋体" w:eastAsia="宋体" w:hint="default"/>
          <w:sz w:val="28"/>
          <w:szCs w:val="28"/>
        </w:rPr>
      </w:r>
    </w:p>
    <w:p>
      <w:pPr>
        <w:spacing w:before="16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7"/>
          <w:sz w:val="28"/>
          <w:szCs w:val="28"/>
        </w:rPr>
        <w:t> </w:t>
      </w:r>
      <w:r>
        <w:rPr>
          <w:rFonts w:ascii="Times New Roman" w:hAnsi="Times New Roman" w:cs="Times New Roman" w:eastAsia="Times New Roman" w:hint="default"/>
          <w:b/>
          <w:bCs/>
          <w:sz w:val="28"/>
          <w:szCs w:val="28"/>
        </w:rPr>
        <w:t>170,115,232</w:t>
      </w:r>
      <w:r>
        <w:rPr>
          <w:rFonts w:ascii="Times New Roman" w:hAnsi="Times New Roman" w:cs="Times New Roman" w:eastAsia="Times New Roman" w:hint="default"/>
          <w:b/>
          <w:bCs/>
          <w:spacing w:val="-29"/>
          <w:sz w:val="28"/>
          <w:szCs w:val="28"/>
        </w:rPr>
        <w:t> </w:t>
      </w:r>
      <w:r>
        <w:rPr>
          <w:rFonts w:ascii="宋体" w:hAnsi="宋体" w:cs="宋体" w:eastAsia="宋体" w:hint="default"/>
          <w:b/>
          <w:bCs/>
          <w:spacing w:val="-4"/>
          <w:sz w:val="28"/>
          <w:szCs w:val="28"/>
        </w:rPr>
        <w:t>为基数，向</w:t>
      </w:r>
      <w:r>
        <w:rPr>
          <w:rFonts w:ascii="宋体" w:hAnsi="宋体" w:cs="宋体" w:eastAsia="宋体" w:hint="default"/>
          <w:spacing w:val="-4"/>
          <w:sz w:val="28"/>
          <w:szCs w:val="28"/>
        </w:rPr>
      </w:r>
    </w:p>
    <w:p>
      <w:pPr>
        <w:spacing w:before="236"/>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2.00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8"/>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2786"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95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197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786"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公司、本公司、汇金科技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陈喆女士</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瑞信投资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珠海瑞信投资管理有限公司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贵金科技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贵安新区贵金科技有限公司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证券交易所、深交所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期末、本期末、报告期末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1158424"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汇金科技</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300561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汇金科技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SGSG Science&amp;Technology Co., Ltd.</w:t>
            </w:r>
            <w:r>
              <w:rPr>
                <w:rFonts w:ascii="Times New Roman"/>
                <w:spacing w:val="-24"/>
                <w:sz w:val="18"/>
              </w:rPr>
              <w:t> </w:t>
            </w:r>
            <w:r>
              <w:rPr>
                <w:rFonts w:ascii="Times New Roman"/>
                <w:sz w:val="18"/>
              </w:rPr>
              <w:t>Zhuhai</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SGSG</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陈喆</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珠海市软件园路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号会展中心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第三层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519085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珠海市软件园路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号会展中心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第三层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519085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http://www.sgsg.cc</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1">
              <w:r>
                <w:rPr>
                  <w:rFonts w:ascii="Times New Roman"/>
                  <w:sz w:val="18"/>
                </w:rPr>
                <w:t>investor@sgsg.cc</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孙玉玲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何燕</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珠海市软件园路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号会展中心</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第三层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珠海市软件园路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号会展中心</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第三层</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0756-3236673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0756-3236673-667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0756-3236667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0756-3236667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investor@sgsg.cc</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investor@sgsg.cc</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珠海市软件园路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号会展中心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第三层</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王莹、刘展强</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国都证券股份有限公司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北京市东城区东直门南大街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号国华投资大厦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花宇、许达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17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244,580,350.28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242,018,669.49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218,054,407.37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26,037,504.42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79,724,732.27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78,861,491.66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5,534,245.08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58,188,602.63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75,300,322.89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-49,078,930.65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9,026,680.57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-643.71%</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63,445,974.14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790,680,560.65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767,616,590.74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693,855,346.09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685,376,542.47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681,438,555.87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620,513,923.60</w:t>
            </w:r>
          </w:p>
        </w:tc>
      </w:tr>
    </w:tbl>
    <w:p>
      <w:pPr>
        <w:pStyle w:val="BodyText"/>
        <w:spacing w:line="240" w:lineRule="auto" w:before="51"/>
        <w:ind w:right="0"/>
        <w:jc w:val="left"/>
      </w:pPr>
      <w:r>
        <w:rPr/>
        <w:t>截止披露前一交易日的公司总股本：</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170,115,232</w:t>
            </w:r>
          </w:p>
        </w:tc>
      </w:tr>
    </w:tbl>
    <w:p>
      <w:pPr>
        <w:pStyle w:val="BodyText"/>
        <w:spacing w:line="319" w:lineRule="auto" w:before="51"/>
        <w:ind w:right="1118"/>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0.1531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52,064,242.77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47,575,762.27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35,205,356.16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109,734,989.08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9,498,266.10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5,116,719.45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1,235,463.05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10,187,055.82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5,158,846.36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1,411,014.38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-4,077,143.95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3,041,528.29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-48,655,190.55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-42,276,957.02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-23,524,228.10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65,377,445.02</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-23,343.48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3,784,462.50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5,641,500.00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689,298.30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22,290.93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-7,022.81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305,099.52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19,533,675.67</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18,947,962.86</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3,195,224.41</w:t>
            </w:r>
          </w:p>
        </w:tc>
        <w:tc>
          <w:tcPr>
            <w:tcW w:w="1710"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理财收益及所得税退 回</w:t>
            </w:r>
          </w:p>
        </w:tc>
      </w:tr>
      <w:tr>
        <w:trPr>
          <w:trHeight w:val="392"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2,837,169.76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3,022,966.93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628,453.46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20,503,259.34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21,536,129.64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3,561,168.77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9"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left"/>
      </w:pPr>
      <w:r>
        <w:rPr/>
        <w:t>软件与信息技术服务业</w:t>
      </w:r>
    </w:p>
    <w:p>
      <w:pPr>
        <w:pStyle w:val="BodyText"/>
        <w:spacing w:line="319" w:lineRule="auto" w:before="116"/>
        <w:ind w:left="514" w:right="0"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rFonts w:ascii="Times New Roman" w:hAnsi="Times New Roman" w:cs="Times New Roman" w:eastAsia="Times New Roman" w:hint="default"/>
        </w:rPr>
        <w:t>1</w:t>
      </w:r>
      <w:r>
        <w:rPr/>
        <w:t>、公司主营业务和主要产品解决方案 </w:t>
      </w:r>
      <w:r>
        <w:rPr>
          <w:spacing w:val="-2"/>
        </w:rPr>
        <w:t>公司主营业务是运用人工智能技术、物联网技术为金融行业客户的运营管理、风险控制、网点转型、渠道建设等提供专</w:t>
      </w:r>
    </w:p>
    <w:p>
      <w:pPr>
        <w:pStyle w:val="BodyText"/>
        <w:spacing w:line="316" w:lineRule="auto" w:before="17"/>
        <w:ind w:left="514" w:right="1392" w:hanging="360"/>
        <w:jc w:val="left"/>
      </w:pPr>
      <w:r>
        <w:rPr/>
        <w:t>业解决方案和服务，系统性地控制风险、创新业务模式、降低金融客户运营成本，助力金融行业客户科技转型和变革。 公司主要产品解决方案有：</w:t>
      </w:r>
    </w:p>
    <w:p>
      <w:pPr>
        <w:pStyle w:val="BodyText"/>
        <w:spacing w:line="300" w:lineRule="auto" w:before="19"/>
        <w:ind w:left="514" w:right="0"/>
        <w:jc w:val="left"/>
      </w:pPr>
      <w:r>
        <w:rPr/>
        <w:t>（</w:t>
      </w:r>
      <w:r>
        <w:rPr>
          <w:rFonts w:ascii="Times New Roman" w:hAnsi="Times New Roman" w:cs="Times New Roman" w:eastAsia="Times New Roman" w:hint="default"/>
        </w:rPr>
        <w:t>1</w:t>
      </w:r>
      <w:r>
        <w:rPr/>
        <w:t>）银行自助设备加配钞管理解决方案 </w:t>
      </w:r>
      <w:r>
        <w:rPr>
          <w:spacing w:val="-2"/>
        </w:rPr>
        <w:t>通过物联网技术、生物识别技术、动态密码技术的整合运用，有效控制风险，提高运营效率，满足银行附行式设备、离</w:t>
      </w:r>
    </w:p>
    <w:p>
      <w:pPr>
        <w:pStyle w:val="BodyText"/>
        <w:spacing w:line="240" w:lineRule="auto" w:before="31"/>
        <w:ind w:right="0"/>
        <w:jc w:val="left"/>
      </w:pPr>
      <w:r>
        <w:rPr/>
        <w:t>行式设备以及外包自助设备的各种管理要求，提高工作效率的同时，增强风险防范能力。</w:t>
      </w:r>
    </w:p>
    <w:p>
      <w:pPr>
        <w:pStyle w:val="BodyText"/>
        <w:spacing w:line="300" w:lineRule="auto" w:before="76"/>
        <w:ind w:left="514" w:right="1202"/>
        <w:jc w:val="left"/>
      </w:pPr>
      <w:r>
        <w:rPr/>
        <w:t>（</w:t>
      </w:r>
      <w:r>
        <w:rPr>
          <w:rFonts w:ascii="Times New Roman" w:hAnsi="Times New Roman" w:cs="Times New Roman" w:eastAsia="Times New Roman" w:hint="default"/>
        </w:rPr>
        <w:t>2</w:t>
      </w:r>
      <w:r>
        <w:rPr/>
        <w:t>）银行印章管理解决方案 应用物联网技术、</w:t>
      </w:r>
      <w:r>
        <w:rPr>
          <w:rFonts w:ascii="Times New Roman" w:hAnsi="Times New Roman" w:cs="Times New Roman" w:eastAsia="Times New Roman" w:hint="default"/>
        </w:rPr>
        <w:t>OCR</w:t>
      </w:r>
      <w:r>
        <w:rPr/>
        <w:t>影像识别技术、及机电一体化等技术，结合图形图像处理技术和工作流技术，为金融机构印章</w:t>
      </w:r>
    </w:p>
    <w:p>
      <w:pPr>
        <w:pStyle w:val="BodyText"/>
        <w:spacing w:line="312" w:lineRule="auto" w:before="13"/>
        <w:ind w:right="1132"/>
        <w:jc w:val="both"/>
      </w:pPr>
      <w:r>
        <w:rPr>
          <w:spacing w:val="-2"/>
        </w:rPr>
        <w:t>改革提供了软硬件一体化的解决方案。方案在业务处理上兼顾效率与服务，在有效提升客户体验的同时提升员工体验。方案</w:t>
      </w:r>
      <w:r>
        <w:rPr>
          <w:spacing w:val="-66"/>
        </w:rPr>
        <w:t> </w:t>
      </w:r>
      <w:r>
        <w:rPr>
          <w:spacing w:val="-66"/>
        </w:rPr>
      </w:r>
      <w:r>
        <w:rPr>
          <w:spacing w:val="-2"/>
        </w:rPr>
        <w:t>实现金融机构业务印章统一管理，及</w:t>
      </w:r>
      <w:r>
        <w:rPr>
          <w:rFonts w:ascii="Times New Roman" w:hAnsi="Times New Roman" w:cs="Times New Roman" w:eastAsia="Times New Roman" w:hint="default"/>
          <w:spacing w:val="-2"/>
        </w:rPr>
        <w:t>“</w:t>
      </w:r>
      <w:r>
        <w:rPr>
          <w:spacing w:val="-2"/>
        </w:rPr>
        <w:t>全范围、全流程、集中化</w:t>
      </w:r>
      <w:r>
        <w:rPr>
          <w:rFonts w:ascii="Times New Roman" w:hAnsi="Times New Roman" w:cs="Times New Roman" w:eastAsia="Times New Roman" w:hint="default"/>
          <w:spacing w:val="-2"/>
        </w:rPr>
        <w:t>”</w:t>
      </w:r>
      <w:r>
        <w:rPr>
          <w:spacing w:val="-2"/>
        </w:rPr>
        <w:t>的管理。解决方案涵盖了无纸化、电子印章及签章、实物印</w:t>
      </w:r>
      <w:r>
        <w:rPr>
          <w:spacing w:val="-45"/>
        </w:rPr>
        <w:t> </w:t>
      </w:r>
      <w:r>
        <w:rPr>
          <w:spacing w:val="-45"/>
        </w:rPr>
      </w:r>
      <w:r>
        <w:rPr>
          <w:spacing w:val="-2"/>
        </w:rPr>
        <w:t>章和智能印章管理系统四大模块化的设计。构建了柜面业务无纸化，部分业务印章电子化，对公业务驱动的自动化用印的全</w:t>
      </w:r>
      <w:r>
        <w:rPr>
          <w:spacing w:val="-66"/>
        </w:rPr>
        <w:t> </w:t>
      </w:r>
      <w:r>
        <w:rPr>
          <w:spacing w:val="-66"/>
        </w:rPr>
      </w:r>
      <w:r>
        <w:rPr/>
        <w:t>新用印流程。做到人印分离、身份认证和授权、强制记录、全生命周期管理等，提高印章风险管理水平和效率。</w:t>
      </w:r>
    </w:p>
    <w:p>
      <w:pPr>
        <w:pStyle w:val="BodyText"/>
        <w:spacing w:line="300" w:lineRule="auto" w:before="22"/>
        <w:ind w:left="514" w:right="1032"/>
        <w:jc w:val="left"/>
      </w:pPr>
      <w:r>
        <w:rPr/>
        <w:t>（</w:t>
      </w:r>
      <w:r>
        <w:rPr>
          <w:rFonts w:ascii="Times New Roman" w:hAnsi="Times New Roman" w:cs="Times New Roman" w:eastAsia="Times New Roman" w:hint="default"/>
        </w:rPr>
        <w:t>3</w:t>
      </w:r>
      <w:r>
        <w:rPr/>
        <w:t>）银行支付系统和网点、柜面的人脸、语音识别解决方案 基于公司专业的金融安全技术及成果，将人工智能技术、物联网技术与传统金融服务场景相结合，针对银行自助机具、</w:t>
      </w:r>
    </w:p>
    <w:p>
      <w:pPr>
        <w:pStyle w:val="BodyText"/>
        <w:spacing w:line="300" w:lineRule="auto" w:before="31"/>
        <w:ind w:right="1202"/>
        <w:jc w:val="left"/>
      </w:pPr>
      <w:r>
        <w:rPr/>
        <w:t>网点柜面等业务场景，开发研制了一系列具备</w:t>
      </w:r>
      <w:r>
        <w:rPr>
          <w:rFonts w:ascii="Times New Roman" w:hAnsi="Times New Roman" w:cs="Times New Roman" w:eastAsia="Times New Roman" w:hint="default"/>
        </w:rPr>
        <w:t>AI</w:t>
      </w:r>
      <w:r>
        <w:rPr/>
        <w:t>人脸识别、语音识别、国密安全控制等核心功能的系统解决方案，助力银 行网点的智能化转型和智慧金融建设。</w:t>
      </w:r>
    </w:p>
    <w:p>
      <w:pPr>
        <w:pStyle w:val="BodyText"/>
        <w:spacing w:line="300" w:lineRule="auto" w:before="31"/>
        <w:ind w:left="514" w:right="0"/>
        <w:jc w:val="left"/>
      </w:pPr>
      <w:r>
        <w:rPr/>
        <w:t>（</w:t>
      </w:r>
      <w:r>
        <w:rPr>
          <w:rFonts w:ascii="Times New Roman" w:hAnsi="Times New Roman" w:cs="Times New Roman" w:eastAsia="Times New Roman" w:hint="default"/>
        </w:rPr>
        <w:t>4</w:t>
      </w:r>
      <w:r>
        <w:rPr/>
        <w:t>）银行移动业务安全管控解决方案 </w:t>
      </w:r>
      <w:r>
        <w:rPr>
          <w:spacing w:val="-2"/>
        </w:rPr>
        <w:t>依据银行对于普惠金融和移动营销的需求，为银行提供安全、高效的移动金融解决方案，拓展业务应用渠道、延伸服务</w:t>
      </w:r>
    </w:p>
    <w:p>
      <w:pPr>
        <w:pStyle w:val="BodyText"/>
        <w:spacing w:line="240" w:lineRule="auto" w:before="31"/>
        <w:ind w:right="0"/>
        <w:jc w:val="left"/>
      </w:pPr>
      <w:r>
        <w:rPr/>
        <w:t>网络、拉近银行和客户的距离，丰富交易手段，实现业务创新和流程优化。</w:t>
      </w:r>
    </w:p>
    <w:p>
      <w:pPr>
        <w:pStyle w:val="BodyText"/>
        <w:spacing w:line="300" w:lineRule="auto" w:before="76"/>
        <w:ind w:left="514" w:right="0"/>
        <w:jc w:val="left"/>
      </w:pPr>
      <w:r>
        <w:rPr/>
        <w:t>（</w:t>
      </w:r>
      <w:r>
        <w:rPr>
          <w:rFonts w:ascii="Times New Roman" w:hAnsi="Times New Roman" w:cs="Times New Roman" w:eastAsia="Times New Roman" w:hint="default"/>
        </w:rPr>
        <w:t>5</w:t>
      </w:r>
      <w:r>
        <w:rPr/>
        <w:t>）银行网点重控管理系统解决方案 </w:t>
      </w:r>
      <w:r>
        <w:rPr>
          <w:spacing w:val="-2"/>
        </w:rPr>
        <w:t>综合运用物联网技术、无线通讯技术、生物识别技术等，对人员、款箱、现金、票据、贵金属等进行识别及确认，实现</w:t>
      </w:r>
    </w:p>
    <w:p>
      <w:pPr>
        <w:pStyle w:val="BodyText"/>
        <w:spacing w:line="316" w:lineRule="auto" w:before="31"/>
        <w:ind w:right="0"/>
        <w:jc w:val="left"/>
      </w:pPr>
      <w:r>
        <w:rPr>
          <w:spacing w:val="-2"/>
        </w:rPr>
        <w:t>金库管理的智能化。以客户为中心，实现客户与智能设备的结合，将银行的产品与服务无缝嵌入到客户的生活与工作，降低</w:t>
      </w:r>
      <w:r>
        <w:rPr>
          <w:spacing w:val="-66"/>
        </w:rPr>
        <w:t> </w:t>
      </w:r>
      <w:r>
        <w:rPr>
          <w:spacing w:val="-66"/>
        </w:rPr>
      </w:r>
      <w:r>
        <w:rPr/>
        <w:t>银行营运成本，提升基层员工幸福感，为客户提供银行重控及客户贵重物品智能管理的全方位一体化的金融服务。</w:t>
      </w:r>
    </w:p>
    <w:p>
      <w:pPr>
        <w:pStyle w:val="BodyText"/>
        <w:spacing w:line="240" w:lineRule="auto" w:before="19"/>
        <w:ind w:left="514" w:right="0"/>
        <w:jc w:val="left"/>
      </w:pPr>
      <w:r>
        <w:rPr>
          <w:rFonts w:ascii="Times New Roman" w:hAnsi="Times New Roman" w:cs="Times New Roman" w:eastAsia="Times New Roman" w:hint="default"/>
        </w:rPr>
        <w:t>2</w:t>
      </w:r>
      <w:r>
        <w:rPr/>
        <w:t>、公司经营模式</w:t>
      </w:r>
    </w:p>
    <w:p>
      <w:pPr>
        <w:pStyle w:val="BodyText"/>
        <w:spacing w:line="300" w:lineRule="auto" w:before="63"/>
        <w:ind w:left="514" w:right="1032"/>
        <w:jc w:val="left"/>
      </w:pPr>
      <w:r>
        <w:rPr/>
        <w:t>（</w:t>
      </w:r>
      <w:r>
        <w:rPr>
          <w:rFonts w:ascii="Times New Roman" w:hAnsi="Times New Roman" w:cs="Times New Roman" w:eastAsia="Times New Roman" w:hint="default"/>
        </w:rPr>
        <w:t>1</w:t>
      </w:r>
      <w:r>
        <w:rPr/>
        <w:t>）开发模式 公司拥有熟悉银行运营具体业务流程，具备软件开发以及硬件设计等多种专业技术的研发队伍。顺应国家政策及导向，</w:t>
      </w:r>
    </w:p>
    <w:p>
      <w:pPr>
        <w:pStyle w:val="BodyText"/>
        <w:spacing w:line="240" w:lineRule="auto" w:before="31"/>
        <w:ind w:right="0"/>
        <w:jc w:val="left"/>
      </w:pPr>
      <w:r>
        <w:rPr/>
        <w:t>贴合行业发展趋势，从客户需求出发，了解、分析涉及业务操作的全部流程和控制节点，设计研发适用的解决方案。</w:t>
      </w:r>
    </w:p>
    <w:p>
      <w:pPr>
        <w:pStyle w:val="BodyText"/>
        <w:spacing w:line="300" w:lineRule="auto" w:before="76"/>
        <w:ind w:left="514" w:right="1118"/>
        <w:jc w:val="left"/>
      </w:pPr>
      <w:r>
        <w:rPr/>
        <w:t>（</w:t>
      </w:r>
      <w:r>
        <w:rPr>
          <w:rFonts w:ascii="Times New Roman" w:hAnsi="Times New Roman" w:cs="Times New Roman" w:eastAsia="Times New Roman" w:hint="default"/>
        </w:rPr>
        <w:t>2</w:t>
      </w:r>
      <w:r>
        <w:rPr/>
        <w:t>）采购模式 </w:t>
      </w:r>
      <w:r>
        <w:rPr>
          <w:spacing w:val="-2"/>
        </w:rPr>
        <w:t>公司以市场需求为导向进行销售订单预测，基于订单预测并结合安全库存和批量订购的经济性等确定采购计划的采购模</w:t>
      </w:r>
    </w:p>
    <w:p>
      <w:pPr>
        <w:pStyle w:val="BodyText"/>
        <w:spacing w:line="240" w:lineRule="auto" w:before="31"/>
        <w:ind w:right="0"/>
        <w:jc w:val="left"/>
      </w:pPr>
      <w:r>
        <w:rPr/>
        <w:t>式。</w:t>
      </w:r>
    </w:p>
    <w:p>
      <w:pPr>
        <w:pStyle w:val="BodyText"/>
        <w:spacing w:line="300" w:lineRule="auto" w:before="76"/>
        <w:ind w:left="514" w:right="1118"/>
        <w:jc w:val="left"/>
      </w:pPr>
      <w:r>
        <w:rPr/>
        <w:t>（</w:t>
      </w:r>
      <w:r>
        <w:rPr>
          <w:rFonts w:ascii="Times New Roman" w:hAnsi="Times New Roman" w:cs="Times New Roman" w:eastAsia="Times New Roman" w:hint="default"/>
        </w:rPr>
        <w:t>3</w:t>
      </w:r>
      <w:r>
        <w:rPr/>
        <w:t>）销售模式 </w:t>
      </w:r>
      <w:r>
        <w:rPr>
          <w:spacing w:val="-2"/>
        </w:rPr>
        <w:t>公司营销中心根据战略部署制定销售计划，聚焦重点目标客户，持续挖掘客户需求、为客户解决问题、创造价值，在维</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514" w:right="1032" w:hanging="360"/>
        <w:jc w:val="left"/>
      </w:pPr>
      <w:r>
        <w:rPr/>
        <w:t>护老客户的同时，不断开发新客户、项目取得订单并储备商机。报告期内，公司销售模式主要为直营。 </w:t>
      </w:r>
      <w:r>
        <w:rPr>
          <w:rFonts w:ascii="Times New Roman" w:hAnsi="Times New Roman" w:cs="Times New Roman" w:eastAsia="Times New Roman" w:hint="default"/>
        </w:rPr>
        <w:t>3</w:t>
      </w:r>
      <w:r>
        <w:rPr/>
        <w:t>、主要的业绩驱动因素 </w:t>
      </w:r>
      <w:r>
        <w:rPr>
          <w:spacing w:val="-4"/>
        </w:rPr>
        <w:t>公司根据客户业务流程、内控风险特点以及信息化建设现状等提供全套应用系统或部分系统组件，形成了涵盖方案设计、</w:t>
      </w:r>
    </w:p>
    <w:p>
      <w:pPr>
        <w:pStyle w:val="BodyText"/>
        <w:spacing w:line="319" w:lineRule="auto" w:before="24"/>
        <w:ind w:right="1118"/>
        <w:jc w:val="left"/>
      </w:pPr>
      <w:r>
        <w:rPr>
          <w:spacing w:val="-2"/>
        </w:rPr>
        <w:t>软件开发、系统集成、安装调试、技术支持、培训及后续服务在内的一体化服务模式，能够为客户提供一体化服务整体解决</w:t>
      </w:r>
      <w:r>
        <w:rPr>
          <w:spacing w:val="-66"/>
        </w:rPr>
        <w:t> </w:t>
      </w:r>
      <w:r>
        <w:rPr>
          <w:spacing w:val="-66"/>
        </w:rPr>
      </w:r>
      <w:r>
        <w:rPr/>
        <w:t>方案。</w:t>
      </w:r>
    </w:p>
    <w:p>
      <w:pPr>
        <w:pStyle w:val="BodyText"/>
        <w:spacing w:line="316" w:lineRule="auto" w:before="17"/>
        <w:ind w:right="1133" w:firstLine="360"/>
        <w:jc w:val="both"/>
      </w:pPr>
      <w:r>
        <w:rPr>
          <w:spacing w:val="-2"/>
        </w:rPr>
        <w:t>公司是国家高新技术企业、国家规划布局内重点软件企业、国家商用密码产品开发及生产定点单位、广东省战略性新兴</w:t>
      </w:r>
      <w:r>
        <w:rPr/>
        <w:t> </w:t>
      </w:r>
      <w:r>
        <w:rPr>
          <w:spacing w:val="-2"/>
        </w:rPr>
        <w:t>产业骨干企业，建设有广东省工程技术研究中心，具备较强的综合技术优势。公司坚持自主创新，重视研发的投入，拥有独</w:t>
      </w:r>
      <w:r>
        <w:rPr>
          <w:spacing w:val="-66"/>
        </w:rPr>
        <w:t> </w:t>
      </w:r>
      <w:r>
        <w:rPr>
          <w:spacing w:val="-66"/>
        </w:rPr>
      </w:r>
      <w:r>
        <w:rPr/>
        <w:t>立的研发中心，科技成果转化率高。</w:t>
      </w:r>
    </w:p>
    <w:p>
      <w:pPr>
        <w:pStyle w:val="BodyText"/>
        <w:spacing w:line="300" w:lineRule="auto" w:before="19"/>
        <w:ind w:left="514" w:right="0"/>
        <w:jc w:val="left"/>
      </w:pPr>
      <w:r>
        <w:rPr>
          <w:rFonts w:ascii="Times New Roman" w:hAnsi="Times New Roman" w:cs="Times New Roman" w:eastAsia="Times New Roman" w:hint="default"/>
        </w:rPr>
        <w:t>4</w:t>
      </w:r>
      <w:r>
        <w:rPr/>
        <w:t>、公司所处行业分析 </w:t>
      </w:r>
      <w:r>
        <w:rPr>
          <w:spacing w:val="-2"/>
        </w:rPr>
        <w:t>公司所处行业属于软件和信息技术服务业，公司主业是基于银行内控风险管理整体解决方案的相关应用产品研发、生产</w:t>
      </w:r>
    </w:p>
    <w:p>
      <w:pPr>
        <w:pStyle w:val="BodyText"/>
        <w:spacing w:line="240" w:lineRule="auto" w:before="31"/>
        <w:ind w:right="0"/>
        <w:jc w:val="left"/>
      </w:pPr>
      <w:r>
        <w:rPr/>
        <w:t>和销售。</w:t>
      </w:r>
    </w:p>
    <w:p>
      <w:pPr>
        <w:pStyle w:val="BodyText"/>
        <w:spacing w:line="316" w:lineRule="auto" w:before="76"/>
        <w:ind w:right="0" w:firstLine="360"/>
        <w:jc w:val="left"/>
      </w:pPr>
      <w:r>
        <w:rPr>
          <w:spacing w:val="-2"/>
        </w:rPr>
        <w:t>随着金融业加强风险防范、提升内部操作风险管理和信息化的普及，风险管理效率成为银行业的核心竞争力之一，公司</w:t>
      </w:r>
      <w:r>
        <w:rPr/>
        <w:t> 通过科技手段，降低客户运营成本、系统性地控制风险、创新业务模式，助力金融行业客户转型和变革。</w:t>
      </w:r>
    </w:p>
    <w:p>
      <w:pPr>
        <w:pStyle w:val="BodyText"/>
        <w:spacing w:line="312" w:lineRule="auto" w:before="19"/>
        <w:ind w:right="1032" w:firstLine="360"/>
        <w:jc w:val="left"/>
      </w:pPr>
      <w:r>
        <w:rPr>
          <w:spacing w:val="-2"/>
        </w:rPr>
        <w:t>公司是中国金融行业内控风险管理整体解决方案的主要供应商之一，产品具有市场先入及品牌优势，具有较强的市场竞</w:t>
      </w:r>
      <w:r>
        <w:rPr/>
        <w:t> 争能力。公司业务已遍及中国大陆，产品广泛应用于工、农、中、建、交、光大、浦发、兴业、民生、平安、广发、农商、 邮政储蓄、北京银行、东亚、汇丰、渣打等中外银行，为逾</w:t>
      </w:r>
      <w:r>
        <w:rPr>
          <w:rFonts w:ascii="Times New Roman" w:hAnsi="Times New Roman" w:cs="Times New Roman" w:eastAsia="Times New Roman" w:hint="default"/>
        </w:rPr>
        <w:t>500</w:t>
      </w:r>
      <w:r>
        <w:rPr/>
        <w:t>家省级分行和逾</w:t>
      </w:r>
      <w:r>
        <w:rPr>
          <w:rFonts w:ascii="Times New Roman" w:hAnsi="Times New Roman" w:cs="Times New Roman" w:eastAsia="Times New Roman" w:hint="default"/>
        </w:rPr>
        <w:t>120,000</w:t>
      </w:r>
      <w:r>
        <w:rPr/>
        <w:t>家银行网点提供了优质、安全、符合 其发展趋势的系统、产品和服务。</w:t>
      </w:r>
    </w:p>
    <w:p>
      <w:pPr>
        <w:spacing w:line="240" w:lineRule="auto" w:before="0"/>
        <w:rPr>
          <w:rFonts w:ascii="宋体" w:hAnsi="宋体" w:cs="宋体" w:eastAsia="宋体" w:hint="default"/>
          <w:sz w:val="21"/>
          <w:szCs w:val="21"/>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本期末较上年末增长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648.83%</w:t>
            </w:r>
            <w:r>
              <w:rPr>
                <w:rFonts w:ascii="宋体" w:hAnsi="宋体" w:cs="宋体" w:eastAsia="宋体" w:hint="default"/>
                <w:sz w:val="18"/>
                <w:szCs w:val="18"/>
              </w:rPr>
              <w:t>，系募集资金投资项目相关基建工程。</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本期末较上年末下降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68.05%</w:t>
            </w:r>
            <w:r>
              <w:rPr>
                <w:rFonts w:ascii="宋体" w:hAnsi="宋体" w:cs="宋体" w:eastAsia="宋体" w:hint="default"/>
                <w:sz w:val="18"/>
                <w:szCs w:val="18"/>
              </w:rPr>
              <w:t>，主要是本期末理财产品未到期收回。</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本期末较上年末增长 </w:t>
            </w:r>
            <w:r>
              <w:rPr>
                <w:rFonts w:ascii="Times New Roman" w:hAnsi="Times New Roman" w:cs="Times New Roman" w:eastAsia="Times New Roman" w:hint="default"/>
                <w:sz w:val="18"/>
                <w:szCs w:val="18"/>
              </w:rPr>
              <w:t>38.87%</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宋体" w:hAnsi="宋体" w:cs="宋体" w:eastAsia="宋体" w:hint="default"/>
                <w:sz w:val="18"/>
                <w:szCs w:val="18"/>
              </w:rPr>
              <w:t>主要是所属行业客户采购机制及流程日益规范导致 付款周期加长，部分货款年末未完成回收。</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本期末较上年末增长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71.89%</w:t>
            </w:r>
            <w:r>
              <w:rPr>
                <w:rFonts w:ascii="宋体" w:hAnsi="宋体" w:cs="宋体" w:eastAsia="宋体" w:hint="default"/>
                <w:sz w:val="18"/>
                <w:szCs w:val="18"/>
              </w:rPr>
              <w:t>，主要是在建工程及装修费预付。</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本期末较上年末增长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553.19%</w:t>
            </w:r>
            <w:r>
              <w:rPr>
                <w:rFonts w:ascii="宋体" w:hAnsi="宋体" w:cs="宋体" w:eastAsia="宋体" w:hint="default"/>
                <w:sz w:val="18"/>
                <w:szCs w:val="18"/>
              </w:rPr>
              <w:t>，主要是本期末理财产品未到期收回。</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本期末较上年末增长</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46.02%</w:t>
            </w:r>
            <w:r>
              <w:rPr>
                <w:rFonts w:ascii="宋体" w:hAnsi="宋体" w:cs="宋体" w:eastAsia="宋体" w:hint="default"/>
                <w:spacing w:val="-3"/>
                <w:sz w:val="18"/>
                <w:szCs w:val="18"/>
              </w:rPr>
              <w:t>，主要是资产减值准备和预计负债增加使可抵扣暂时性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差异增加。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本期末较上年末下降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72.41%</w:t>
            </w:r>
            <w:r>
              <w:rPr>
                <w:rFonts w:ascii="宋体" w:hAnsi="宋体" w:cs="宋体" w:eastAsia="宋体" w:hint="default"/>
                <w:sz w:val="18"/>
                <w:szCs w:val="18"/>
              </w:rPr>
              <w:t>，主要是本期末预付资产采购货款减少所致。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spacing w:after="0" w:line="36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软件与信息技术服务业</w:t>
      </w:r>
    </w:p>
    <w:p>
      <w:pPr>
        <w:pStyle w:val="BodyText"/>
        <w:spacing w:line="300" w:lineRule="auto" w:before="115"/>
        <w:ind w:left="444" w:right="0" w:firstLine="69"/>
        <w:jc w:val="left"/>
      </w:pPr>
      <w:r>
        <w:rPr>
          <w:rFonts w:ascii="Times New Roman" w:hAnsi="Times New Roman" w:cs="Times New Roman" w:eastAsia="Times New Roman" w:hint="default"/>
        </w:rPr>
        <w:t>1</w:t>
      </w:r>
      <w:r>
        <w:rPr/>
        <w:t>、前瞻开发贴合银行业务流程的内控风险管理解决方案，引导客户需求和行业主要产品发展方向 </w:t>
      </w:r>
      <w:r>
        <w:rPr>
          <w:spacing w:val="-1"/>
        </w:rPr>
        <w:t>公司凭借自身对银行运营板块管理制度、业务流程的深刻认识，及对主要风险点的认知、理解，推出了一系列内控风险</w:t>
      </w:r>
    </w:p>
    <w:p>
      <w:pPr>
        <w:pStyle w:val="BodyText"/>
        <w:spacing w:line="319" w:lineRule="auto" w:before="31"/>
        <w:ind w:right="1133"/>
        <w:jc w:val="both"/>
      </w:pPr>
      <w:r>
        <w:rPr>
          <w:spacing w:val="-2"/>
        </w:rPr>
        <w:t>解决方案，在帮助银行对业务流程进行优化完善的基础上，以具体的技术手段实现了对相关内控操作风险的有效控制。公司</w:t>
      </w:r>
      <w:r>
        <w:rPr>
          <w:spacing w:val="-66"/>
        </w:rPr>
        <w:t> </w:t>
      </w:r>
      <w:r>
        <w:rPr>
          <w:spacing w:val="-66"/>
        </w:rPr>
      </w:r>
      <w:r>
        <w:rPr>
          <w:spacing w:val="-2"/>
        </w:rPr>
        <w:t>凭借着产品、服务的前瞻性、适用性引导着银行内控风险管理主要产品的发展方向。公司积极关注金融业改革和金融科技最</w:t>
      </w:r>
      <w:r>
        <w:rPr>
          <w:spacing w:val="-66"/>
        </w:rPr>
        <w:t> </w:t>
      </w:r>
      <w:r>
        <w:rPr>
          <w:spacing w:val="-66"/>
        </w:rPr>
      </w:r>
      <w:r>
        <w:rPr/>
        <w:t>新发展动向，聚焦需求，积极研究和开发适应金融发展需求的新产品。</w:t>
      </w:r>
    </w:p>
    <w:p>
      <w:pPr>
        <w:pStyle w:val="BodyText"/>
        <w:spacing w:line="300" w:lineRule="auto" w:before="17"/>
        <w:ind w:left="444" w:right="0" w:firstLine="69"/>
        <w:jc w:val="left"/>
      </w:pPr>
      <w:r>
        <w:rPr>
          <w:rFonts w:ascii="Times New Roman" w:hAnsi="Times New Roman" w:cs="Times New Roman" w:eastAsia="Times New Roman" w:hint="default"/>
        </w:rPr>
        <w:t>2</w:t>
      </w:r>
      <w:r>
        <w:rPr/>
        <w:t>、坚持自主创新，持续推进技术创新 </w:t>
      </w:r>
      <w:r>
        <w:rPr>
          <w:spacing w:val="-1"/>
        </w:rPr>
        <w:t>公司以自主研发为主，根据银行业务特点和管理要求，致力于产品性能的持续改进和新产品技术的研发，通过优化结构</w:t>
      </w:r>
    </w:p>
    <w:p>
      <w:pPr>
        <w:pStyle w:val="BodyText"/>
        <w:spacing w:line="316" w:lineRule="auto" w:before="31"/>
        <w:ind w:left="444" w:right="1213" w:hanging="291"/>
        <w:jc w:val="left"/>
      </w:pPr>
      <w:r>
        <w:rPr/>
        <w:t>设计和射频识别、动态密码、无线通信等技术应用，帮助银行实现内控风险管理的可识别性、安全性、可控性、及时性。 公司重视科研创新，同时深刻认识到专利保护的重要性，积极申请专利，维持企业竞争优势。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日，公司已经取得证书的专利情况如下表所示：</w:t>
      </w:r>
    </w:p>
    <w:tbl>
      <w:tblPr>
        <w:tblW w:w="0" w:type="auto"/>
        <w:jc w:val="left"/>
        <w:tblInd w:w="595" w:type="dxa"/>
        <w:tblLayout w:type="fixed"/>
        <w:tblCellMar>
          <w:top w:w="0" w:type="dxa"/>
          <w:left w:w="0" w:type="dxa"/>
          <w:bottom w:w="0" w:type="dxa"/>
          <w:right w:w="0" w:type="dxa"/>
        </w:tblCellMar>
        <w:tblLook w:val="01E0"/>
      </w:tblPr>
      <w:tblGrid>
        <w:gridCol w:w="447"/>
        <w:gridCol w:w="1783"/>
        <w:gridCol w:w="914"/>
        <w:gridCol w:w="2799"/>
        <w:gridCol w:w="2290"/>
        <w:gridCol w:w="509"/>
      </w:tblGrid>
      <w:tr>
        <w:trPr>
          <w:trHeight w:val="659"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授权专利号</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授予名称</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专利权期限</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67" w:right="65"/>
              <w:jc w:val="left"/>
              <w:rPr>
                <w:rFonts w:ascii="宋体" w:hAnsi="宋体" w:cs="宋体" w:eastAsia="宋体" w:hint="default"/>
                <w:sz w:val="18"/>
                <w:szCs w:val="18"/>
              </w:rPr>
            </w:pPr>
            <w:r>
              <w:rPr>
                <w:rFonts w:ascii="宋体" w:hAnsi="宋体" w:cs="宋体" w:eastAsia="宋体" w:hint="default"/>
                <w:sz w:val="18"/>
                <w:szCs w:val="18"/>
              </w:rPr>
              <w:t>取得 方式</w:t>
            </w:r>
          </w:p>
        </w:tc>
      </w:tr>
      <w:tr>
        <w:trPr>
          <w:trHeight w:val="348"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ZL201010560931.9</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一种电子射频锁及其钥匙</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2010/11/21-2030/11/20</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ZL201110280540.6</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一种无线动态密码锁及其控制方法</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2011/09/08-2031/09/07</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ZL201210176146.2</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一种带远程监控的密码锁</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2012/05/31-2032/05/30</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ZL201210440401.X</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一种开锁装置</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2012/11/07-2032/11/06</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ZL201210440621.2</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一种防盗提款箱</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2012/11/07-2032/11/06</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6</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ZL201310310872.3</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印章管理机</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2013/07/23-2033/07/22</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ZL201310342110.1</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 w:right="81"/>
              <w:jc w:val="left"/>
              <w:rPr>
                <w:rFonts w:ascii="宋体" w:hAnsi="宋体" w:cs="宋体" w:eastAsia="宋体" w:hint="default"/>
                <w:sz w:val="18"/>
                <w:szCs w:val="18"/>
              </w:rPr>
            </w:pPr>
            <w:r>
              <w:rPr>
                <w:rFonts w:ascii="宋体" w:hAnsi="宋体" w:cs="宋体" w:eastAsia="宋体" w:hint="default"/>
                <w:sz w:val="18"/>
                <w:szCs w:val="18"/>
              </w:rPr>
              <w:t>动静态密码锁的控制方法及控制装 置</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2013/08/07-2033/08/06</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8</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ZL201310353888.2</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 w:right="0"/>
              <w:jc w:val="left"/>
              <w:rPr>
                <w:rFonts w:ascii="宋体" w:hAnsi="宋体" w:cs="宋体" w:eastAsia="宋体" w:hint="default"/>
                <w:sz w:val="18"/>
                <w:szCs w:val="18"/>
              </w:rPr>
            </w:pPr>
            <w:r>
              <w:rPr>
                <w:rFonts w:ascii="宋体" w:hAnsi="宋体" w:cs="宋体" w:eastAsia="宋体" w:hint="default"/>
                <w:sz w:val="18"/>
                <w:szCs w:val="18"/>
              </w:rPr>
              <w:t>密码锁</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2013/08/14-2033/08/13</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9</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ZL201410186493.2</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 w:right="81"/>
              <w:jc w:val="left"/>
              <w:rPr>
                <w:rFonts w:ascii="宋体" w:hAnsi="宋体" w:cs="宋体" w:eastAsia="宋体" w:hint="default"/>
                <w:sz w:val="18"/>
                <w:szCs w:val="18"/>
              </w:rPr>
            </w:pPr>
            <w:r>
              <w:rPr>
                <w:rFonts w:ascii="宋体" w:hAnsi="宋体" w:cs="宋体" w:eastAsia="宋体" w:hint="default"/>
                <w:sz w:val="18"/>
                <w:szCs w:val="18"/>
              </w:rPr>
              <w:t>印章设备和具有该印章设备的印章 机</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2014/05/05-2034/05/04</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10</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ZL201410538294.3</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印章设备及其盖章机</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2014/10/13-2034/10/12</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11</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ZL201410539514.4</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印章设备及其盖章机</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2014/10/13-2034/10/12</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12</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ZL201410555385.8</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一种印章机系统</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2014/10/17-2034/10/16</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13</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ZL201410552672.3</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一种印章机系统</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2014/10/17-2034/10/16</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14</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ZL201410631947.2</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一种电子锁</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2014/11/10-2034/11/09</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15</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ZL201410627948.X</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电子锁及应用其的印章模块</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2014/11/10-2034/11/09</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16</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ZL201410709730.9</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 w:right="81"/>
              <w:jc w:val="left"/>
              <w:rPr>
                <w:rFonts w:ascii="宋体" w:hAnsi="宋体" w:cs="宋体" w:eastAsia="宋体" w:hint="default"/>
                <w:sz w:val="18"/>
                <w:szCs w:val="18"/>
              </w:rPr>
            </w:pPr>
            <w:r>
              <w:rPr>
                <w:rFonts w:ascii="宋体" w:hAnsi="宋体" w:cs="宋体" w:eastAsia="宋体" w:hint="default"/>
                <w:sz w:val="18"/>
                <w:szCs w:val="18"/>
              </w:rPr>
              <w:t>一种基于指纹密码锁的自助设备安 全管理方法</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2014/11/27-2034/11/26</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17</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ZL201510234097.7</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 w:right="81"/>
              <w:jc w:val="left"/>
              <w:rPr>
                <w:rFonts w:ascii="宋体" w:hAnsi="宋体" w:cs="宋体" w:eastAsia="宋体" w:hint="default"/>
                <w:sz w:val="18"/>
                <w:szCs w:val="18"/>
              </w:rPr>
            </w:pPr>
            <w:r>
              <w:rPr>
                <w:rFonts w:ascii="宋体" w:hAnsi="宋体" w:cs="宋体" w:eastAsia="宋体" w:hint="default"/>
                <w:sz w:val="18"/>
                <w:szCs w:val="18"/>
              </w:rPr>
              <w:t>用于银行款箱管理的实物流转系统 及实物流转方法</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2015/05/08-2035/05/07</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18</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ZL200920007701.2</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一次性签封锁</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2009/02/19-2019/02/18</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受让</w:t>
            </w:r>
          </w:p>
        </w:tc>
      </w:tr>
      <w:tr>
        <w:trPr>
          <w:trHeight w:val="660"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19</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ZL200920218821.7</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 w:right="81"/>
              <w:jc w:val="left"/>
              <w:rPr>
                <w:rFonts w:ascii="宋体" w:hAnsi="宋体" w:cs="宋体" w:eastAsia="宋体" w:hint="default"/>
                <w:sz w:val="18"/>
                <w:szCs w:val="18"/>
              </w:rPr>
            </w:pPr>
            <w:r>
              <w:rPr>
                <w:rFonts w:ascii="宋体" w:hAnsi="宋体" w:cs="宋体" w:eastAsia="宋体" w:hint="default"/>
                <w:sz w:val="18"/>
                <w:szCs w:val="18"/>
              </w:rPr>
              <w:t>可以锁定可以锁定拉链牌的资料袋 及配套使用的卡片插座和卡片</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2009/09/27-2019/09/26</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20</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ZL200920273337.4</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8"/>
              <w:ind w:left="2" w:right="81"/>
              <w:jc w:val="left"/>
              <w:rPr>
                <w:rFonts w:ascii="宋体" w:hAnsi="宋体" w:cs="宋体" w:eastAsia="宋体" w:hint="default"/>
                <w:sz w:val="18"/>
                <w:szCs w:val="18"/>
              </w:rPr>
            </w:pPr>
            <w:r>
              <w:rPr>
                <w:rFonts w:ascii="宋体" w:hAnsi="宋体" w:cs="宋体" w:eastAsia="宋体" w:hint="default"/>
                <w:sz w:val="18"/>
                <w:szCs w:val="18"/>
              </w:rPr>
              <w:t>电子射频卡封挂锁及用于封闭钥匙 孔的卡片</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2009/11/23-2019/11/22</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21</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ZL201020003762.4</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 w:right="81"/>
              <w:jc w:val="left"/>
              <w:rPr>
                <w:rFonts w:ascii="宋体" w:hAnsi="宋体" w:cs="宋体" w:eastAsia="宋体" w:hint="default"/>
                <w:sz w:val="18"/>
                <w:szCs w:val="18"/>
              </w:rPr>
            </w:pPr>
            <w:r>
              <w:rPr>
                <w:rFonts w:ascii="宋体" w:hAnsi="宋体" w:cs="宋体" w:eastAsia="宋体" w:hint="default"/>
                <w:sz w:val="18"/>
                <w:szCs w:val="18"/>
              </w:rPr>
              <w:t>一种专用无匙固定锁及配套可以记 录信息的卡片</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2010/01/07-2020/01/06</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申请</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595" w:type="dxa"/>
        <w:tblLayout w:type="fixed"/>
        <w:tblCellMar>
          <w:top w:w="0" w:type="dxa"/>
          <w:left w:w="0" w:type="dxa"/>
          <w:bottom w:w="0" w:type="dxa"/>
          <w:right w:w="0" w:type="dxa"/>
        </w:tblCellMar>
        <w:tblLook w:val="01E0"/>
      </w:tblPr>
      <w:tblGrid>
        <w:gridCol w:w="447"/>
        <w:gridCol w:w="1783"/>
        <w:gridCol w:w="914"/>
        <w:gridCol w:w="2799"/>
        <w:gridCol w:w="2290"/>
        <w:gridCol w:w="509"/>
      </w:tblGrid>
      <w:tr>
        <w:trPr>
          <w:trHeight w:val="659"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ZL201020277596.7</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1"/>
              <w:jc w:val="left"/>
              <w:rPr>
                <w:rFonts w:ascii="宋体" w:hAnsi="宋体" w:cs="宋体" w:eastAsia="宋体" w:hint="default"/>
                <w:sz w:val="18"/>
                <w:szCs w:val="18"/>
              </w:rPr>
            </w:pPr>
            <w:r>
              <w:rPr>
                <w:rFonts w:ascii="宋体" w:hAnsi="宋体" w:cs="宋体" w:eastAsia="宋体" w:hint="default"/>
                <w:sz w:val="18"/>
                <w:szCs w:val="18"/>
              </w:rPr>
              <w:t>一种用于自动存取款机加钞箱钥匙 孔的封闭装置</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2010/07/29-2020/07/28</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23</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ZL201020665220.3</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一种用于取款机加钞箱的封闭装置</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2010/12/09-2020/12/08</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受让</w:t>
            </w:r>
          </w:p>
        </w:tc>
      </w:tr>
      <w:tr>
        <w:trPr>
          <w:trHeight w:val="659"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24</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ZL201020687724.5</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81"/>
              <w:jc w:val="left"/>
              <w:rPr>
                <w:rFonts w:ascii="宋体" w:hAnsi="宋体" w:cs="宋体" w:eastAsia="宋体" w:hint="default"/>
                <w:sz w:val="18"/>
                <w:szCs w:val="18"/>
              </w:rPr>
            </w:pPr>
            <w:r>
              <w:rPr>
                <w:rFonts w:ascii="宋体" w:hAnsi="宋体" w:cs="宋体" w:eastAsia="宋体" w:hint="default"/>
                <w:sz w:val="18"/>
                <w:szCs w:val="18"/>
              </w:rPr>
              <w:t>一种用于自动存取款机加钞箱钥匙 孔的封闭装置</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2010/12/21-2020/12/20</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ZL201120127848.2</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一种具有防撬功能的提款箱</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2011/04/21-2021/04/20</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26</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6" w:right="0"/>
              <w:jc w:val="left"/>
              <w:rPr>
                <w:rFonts w:ascii="Times New Roman" w:hAnsi="Times New Roman" w:cs="Times New Roman" w:eastAsia="Times New Roman" w:hint="default"/>
                <w:sz w:val="18"/>
                <w:szCs w:val="18"/>
              </w:rPr>
            </w:pPr>
            <w:r>
              <w:rPr>
                <w:rFonts w:ascii="Times New Roman"/>
                <w:sz w:val="18"/>
              </w:rPr>
              <w:t>ZL201120272761.4</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1"/>
              <w:jc w:val="left"/>
              <w:rPr>
                <w:rFonts w:ascii="宋体" w:hAnsi="宋体" w:cs="宋体" w:eastAsia="宋体" w:hint="default"/>
                <w:sz w:val="18"/>
                <w:szCs w:val="18"/>
              </w:rPr>
            </w:pPr>
            <w:r>
              <w:rPr>
                <w:rFonts w:ascii="宋体" w:hAnsi="宋体" w:cs="宋体" w:eastAsia="宋体" w:hint="default"/>
                <w:sz w:val="18"/>
                <w:szCs w:val="18"/>
              </w:rPr>
              <w:t>一种防止非授权人开启自助设备加 钞箱的锁具</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2011/07/22-2021/07/21</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6" w:right="0"/>
              <w:jc w:val="left"/>
              <w:rPr>
                <w:rFonts w:ascii="Times New Roman" w:hAnsi="Times New Roman" w:cs="Times New Roman" w:eastAsia="Times New Roman" w:hint="default"/>
                <w:sz w:val="18"/>
                <w:szCs w:val="18"/>
              </w:rPr>
            </w:pPr>
            <w:r>
              <w:rPr>
                <w:rFonts w:ascii="Times New Roman"/>
                <w:sz w:val="18"/>
              </w:rPr>
              <w:t>ZL201220154495.X</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1"/>
              <w:jc w:val="left"/>
              <w:rPr>
                <w:rFonts w:ascii="宋体" w:hAnsi="宋体" w:cs="宋体" w:eastAsia="宋体" w:hint="default"/>
                <w:sz w:val="18"/>
                <w:szCs w:val="18"/>
              </w:rPr>
            </w:pPr>
            <w:r>
              <w:rPr>
                <w:rFonts w:ascii="宋体" w:hAnsi="宋体" w:cs="宋体" w:eastAsia="宋体" w:hint="default"/>
                <w:sz w:val="18"/>
                <w:szCs w:val="18"/>
              </w:rPr>
              <w:t>一种封闭自动存取款机加钞箱钥匙 孔并可记录信息的卡片</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2012/04/06-2022/04/05</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28</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ZL201220157614.7</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1"/>
              <w:jc w:val="left"/>
              <w:rPr>
                <w:rFonts w:ascii="宋体" w:hAnsi="宋体" w:cs="宋体" w:eastAsia="宋体" w:hint="default"/>
                <w:sz w:val="18"/>
                <w:szCs w:val="18"/>
              </w:rPr>
            </w:pPr>
            <w:r>
              <w:rPr>
                <w:rFonts w:ascii="宋体" w:hAnsi="宋体" w:cs="宋体" w:eastAsia="宋体" w:hint="default"/>
                <w:sz w:val="18"/>
                <w:szCs w:val="18"/>
              </w:rPr>
              <w:t>一种锁定箱包拉链牌的卡片插座和 卡片</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2012/04/09-2022/04/08</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29</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ZL201220363664.0</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一种周转箱</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2012/07/26-2022/07/25</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ZL201420227168.1</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打印盖章机</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2014/05/05-2024/05/04</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31</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ZL201420363468.2</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贵金属配送箱</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2014/07/01-2024/06/30</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32</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6" w:right="0"/>
              <w:jc w:val="left"/>
              <w:rPr>
                <w:rFonts w:ascii="Times New Roman" w:hAnsi="Times New Roman" w:cs="Times New Roman" w:eastAsia="Times New Roman" w:hint="default"/>
                <w:sz w:val="18"/>
                <w:szCs w:val="18"/>
              </w:rPr>
            </w:pPr>
            <w:r>
              <w:rPr>
                <w:rFonts w:ascii="Times New Roman"/>
                <w:sz w:val="18"/>
              </w:rPr>
              <w:t>ZL201420441753.1</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动态密码锁及远程密码锁设备</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2014/08/06-2024/08/05</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33</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ZL201420473005.1</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用于检测</w:t>
            </w:r>
            <w:r>
              <w:rPr>
                <w:rFonts w:ascii="Times New Roman" w:hAnsi="Times New Roman" w:cs="Times New Roman" w:eastAsia="Times New Roman" w:hint="default"/>
                <w:sz w:val="18"/>
                <w:szCs w:val="18"/>
              </w:rPr>
              <w:t>ATM</w:t>
            </w:r>
            <w:r>
              <w:rPr>
                <w:rFonts w:ascii="宋体" w:hAnsi="宋体" w:cs="宋体" w:eastAsia="宋体" w:hint="default"/>
                <w:sz w:val="18"/>
                <w:szCs w:val="18"/>
              </w:rPr>
              <w:t>机柜门开关的装置</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2014/08/20-2024/08/19</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34</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ZL201420604086.4</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一种自动印章机</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2014/10/17-2024/10/16</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35</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ZL201420604106.8</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一种压纸机构及应用其的印章机</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2014/10/17-2024/10/16</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36</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ZL201520509957.9</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一种自适应式印章设备</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2015/07/14-2025/07/13</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37</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ZL201520638564.8</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动态密码锁及其远程控制系统</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2015/08/21-2025/08/20</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38</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6" w:right="0"/>
              <w:jc w:val="left"/>
              <w:rPr>
                <w:rFonts w:ascii="Times New Roman" w:hAnsi="Times New Roman" w:cs="Times New Roman" w:eastAsia="Times New Roman" w:hint="default"/>
                <w:sz w:val="18"/>
                <w:szCs w:val="18"/>
              </w:rPr>
            </w:pPr>
            <w:r>
              <w:rPr>
                <w:rFonts w:ascii="Times New Roman"/>
                <w:sz w:val="18"/>
              </w:rPr>
              <w:t>ZL201520643416.5</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一种一体化自助终端</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2015/08/24-2025/08/23</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39</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ZL201520643168.4</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一种纸张自动翻转输出装置</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2015/08/24-2025/08/23</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40</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ZL201520732213.3</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一种用于插锁的卡片</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2015/09/18-2025/09/17</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41</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ZL201520770719.3</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一种电机驱动式自动盖章机</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2015/09/28-2025/09/27</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42</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ZL201620828161.4</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一种自动电子锁</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2016/07/29-2026/07/28</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43</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ZL201620909118.0</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1"/>
              <w:jc w:val="left"/>
              <w:rPr>
                <w:rFonts w:ascii="宋体" w:hAnsi="宋体" w:cs="宋体" w:eastAsia="宋体" w:hint="default"/>
                <w:sz w:val="18"/>
                <w:szCs w:val="18"/>
              </w:rPr>
            </w:pPr>
            <w:r>
              <w:rPr>
                <w:rFonts w:ascii="宋体" w:hAnsi="宋体" w:cs="宋体" w:eastAsia="宋体" w:hint="default"/>
                <w:sz w:val="18"/>
                <w:szCs w:val="18"/>
              </w:rPr>
              <w:t>一种用于自动印章机的夹章装置及 自动印章机</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2016/08/19-2026/08/18</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44</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6" w:right="0"/>
              <w:jc w:val="left"/>
              <w:rPr>
                <w:rFonts w:ascii="Times New Roman" w:hAnsi="Times New Roman" w:cs="Times New Roman" w:eastAsia="Times New Roman" w:hint="default"/>
                <w:sz w:val="18"/>
                <w:szCs w:val="18"/>
              </w:rPr>
            </w:pPr>
            <w:r>
              <w:rPr>
                <w:rFonts w:ascii="Times New Roman"/>
                <w:sz w:val="18"/>
              </w:rPr>
              <w:t>ZL201720411841.0</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电子锁和自助终端</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2017/04/18-2027/04/17</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45</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ZL201720457281.2</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一种纸张分拣机构及批量盖章机</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2017/04/27-2027/04/26</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46</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ZL201720593694.3</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一种传动式盖章平台及其盖章机</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2017/05/25-2027/05/24</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47</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6" w:right="0"/>
              <w:jc w:val="left"/>
              <w:rPr>
                <w:rFonts w:ascii="Times New Roman" w:hAnsi="Times New Roman" w:cs="Times New Roman" w:eastAsia="Times New Roman" w:hint="default"/>
                <w:sz w:val="18"/>
                <w:szCs w:val="18"/>
              </w:rPr>
            </w:pPr>
            <w:r>
              <w:rPr>
                <w:rFonts w:ascii="Times New Roman"/>
                <w:sz w:val="18"/>
              </w:rPr>
              <w:t>ZL201720593701.X</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一种防粘纸机构及应用其的印章</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2017/05/25-2027/05/24</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48</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sz w:val="18"/>
              </w:rPr>
              <w:t>ZL201721212076.6</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用于提款箱的锁定装置及提款箱</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（传动）</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2017/09/19-2027/09/18</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49</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sz w:val="18"/>
              </w:rPr>
              <w:t>ZL201721210271.5</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用于提款箱的锁定装置及提款箱</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（锁芯）</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2017/09/19-2027/09/18</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50</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5" w:right="0"/>
              <w:jc w:val="left"/>
              <w:rPr>
                <w:rFonts w:ascii="Times New Roman" w:hAnsi="Times New Roman" w:cs="Times New Roman" w:eastAsia="Times New Roman" w:hint="default"/>
                <w:sz w:val="18"/>
                <w:szCs w:val="18"/>
              </w:rPr>
            </w:pPr>
            <w:r>
              <w:rPr>
                <w:rFonts w:ascii="Times New Roman"/>
                <w:sz w:val="18"/>
              </w:rPr>
              <w:t>ZL201721205575.2</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用于提款箱的锁定装置及提款箱</w:t>
            </w:r>
          </w:p>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（锁定）</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2017/09/19-2027/09/18</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51</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sz w:val="18"/>
              </w:rPr>
              <w:t>ZL201721491717.6</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智能款箱及开锁控制系统</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2017/11/09-2027/11/08</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52</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sz w:val="18"/>
              </w:rPr>
              <w:t>ZL201030600456.4</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提款箱</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2010/10/26-2020/10/25</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受让</w:t>
            </w:r>
          </w:p>
        </w:tc>
      </w:tr>
      <w:tr>
        <w:trPr>
          <w:trHeight w:val="348"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53</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sz w:val="18"/>
              </w:rPr>
              <w:t>ZL201130278577.6</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射频标签读取解锁器</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2011/08/10-2021/08/09</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595" w:type="dxa"/>
        <w:tblLayout w:type="fixed"/>
        <w:tblCellMar>
          <w:top w:w="0" w:type="dxa"/>
          <w:left w:w="0" w:type="dxa"/>
          <w:bottom w:w="0" w:type="dxa"/>
          <w:right w:w="0" w:type="dxa"/>
        </w:tblCellMar>
        <w:tblLook w:val="01E0"/>
      </w:tblPr>
      <w:tblGrid>
        <w:gridCol w:w="447"/>
        <w:gridCol w:w="1783"/>
        <w:gridCol w:w="914"/>
        <w:gridCol w:w="2799"/>
        <w:gridCol w:w="2290"/>
        <w:gridCol w:w="509"/>
      </w:tblGrid>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54</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sz w:val="18"/>
              </w:rPr>
              <w:t>ZL201430180848.8</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动态密码锁控制器模块</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2014/06/13-2024/06/12</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55</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sz w:val="18"/>
              </w:rPr>
              <w:t>ZL201430181135.3</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动态密码锁控制器（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2014/06/13-2024/06/12</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56</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6" w:right="0"/>
              <w:jc w:val="left"/>
              <w:rPr>
                <w:rFonts w:ascii="Times New Roman" w:hAnsi="Times New Roman" w:cs="Times New Roman" w:eastAsia="Times New Roman" w:hint="default"/>
                <w:sz w:val="18"/>
                <w:szCs w:val="18"/>
              </w:rPr>
            </w:pPr>
            <w:r>
              <w:rPr>
                <w:rFonts w:ascii="Times New Roman"/>
                <w:sz w:val="18"/>
              </w:rPr>
              <w:t>ZL201430180851.X</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动态密码锁控制器（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2014/06/13-2024/06/12</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57</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sz w:val="18"/>
              </w:rPr>
              <w:t>ZL201430202419.6</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智能印控仪（</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2014/06/25-2024/06/24</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58</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5" w:right="0"/>
              <w:jc w:val="left"/>
              <w:rPr>
                <w:rFonts w:ascii="Times New Roman" w:hAnsi="Times New Roman" w:cs="Times New Roman" w:eastAsia="Times New Roman" w:hint="default"/>
                <w:sz w:val="18"/>
                <w:szCs w:val="18"/>
              </w:rPr>
            </w:pPr>
            <w:r>
              <w:rPr>
                <w:rFonts w:ascii="Times New Roman"/>
                <w:sz w:val="18"/>
              </w:rPr>
              <w:t>ZL201430202474.5</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智能印控仪（</w:t>
            </w:r>
            <w:r>
              <w:rPr>
                <w:rFonts w:ascii="Times New Roman" w:hAnsi="Times New Roman" w:cs="Times New Roman" w:eastAsia="Times New Roman" w:hint="default"/>
                <w:sz w:val="18"/>
                <w:szCs w:val="18"/>
              </w:rPr>
              <w:t>A)</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2014/06/25-2024/06/24</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59</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sz w:val="18"/>
              </w:rPr>
              <w:t>ZL201430202049.6</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智能打印盖章机</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2014/06/25-2024/06/24</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60</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sz w:val="18"/>
              </w:rPr>
              <w:t>ZL201430227897.2</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手柄</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2014/07/08-2024/07/07</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61</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sz w:val="18"/>
              </w:rPr>
              <w:t>ZL201430515070.1</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移动终端（</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2014/12/10-2024/12/09</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62</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sz w:val="18"/>
              </w:rPr>
              <w:t>ZL201430514866.5</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移动终端（</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2014/12/10-2024/12/09</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63</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sz w:val="18"/>
              </w:rPr>
              <w:t>ZL201730184526.4</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Times New Roman" w:hAnsi="Times New Roman" w:cs="Times New Roman" w:eastAsia="Times New Roman" w:hint="default"/>
                <w:sz w:val="18"/>
                <w:szCs w:val="18"/>
              </w:rPr>
              <w:t>PAD</w:t>
            </w:r>
            <w:r>
              <w:rPr>
                <w:rFonts w:ascii="宋体" w:hAnsi="宋体" w:cs="宋体" w:eastAsia="宋体" w:hint="default"/>
                <w:sz w:val="18"/>
                <w:szCs w:val="18"/>
              </w:rPr>
              <w:t>底座</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20170/5/18-2027/05/17</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受让</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64</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5" w:right="0"/>
              <w:jc w:val="left"/>
              <w:rPr>
                <w:rFonts w:ascii="Times New Roman" w:hAnsi="Times New Roman" w:cs="Times New Roman" w:eastAsia="Times New Roman" w:hint="default"/>
                <w:sz w:val="18"/>
                <w:szCs w:val="18"/>
              </w:rPr>
            </w:pPr>
            <w:r>
              <w:rPr>
                <w:rFonts w:ascii="Times New Roman"/>
                <w:sz w:val="18"/>
              </w:rPr>
              <w:t>ZL201730497236.5</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金融移动终端</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2017/10/18-2027/10/17</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受让</w:t>
            </w:r>
          </w:p>
        </w:tc>
      </w:tr>
      <w:tr>
        <w:trPr>
          <w:trHeight w:val="347"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65</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sz w:val="18"/>
              </w:rPr>
              <w:t>ZL201830034541.5</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智能挂锁</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2018/01/24-2028/01/23</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8" w:hRule="exact"/>
        </w:trPr>
        <w:tc>
          <w:tcPr>
            <w:tcW w:w="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66</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sz w:val="18"/>
              </w:rPr>
              <w:t>ZL201830242192.6</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金库</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2018/05/23-2028/05/22</w:t>
            </w:r>
          </w:p>
        </w:tc>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bl>
    <w:p>
      <w:pPr>
        <w:pStyle w:val="BodyText"/>
        <w:spacing w:line="240" w:lineRule="auto" w:before="10"/>
        <w:ind w:left="444"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日，公司拥有的计算机软件著作权的情况如下：</w:t>
      </w:r>
    </w:p>
    <w:p>
      <w:pPr>
        <w:spacing w:line="240" w:lineRule="auto" w:before="13"/>
        <w:rPr>
          <w:rFonts w:ascii="宋体" w:hAnsi="宋体" w:cs="宋体" w:eastAsia="宋体" w:hint="default"/>
          <w:sz w:val="3"/>
          <w:szCs w:val="3"/>
        </w:rPr>
      </w:pPr>
    </w:p>
    <w:tbl>
      <w:tblPr>
        <w:tblW w:w="0" w:type="auto"/>
        <w:jc w:val="left"/>
        <w:tblInd w:w="636" w:type="dxa"/>
        <w:tblLayout w:type="fixed"/>
        <w:tblCellMar>
          <w:top w:w="0" w:type="dxa"/>
          <w:left w:w="0" w:type="dxa"/>
          <w:bottom w:w="0" w:type="dxa"/>
          <w:right w:w="0" w:type="dxa"/>
        </w:tblCellMar>
        <w:tblLook w:val="01E0"/>
      </w:tblPr>
      <w:tblGrid>
        <w:gridCol w:w="420"/>
        <w:gridCol w:w="1848"/>
        <w:gridCol w:w="2843"/>
        <w:gridCol w:w="1410"/>
        <w:gridCol w:w="991"/>
        <w:gridCol w:w="1147"/>
      </w:tblGrid>
      <w:tr>
        <w:trPr>
          <w:trHeight w:val="755"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登记证书编号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宋体" w:hAnsi="宋体" w:cs="宋体" w:eastAsia="宋体" w:hint="default"/>
                <w:sz w:val="18"/>
                <w:szCs w:val="18"/>
              </w:rPr>
            </w:pPr>
            <w:r>
              <w:rPr>
                <w:rFonts w:ascii="宋体" w:hAnsi="宋体" w:cs="宋体" w:eastAsia="宋体" w:hint="default"/>
                <w:sz w:val="18"/>
                <w:szCs w:val="18"/>
              </w:rPr>
              <w:t>登记号</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308" w:right="36" w:hanging="270"/>
              <w:jc w:val="left"/>
              <w:rPr>
                <w:rFonts w:ascii="宋体" w:hAnsi="宋体" w:cs="宋体" w:eastAsia="宋体" w:hint="default"/>
                <w:sz w:val="18"/>
                <w:szCs w:val="18"/>
              </w:rPr>
            </w:pPr>
            <w:r>
              <w:rPr>
                <w:rFonts w:ascii="宋体" w:hAnsi="宋体" w:cs="宋体" w:eastAsia="宋体" w:hint="default"/>
                <w:sz w:val="18"/>
                <w:szCs w:val="18"/>
              </w:rPr>
              <w:t>著作权保护 期限</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1283"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0204599</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2" w:right="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汇金现金、票据管理可识别安全防范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卡封（管理、加钞箱）锁、片、条 箱、包系统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简称：卡封【（管理、 </w:t>
            </w:r>
            <w:r>
              <w:rPr>
                <w:rFonts w:ascii="宋体" w:hAnsi="宋体" w:cs="宋体" w:eastAsia="宋体" w:hint="default"/>
                <w:spacing w:val="-7"/>
                <w:sz w:val="18"/>
                <w:szCs w:val="18"/>
              </w:rPr>
              <w:t>加钞箱）锁、片、条、箱、包】</w:t>
            </w:r>
            <w:r>
              <w:rPr>
                <w:rFonts w:ascii="Times New Roman" w:hAnsi="Times New Roman" w:cs="Times New Roman" w:eastAsia="Times New Roman" w:hint="default"/>
                <w:spacing w:val="-7"/>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6" w:right="0"/>
              <w:jc w:val="left"/>
              <w:rPr>
                <w:rFonts w:ascii="Times New Roman" w:hAnsi="Times New Roman" w:cs="Times New Roman" w:eastAsia="Times New Roman" w:hint="default"/>
                <w:sz w:val="18"/>
                <w:szCs w:val="18"/>
              </w:rPr>
            </w:pPr>
            <w:r>
              <w:rPr>
                <w:rFonts w:ascii="Times New Roman"/>
                <w:sz w:val="18"/>
              </w:rPr>
              <w:t>2010SR016326</w:t>
            </w:r>
          </w:p>
          <w:p>
            <w:pPr>
              <w:pStyle w:val="TableParagraph"/>
              <w:spacing w:line="240" w:lineRule="auto" w:before="65"/>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2010/03/23-2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060/12/31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0299020</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73"/>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汇金实物流转</w:t>
            </w:r>
            <w:r>
              <w:rPr>
                <w:rFonts w:ascii="Times New Roman" w:hAnsi="Times New Roman" w:cs="Times New Roman" w:eastAsia="Times New Roman" w:hint="default"/>
                <w:sz w:val="18"/>
                <w:szCs w:val="18"/>
              </w:rPr>
              <w:t>RFID</w:t>
            </w:r>
            <w:r>
              <w:rPr>
                <w:rFonts w:ascii="宋体" w:hAnsi="宋体" w:cs="宋体" w:eastAsia="宋体" w:hint="default"/>
                <w:sz w:val="18"/>
                <w:szCs w:val="18"/>
              </w:rPr>
              <w:t>识别及安防控制 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简称：汇金</w:t>
            </w:r>
            <w:r>
              <w:rPr>
                <w:rFonts w:ascii="Times New Roman" w:hAnsi="Times New Roman" w:cs="Times New Roman" w:eastAsia="Times New Roman" w:hint="default"/>
                <w:sz w:val="18"/>
                <w:szCs w:val="18"/>
              </w:rPr>
              <w:t>RFID</w:t>
            </w:r>
            <w:r>
              <w:rPr>
                <w:rFonts w:ascii="宋体" w:hAnsi="宋体" w:cs="宋体" w:eastAsia="宋体" w:hint="default"/>
                <w:sz w:val="18"/>
                <w:szCs w:val="18"/>
              </w:rPr>
              <w:t>安控</w:t>
            </w:r>
            <w:r>
              <w:rPr>
                <w:rFonts w:ascii="Times New Roman" w:hAnsi="Times New Roman" w:cs="Times New Roman" w:eastAsia="Times New Roman" w:hint="default"/>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2011SR035346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2011/05/09-2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061/12/31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0299021</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汇金实物流转信息管理软件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 汇金实物流转管理</w:t>
            </w:r>
            <w:r>
              <w:rPr>
                <w:rFonts w:ascii="Times New Roman" w:hAnsi="Times New Roman" w:cs="Times New Roman" w:eastAsia="Times New Roman" w:hint="default"/>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2011SR035347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2011/05/09-2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061/12/31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0495531</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汇金现金款箱信息管理软件</w:t>
            </w:r>
            <w:r>
              <w:rPr>
                <w:rFonts w:ascii="Times New Roman" w:hAnsi="Times New Roman" w:cs="Times New Roman" w:eastAsia="Times New Roman" w:hint="default"/>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2012SR127495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2012/04/10-2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062/12/31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0495467</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汇金现金款箱批量识别控制软件</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2012SR127431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2012/06/12-2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062/12/31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0473767</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汇金卡钔上门收款控制软件</w:t>
            </w:r>
            <w:r>
              <w:rPr>
                <w:rFonts w:ascii="Times New Roman" w:hAnsi="Times New Roman" w:cs="Times New Roman" w:eastAsia="Times New Roman" w:hint="default"/>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2012SR105731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2012/08/01-2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062/12/31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0477757</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汇金卡钔收款信息管理软件</w:t>
            </w:r>
            <w:r>
              <w:rPr>
                <w:rFonts w:ascii="Times New Roman" w:hAnsi="Times New Roman" w:cs="Times New Roman" w:eastAsia="Times New Roman" w:hint="default"/>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2012SR109721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2012/08/01-2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062/12/31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0477770</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汇金卡钔钞箱批量识别控制软件</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2012SR109734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2012/08/20-2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062/12/31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0477767</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汇金卡钔动态密码锁信息管理软件</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2012SR109731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2012/09/25-2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062/12/31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0473765</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汇金卡钔加配钞远程控制软件</w:t>
            </w:r>
            <w:r>
              <w:rPr>
                <w:rFonts w:ascii="Times New Roman" w:hAnsi="Times New Roman" w:cs="Times New Roman" w:eastAsia="Times New Roman" w:hint="default"/>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2012SR105729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2012/09/28-2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062/12/31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0495532</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汇金自助设备动态密码锁控制软件</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2012SR127496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2012/10/01-2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062/12/31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0681387</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汇金卡钔清机管理控制软件</w:t>
            </w:r>
            <w:r>
              <w:rPr>
                <w:rFonts w:ascii="Times New Roman" w:hAnsi="Times New Roman" w:cs="Times New Roman" w:eastAsia="Times New Roman" w:hint="default"/>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2014SR012143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2013/06/04-2</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申请</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636" w:type="dxa"/>
        <w:tblLayout w:type="fixed"/>
        <w:tblCellMar>
          <w:top w:w="0" w:type="dxa"/>
          <w:left w:w="0" w:type="dxa"/>
          <w:bottom w:w="0" w:type="dxa"/>
          <w:right w:w="0" w:type="dxa"/>
        </w:tblCellMar>
        <w:tblLook w:val="01E0"/>
      </w:tblPr>
      <w:tblGrid>
        <w:gridCol w:w="420"/>
        <w:gridCol w:w="1848"/>
        <w:gridCol w:w="2843"/>
        <w:gridCol w:w="1410"/>
        <w:gridCol w:w="991"/>
        <w:gridCol w:w="1147"/>
      </w:tblGrid>
      <w:tr>
        <w:trPr>
          <w:trHeight w:val="347" w:hRule="exact"/>
        </w:trPr>
        <w:tc>
          <w:tcPr>
            <w:tcW w:w="420"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2843"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063/12/31</w:t>
            </w:r>
          </w:p>
        </w:tc>
        <w:tc>
          <w:tcPr>
            <w:tcW w:w="11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1"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0701809</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汇金卡钔智能印控仪软件</w:t>
            </w:r>
            <w:r>
              <w:rPr>
                <w:rFonts w:ascii="Times New Roman" w:hAnsi="Times New Roman" w:cs="Times New Roman" w:eastAsia="Times New Roman" w:hint="default"/>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2014SR032565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1"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0681833</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汇金卡封现金流转管理软件</w:t>
            </w:r>
            <w:r>
              <w:rPr>
                <w:rFonts w:ascii="Times New Roman" w:hAnsi="Times New Roman" w:cs="Times New Roman" w:eastAsia="Times New Roman" w:hint="default"/>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2014SR012589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1"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1128060</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汇金自助政务服务终端控制软件</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2015SR240974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2015/05/25-2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065/12/31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1"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1128072</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汇金自助政务服务终端管理软件</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2014SR240986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2015/08/18-2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065/12/31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1"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1128025</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汇金动态密码门禁控制软件</w:t>
            </w:r>
            <w:r>
              <w:rPr>
                <w:rFonts w:ascii="Times New Roman" w:hAnsi="Times New Roman" w:cs="Times New Roman" w:eastAsia="Times New Roman" w:hint="default"/>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2015SR240939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2015/10/22-2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065/12/31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1"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1191290</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汇金动态密码门禁管理软件</w:t>
            </w:r>
            <w:r>
              <w:rPr>
                <w:rFonts w:ascii="Times New Roman" w:hAnsi="Times New Roman" w:cs="Times New Roman" w:eastAsia="Times New Roman" w:hint="default"/>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2016SR012673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1"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1277051</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公章物联网管理软件</w:t>
            </w:r>
            <w:r>
              <w:rPr>
                <w:rFonts w:ascii="Times New Roman" w:hAnsi="Times New Roman" w:cs="Times New Roman" w:eastAsia="Times New Roman" w:hint="default"/>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2016SR098434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2016/04/25-2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066/12/31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1"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1380643</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汇金批量盖章印控机控制软件</w:t>
            </w:r>
            <w:r>
              <w:rPr>
                <w:rFonts w:ascii="Times New Roman" w:hAnsi="Times New Roman" w:cs="Times New Roman" w:eastAsia="Times New Roman" w:hint="default"/>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2016SR202026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2016/07/18-2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066/12/31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1"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1706153</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汇金卡钔智能印控仪软件</w:t>
            </w:r>
            <w:r>
              <w:rPr>
                <w:rFonts w:ascii="Times New Roman" w:hAnsi="Times New Roman" w:cs="Times New Roman" w:eastAsia="Times New Roman" w:hint="default"/>
                <w:sz w:val="18"/>
                <w:szCs w:val="18"/>
              </w:rPr>
              <w:t>V2.0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2017SR120869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2016/12/28-2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066/12/31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22</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1"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2380466</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汇金智慧网点库管理软件</w:t>
            </w:r>
            <w:r>
              <w:rPr>
                <w:rFonts w:ascii="Times New Roman" w:hAnsi="Times New Roman" w:cs="Times New Roman" w:eastAsia="Times New Roman" w:hint="default"/>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2018SR051371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347"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1"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2380380</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汇金智慧网点库控制软件</w:t>
            </w:r>
            <w:r>
              <w:rPr>
                <w:rFonts w:ascii="Times New Roman" w:hAnsi="Times New Roman" w:cs="Times New Roman" w:eastAsia="Times New Roman" w:hint="default"/>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2018SR051285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1"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2392154</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汇金人脸识别控制软件</w:t>
            </w:r>
            <w:r>
              <w:rPr>
                <w:rFonts w:ascii="Times New Roman" w:hAnsi="Times New Roman" w:cs="Times New Roman" w:eastAsia="Times New Roman" w:hint="default"/>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2018SR063059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2018/01/13-2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068/12/31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1"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2488999</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汇金移动展业管理软件</w:t>
            </w:r>
            <w:r>
              <w:rPr>
                <w:rFonts w:ascii="Times New Roman" w:hAnsi="Times New Roman" w:cs="Times New Roman" w:eastAsia="Times New Roman" w:hint="default"/>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2018SR159904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2018/02/27-2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068/12/31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1"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2555834</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汇金智能挂锁控制软件</w:t>
            </w:r>
            <w:r>
              <w:rPr>
                <w:rFonts w:ascii="Times New Roman" w:hAnsi="Times New Roman" w:cs="Times New Roman" w:eastAsia="Times New Roman" w:hint="default"/>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2018SR226739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2018/02/28-2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068/12/31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1"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2717828</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汇金移动展业安全操作控制软件</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2018SR388733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2018/05/01-2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068/12/31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28</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1"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2982948</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汇金智能柜面采集仪控制软件</w:t>
            </w:r>
            <w:r>
              <w:rPr>
                <w:rFonts w:ascii="Times New Roman" w:hAnsi="Times New Roman" w:cs="Times New Roman" w:eastAsia="Times New Roman" w:hint="default"/>
                <w:sz w:val="18"/>
                <w:szCs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2018SR653853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7" w:right="0"/>
              <w:jc w:val="left"/>
              <w:rPr>
                <w:rFonts w:ascii="Times New Roman" w:hAnsi="Times New Roman" w:cs="Times New Roman" w:eastAsia="Times New Roman" w:hint="default"/>
                <w:sz w:val="18"/>
                <w:szCs w:val="18"/>
              </w:rPr>
            </w:pPr>
            <w:r>
              <w:rPr>
                <w:rFonts w:ascii="Times New Roman"/>
                <w:sz w:val="18"/>
              </w:rPr>
              <w:t>2018/0730-2</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068/12/31</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59"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1"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3183125</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汇金物联云房屋租管平台管理软件</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2018SR854030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r>
        <w:trPr>
          <w:trHeight w:val="660" w:hRule="exact"/>
        </w:trPr>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1"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3186493</w:t>
            </w:r>
            <w:r>
              <w:rPr>
                <w:rFonts w:ascii="宋体" w:hAnsi="宋体" w:cs="宋体" w:eastAsia="宋体" w:hint="default"/>
                <w:sz w:val="18"/>
                <w:szCs w:val="18"/>
              </w:rPr>
              <w:t>号</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汇金物联云房屋租管平台控制软件</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v1.0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2018SR857398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w:t>
            </w:r>
          </w:p>
        </w:tc>
      </w:tr>
    </w:tbl>
    <w:p>
      <w:pPr>
        <w:pStyle w:val="BodyText"/>
        <w:spacing w:line="300" w:lineRule="auto" w:before="10"/>
        <w:ind w:right="1130"/>
        <w:jc w:val="both"/>
      </w:pPr>
      <w:r>
        <w:rPr>
          <w:spacing w:val="-2"/>
        </w:rPr>
        <w:t>注：汇金卡钔智能印控仪软件</w:t>
      </w:r>
      <w:r>
        <w:rPr>
          <w:rFonts w:ascii="Times New Roman" w:hAnsi="Times New Roman" w:cs="Times New Roman" w:eastAsia="Times New Roman" w:hint="default"/>
          <w:spacing w:val="-2"/>
        </w:rPr>
        <w:t>V1.0</w:t>
      </w:r>
      <w:r>
        <w:rPr>
          <w:spacing w:val="-2"/>
        </w:rPr>
        <w:t>、汇金卡封现金流转管理软件</w:t>
      </w:r>
      <w:r>
        <w:rPr>
          <w:rFonts w:ascii="Times New Roman" w:hAnsi="Times New Roman" w:cs="Times New Roman" w:eastAsia="Times New Roman" w:hint="default"/>
          <w:spacing w:val="-2"/>
        </w:rPr>
        <w:t>V1.0</w:t>
      </w:r>
      <w:r>
        <w:rPr>
          <w:spacing w:val="-2"/>
        </w:rPr>
        <w:t>、汇金动态密码门禁管理软件</w:t>
      </w:r>
      <w:r>
        <w:rPr>
          <w:rFonts w:ascii="Times New Roman" w:hAnsi="Times New Roman" w:cs="Times New Roman" w:eastAsia="Times New Roman" w:hint="default"/>
          <w:spacing w:val="-2"/>
        </w:rPr>
        <w:t>V1.0</w:t>
      </w:r>
      <w:r>
        <w:rPr>
          <w:spacing w:val="-2"/>
        </w:rPr>
        <w:t>分、汇金智慧网点库</w:t>
      </w:r>
      <w:r>
        <w:rPr>
          <w:spacing w:val="-38"/>
        </w:rPr>
        <w:t> </w:t>
      </w:r>
      <w:r>
        <w:rPr>
          <w:spacing w:val="-38"/>
        </w:rPr>
      </w:r>
      <w:r>
        <w:rPr>
          <w:spacing w:val="-1"/>
        </w:rPr>
        <w:t>管理软件</w:t>
      </w:r>
      <w:r>
        <w:rPr>
          <w:rFonts w:ascii="Times New Roman" w:hAnsi="Times New Roman" w:cs="Times New Roman" w:eastAsia="Times New Roman" w:hint="default"/>
          <w:spacing w:val="-1"/>
        </w:rPr>
        <w:t>V1.0</w:t>
      </w:r>
      <w:r>
        <w:rPr>
          <w:spacing w:val="-1"/>
        </w:rPr>
        <w:t>、汇金智慧网点库控制软件</w:t>
      </w:r>
      <w:r>
        <w:rPr>
          <w:rFonts w:ascii="Times New Roman" w:hAnsi="Times New Roman" w:cs="Times New Roman" w:eastAsia="Times New Roman" w:hint="default"/>
          <w:spacing w:val="-1"/>
        </w:rPr>
        <w:t>V1.0</w:t>
      </w:r>
      <w:r>
        <w:rPr>
          <w:spacing w:val="-1"/>
        </w:rPr>
        <w:t>、汇金物联云房屋租管平台管理软件</w:t>
      </w:r>
      <w:r>
        <w:rPr>
          <w:rFonts w:ascii="Times New Roman" w:hAnsi="Times New Roman" w:cs="Times New Roman" w:eastAsia="Times New Roman" w:hint="default"/>
          <w:spacing w:val="-1"/>
        </w:rPr>
        <w:t>v1.0</w:t>
      </w:r>
      <w:r>
        <w:rPr>
          <w:spacing w:val="-1"/>
        </w:rPr>
        <w:t>、汇金物联云房屋租管平台控制软件</w:t>
      </w:r>
      <w:r>
        <w:rPr>
          <w:spacing w:val="-63"/>
        </w:rPr>
        <w:t> </w:t>
      </w:r>
      <w:r>
        <w:rPr>
          <w:spacing w:val="-63"/>
        </w:rPr>
      </w:r>
      <w:r>
        <w:rPr>
          <w:rFonts w:ascii="Times New Roman" w:hAnsi="Times New Roman" w:cs="Times New Roman" w:eastAsia="Times New Roman" w:hint="default"/>
          <w:spacing w:val="-1"/>
        </w:rPr>
        <w:t>v1.0</w:t>
      </w:r>
      <w:r>
        <w:rPr>
          <w:spacing w:val="-1"/>
        </w:rPr>
        <w:t>别于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5</w:t>
      </w:r>
      <w:r>
        <w:rPr>
          <w:spacing w:val="-1"/>
        </w:rPr>
        <w:t>日、</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20</w:t>
      </w:r>
      <w:r>
        <w:rPr>
          <w:spacing w:val="-1"/>
        </w:rPr>
        <w:t>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15</w:t>
      </w:r>
      <w:r>
        <w:rPr>
          <w:spacing w:val="-1"/>
        </w:rPr>
        <w:t>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15</w:t>
      </w:r>
      <w:r>
        <w:rPr>
          <w:spacing w:val="-1"/>
        </w:rPr>
        <w:t>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01</w:t>
      </w:r>
      <w:r>
        <w:rPr>
          <w:spacing w:val="-1"/>
        </w:rPr>
        <w:t>日、</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30</w:t>
      </w:r>
      <w:r>
        <w:rPr>
          <w:spacing w:val="-1"/>
        </w:rPr>
        <w:t>日、</w:t>
      </w:r>
      <w:r>
        <w:rPr>
          <w:rFonts w:ascii="Times New Roman" w:hAnsi="Times New Roman" w:cs="Times New Roman" w:eastAsia="Times New Roman" w:hint="default"/>
          <w:spacing w:val="-1"/>
        </w:rPr>
        <w:t>2018</w:t>
      </w:r>
      <w:r>
        <w:rPr>
          <w:spacing w:val="-1"/>
        </w:rPr>
        <w:t>年</w:t>
      </w:r>
      <w:r>
        <w:rPr>
          <w:spacing w:val="-47"/>
        </w:rPr>
        <w:t> </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日完成开发。</w:t>
      </w:r>
    </w:p>
    <w:p>
      <w:pPr>
        <w:pStyle w:val="BodyText"/>
        <w:spacing w:line="300" w:lineRule="auto" w:before="13"/>
        <w:ind w:left="444" w:right="0" w:firstLine="69"/>
        <w:jc w:val="left"/>
      </w:pPr>
      <w:r>
        <w:rPr>
          <w:rFonts w:ascii="Times New Roman" w:hAnsi="Times New Roman" w:cs="Times New Roman" w:eastAsia="Times New Roman" w:hint="default"/>
        </w:rPr>
        <w:t>3</w:t>
      </w:r>
      <w:r>
        <w:rPr/>
        <w:t>、一体化服务优势 </w:t>
      </w:r>
      <w:r>
        <w:rPr>
          <w:spacing w:val="-1"/>
        </w:rPr>
        <w:t>公司为客户提供一体化服务整体解决方案，涵盖业务咨询、方案设计、制度及流程优化改造、软件开发、硬件设计、系</w:t>
      </w:r>
    </w:p>
    <w:p>
      <w:pPr>
        <w:pStyle w:val="BodyText"/>
        <w:spacing w:line="316" w:lineRule="auto" w:before="32"/>
        <w:ind w:right="1050"/>
        <w:jc w:val="both"/>
      </w:pPr>
      <w:r>
        <w:rPr>
          <w:spacing w:val="-2"/>
        </w:rPr>
        <w:t>统集成、安装调试、技术支持、培训及售后全过程。项目前期，公司将研发环节前移，直接参与银行客户具体业务流程改进</w:t>
      </w:r>
      <w:r>
        <w:rPr>
          <w:spacing w:val="-68"/>
        </w:rPr>
        <w:t> </w:t>
      </w:r>
      <w:r>
        <w:rPr>
          <w:spacing w:val="-68"/>
        </w:rPr>
      </w:r>
      <w:r>
        <w:rPr>
          <w:spacing w:val="-2"/>
        </w:rPr>
        <w:t>的技术交流，实现研发与市场的直接对接，帮助银行发现、挖掘具体操作风险，进而在银行内控风险管理解决方案开发中及</w:t>
      </w:r>
      <w:r>
        <w:rPr>
          <w:spacing w:val="-66"/>
        </w:rPr>
        <w:t> </w:t>
      </w:r>
      <w:r>
        <w:rPr>
          <w:spacing w:val="-66"/>
        </w:rPr>
      </w:r>
      <w:r>
        <w:rPr>
          <w:spacing w:val="-2"/>
        </w:rPr>
        <w:t>时、准确地反映客户需求；中期，公司具备不同专业背景的技术研发团队根据解决方案提出的功能需求，能够集成应用多领</w:t>
      </w:r>
      <w:r>
        <w:rPr>
          <w:spacing w:val="-66"/>
        </w:rPr>
        <w:t> </w:t>
      </w:r>
      <w:r>
        <w:rPr>
          <w:spacing w:val="-66"/>
        </w:rPr>
      </w:r>
      <w:r>
        <w:rPr/>
        <w:t>域、多学科的专业技术进行软件开发、硬件设计及系统集成；在后期安装、服务环节，公司拥有具备全国服务能力的安装、</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217"/>
        <w:jc w:val="both"/>
      </w:pPr>
      <w:r>
        <w:rPr/>
        <w:t>服务团队，建立了全国性的技术服务网络和响应机制，保持</w:t>
      </w:r>
      <w:r>
        <w:rPr>
          <w:rFonts w:ascii="Times New Roman" w:hAnsi="Times New Roman" w:cs="Times New Roman" w:eastAsia="Times New Roman" w:hint="default"/>
        </w:rPr>
        <w:t>7</w:t>
      </w:r>
      <w:r>
        <w:rPr/>
        <w:t>天</w:t>
      </w:r>
      <w:r>
        <w:rPr>
          <w:rFonts w:ascii="Times New Roman" w:hAnsi="Times New Roman" w:cs="Times New Roman" w:eastAsia="Times New Roman" w:hint="default"/>
        </w:rPr>
        <w:t>×24</w:t>
      </w:r>
      <w:r>
        <w:rPr/>
        <w:t>小时响应级别。公司的一体化服务模式能够更有效地服 务银行客户，提高客户黏性，发掘市场机会。</w:t>
      </w:r>
    </w:p>
    <w:p>
      <w:pPr>
        <w:pStyle w:val="BodyText"/>
        <w:spacing w:line="300" w:lineRule="auto" w:before="31"/>
        <w:ind w:left="444" w:right="1102" w:firstLine="69"/>
        <w:jc w:val="left"/>
      </w:pPr>
      <w:r>
        <w:rPr>
          <w:rFonts w:ascii="Times New Roman" w:hAnsi="Times New Roman" w:cs="Times New Roman" w:eastAsia="Times New Roman" w:hint="default"/>
        </w:rPr>
        <w:t>4</w:t>
      </w:r>
      <w:r>
        <w:rPr/>
        <w:t>、市场先入和品牌优势 经过多年深耕经营，公司业务已遍及中国大陆，包括国有和股份制商业银行在内的国内多数商业银行、邮政储蓄系统、</w:t>
      </w:r>
    </w:p>
    <w:p>
      <w:pPr>
        <w:pStyle w:val="BodyText"/>
        <w:spacing w:line="316" w:lineRule="auto" w:before="32"/>
        <w:ind w:right="1132"/>
        <w:jc w:val="both"/>
      </w:pPr>
      <w:r>
        <w:rPr>
          <w:spacing w:val="-2"/>
        </w:rPr>
        <w:t>信用社等金融机构均不同程度地购买和使用了公司相关应用系统，并建立了从总行、省级分行到支行、乃至营业部的全国范</w:t>
      </w:r>
      <w:r>
        <w:rPr>
          <w:spacing w:val="-65"/>
        </w:rPr>
        <w:t> </w:t>
      </w:r>
      <w:r>
        <w:rPr>
          <w:spacing w:val="-65"/>
        </w:rPr>
      </w:r>
      <w:r>
        <w:rPr>
          <w:spacing w:val="-2"/>
        </w:rPr>
        <w:t>围的客户网络。银行在相关的系统维护、系统升级、人员培训等服务内容方面对公司具有一定的黏性。对于新进入者，需要</w:t>
      </w:r>
      <w:r>
        <w:rPr>
          <w:spacing w:val="-66"/>
        </w:rPr>
        <w:t> </w:t>
      </w:r>
      <w:r>
        <w:rPr>
          <w:spacing w:val="-66"/>
        </w:rPr>
      </w:r>
      <w:r>
        <w:rPr/>
        <w:t>面对银行系统性更换软硬件成本、时间成本以及技术实施风险等障碍。</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_TOC_250008" w:id="22"/>
      <w:bookmarkStart w:name="第四节 经营情况讨论与分析" w:id="23"/>
      <w:r>
        <w:rPr>
          <w:b w:val="0"/>
          <w:bCs w:val="0"/>
        </w:rPr>
      </w:r>
      <w:r>
        <w:rPr/>
        <w:t>第四节</w:t>
      </w:r>
      <w:r>
        <w:rPr>
          <w:spacing w:val="-10"/>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spacing w:val="-1"/>
        </w:rPr>
        <w:t>公司主营业务是运用人工智能技术、物联网技术为金融行业客户的运营管理、风险控制、网点转型、渠道建设等提供专</w:t>
      </w:r>
      <w:r>
        <w:rPr/>
        <w:t> 业解决方案和服务，系统性地控制风险、创新业务模式、降低金融客户运营成本，助力金融行业客户科技转型和变革。</w:t>
      </w:r>
    </w:p>
    <w:p>
      <w:pPr>
        <w:pStyle w:val="BodyText"/>
        <w:spacing w:line="300" w:lineRule="auto" w:before="19"/>
        <w:ind w:right="1131" w:firstLine="290"/>
        <w:jc w:val="both"/>
      </w:pPr>
      <w:r>
        <w:rPr>
          <w:rFonts w:ascii="Times New Roman" w:hAnsi="Times New Roman" w:cs="Times New Roman" w:eastAsia="Times New Roman" w:hint="default"/>
          <w:spacing w:val="-1"/>
        </w:rPr>
        <w:t>2018</w:t>
      </w:r>
      <w:r>
        <w:rPr>
          <w:spacing w:val="-1"/>
        </w:rPr>
        <w:t>年度，是公司发展历程中极不平凡的一年，我们既承受激烈的市场竞争，也面临着宏观经济增长趋缓、金融行业深</w:t>
      </w:r>
      <w:r>
        <w:rPr/>
        <w:t> </w:t>
      </w:r>
      <w:r>
        <w:rPr>
          <w:spacing w:val="-2"/>
        </w:rPr>
        <w:t>度转型的全新发展形势。面对如此严峻的挑战，遵照公司</w:t>
      </w:r>
      <w:r>
        <w:rPr>
          <w:rFonts w:ascii="Times New Roman" w:hAnsi="Times New Roman" w:cs="Times New Roman" w:eastAsia="Times New Roman" w:hint="default"/>
          <w:spacing w:val="-2"/>
        </w:rPr>
        <w:t>“</w:t>
      </w:r>
      <w:r>
        <w:rPr>
          <w:spacing w:val="-2"/>
        </w:rPr>
        <w:t>三五</w:t>
      </w:r>
      <w:r>
        <w:rPr>
          <w:rFonts w:ascii="Times New Roman" w:hAnsi="Times New Roman" w:cs="Times New Roman" w:eastAsia="Times New Roman" w:hint="default"/>
          <w:spacing w:val="-2"/>
        </w:rPr>
        <w:t>”</w:t>
      </w:r>
      <w:r>
        <w:rPr>
          <w:spacing w:val="-2"/>
        </w:rPr>
        <w:t>规划总体工作部署和要求，公司全体员工，在核心管理层领</w:t>
      </w:r>
      <w:r>
        <w:rPr>
          <w:spacing w:val="-45"/>
        </w:rPr>
        <w:t> </w:t>
      </w:r>
      <w:r>
        <w:rPr>
          <w:spacing w:val="-45"/>
        </w:rPr>
      </w:r>
      <w:r>
        <w:rPr>
          <w:spacing w:val="-2"/>
        </w:rPr>
        <w:t>导下，紧密围绕战略目标与年度经营计划，有序开展各项工作。报告期内，公司实现营业收入</w:t>
      </w:r>
      <w:r>
        <w:rPr>
          <w:rFonts w:ascii="Times New Roman" w:hAnsi="Times New Roman" w:cs="Times New Roman" w:eastAsia="Times New Roman" w:hint="default"/>
          <w:spacing w:val="-2"/>
        </w:rPr>
        <w:t>24,458.04</w:t>
      </w:r>
      <w:r>
        <w:rPr>
          <w:spacing w:val="-2"/>
        </w:rPr>
        <w:t>万元，较上年同期增</w:t>
      </w:r>
      <w:r>
        <w:rPr>
          <w:spacing w:val="-58"/>
        </w:rPr>
        <w:t> </w:t>
      </w:r>
      <w:r>
        <w:rPr>
          <w:spacing w:val="-58"/>
        </w:rPr>
      </w:r>
      <w:r>
        <w:rPr/>
        <w:t>长</w:t>
      </w:r>
      <w:r>
        <w:rPr>
          <w:rFonts w:ascii="Times New Roman" w:hAnsi="Times New Roman" w:cs="Times New Roman" w:eastAsia="Times New Roman" w:hint="default"/>
        </w:rPr>
        <w:t>1.06%</w:t>
      </w:r>
      <w:r>
        <w:rPr/>
        <w:t>；归属于上市公司股东的净利润</w:t>
      </w:r>
      <w:r>
        <w:rPr>
          <w:rFonts w:ascii="Times New Roman" w:hAnsi="Times New Roman" w:cs="Times New Roman" w:eastAsia="Times New Roman" w:hint="default"/>
        </w:rPr>
        <w:t>2603.75</w:t>
      </w:r>
      <w:r>
        <w:rPr/>
        <w:t>万元，较上年同期减少</w:t>
      </w:r>
      <w:r>
        <w:rPr>
          <w:rFonts w:ascii="Times New Roman" w:hAnsi="Times New Roman" w:cs="Times New Roman" w:eastAsia="Times New Roman" w:hint="default"/>
        </w:rPr>
        <w:t>67.34%</w:t>
      </w:r>
      <w:r>
        <w:rPr/>
        <w:t>。</w:t>
      </w:r>
    </w:p>
    <w:p>
      <w:pPr>
        <w:pStyle w:val="BodyText"/>
        <w:spacing w:line="240" w:lineRule="auto" w:before="13"/>
        <w:ind w:left="444" w:right="0"/>
        <w:jc w:val="left"/>
      </w:pPr>
      <w:r>
        <w:rPr/>
        <w:t>报告期内，公司重点开展以下工作：</w:t>
      </w:r>
    </w:p>
    <w:p>
      <w:pPr>
        <w:pStyle w:val="BodyText"/>
        <w:spacing w:line="300" w:lineRule="auto" w:before="76"/>
        <w:ind w:left="444" w:right="0" w:hanging="291"/>
        <w:jc w:val="left"/>
      </w:pPr>
      <w:r>
        <w:rPr>
          <w:rFonts w:ascii="Times New Roman" w:hAnsi="Times New Roman" w:cs="Times New Roman" w:eastAsia="Times New Roman" w:hint="default"/>
        </w:rPr>
        <w:t>1</w:t>
      </w:r>
      <w:r>
        <w:rPr/>
        <w:t>、扎实做好主营，积极拓展新产品新业务 </w:t>
      </w:r>
      <w:r>
        <w:rPr>
          <w:spacing w:val="-1"/>
        </w:rPr>
        <w:t>公司深耕、精耕主营业务，报告期内主营业务收入保持稳定，公司品牌影响力和整体市场占有率稳定。同时，公司密切</w:t>
      </w:r>
    </w:p>
    <w:p>
      <w:pPr>
        <w:pStyle w:val="BodyText"/>
        <w:spacing w:line="316" w:lineRule="auto" w:before="31"/>
        <w:ind w:right="1032"/>
        <w:jc w:val="left"/>
      </w:pPr>
      <w:r>
        <w:rPr/>
        <w:t>关注金融业改革和金融科技发展动向，以市场为导向，以金融科技、金融行业转型发展为主线，积极营拓新产品、新业务， 积极布局并取得突破。</w:t>
      </w:r>
    </w:p>
    <w:p>
      <w:pPr>
        <w:pStyle w:val="BodyText"/>
        <w:spacing w:line="309" w:lineRule="auto" w:before="19"/>
        <w:ind w:right="0" w:firstLine="290"/>
        <w:jc w:val="left"/>
      </w:pPr>
      <w:r>
        <w:rPr>
          <w:spacing w:val="-1"/>
        </w:rPr>
        <w:t>报告期内，公司入选中国建设银行红外双目摄像头供应商，在金融</w:t>
      </w:r>
      <w:r>
        <w:rPr>
          <w:rFonts w:ascii="Times New Roman" w:hAnsi="Times New Roman" w:cs="Times New Roman" w:eastAsia="Times New Roman" w:hint="default"/>
          <w:spacing w:val="-1"/>
        </w:rPr>
        <w:t>AI</w:t>
      </w:r>
      <w:r>
        <w:rPr>
          <w:spacing w:val="-1"/>
        </w:rPr>
        <w:t>解决方案领域实现重要突破为公司</w:t>
      </w:r>
      <w:r>
        <w:rPr>
          <w:rFonts w:ascii="Times New Roman" w:hAnsi="Times New Roman" w:cs="Times New Roman" w:eastAsia="Times New Roman" w:hint="default"/>
          <w:spacing w:val="-1"/>
        </w:rPr>
        <w:t>“</w:t>
      </w:r>
      <w:r>
        <w:rPr>
          <w:spacing w:val="-1"/>
        </w:rPr>
        <w:t>人工智能</w:t>
      </w:r>
      <w:r>
        <w:rPr>
          <w:rFonts w:ascii="Times New Roman" w:hAnsi="Times New Roman" w:cs="Times New Roman" w:eastAsia="Times New Roman" w:hint="default"/>
          <w:spacing w:val="-1"/>
        </w:rPr>
        <w:t>+</w:t>
      </w:r>
      <w:r>
        <w:rPr>
          <w:spacing w:val="-1"/>
        </w:rPr>
        <w:t>物联</w:t>
      </w:r>
      <w:r>
        <w:rPr/>
        <w:t> 网</w:t>
      </w:r>
      <w:r>
        <w:rPr>
          <w:rFonts w:ascii="Times New Roman" w:hAnsi="Times New Roman" w:cs="Times New Roman" w:eastAsia="Times New Roman" w:hint="default"/>
        </w:rPr>
        <w:t>”</w:t>
      </w:r>
      <w:r>
        <w:rPr/>
        <w:t>战略发展翻开了新的篇章。此外，公司运用人工智能技术、物联网技术新开发了银行运营安全解决整体方案，即银行支 </w:t>
      </w:r>
      <w:r>
        <w:rPr>
          <w:spacing w:val="-2"/>
        </w:rPr>
        <w:t>付系统和网点、柜面的人脸语音识别解决方案，银行移动业务安全管控解决方案和银行网点重控系统管理解决方案，各个项</w:t>
      </w:r>
      <w:r>
        <w:rPr>
          <w:spacing w:val="-66"/>
        </w:rPr>
        <w:t> </w:t>
      </w:r>
      <w:r>
        <w:rPr>
          <w:spacing w:val="-66"/>
        </w:rPr>
      </w:r>
      <w:r>
        <w:rPr/>
        <w:t>目正按计划推进，公司市场能力和新业务创新能力的不断提升。随着新产品的落地，必将为公司创造新的业绩增长点。 </w:t>
      </w:r>
      <w:r>
        <w:rPr>
          <w:rFonts w:ascii="Times New Roman" w:hAnsi="Times New Roman" w:cs="Times New Roman" w:eastAsia="Times New Roman" w:hint="default"/>
        </w:rPr>
        <w:t>2</w:t>
      </w:r>
      <w:r>
        <w:rPr/>
        <w:t>、持续推进体系建设，为公司快速发展提供保障</w:t>
      </w:r>
    </w:p>
    <w:p>
      <w:pPr>
        <w:pStyle w:val="BodyText"/>
        <w:spacing w:line="307" w:lineRule="auto" w:before="5"/>
        <w:ind w:right="1118" w:firstLine="290"/>
        <w:jc w:val="left"/>
      </w:pPr>
      <w:r>
        <w:rPr/>
        <w:t>公司</w:t>
      </w:r>
      <w:r>
        <w:rPr>
          <w:rFonts w:ascii="Times New Roman" w:hAnsi="Times New Roman" w:cs="Times New Roman" w:eastAsia="Times New Roman" w:hint="default"/>
        </w:rPr>
        <w:t>IPD</w:t>
      </w:r>
      <w:r>
        <w:rPr/>
        <w:t>（</w:t>
      </w:r>
      <w:r>
        <w:rPr>
          <w:rFonts w:ascii="Times New Roman" w:hAnsi="Times New Roman" w:cs="Times New Roman" w:eastAsia="Times New Roman" w:hint="default"/>
        </w:rPr>
        <w:t>Integrated Product Development, </w:t>
      </w:r>
      <w:r>
        <w:rPr/>
        <w:t>简称</w:t>
      </w:r>
      <w:r>
        <w:rPr>
          <w:rFonts w:ascii="Times New Roman" w:hAnsi="Times New Roman" w:cs="Times New Roman" w:eastAsia="Times New Roman" w:hint="default"/>
        </w:rPr>
        <w:t>IPD</w:t>
      </w:r>
      <w:r>
        <w:rPr/>
        <w:t>，集成产品开发）、</w:t>
      </w:r>
      <w:r>
        <w:rPr>
          <w:rFonts w:ascii="Times New Roman" w:hAnsi="Times New Roman" w:cs="Times New Roman" w:eastAsia="Times New Roman" w:hint="default"/>
        </w:rPr>
        <w:t>ERP</w:t>
      </w:r>
      <w:r>
        <w:rPr/>
        <w:t>（</w:t>
      </w:r>
      <w:r>
        <w:rPr>
          <w:rFonts w:ascii="Times New Roman" w:hAnsi="Times New Roman" w:cs="Times New Roman" w:eastAsia="Times New Roman" w:hint="default"/>
        </w:rPr>
        <w:t>Enterprise Resource</w:t>
      </w:r>
      <w:r>
        <w:rPr>
          <w:rFonts w:ascii="Times New Roman" w:hAnsi="Times New Roman" w:cs="Times New Roman" w:eastAsia="Times New Roman" w:hint="default"/>
          <w:spacing w:val="-28"/>
        </w:rPr>
        <w:t> </w:t>
      </w:r>
      <w:r>
        <w:rPr>
          <w:rFonts w:ascii="Times New Roman" w:hAnsi="Times New Roman" w:cs="Times New Roman" w:eastAsia="Times New Roman" w:hint="default"/>
        </w:rPr>
        <w:t>Planning</w:t>
      </w:r>
      <w:r>
        <w:rPr/>
        <w:t>，简称</w:t>
      </w:r>
      <w:r>
        <w:rPr>
          <w:rFonts w:ascii="Times New Roman" w:hAnsi="Times New Roman" w:cs="Times New Roman" w:eastAsia="Times New Roman" w:hint="default"/>
        </w:rPr>
        <w:t>ERP</w:t>
      </w:r>
      <w:r>
        <w:rPr/>
        <w:t>， 企业资源计划）、</w:t>
      </w:r>
      <w:r>
        <w:rPr>
          <w:rFonts w:ascii="Times New Roman" w:hAnsi="Times New Roman" w:cs="Times New Roman" w:eastAsia="Times New Roman" w:hint="default"/>
        </w:rPr>
        <w:t>CRM</w:t>
      </w:r>
      <w:r>
        <w:rPr/>
        <w:t>（</w:t>
      </w:r>
      <w:r>
        <w:rPr>
          <w:rFonts w:ascii="Times New Roman" w:hAnsi="Times New Roman" w:cs="Times New Roman" w:eastAsia="Times New Roman" w:hint="default"/>
        </w:rPr>
        <w:t>Customer Relationship</w:t>
      </w:r>
      <w:r>
        <w:rPr>
          <w:rFonts w:ascii="Times New Roman" w:hAnsi="Times New Roman" w:cs="Times New Roman" w:eastAsia="Times New Roman" w:hint="default"/>
          <w:spacing w:val="-5"/>
        </w:rPr>
        <w:t> </w:t>
      </w:r>
      <w:r>
        <w:rPr>
          <w:rFonts w:ascii="Times New Roman" w:hAnsi="Times New Roman" w:cs="Times New Roman" w:eastAsia="Times New Roman" w:hint="default"/>
        </w:rPr>
        <w:t>Management</w:t>
      </w:r>
      <w:r>
        <w:rPr/>
        <w:t>，简称</w:t>
      </w:r>
      <w:r>
        <w:rPr>
          <w:rFonts w:ascii="Times New Roman" w:hAnsi="Times New Roman" w:cs="Times New Roman" w:eastAsia="Times New Roman" w:hint="default"/>
        </w:rPr>
        <w:t>CRM</w:t>
      </w:r>
      <w:r>
        <w:rPr/>
        <w:t>，客户关系管理）及质量体系建设，报告期内实施 </w:t>
      </w:r>
      <w:r>
        <w:rPr>
          <w:spacing w:val="-2"/>
        </w:rPr>
        <w:t>良好，促进和保障了公司研发体系科学运营，促进和保障了公司产品开发贴合市场需求，促进和保障了公司产品质量稳定提</w:t>
      </w:r>
      <w:r>
        <w:rPr>
          <w:spacing w:val="-66"/>
        </w:rPr>
        <w:t> </w:t>
      </w:r>
      <w:r>
        <w:rPr>
          <w:spacing w:val="-66"/>
        </w:rPr>
      </w:r>
      <w:r>
        <w:rPr/>
        <w:t>升。</w:t>
      </w:r>
    </w:p>
    <w:p>
      <w:pPr>
        <w:pStyle w:val="BodyText"/>
        <w:spacing w:line="316" w:lineRule="auto" w:before="26"/>
        <w:ind w:right="1028" w:firstLine="290"/>
        <w:jc w:val="left"/>
      </w:pPr>
      <w:r>
        <w:rPr>
          <w:spacing w:val="-2"/>
        </w:rPr>
        <w:t>同时，公司不断完善内部控制制度、内部流程体系，通过内部培训以及企业价值观建设，进一步整合优化各项制度流程，</w:t>
      </w:r>
      <w:r>
        <w:rPr/>
        <w:t> 提升组织能力与运营效率。</w:t>
      </w:r>
    </w:p>
    <w:p>
      <w:pPr>
        <w:pStyle w:val="BodyText"/>
        <w:spacing w:line="300" w:lineRule="auto" w:before="19"/>
        <w:ind w:left="444" w:right="0" w:hanging="291"/>
        <w:jc w:val="left"/>
      </w:pPr>
      <w:r>
        <w:rPr>
          <w:rFonts w:ascii="Times New Roman" w:hAnsi="Times New Roman" w:cs="Times New Roman" w:eastAsia="Times New Roman" w:hint="default"/>
        </w:rPr>
        <w:t>3</w:t>
      </w:r>
      <w:r>
        <w:rPr/>
        <w:t>、引进高端人才，优化组织结构 </w:t>
      </w:r>
      <w:r>
        <w:rPr>
          <w:spacing w:val="-1"/>
        </w:rPr>
        <w:t>报告期内，公司大力引进高素质人才，充实了研发、营销、财务、生产等部门，打造高素质的管理团队和优秀的研发团</w:t>
      </w:r>
    </w:p>
    <w:p>
      <w:pPr>
        <w:pStyle w:val="BodyText"/>
        <w:spacing w:line="316" w:lineRule="auto" w:before="31"/>
        <w:ind w:left="444" w:right="0" w:hanging="291"/>
        <w:jc w:val="left"/>
      </w:pPr>
      <w:r>
        <w:rPr/>
        <w:t>队，为公司发展增添了新的动力和支撑。 </w:t>
      </w:r>
      <w:r>
        <w:rPr>
          <w:spacing w:val="-1"/>
        </w:rPr>
        <w:t>公司持续完善人才培养机制与激励机制，完成了</w:t>
      </w:r>
      <w:r>
        <w:rPr>
          <w:rFonts w:ascii="Times New Roman" w:hAnsi="Times New Roman" w:cs="Times New Roman" w:eastAsia="Times New Roman" w:hint="default"/>
          <w:spacing w:val="-1"/>
        </w:rPr>
        <w:t>2017</w:t>
      </w:r>
      <w:r>
        <w:rPr>
          <w:spacing w:val="-1"/>
        </w:rPr>
        <w:t>年限制性股票激励计划限制性股票预留部分的授予登记以及首次授</w:t>
      </w:r>
    </w:p>
    <w:p>
      <w:pPr>
        <w:pStyle w:val="BodyText"/>
        <w:spacing w:line="316" w:lineRule="auto"/>
        <w:ind w:left="444" w:right="1102" w:hanging="291"/>
        <w:jc w:val="left"/>
      </w:pPr>
      <w:r>
        <w:rPr/>
        <w:t>予部分第一次解锁，使员工分享公司发展成果，增强核心团队稳定性，保障公司稳健发展。 建立与现代公司治理相适应的管理运作机制，持续优化组织结构，强化管控能力，提高运行效率，支持公司发展战略。</w:t>
      </w:r>
    </w:p>
    <w:p>
      <w:pPr>
        <w:pStyle w:val="BodyText"/>
        <w:spacing w:line="300" w:lineRule="auto" w:before="19"/>
        <w:ind w:left="444" w:right="1118" w:hanging="291"/>
        <w:jc w:val="left"/>
      </w:pPr>
      <w:r>
        <w:rPr>
          <w:rFonts w:ascii="Times New Roman" w:hAnsi="Times New Roman" w:cs="Times New Roman" w:eastAsia="Times New Roman" w:hint="default"/>
        </w:rPr>
        <w:t>4</w:t>
      </w:r>
      <w:r>
        <w:rPr/>
        <w:t>、加强外部合作 </w:t>
      </w:r>
      <w:r>
        <w:rPr>
          <w:spacing w:val="-2"/>
        </w:rPr>
        <w:t>公司与奥比中光签署战略合作协议，共建长期的战略合作伙伴关系，共同推动高安全</w:t>
      </w:r>
      <w:r>
        <w:rPr>
          <w:rFonts w:ascii="Times New Roman" w:hAnsi="Times New Roman" w:cs="Times New Roman" w:eastAsia="Times New Roman" w:hint="default"/>
          <w:spacing w:val="-2"/>
        </w:rPr>
        <w:t>3D</w:t>
      </w:r>
      <w:r>
        <w:rPr>
          <w:spacing w:val="-2"/>
        </w:rPr>
        <w:t>人脸识别产品和技术在金融行业</w:t>
      </w:r>
    </w:p>
    <w:p>
      <w:pPr>
        <w:pStyle w:val="BodyText"/>
        <w:spacing w:line="240" w:lineRule="auto" w:before="11"/>
        <w:ind w:right="0"/>
        <w:jc w:val="left"/>
      </w:pPr>
      <w:r>
        <w:rPr/>
        <w:t>应用，为金融行业提供更安全的</w:t>
      </w:r>
      <w:r>
        <w:rPr>
          <w:rFonts w:ascii="Times New Roman" w:hAnsi="Times New Roman" w:cs="Times New Roman" w:eastAsia="Times New Roman" w:hint="default"/>
        </w:rPr>
        <w:t>3D</w:t>
      </w:r>
      <w:r>
        <w:rPr/>
        <w:t>人脸识别技术与解决方案，带给用户更安全、更智能、更便捷的体验。</w:t>
      </w:r>
    </w:p>
    <w:p>
      <w:pPr>
        <w:pStyle w:val="BodyText"/>
        <w:spacing w:line="300" w:lineRule="auto" w:before="63"/>
        <w:ind w:left="444" w:right="1118" w:hanging="291"/>
        <w:jc w:val="left"/>
      </w:pPr>
      <w:r>
        <w:rPr>
          <w:rFonts w:ascii="Times New Roman" w:hAnsi="Times New Roman" w:cs="Times New Roman" w:eastAsia="Times New Roman" w:hint="default"/>
        </w:rPr>
        <w:t>5</w:t>
      </w:r>
      <w:r>
        <w:rPr/>
        <w:t>、基建方面 </w:t>
      </w:r>
      <w:r>
        <w:rPr>
          <w:spacing w:val="-1"/>
        </w:rPr>
        <w:t>报告期内，汇金科技大厦建设进展顺利，预计</w:t>
      </w:r>
      <w:r>
        <w:rPr>
          <w:rFonts w:ascii="Times New Roman" w:hAnsi="Times New Roman" w:cs="Times New Roman" w:eastAsia="Times New Roman" w:hint="default"/>
          <w:spacing w:val="-1"/>
        </w:rPr>
        <w:t>2020</w:t>
      </w:r>
      <w:r>
        <w:rPr>
          <w:spacing w:val="-1"/>
        </w:rPr>
        <w:t>年下半年乔迁新址，新园区的落成，将进一步改善办公环境，更好地</w:t>
      </w:r>
    </w:p>
    <w:p>
      <w:pPr>
        <w:pStyle w:val="BodyText"/>
        <w:spacing w:line="240" w:lineRule="auto" w:before="13"/>
        <w:ind w:right="0"/>
        <w:jc w:val="left"/>
      </w:pPr>
      <w:r>
        <w:rPr/>
        <w:t>吸引高精尖人才，增强企业管理、研发及市场开拓能力。</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972"/>
        <w:jc w:val="left"/>
      </w:pPr>
      <w:r>
        <w:rPr/>
        <w:t>公司是否需要遵守光伏产业链相关业的披露要求 否</w:t>
      </w:r>
    </w:p>
    <w:p>
      <w:pPr>
        <w:pStyle w:val="BodyText"/>
        <w:spacing w:line="338" w:lineRule="auto" w:before="26"/>
        <w:ind w:right="139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4"/>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135"/>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3"/>
        <w:ind w:right="166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before="4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7"/>
        <w:gridCol w:w="1008"/>
        <w:gridCol w:w="1010"/>
        <w:gridCol w:w="1011"/>
        <w:gridCol w:w="1012"/>
        <w:gridCol w:w="1003"/>
        <w:gridCol w:w="1005"/>
        <w:gridCol w:w="1002"/>
        <w:gridCol w:w="1002"/>
      </w:tblGrid>
      <w:tr>
        <w:trPr>
          <w:trHeight w:val="205"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2" w:hRule="exact"/>
        </w:trPr>
        <w:tc>
          <w:tcPr>
            <w:tcW w:w="1507" w:type="dxa"/>
            <w:vMerge w:val="restart"/>
            <w:tcBorders>
              <w:top w:val="nil" w:sz="6" w:space="0" w:color="auto"/>
              <w:left w:val="single" w:sz="4" w:space="0" w:color="000000"/>
              <w:right w:val="single" w:sz="4" w:space="0" w:color="000000"/>
            </w:tcBorders>
            <w:shd w:val="clear" w:color="auto" w:fill="D2D2D2"/>
          </w:tcPr>
          <w:p>
            <w:pP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507"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52,064,242.7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47,575,762.2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35,205,356.1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109,734,989.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48,538,083.2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47,604,261.1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39,100,964.6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106,775,360.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r>
      <w:tr>
        <w:trPr>
          <w:trHeight w:val="392" w:hRule="exact"/>
        </w:trPr>
        <w:tc>
          <w:tcPr>
            <w:tcW w:w="15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4"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9,498,266.10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5,116,719.45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1,235,463.05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10,187,055.8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20,047,098.8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17,628,856.4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6,524,989.83</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35,523,787.1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60" w:lineRule="auto" w:before="51"/>
        <w:ind w:right="-20"/>
        <w:jc w:val="left"/>
      </w:pPr>
      <w:r>
        <w:rPr/>
        <w:t>说明经营季节性（或周期性）发生的原因及波动风险 无。</w:t>
      </w:r>
    </w:p>
    <w:p>
      <w:pPr>
        <w:pStyle w:val="BodyText"/>
        <w:spacing w:line="240" w:lineRule="auto" w:before="26"/>
        <w:ind w:right="-20"/>
        <w:jc w:val="left"/>
      </w:pPr>
      <w:r>
        <w:rPr/>
        <w:t>营业收入整体情况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295" w:space="462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600"/>
        <w:gridCol w:w="1589"/>
        <w:gridCol w:w="1600"/>
        <w:gridCol w:w="1583"/>
        <w:gridCol w:w="1601"/>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244,580,350.28</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242,018,669.49</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软件和信息技术服 务业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244,580,350.28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242,018,669.49</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银行自助设备现金 管理系统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114,412,917.49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172,039,011.97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-33.50%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银行现金流转内控 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43,815,933.38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60,971,664.27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银行印章管理系统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30,535,520.60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5,177,479.40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489.78%</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银行支付系统人脸 语音识别及安全解 决方案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6"/>
              <w:ind w:left="526" w:right="0"/>
              <w:jc w:val="left"/>
              <w:rPr>
                <w:rFonts w:ascii="Times New Roman" w:hAnsi="Times New Roman" w:cs="Times New Roman" w:eastAsia="Times New Roman" w:hint="default"/>
                <w:sz w:val="18"/>
                <w:szCs w:val="18"/>
              </w:rPr>
            </w:pPr>
            <w:r>
              <w:rPr>
                <w:rFonts w:ascii="Times New Roman"/>
                <w:sz w:val="18"/>
              </w:rPr>
              <w:t>27,694,763.04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银行移动金融解决 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8,057,094.01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20,064,121.76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3,830,513.85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423.80%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64,101,475.96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24,972,027.02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156.69%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45,595,274.62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62,474,746.62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40,605,449.13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37,888,374.43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34,664,251.87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53,000,932.98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32,052,513.27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30,128,076.88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14,712,388.41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18,522,465.21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12,848,997.02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15,032,046.35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5830"/>
        <w:jc w:val="left"/>
      </w:pPr>
      <w:r>
        <w:rPr/>
        <w:t>软件与信息技术服务业</w:t>
      </w:r>
    </w:p>
    <w:p>
      <w:pPr>
        <w:pStyle w:val="BodyText"/>
        <w:spacing w:line="240" w:lineRule="auto" w:before="117"/>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0"/>
        <w:rPr>
          <w:rFonts w:ascii="宋体" w:hAnsi="宋体" w:cs="宋体" w:eastAsia="宋体" w:hint="default"/>
          <w:sz w:val="8"/>
          <w:szCs w:val="8"/>
        </w:rPr>
      </w:pPr>
      <w:r>
        <w:rPr/>
        <w:pict>
          <v:group style="position:absolute;margin-left:136.759995pt;margin-top:184.099976pt;width:79.2pt;height:15.6pt;mso-position-horizontal-relative:page;mso-position-vertical-relative:page;z-index:-1158400" coordorigin="2735,3682" coordsize="1584,312">
            <v:shape style="position:absolute;left:2735;top:3682;width:1584;height:312" coordorigin="2735,3682" coordsize="1584,312" path="m2735,3994l4319,3994,4319,3682,2735,3682,2735,399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244,580,350.28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120,144,486.70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银行自助设备现 金管理系统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114,412,917.49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46,702,700.41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银行现金流转内 控系统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43,815,933.38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15,730,517.67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银行印章管理系 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30,535,520.60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18,678,048.11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473.72%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银行支付系统人 脸、语音识别及 安全解决方案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27,694,763.04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14,348,706.54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银行移动金融解 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8,057,094.01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7,426,324.79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20,064,121.76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17,258,189.18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987.35%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64,101,475.96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37,871,063.57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45,595,274.62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19,998,462.13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40,605,449.13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16,813,379.38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34,664,251.87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13,597,558.40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32,052,513.27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18,159,906.76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14,712,388.41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7,808,770.11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12,848,997.02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5,895,346.35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-18.00%</w:t>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软件和信息技术服 务业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88,348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27.42%</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119,749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62,998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90.08%</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21.25%</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9" w:lineRule="auto" w:before="102"/>
        <w:ind w:right="102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报告期生产量较上年同期同比增长</w:t>
      </w:r>
      <w:r>
        <w:rPr>
          <w:rFonts w:ascii="Times New Roman" w:hAnsi="Times New Roman" w:cs="Times New Roman" w:eastAsia="Times New Roman" w:hint="default"/>
        </w:rPr>
        <w:t>90.08%</w:t>
      </w:r>
      <w:r>
        <w:rPr/>
        <w:t>，主要系本期银行自助设备现金管理系统主要组件动态密码锁生产量</w:t>
      </w:r>
      <w:r>
        <w:rPr>
          <w:rFonts w:ascii="Times New Roman" w:hAnsi="Times New Roman" w:cs="Times New Roman" w:eastAsia="Times New Roman" w:hint="default"/>
        </w:rPr>
        <w:t>71,386</w:t>
      </w:r>
      <w:r>
        <w:rPr/>
        <w:t>台，较 上年同期增长</w:t>
      </w:r>
      <w:r>
        <w:rPr>
          <w:rFonts w:ascii="Times New Roman" w:hAnsi="Times New Roman" w:cs="Times New Roman" w:eastAsia="Times New Roman" w:hint="default"/>
        </w:rPr>
        <w:t>28.40%</w:t>
      </w:r>
      <w:r>
        <w:rPr>
          <w:rFonts w:ascii="Times New Roman" w:hAnsi="Times New Roman" w:cs="Times New Roman" w:eastAsia="Times New Roman" w:hint="default"/>
          <w:spacing w:val="-9"/>
        </w:rPr>
        <w:t> </w:t>
      </w:r>
      <w:r>
        <w:rPr/>
        <w:t>；本期增加新产品银行支付系统人脸、语音识别及安全解决方案主要组件双目摄像头生产量</w:t>
      </w:r>
      <w:r>
        <w:rPr>
          <w:rFonts w:ascii="Times New Roman" w:hAnsi="Times New Roman" w:cs="Times New Roman" w:eastAsia="Times New Roman" w:hint="default"/>
        </w:rPr>
        <w:t>42,506</w:t>
      </w:r>
      <w:r>
        <w:rPr/>
        <w:t>台。</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106,959,558.56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63,972,014.43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4,369,132.69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2,629,037.67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8,815,795.45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7,901,905.38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60" w:lineRule="auto" w:before="51"/>
        <w:ind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875" w:space="804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106,959,558.56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63,972,014.43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4,369,132.69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2,629,037.67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66.19%</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8,815,795.45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7,901,905.38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11.57%</w:t>
            </w:r>
          </w:p>
        </w:tc>
      </w:tr>
    </w:tbl>
    <w:p>
      <w:pPr>
        <w:pStyle w:val="BodyText"/>
        <w:spacing w:line="240" w:lineRule="auto" w:before="51"/>
        <w:ind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4"/>
        </w:rPr>
        <w:t>本期新增产品介绍如下：</w:t>
      </w:r>
      <w:r>
        <w:rPr>
          <w:rFonts w:ascii="Times New Roman" w:hAnsi="Times New Roman" w:cs="Times New Roman" w:eastAsia="Times New Roman" w:hint="default"/>
          <w:spacing w:val="-4"/>
        </w:rPr>
        <w:t>1</w:t>
      </w:r>
      <w:r>
        <w:rPr>
          <w:spacing w:val="-4"/>
        </w:rPr>
        <w:t>、银行支付系统人脸、语音识别及安全解决方案，产生收入</w:t>
      </w:r>
      <w:r>
        <w:rPr>
          <w:rFonts w:ascii="Times New Roman" w:hAnsi="Times New Roman" w:cs="Times New Roman" w:eastAsia="Times New Roman" w:hint="default"/>
          <w:spacing w:val="-4"/>
        </w:rPr>
        <w:t>2,769.48</w:t>
      </w:r>
      <w:r>
        <w:rPr>
          <w:spacing w:val="-4"/>
        </w:rPr>
        <w:t>万元，占全年收入总额</w:t>
      </w:r>
      <w:r>
        <w:rPr>
          <w:rFonts w:ascii="Times New Roman" w:hAnsi="Times New Roman" w:cs="Times New Roman" w:eastAsia="Times New Roman" w:hint="default"/>
          <w:spacing w:val="-4"/>
        </w:rPr>
        <w:t>11.32%</w:t>
      </w:r>
      <w:r>
        <w:rPr>
          <w:spacing w:val="-4"/>
        </w:rPr>
        <w:t>；</w:t>
      </w:r>
      <w:r>
        <w:rPr>
          <w:spacing w:val="-29"/>
        </w:rPr>
        <w:t> </w:t>
      </w:r>
      <w:r>
        <w:rPr>
          <w:rFonts w:ascii="Times New Roman" w:hAnsi="Times New Roman" w:cs="Times New Roman" w:eastAsia="Times New Roman" w:hint="default"/>
        </w:rPr>
        <w:t>2</w:t>
      </w:r>
      <w:r>
        <w:rPr/>
        <w:t>、银行移动金融解决方案，产生收入</w:t>
      </w:r>
      <w:r>
        <w:rPr>
          <w:rFonts w:ascii="Times New Roman" w:hAnsi="Times New Roman" w:cs="Times New Roman" w:eastAsia="Times New Roman" w:hint="default"/>
        </w:rPr>
        <w:t>805.71</w:t>
      </w:r>
      <w:r>
        <w:rPr/>
        <w:t>万元，占全年收入总额</w:t>
      </w:r>
      <w:r>
        <w:rPr>
          <w:rFonts w:ascii="Times New Roman" w:hAnsi="Times New Roman" w:cs="Times New Roman" w:eastAsia="Times New Roman" w:hint="default"/>
        </w:rPr>
        <w:t>3.29%</w:t>
      </w:r>
      <w:r>
        <w:rPr/>
        <w:t>。</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137,703,964.88</w:t>
            </w:r>
          </w:p>
        </w:tc>
      </w:tr>
      <w:tr>
        <w:trPr>
          <w:trHeight w:val="401"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56.30%</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4246;top:14;width:2;height:353" coordorigin="4246,14" coordsize="2,353">
              <v:shape style="position:absolute;left:4246;top:14;width:2;height:353" coordorigin="4246,14" coordsize="0,353" path="m4246,14l4246,367e" filled="false" stroked="true" strokeweight="1.140pt" strokecolor="#d2d2d2">
                <v:path arrowok="t"/>
              </v:shape>
            </v:group>
            <v:group style="position:absolute;left:32;top:14;width:4202;height:353" coordorigin="32,14" coordsize="4202,353">
              <v:shape style="position:absolute;left:32;top:14;width:4202;height:353" coordorigin="32,14" coordsize="4202,353" path="m32,367l4234,367,4234,14,32,14,32,367xe" filled="true" fillcolor="#d2d2d2" stroked="false">
                <v:path arrowok="t"/>
                <v:fill type="solid"/>
              </v:shape>
            </v:group>
            <v:group style="position:absolute;left:10;top:10;width:4249;height:2" coordorigin="10,10" coordsize="4249,2">
              <v:shape style="position:absolute;left:10;top:10;width:4249;height:2" coordorigin="10,10" coordsize="4249,0" path="m10,10l4258,10e" filled="false" stroked="true" strokeweight=".48pt" strokecolor="#000000">
                <v:path arrowok="t"/>
              </v:shape>
            </v:group>
            <v:group style="position:absolute;left:4268;top:10;width:5301;height:2" coordorigin="4268,10" coordsize="5301,2">
              <v:shape style="position:absolute;left:4268;top:10;width:5301;height:2" coordorigin="4268,10" coordsize="5301,0" path="m4268,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249;height:2" coordorigin="10,372" coordsize="4249,2">
              <v:shape style="position:absolute;left:10;top:372;width:4249;height:2" coordorigin="10,372" coordsize="4249,0" path="m10,372l4258,372e" filled="false" stroked="true" strokeweight=".48pt" strokecolor="#000000">
                <v:path arrowok="t"/>
              </v:shape>
            </v:group>
            <v:group style="position:absolute;left:4263;top:5;width:2;height:372" coordorigin="4263,5" coordsize="2,372">
              <v:shape style="position:absolute;left:4263;top:5;width:2;height:372" coordorigin="4263,5" coordsize="0,372" path="m4263,5l4263,377e" filled="false" stroked="true" strokeweight=".47998pt" strokecolor="#000000">
                <v:path arrowok="t"/>
              </v:shape>
            </v:group>
            <v:group style="position:absolute;left:4268;top:372;width:5301;height:2" coordorigin="4268,372" coordsize="5301,2">
              <v:shape style="position:absolute;left:4268;top:372;width:5301;height:2" coordorigin="4268,372" coordsize="5301,0" path="m4268,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004pt" strokecolor="#000000">
                <v:path arrowok="t"/>
              </v:shape>
              <v:shape style="position:absolute;left:32;top:8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例</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61,631,638.70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28,061,081.76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19,629,385.86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14,756,061.13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13,625,797.43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137,703,964.88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56.30%</w:t>
            </w:r>
          </w:p>
        </w:tc>
      </w:tr>
    </w:tbl>
    <w:p>
      <w:pPr>
        <w:pStyle w:val="BodyText"/>
        <w:spacing w:line="240" w:lineRule="auto" w:before="51"/>
        <w:ind w:right="0"/>
        <w:jc w:val="left"/>
      </w:pPr>
      <w:r>
        <w:rPr/>
        <w:t>主要客户其他情况说明</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45,261,243.84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34.42%</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14,019,668.06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12,676,364.46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6,344,701.36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6,122,905.98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6,097,603.98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45,261,243.84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34.42%</w:t>
            </w:r>
          </w:p>
        </w:tc>
      </w:tr>
    </w:tbl>
    <w:p>
      <w:pPr>
        <w:pStyle w:val="BodyText"/>
        <w:spacing w:line="240" w:lineRule="auto" w:before="51"/>
        <w:ind w:right="0"/>
        <w:jc w:val="left"/>
      </w:pPr>
      <w:r>
        <w:rPr/>
        <w:t>主要供应商其他情况说明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66,766,499.99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55,737,886.76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19.79%</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较上年同期增长</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19.79%</w:t>
            </w:r>
            <w:r>
              <w:rPr>
                <w:rFonts w:ascii="宋体" w:hAnsi="宋体" w:cs="宋体" w:eastAsia="宋体" w:hint="default"/>
                <w:spacing w:val="-7"/>
                <w:sz w:val="18"/>
                <w:szCs w:val="18"/>
              </w:rPr>
              <w:t>，主要系本期</w:t>
            </w:r>
            <w:r>
              <w:rPr>
                <w:rFonts w:ascii="宋体" w:hAnsi="宋体" w:cs="宋体" w:eastAsia="宋体" w:hint="default"/>
                <w:sz w:val="18"/>
                <w:szCs w:val="18"/>
              </w:rPr>
              <w:t> </w:t>
            </w:r>
            <w:r>
              <w:rPr>
                <w:rFonts w:ascii="宋体" w:hAnsi="宋体" w:cs="宋体" w:eastAsia="宋体" w:hint="default"/>
                <w:spacing w:val="-2"/>
                <w:sz w:val="18"/>
                <w:szCs w:val="18"/>
              </w:rPr>
              <w:t>加强市场营拓，人工及营拓费用相应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增加所致。</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24,344,815.12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20,392,100.86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19.38%</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较上年同期增长</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19.38%</w:t>
            </w:r>
            <w:r>
              <w:rPr>
                <w:rFonts w:ascii="宋体" w:hAnsi="宋体" w:cs="宋体" w:eastAsia="宋体" w:hint="default"/>
                <w:spacing w:val="-7"/>
                <w:sz w:val="18"/>
                <w:szCs w:val="18"/>
              </w:rPr>
              <w:t>，主要系本年</w:t>
            </w:r>
            <w:r>
              <w:rPr>
                <w:rFonts w:ascii="宋体" w:hAnsi="宋体" w:cs="宋体" w:eastAsia="宋体" w:hint="default"/>
                <w:sz w:val="18"/>
                <w:szCs w:val="18"/>
              </w:rPr>
              <w:t> </w:t>
            </w:r>
            <w:r>
              <w:rPr>
                <w:rFonts w:ascii="宋体" w:hAnsi="宋体" w:cs="宋体" w:eastAsia="宋体" w:hint="default"/>
                <w:spacing w:val="-2"/>
                <w:sz w:val="18"/>
                <w:szCs w:val="18"/>
              </w:rPr>
              <w:t>增加职工薪酬、股权激励成本、中介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机构咨询费用及租赁费增加所致。</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-929,782.61</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-526,638.97</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76.55%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较上年同期减少</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76.55%</w:t>
            </w:r>
            <w:r>
              <w:rPr>
                <w:rFonts w:ascii="宋体" w:hAnsi="宋体" w:cs="宋体" w:eastAsia="宋体" w:hint="default"/>
                <w:spacing w:val="-7"/>
                <w:sz w:val="18"/>
                <w:szCs w:val="18"/>
              </w:rPr>
              <w:t>，系银行存款</w:t>
            </w:r>
            <w:r>
              <w:rPr>
                <w:rFonts w:ascii="宋体" w:hAnsi="宋体" w:cs="宋体" w:eastAsia="宋体" w:hint="default"/>
                <w:sz w:val="18"/>
                <w:szCs w:val="18"/>
              </w:rPr>
              <w:t> 利息收入增加所致。</w:t>
            </w:r>
          </w:p>
        </w:tc>
      </w:tr>
      <w:tr>
        <w:trPr>
          <w:trHeight w:val="102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35,901,446.12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28,818,427.64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较上年同期增长</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24.58%</w:t>
            </w:r>
            <w:r>
              <w:rPr>
                <w:rFonts w:ascii="宋体" w:hAnsi="宋体" w:cs="宋体" w:eastAsia="宋体" w:hint="default"/>
                <w:spacing w:val="-7"/>
                <w:sz w:val="18"/>
                <w:szCs w:val="18"/>
              </w:rPr>
              <w:t>，主要系公司</w:t>
            </w:r>
            <w:r>
              <w:rPr>
                <w:rFonts w:ascii="宋体" w:hAnsi="宋体" w:cs="宋体" w:eastAsia="宋体" w:hint="default"/>
                <w:sz w:val="18"/>
                <w:szCs w:val="18"/>
              </w:rPr>
              <w:t> </w:t>
            </w:r>
            <w:r>
              <w:rPr>
                <w:rFonts w:ascii="宋体" w:hAnsi="宋体" w:cs="宋体" w:eastAsia="宋体" w:hint="default"/>
                <w:spacing w:val="-2"/>
                <w:sz w:val="18"/>
                <w:szCs w:val="18"/>
              </w:rPr>
              <w:t>加大研发投入，积极引入人才，人工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及研发费用相应增加。</w:t>
            </w:r>
          </w:p>
        </w:tc>
      </w:tr>
    </w:tbl>
    <w:p>
      <w:pPr>
        <w:spacing w:line="240" w:lineRule="auto" w:before="2"/>
        <w:rPr>
          <w:rFonts w:ascii="宋体" w:hAnsi="宋体" w:cs="宋体" w:eastAsia="宋体" w:hint="default"/>
          <w:sz w:val="19"/>
          <w:szCs w:val="19"/>
        </w:rPr>
      </w:pPr>
    </w:p>
    <w:p>
      <w:pPr>
        <w:pStyle w:val="Heading3"/>
        <w:spacing w:line="240" w:lineRule="auto" w:before="35"/>
        <w:ind w:left="534" w:right="6972"/>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34" w:right="6972"/>
        <w:jc w:val="left"/>
      </w:pPr>
      <w:r>
        <w:rPr/>
        <w:pict>
          <v:shape style="position:absolute;margin-left:368.480011pt;margin-top:76.451691pt;width:68.6pt;height:132.5pt;mso-position-horizontal-relative:page;mso-position-vertical-relative:paragraph;z-index:-1158304" type="#_x0000_t202" filled="false" stroked="false">
            <v:textbox inset="0,0,0,0">
              <w:txbxContent>
                <w:p>
                  <w:pPr>
                    <w:spacing w:line="240" w:lineRule="auto" w:before="9"/>
                    <w:rPr>
                      <w:rFonts w:ascii="宋体" w:hAnsi="宋体" w:cs="宋体" w:eastAsia="宋体" w:hint="default"/>
                      <w:sz w:val="24"/>
                      <w:szCs w:val="24"/>
                    </w:rPr>
                  </w:pPr>
                </w:p>
                <w:p>
                  <w:pPr>
                    <w:pStyle w:val="BodyText"/>
                    <w:spacing w:line="240" w:lineRule="auto"/>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报告期内，公司从事的主要研发项目情况如下：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line="2649" w:lineRule="exact"/>
        <w:ind w:left="6866" w:right="0" w:firstLine="0"/>
        <w:rPr>
          <w:rFonts w:ascii="宋体" w:hAnsi="宋体" w:cs="宋体" w:eastAsia="宋体" w:hint="default"/>
          <w:sz w:val="20"/>
          <w:szCs w:val="20"/>
        </w:rPr>
      </w:pPr>
      <w:r>
        <w:rPr>
          <w:rFonts w:ascii="宋体" w:hAnsi="宋体" w:cs="宋体" w:eastAsia="宋体" w:hint="default"/>
          <w:position w:val="-52"/>
          <w:sz w:val="20"/>
          <w:szCs w:val="20"/>
        </w:rPr>
        <w:pict>
          <v:group style="width:64.3pt;height:132.5pt;mso-position-horizontal-relative:char;mso-position-vertical-relative:line" coordorigin="0,0" coordsize="1286,2650">
            <v:group style="position:absolute;left:12;top:0;width:1263;height:2650" coordorigin="12,0" coordsize="1263,2650">
              <v:shape style="position:absolute;left:12;top:0;width:1263;height:2650" coordorigin="12,0" coordsize="1263,2650" path="m12,2650l1275,2650,1275,0,12,0,12,2650xe" filled="true" fillcolor="#ffffff" stroked="false">
                <v:path arrowok="t"/>
                <v:fill type="solid"/>
              </v:shape>
            </v:group>
            <v:group style="position:absolute;left:5;top:2644;width:1276;height:2" coordorigin="5,2644" coordsize="1276,2">
              <v:shape style="position:absolute;left:5;top:2644;width:1276;height:2" coordorigin="5,2644" coordsize="1276,0" path="m5,2644l1281,2644e" filled="false" stroked="true" strokeweight=".48001pt" strokecolor="#ffffff">
                <v:path arrowok="t"/>
              </v:shape>
            </v:group>
          </v:group>
        </w:pict>
      </w:r>
      <w:r>
        <w:rPr>
          <w:rFonts w:ascii="宋体" w:hAnsi="宋体" w:cs="宋体" w:eastAsia="宋体" w:hint="default"/>
          <w:position w:val="-5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before="44"/>
        <w:ind w:left="0" w:right="628"/>
        <w:jc w:val="right"/>
      </w:pPr>
      <w:r>
        <w:rPr/>
        <w:pict>
          <v:shape style="position:absolute;margin-left:35.160pt;margin-top:-415.228271pt;width:525.4pt;height:518.3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4"/>
                    <w:gridCol w:w="5136"/>
                    <w:gridCol w:w="1276"/>
                    <w:gridCol w:w="2449"/>
                  </w:tblGrid>
                  <w:tr>
                    <w:trPr>
                      <w:trHeight w:val="443" w:hRule="exact"/>
                    </w:trPr>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5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拟达到目标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目前进展</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17" w:right="0"/>
                          <w:jc w:val="left"/>
                          <w:rPr>
                            <w:rFonts w:ascii="宋体" w:hAnsi="宋体" w:cs="宋体" w:eastAsia="宋体" w:hint="default"/>
                            <w:sz w:val="18"/>
                            <w:szCs w:val="18"/>
                          </w:rPr>
                        </w:pPr>
                        <w:r>
                          <w:rPr>
                            <w:rFonts w:ascii="宋体" w:hAnsi="宋体" w:cs="宋体" w:eastAsia="宋体" w:hint="default"/>
                            <w:sz w:val="18"/>
                            <w:szCs w:val="18"/>
                          </w:rPr>
                          <w:t>对公司未来发展的影响</w:t>
                        </w:r>
                      </w:p>
                    </w:tc>
                  </w:tr>
                  <w:tr>
                    <w:trPr>
                      <w:trHeight w:val="3083" w:hRule="exact"/>
                    </w:trPr>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中央控制系统</w:t>
                        </w:r>
                      </w:p>
                    </w:tc>
                    <w:tc>
                      <w:tcPr>
                        <w:tcW w:w="51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9"/>
                          <w:ind w:left="2" w:right="77"/>
                          <w:jc w:val="both"/>
                          <w:rPr>
                            <w:rFonts w:ascii="宋体" w:hAnsi="宋体" w:cs="宋体" w:eastAsia="宋体" w:hint="default"/>
                            <w:sz w:val="18"/>
                            <w:szCs w:val="18"/>
                          </w:rPr>
                        </w:pPr>
                        <w:r>
                          <w:rPr>
                            <w:rFonts w:ascii="宋体" w:hAnsi="宋体" w:cs="宋体" w:eastAsia="宋体" w:hint="default"/>
                            <w:sz w:val="18"/>
                            <w:szCs w:val="18"/>
                          </w:rPr>
                          <w:t>在统一化的软硬件平台上实现三个子系统：加钞间门禁子系统、 自助设备动态密码锁子系统、金库门锁子系统。</w:t>
                        </w:r>
                      </w:p>
                      <w:p>
                        <w:pPr>
                          <w:pStyle w:val="TableParagraph"/>
                          <w:spacing w:line="316" w:lineRule="auto" w:before="67"/>
                          <w:ind w:left="2" w:right="77"/>
                          <w:jc w:val="both"/>
                          <w:rPr>
                            <w:rFonts w:ascii="宋体" w:hAnsi="宋体" w:cs="宋体" w:eastAsia="宋体" w:hint="default"/>
                            <w:sz w:val="18"/>
                            <w:szCs w:val="18"/>
                          </w:rPr>
                        </w:pPr>
                        <w:r>
                          <w:rPr>
                            <w:rFonts w:ascii="宋体" w:hAnsi="宋体" w:cs="宋体" w:eastAsia="宋体" w:hint="default"/>
                            <w:sz w:val="18"/>
                            <w:szCs w:val="18"/>
                          </w:rPr>
                          <w:t>加钞间门禁系统实现加钞间门的安全管理，主要功能有授权开锁 视频和图片记录，多种主动告警及状态监控等。</w:t>
                        </w:r>
                      </w:p>
                      <w:p>
                        <w:pPr>
                          <w:pStyle w:val="TableParagraph"/>
                          <w:spacing w:line="316" w:lineRule="auto" w:before="67"/>
                          <w:ind w:left="2" w:right="77"/>
                          <w:jc w:val="both"/>
                          <w:rPr>
                            <w:rFonts w:ascii="宋体" w:hAnsi="宋体" w:cs="宋体" w:eastAsia="宋体" w:hint="default"/>
                            <w:sz w:val="18"/>
                            <w:szCs w:val="18"/>
                          </w:rPr>
                        </w:pPr>
                        <w:r>
                          <w:rPr>
                            <w:rFonts w:ascii="宋体" w:hAnsi="宋体" w:cs="宋体" w:eastAsia="宋体" w:hint="default"/>
                            <w:sz w:val="18"/>
                            <w:szCs w:val="18"/>
                          </w:rPr>
                          <w:t>自助设备动态密码锁系统实现自主设备锁的安全管理，实现的多 种可配置的开锁模式，多种通信方式，多种安全机制，以适应不 通客户需求。</w:t>
                        </w:r>
                      </w:p>
                      <w:p>
                        <w:pPr>
                          <w:pStyle w:val="TableParagraph"/>
                          <w:spacing w:line="316" w:lineRule="auto" w:before="67"/>
                          <w:ind w:left="2" w:right="77"/>
                          <w:jc w:val="both"/>
                          <w:rPr>
                            <w:rFonts w:ascii="宋体" w:hAnsi="宋体" w:cs="宋体" w:eastAsia="宋体" w:hint="default"/>
                            <w:sz w:val="18"/>
                            <w:szCs w:val="18"/>
                          </w:rPr>
                        </w:pPr>
                        <w:r>
                          <w:rPr>
                            <w:rFonts w:ascii="宋体" w:hAnsi="宋体" w:cs="宋体" w:eastAsia="宋体" w:hint="default"/>
                            <w:sz w:val="18"/>
                            <w:szCs w:val="18"/>
                          </w:rPr>
                          <w:t>金库管理系统按照金库管理的流程实现对金库门锁的安全管理， 实现金库门上多个锁具的统一化管理。</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9"/>
                          <w:ind w:left="3" w:right="89"/>
                          <w:jc w:val="both"/>
                          <w:rPr>
                            <w:rFonts w:ascii="宋体" w:hAnsi="宋体" w:cs="宋体" w:eastAsia="宋体" w:hint="default"/>
                            <w:sz w:val="18"/>
                            <w:szCs w:val="18"/>
                          </w:rPr>
                        </w:pPr>
                        <w:r>
                          <w:rPr>
                            <w:rFonts w:ascii="宋体" w:hAnsi="宋体" w:cs="宋体" w:eastAsia="宋体" w:hint="default"/>
                            <w:sz w:val="18"/>
                            <w:szCs w:val="18"/>
                          </w:rPr>
                          <w:t>此系统能够提升行方风险集中 管控、业务精细化管理水平。 加钞间门禁系统、自助设备动 态密码锁系统、金库门系统前 期在市场上已经收到了非常好 的反响，根据客户需求，提供 完整的、全流程管理的系统。 中央控制系统必将再次受到客 户的积极响应。</w:t>
                        </w:r>
                      </w:p>
                    </w:tc>
                  </w:tr>
                  <w:tr>
                    <w:trPr>
                      <w:trHeight w:val="4427" w:hRule="exact"/>
                    </w:trPr>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9"/>
                          <w:ind w:left="714" w:right="83" w:hanging="630"/>
                          <w:jc w:val="left"/>
                          <w:rPr>
                            <w:rFonts w:ascii="宋体" w:hAnsi="宋体" w:cs="宋体" w:eastAsia="宋体" w:hint="default"/>
                            <w:sz w:val="18"/>
                            <w:szCs w:val="18"/>
                          </w:rPr>
                        </w:pPr>
                        <w:r>
                          <w:rPr>
                            <w:rFonts w:ascii="宋体" w:hAnsi="宋体" w:cs="宋体" w:eastAsia="宋体" w:hint="default"/>
                            <w:sz w:val="18"/>
                            <w:szCs w:val="18"/>
                          </w:rPr>
                          <w:t>物联网印章管理系 统</w:t>
                        </w:r>
                      </w:p>
                    </w:tc>
                    <w:tc>
                      <w:tcPr>
                        <w:tcW w:w="513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69"/>
                          <w:ind w:left="2" w:right="1"/>
                          <w:jc w:val="left"/>
                          <w:rPr>
                            <w:rFonts w:ascii="宋体" w:hAnsi="宋体" w:cs="宋体" w:eastAsia="宋体" w:hint="default"/>
                            <w:sz w:val="18"/>
                            <w:szCs w:val="18"/>
                          </w:rPr>
                        </w:pPr>
                        <w:r>
                          <w:rPr>
                            <w:rFonts w:ascii="宋体" w:hAnsi="宋体" w:cs="宋体" w:eastAsia="宋体" w:hint="default"/>
                            <w:sz w:val="18"/>
                            <w:szCs w:val="18"/>
                          </w:rPr>
                          <w:t>产品满足银行和企业用印的申请、审批和用印，实现对印章的申 请、使用、交接等操作进行管理，能安全、方便地实现日常工作 中对印章的使用，并具备以下特征功能</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用印过程全流程痕迹化，支持用印文件用印前后自动拍照及外部</w:t>
                        </w:r>
                      </w:p>
                      <w:p>
                        <w:pPr>
                          <w:pStyle w:val="TableParagraph"/>
                          <w:spacing w:line="227" w:lineRule="exact"/>
                          <w:ind w:left="2" w:right="0"/>
                          <w:jc w:val="both"/>
                          <w:rPr>
                            <w:rFonts w:ascii="宋体" w:hAnsi="宋体" w:cs="宋体" w:eastAsia="宋体" w:hint="default"/>
                            <w:sz w:val="18"/>
                            <w:szCs w:val="18"/>
                          </w:rPr>
                        </w:pPr>
                        <w:r>
                          <w:rPr>
                            <w:rFonts w:ascii="宋体" w:hAnsi="宋体" w:cs="宋体" w:eastAsia="宋体" w:hint="default"/>
                            <w:sz w:val="18"/>
                            <w:szCs w:val="18"/>
                          </w:rPr>
                          <w:t>用印环境拍照。</w:t>
                        </w:r>
                      </w:p>
                      <w:p>
                        <w:pPr>
                          <w:pStyle w:val="TableParagraph"/>
                          <w:spacing w:line="240" w:lineRule="auto" w:before="124"/>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用印时无纸检测：没有放置纸张时系统将提示，并不能用印。</w:t>
                        </w:r>
                      </w:p>
                      <w:p>
                        <w:pPr>
                          <w:pStyle w:val="TableParagraph"/>
                          <w:spacing w:line="240" w:lineRule="auto" w:before="111"/>
                          <w:ind w:left="2" w:right="0"/>
                          <w:jc w:val="both"/>
                          <w:rPr>
                            <w:rFonts w:ascii="宋体" w:hAnsi="宋体" w:cs="宋体" w:eastAsia="宋体" w:hint="default"/>
                            <w:sz w:val="18"/>
                            <w:szCs w:val="18"/>
                          </w:rPr>
                        </w:pPr>
                        <w:r>
                          <w:rPr>
                            <w:rFonts w:ascii="Times New Roman" w:hAnsi="Times New Roman" w:cs="Times New Roman" w:eastAsia="Times New Roman" w:hint="default"/>
                            <w:w w:val="99"/>
                            <w:sz w:val="18"/>
                            <w:szCs w:val="18"/>
                          </w:rPr>
                          <w:t>3)</w:t>
                        </w:r>
                        <w:r>
                          <w:rPr>
                            <w:rFonts w:ascii="宋体" w:hAnsi="宋体" w:cs="宋体" w:eastAsia="宋体" w:hint="default"/>
                            <w:w w:val="99"/>
                            <w:sz w:val="18"/>
                            <w:szCs w:val="18"/>
                          </w:rPr>
                          <w:t>用印时白纸检测</w:t>
                        </w:r>
                        <w:r>
                          <w:rPr>
                            <w:rFonts w:ascii="宋体" w:hAnsi="宋体" w:cs="宋体" w:eastAsia="宋体" w:hint="default"/>
                            <w:spacing w:val="-82"/>
                            <w:w w:val="99"/>
                            <w:sz w:val="18"/>
                            <w:szCs w:val="18"/>
                          </w:rPr>
                          <w:t>：</w:t>
                        </w:r>
                        <w:r>
                          <w:rPr>
                            <w:rFonts w:ascii="宋体" w:hAnsi="宋体" w:cs="宋体" w:eastAsia="宋体" w:hint="default"/>
                            <w:w w:val="99"/>
                            <w:sz w:val="18"/>
                            <w:szCs w:val="18"/>
                          </w:rPr>
                          <w:t>当纸张是无字白纸时系统将提示</w:t>
                        </w:r>
                        <w:r>
                          <w:rPr>
                            <w:rFonts w:ascii="宋体" w:hAnsi="宋体" w:cs="宋体" w:eastAsia="宋体" w:hint="default"/>
                            <w:spacing w:val="-82"/>
                            <w:w w:val="99"/>
                            <w:sz w:val="18"/>
                            <w:szCs w:val="18"/>
                          </w:rPr>
                          <w:t>，</w:t>
                        </w:r>
                        <w:r>
                          <w:rPr>
                            <w:rFonts w:ascii="宋体" w:hAnsi="宋体" w:cs="宋体" w:eastAsia="宋体" w:hint="default"/>
                            <w:w w:val="99"/>
                            <w:sz w:val="18"/>
                            <w:szCs w:val="18"/>
                          </w:rPr>
                          <w:t>并不能用印</w:t>
                        </w:r>
                        <w:r>
                          <w:rPr>
                            <w:rFonts w:ascii="宋体" w:hAnsi="宋体" w:cs="宋体" w:eastAsia="宋体" w:hint="default"/>
                            <w:sz w:val="18"/>
                            <w:szCs w:val="18"/>
                          </w:rPr>
                        </w:r>
                      </w:p>
                      <w:p>
                        <w:pPr>
                          <w:pStyle w:val="TableParagraph"/>
                          <w:spacing w:line="309" w:lineRule="auto" w:before="111"/>
                          <w:ind w:left="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消息推送服务：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PC</w:t>
                        </w:r>
                        <w:r>
                          <w:rPr>
                            <w:rFonts w:ascii="宋体" w:hAnsi="宋体" w:cs="宋体" w:eastAsia="宋体" w:hint="default"/>
                            <w:sz w:val="18"/>
                            <w:szCs w:val="18"/>
                          </w:rPr>
                          <w:t>安装印章审批消息推送服务程序提示时，审 批角色用户在有新的待审批业务时，系统将弹出提示，用户可点 击弹出消息框进入系统。</w:t>
                        </w:r>
                      </w:p>
                      <w:p>
                        <w:pPr>
                          <w:pStyle w:val="TableParagraph"/>
                          <w:spacing w:line="309" w:lineRule="auto" w:before="72"/>
                          <w:ind w:left="2"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手机办理审批：安装并登录了</w:t>
                        </w:r>
                        <w:r>
                          <w:rPr>
                            <w:rFonts w:ascii="Times New Roman" w:hAnsi="Times New Roman" w:cs="Times New Roman" w:eastAsia="Times New Roman" w:hint="default"/>
                            <w:sz w:val="18"/>
                            <w:szCs w:val="18"/>
                          </w:rPr>
                          <w:t>Android</w:t>
                        </w:r>
                        <w:r>
                          <w:rPr>
                            <w:rFonts w:ascii="宋体" w:hAnsi="宋体" w:cs="宋体" w:eastAsia="宋体" w:hint="default"/>
                            <w:sz w:val="18"/>
                            <w:szCs w:val="18"/>
                          </w:rPr>
                          <w:t>手机客户端后，用户可收</w:t>
                        </w:r>
                        <w:r>
                          <w:rPr>
                            <w:rFonts w:ascii="宋体" w:hAnsi="宋体" w:cs="宋体" w:eastAsia="宋体" w:hint="default"/>
                            <w:w w:val="99"/>
                            <w:sz w:val="18"/>
                            <w:szCs w:val="18"/>
                          </w:rPr>
                          <w:t> </w:t>
                        </w:r>
                        <w:r>
                          <w:rPr>
                            <w:rFonts w:ascii="宋体" w:hAnsi="宋体" w:cs="宋体" w:eastAsia="宋体" w:hint="default"/>
                            <w:sz w:val="18"/>
                            <w:szCs w:val="18"/>
                          </w:rPr>
                          <w:t>到新的审批待办消息提醒，并可点击提醒进入系统，对待审批业</w:t>
                        </w:r>
                        <w:r>
                          <w:rPr>
                            <w:rFonts w:ascii="宋体" w:hAnsi="宋体" w:cs="宋体" w:eastAsia="宋体" w:hint="default"/>
                            <w:w w:val="99"/>
                            <w:sz w:val="18"/>
                            <w:szCs w:val="18"/>
                          </w:rPr>
                          <w:t> </w:t>
                        </w:r>
                        <w:r>
                          <w:rPr>
                            <w:rFonts w:ascii="宋体" w:hAnsi="宋体" w:cs="宋体" w:eastAsia="宋体" w:hint="default"/>
                            <w:sz w:val="18"/>
                            <w:szCs w:val="18"/>
                          </w:rPr>
                          <w:t>务进行处理操作。</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59" w:right="0"/>
                          <w:jc w:val="left"/>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8" w:right="0"/>
                          <w:jc w:val="left"/>
                          <w:rPr>
                            <w:rFonts w:ascii="宋体" w:hAnsi="宋体" w:cs="宋体" w:eastAsia="宋体" w:hint="default"/>
                            <w:sz w:val="18"/>
                            <w:szCs w:val="18"/>
                          </w:rPr>
                        </w:pPr>
                        <w:r>
                          <w:rPr>
                            <w:rFonts w:ascii="宋体" w:hAnsi="宋体" w:cs="宋体" w:eastAsia="宋体" w:hint="default"/>
                            <w:sz w:val="18"/>
                            <w:szCs w:val="18"/>
                          </w:rPr>
                          <w:t>。</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9"/>
                          <w:ind w:left="3" w:right="89"/>
                          <w:jc w:val="both"/>
                          <w:rPr>
                            <w:rFonts w:ascii="宋体" w:hAnsi="宋体" w:cs="宋体" w:eastAsia="宋体" w:hint="default"/>
                            <w:sz w:val="18"/>
                            <w:szCs w:val="18"/>
                          </w:rPr>
                        </w:pPr>
                        <w:r>
                          <w:rPr>
                            <w:rFonts w:ascii="宋体" w:hAnsi="宋体" w:cs="宋体" w:eastAsia="宋体" w:hint="default"/>
                            <w:sz w:val="18"/>
                            <w:szCs w:val="18"/>
                          </w:rPr>
                          <w:t>规范印章的管理和使用，切实 防范用印风险，真正实现对印 章的有效管理。</w:t>
                        </w:r>
                      </w:p>
                    </w:tc>
                  </w:tr>
                  <w:tr>
                    <w:trPr>
                      <w:trHeight w:val="1379" w:hRule="exact"/>
                    </w:trPr>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9"/>
                          <w:ind w:left="264" w:right="83" w:hanging="180"/>
                          <w:jc w:val="left"/>
                          <w:rPr>
                            <w:rFonts w:ascii="宋体" w:hAnsi="宋体" w:cs="宋体" w:eastAsia="宋体" w:hint="default"/>
                            <w:sz w:val="18"/>
                            <w:szCs w:val="18"/>
                          </w:rPr>
                        </w:pPr>
                        <w:r>
                          <w:rPr>
                            <w:rFonts w:ascii="宋体" w:hAnsi="宋体" w:cs="宋体" w:eastAsia="宋体" w:hint="default"/>
                            <w:sz w:val="18"/>
                            <w:szCs w:val="18"/>
                          </w:rPr>
                          <w:t>银行网点重控智能 管理解决方案</w:t>
                        </w:r>
                      </w:p>
                    </w:tc>
                    <w:tc>
                      <w:tcPr>
                        <w:tcW w:w="51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9"/>
                          <w:ind w:left="2" w:right="77"/>
                          <w:jc w:val="both"/>
                          <w:rPr>
                            <w:rFonts w:ascii="宋体" w:hAnsi="宋体" w:cs="宋体" w:eastAsia="宋体" w:hint="default"/>
                            <w:sz w:val="18"/>
                            <w:szCs w:val="18"/>
                          </w:rPr>
                        </w:pPr>
                        <w:r>
                          <w:rPr>
                            <w:rFonts w:ascii="宋体" w:hAnsi="宋体" w:cs="宋体" w:eastAsia="宋体" w:hint="default"/>
                            <w:sz w:val="18"/>
                            <w:szCs w:val="18"/>
                          </w:rPr>
                          <w:t>实现对金库全方位保障的一套安全防范系统，运用物联网技术， 包括动态密码、生物识别技术、视频拍摄、前后台报警系统、出 入记录、后台管理系统等相关技术，是对金库门管理实现安全管 理的有效防范措施。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验证阶段</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9"/>
                          <w:ind w:left="3" w:right="89"/>
                          <w:jc w:val="both"/>
                          <w:rPr>
                            <w:rFonts w:ascii="宋体" w:hAnsi="宋体" w:cs="宋体" w:eastAsia="宋体" w:hint="default"/>
                            <w:sz w:val="18"/>
                            <w:szCs w:val="18"/>
                          </w:rPr>
                        </w:pPr>
                        <w:r>
                          <w:rPr>
                            <w:rFonts w:ascii="宋体" w:hAnsi="宋体" w:cs="宋体" w:eastAsia="宋体" w:hint="default"/>
                            <w:sz w:val="18"/>
                            <w:szCs w:val="18"/>
                          </w:rPr>
                          <w:t>结合客户对重控物品管理系统 的需求而设计，顺应市场发展 营造新的业绩增长点。</w:t>
                        </w:r>
                      </w:p>
                    </w:tc>
                  </w:tr>
                  <w:tr>
                    <w:trPr>
                      <w:trHeight w:val="1020" w:hRule="exact"/>
                    </w:trPr>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汇金电子印章系统</w:t>
                        </w:r>
                      </w:p>
                    </w:tc>
                    <w:tc>
                      <w:tcPr>
                        <w:tcW w:w="51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9"/>
                          <w:ind w:left="2" w:right="77"/>
                          <w:jc w:val="both"/>
                          <w:rPr>
                            <w:rFonts w:ascii="宋体" w:hAnsi="宋体" w:cs="宋体" w:eastAsia="宋体" w:hint="default"/>
                            <w:sz w:val="18"/>
                            <w:szCs w:val="18"/>
                          </w:rPr>
                        </w:pPr>
                        <w:r>
                          <w:rPr>
                            <w:rFonts w:ascii="宋体" w:hAnsi="宋体" w:cs="宋体" w:eastAsia="宋体" w:hint="default"/>
                            <w:sz w:val="18"/>
                            <w:szCs w:val="18"/>
                          </w:rPr>
                          <w:t>电子印章是实体印章的印文电子化（图像化）使用打印机打印印 章图像代替原来加盖的实体印章，电子印章的样式与实体印章一 致，通常由印章图像和验证码组成，可通过验证码校验电子印章</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9"/>
                          <w:ind w:left="3" w:right="89"/>
                          <w:jc w:val="both"/>
                          <w:rPr>
                            <w:rFonts w:ascii="宋体" w:hAnsi="宋体" w:cs="宋体" w:eastAsia="宋体" w:hint="default"/>
                            <w:sz w:val="18"/>
                            <w:szCs w:val="18"/>
                          </w:rPr>
                        </w:pPr>
                        <w:r>
                          <w:rPr>
                            <w:rFonts w:ascii="宋体" w:hAnsi="宋体" w:cs="宋体" w:eastAsia="宋体" w:hint="default"/>
                            <w:sz w:val="18"/>
                            <w:szCs w:val="18"/>
                          </w:rPr>
                          <w:t>汇金电子印章系统为银行印章 数字化进程提供了一体化的解 决方案，解决实体章签署效率</w:t>
                        </w:r>
                      </w:p>
                    </w:tc>
                  </w:tr>
                </w:tbl>
                <w:p>
                  <w:pPr/>
                </w:p>
              </w:txbxContent>
            </v:textbox>
            <w10:wrap type="none"/>
          </v:shape>
        </w:pict>
      </w:r>
      <w:r>
        <w:rPr/>
        <w:t>，</w:t>
      </w:r>
    </w:p>
    <w:p>
      <w:pPr>
        <w:spacing w:after="0" w:line="240" w:lineRule="auto"/>
        <w:jc w:val="right"/>
        <w:sectPr>
          <w:pgSz w:w="11910" w:h="16840"/>
          <w:pgMar w:header="747" w:footer="979" w:top="1060" w:bottom="1160" w:left="600" w:right="0"/>
        </w:sectPr>
      </w:pPr>
    </w:p>
    <w:p>
      <w:pPr>
        <w:spacing w:line="240" w:lineRule="auto" w:before="6"/>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624"/>
        <w:gridCol w:w="5136"/>
        <w:gridCol w:w="1276"/>
        <w:gridCol w:w="2449"/>
      </w:tblGrid>
      <w:tr>
        <w:trPr>
          <w:trHeight w:val="1331" w:hRule="exact"/>
        </w:trPr>
        <w:tc>
          <w:tcPr>
            <w:tcW w:w="1624" w:type="dxa"/>
            <w:tcBorders>
              <w:top w:val="single" w:sz="6" w:space="0" w:color="000000"/>
              <w:left w:val="single" w:sz="6" w:space="0" w:color="000000"/>
              <w:bottom w:val="single" w:sz="6" w:space="0" w:color="000000"/>
              <w:right w:val="single" w:sz="6" w:space="0" w:color="000000"/>
            </w:tcBorders>
          </w:tcPr>
          <w:p>
            <w:pPr/>
          </w:p>
        </w:tc>
        <w:tc>
          <w:tcPr>
            <w:tcW w:w="51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7"/>
              <w:jc w:val="left"/>
              <w:rPr>
                <w:rFonts w:ascii="宋体" w:hAnsi="宋体" w:cs="宋体" w:eastAsia="宋体" w:hint="default"/>
                <w:sz w:val="18"/>
                <w:szCs w:val="18"/>
              </w:rPr>
            </w:pPr>
            <w:r>
              <w:rPr>
                <w:rFonts w:ascii="宋体" w:hAnsi="宋体" w:cs="宋体" w:eastAsia="宋体" w:hint="default"/>
                <w:sz w:val="18"/>
                <w:szCs w:val="18"/>
              </w:rPr>
              <w:t>的真伪。可实现系统管理、业务管理、验证服务、用印服务、风 险控制、统计分析、生命周期管理等功能。</w:t>
            </w:r>
          </w:p>
        </w:tc>
        <w:tc>
          <w:tcPr>
            <w:tcW w:w="1276" w:type="dxa"/>
            <w:tcBorders>
              <w:top w:val="single" w:sz="6" w:space="0" w:color="000000"/>
              <w:left w:val="single" w:sz="6" w:space="0" w:color="000000"/>
              <w:bottom w:val="single" w:sz="6" w:space="0" w:color="000000"/>
              <w:right w:val="single" w:sz="6" w:space="0" w:color="000000"/>
            </w:tcBorders>
          </w:tcPr>
          <w:p>
            <w:pP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8"/>
              <w:jc w:val="left"/>
              <w:rPr>
                <w:rFonts w:ascii="宋体" w:hAnsi="宋体" w:cs="宋体" w:eastAsia="宋体" w:hint="default"/>
                <w:sz w:val="18"/>
                <w:szCs w:val="18"/>
              </w:rPr>
            </w:pPr>
            <w:r>
              <w:rPr>
                <w:rFonts w:ascii="宋体" w:hAnsi="宋体" w:cs="宋体" w:eastAsia="宋体" w:hint="default"/>
                <w:sz w:val="18"/>
                <w:szCs w:val="18"/>
              </w:rPr>
              <w:t>低、管理成本高等问题。</w:t>
            </w:r>
            <w:r>
              <w:rPr>
                <w:rFonts w:ascii="宋体" w:hAnsi="宋体" w:cs="宋体" w:eastAsia="宋体" w:hint="default"/>
                <w:spacing w:val="-21"/>
                <w:sz w:val="18"/>
                <w:szCs w:val="18"/>
              </w:rPr>
              <w:t> </w:t>
            </w:r>
            <w:r>
              <w:rPr>
                <w:rFonts w:ascii="宋体" w:hAnsi="宋体" w:cs="宋体" w:eastAsia="宋体" w:hint="default"/>
                <w:sz w:val="18"/>
                <w:szCs w:val="18"/>
              </w:rPr>
              <w:t>后续</w:t>
            </w:r>
            <w:r>
              <w:rPr>
                <w:rFonts w:ascii="宋体" w:hAnsi="宋体" w:cs="宋体" w:eastAsia="宋体" w:hint="default"/>
                <w:spacing w:val="-2"/>
                <w:sz w:val="18"/>
                <w:szCs w:val="18"/>
              </w:rPr>
              <w:t> </w:t>
            </w:r>
            <w:r>
              <w:rPr>
                <w:rFonts w:ascii="宋体" w:hAnsi="宋体" w:cs="宋体" w:eastAsia="宋体" w:hint="default"/>
                <w:sz w:val="18"/>
                <w:szCs w:val="18"/>
              </w:rPr>
              <w:t>将结合行业发展和新应用场景</w:t>
            </w:r>
            <w:r>
              <w:rPr>
                <w:rFonts w:ascii="宋体" w:hAnsi="宋体" w:cs="宋体" w:eastAsia="宋体" w:hint="default"/>
                <w:sz w:val="18"/>
                <w:szCs w:val="18"/>
              </w:rPr>
              <w:t> 借助前沿科技不断提升产品的 竞争力。</w:t>
            </w:r>
          </w:p>
        </w:tc>
      </w:tr>
      <w:tr>
        <w:trPr>
          <w:trHeight w:val="2843" w:hRule="exact"/>
        </w:trPr>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9"/>
              <w:ind w:left="2" w:right="2"/>
              <w:jc w:val="center"/>
              <w:rPr>
                <w:rFonts w:ascii="宋体" w:hAnsi="宋体" w:cs="宋体" w:eastAsia="宋体" w:hint="default"/>
                <w:sz w:val="18"/>
                <w:szCs w:val="18"/>
              </w:rPr>
            </w:pPr>
            <w:r>
              <w:rPr>
                <w:rFonts w:ascii="宋体" w:hAnsi="宋体" w:cs="宋体" w:eastAsia="宋体" w:hint="default"/>
                <w:sz w:val="18"/>
                <w:szCs w:val="18"/>
              </w:rPr>
              <w:t>银行支付系统和网 </w:t>
            </w:r>
            <w:r>
              <w:rPr>
                <w:rFonts w:ascii="宋体" w:hAnsi="宋体" w:cs="宋体" w:eastAsia="宋体" w:hint="default"/>
                <w:spacing w:val="-2"/>
                <w:sz w:val="18"/>
                <w:szCs w:val="18"/>
              </w:rPr>
              <w:t>点、柜面的人脸、语</w:t>
            </w:r>
            <w:r>
              <w:rPr>
                <w:rFonts w:ascii="宋体" w:hAnsi="宋体" w:cs="宋体" w:eastAsia="宋体" w:hint="default"/>
                <w:sz w:val="18"/>
                <w:szCs w:val="18"/>
              </w:rPr>
              <w:t> 音识别解决方案</w:t>
            </w:r>
          </w:p>
        </w:tc>
        <w:tc>
          <w:tcPr>
            <w:tcW w:w="513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11"/>
              <w:jc w:val="left"/>
              <w:rPr>
                <w:rFonts w:ascii="宋体" w:hAnsi="宋体" w:cs="宋体" w:eastAsia="宋体" w:hint="default"/>
                <w:sz w:val="18"/>
                <w:szCs w:val="18"/>
              </w:rPr>
            </w:pPr>
            <w:r>
              <w:rPr>
                <w:rFonts w:ascii="宋体" w:hAnsi="宋体" w:cs="宋体" w:eastAsia="宋体" w:hint="default"/>
                <w:sz w:val="18"/>
                <w:szCs w:val="18"/>
              </w:rPr>
              <w:t>汇金智能红外双目摄像头</w:t>
            </w:r>
            <w:r>
              <w:rPr>
                <w:rFonts w:ascii="Times New Roman" w:hAnsi="Times New Roman" w:cs="Times New Roman" w:eastAsia="Times New Roman" w:hint="default"/>
                <w:sz w:val="18"/>
                <w:szCs w:val="18"/>
              </w:rPr>
              <w:t>HJ-AP2030SM</w:t>
            </w:r>
            <w:r>
              <w:rPr>
                <w:rFonts w:ascii="宋体" w:hAnsi="宋体" w:cs="宋体" w:eastAsia="宋体" w:hint="default"/>
                <w:sz w:val="18"/>
                <w:szCs w:val="18"/>
              </w:rPr>
              <w:t>是公司研发在一代双目摄 像头产品基础上，迭代开发的一款智能人脸高识别率摄像头，采 用最新光线自动校正技术，使得产品具备较强的光线适应能力。 产品利用红外成像、立体成像检测、可见光与红外成像匹配等技 术，完成用户无动作配合、无感知的活体检测功能。同时摄像头 内置高速安全芯片，获得</w:t>
            </w:r>
            <w:r>
              <w:rPr>
                <w:rFonts w:ascii="Times New Roman" w:hAnsi="Times New Roman" w:cs="Times New Roman" w:eastAsia="Times New Roman" w:hint="default"/>
                <w:sz w:val="18"/>
                <w:szCs w:val="18"/>
              </w:rPr>
              <w:t>‘</w:t>
            </w:r>
            <w:r>
              <w:rPr>
                <w:rFonts w:ascii="宋体" w:hAnsi="宋体" w:cs="宋体" w:eastAsia="宋体" w:hint="default"/>
                <w:sz w:val="18"/>
                <w:szCs w:val="18"/>
              </w:rPr>
              <w:t>国家密码管理局</w:t>
            </w:r>
            <w:r>
              <w:rPr>
                <w:rFonts w:ascii="Times New Roman" w:hAnsi="Times New Roman" w:cs="Times New Roman" w:eastAsia="Times New Roman" w:hint="default"/>
                <w:sz w:val="18"/>
                <w:szCs w:val="18"/>
              </w:rPr>
              <w:t>GM/T0008-2012</w:t>
            </w:r>
            <w:r>
              <w:rPr>
                <w:rFonts w:ascii="宋体" w:hAnsi="宋体" w:cs="宋体" w:eastAsia="宋体" w:hint="default"/>
                <w:sz w:val="18"/>
                <w:szCs w:val="18"/>
              </w:rPr>
              <w:t>认证</w:t>
            </w:r>
            <w:r>
              <w:rPr>
                <w:rFonts w:ascii="Times New Roman" w:hAnsi="Times New Roman" w:cs="Times New Roman" w:eastAsia="Times New Roman" w:hint="default"/>
                <w:sz w:val="18"/>
                <w:szCs w:val="18"/>
              </w:rPr>
              <w:t>’</w:t>
            </w:r>
            <w:r>
              <w:rPr>
                <w:rFonts w:ascii="宋体" w:hAnsi="宋体" w:cs="宋体" w:eastAsia="宋体" w:hint="default"/>
                <w:sz w:val="18"/>
                <w:szCs w:val="18"/>
              </w:rPr>
              <w:t>， 安全芯片内置密钥，能够实现与后台的双向身份认证，保证传输 图像数据的安全性，包括不可被替换、劫持、篡改、重放、伪造 等。</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69"/>
              <w:jc w:val="right"/>
              <w:rPr>
                <w:rFonts w:ascii="宋体" w:hAnsi="宋体" w:cs="宋体" w:eastAsia="宋体" w:hint="default"/>
                <w:sz w:val="18"/>
                <w:szCs w:val="18"/>
              </w:rPr>
            </w:pPr>
            <w:r>
              <w:rPr>
                <w:rFonts w:ascii="宋体" w:hAnsi="宋体" w:cs="宋体" w:eastAsia="宋体" w:hint="default"/>
                <w:sz w:val="18"/>
                <w:szCs w:val="18"/>
              </w:rPr>
              <w:t>发布阶段</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9"/>
              <w:ind w:left="3" w:right="0"/>
              <w:jc w:val="left"/>
              <w:rPr>
                <w:rFonts w:ascii="宋体" w:hAnsi="宋体" w:cs="宋体" w:eastAsia="宋体" w:hint="default"/>
                <w:sz w:val="18"/>
                <w:szCs w:val="18"/>
              </w:rPr>
            </w:pPr>
            <w:r>
              <w:rPr>
                <w:rFonts w:ascii="宋体" w:hAnsi="宋体" w:cs="宋体" w:eastAsia="宋体" w:hint="default"/>
                <w:sz w:val="18"/>
                <w:szCs w:val="18"/>
              </w:rPr>
              <w:t>顺应</w:t>
            </w:r>
            <w:r>
              <w:rPr>
                <w:rFonts w:ascii="Times New Roman" w:hAnsi="Times New Roman" w:cs="Times New Roman" w:eastAsia="Times New Roman" w:hint="default"/>
                <w:sz w:val="18"/>
                <w:szCs w:val="18"/>
              </w:rPr>
              <w:t>“AI+</w:t>
            </w:r>
            <w:r>
              <w:rPr>
                <w:rFonts w:ascii="宋体" w:hAnsi="宋体" w:cs="宋体" w:eastAsia="宋体" w:hint="default"/>
                <w:sz w:val="18"/>
                <w:szCs w:val="18"/>
              </w:rPr>
              <w:t>金融</w:t>
            </w:r>
            <w:r>
              <w:rPr>
                <w:rFonts w:ascii="Times New Roman" w:hAnsi="Times New Roman" w:cs="Times New Roman" w:eastAsia="Times New Roman" w:hint="default"/>
                <w:sz w:val="18"/>
                <w:szCs w:val="18"/>
              </w:rPr>
              <w:t>”</w:t>
            </w:r>
            <w:r>
              <w:rPr>
                <w:rFonts w:ascii="宋体" w:hAnsi="宋体" w:cs="宋体" w:eastAsia="宋体" w:hint="default"/>
                <w:sz w:val="18"/>
                <w:szCs w:val="18"/>
              </w:rPr>
              <w:t>潮流，形成新的 业绩增长点；在行业内树立品 牌形象和产品标准，逐步加强 公司在安全金融服务领域的地 位。</w:t>
            </w:r>
          </w:p>
        </w:tc>
      </w:tr>
      <w:tr>
        <w:trPr>
          <w:trHeight w:val="1380" w:hRule="exact"/>
        </w:trPr>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9"/>
              <w:ind w:left="264" w:right="83" w:hanging="180"/>
              <w:jc w:val="left"/>
              <w:rPr>
                <w:rFonts w:ascii="宋体" w:hAnsi="宋体" w:cs="宋体" w:eastAsia="宋体" w:hint="default"/>
                <w:sz w:val="18"/>
                <w:szCs w:val="18"/>
              </w:rPr>
            </w:pPr>
            <w:r>
              <w:rPr>
                <w:rFonts w:ascii="宋体" w:hAnsi="宋体" w:cs="宋体" w:eastAsia="宋体" w:hint="default"/>
                <w:sz w:val="18"/>
                <w:szCs w:val="18"/>
              </w:rPr>
              <w:t>银行移动业务安全 管控解决方案</w:t>
            </w:r>
          </w:p>
        </w:tc>
        <w:tc>
          <w:tcPr>
            <w:tcW w:w="513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产品将传统的</w:t>
            </w:r>
            <w:r>
              <w:rPr>
                <w:rFonts w:ascii="Times New Roman" w:hAnsi="Times New Roman" w:cs="Times New Roman" w:eastAsia="Times New Roman" w:hint="default"/>
                <w:spacing w:val="-4"/>
                <w:sz w:val="18"/>
                <w:szCs w:val="18"/>
              </w:rPr>
              <w:t>PAD</w:t>
            </w:r>
            <w:r>
              <w:rPr>
                <w:rFonts w:ascii="宋体" w:hAnsi="宋体" w:cs="宋体" w:eastAsia="宋体" w:hint="default"/>
                <w:spacing w:val="-4"/>
                <w:sz w:val="18"/>
                <w:szCs w:val="18"/>
              </w:rPr>
              <w:t>加密码键盘、指纹识别、身份证识别、接触式</w:t>
            </w:r>
            <w:r>
              <w:rPr>
                <w:rFonts w:ascii="Times New Roman" w:hAnsi="Times New Roman" w:cs="Times New Roman" w:eastAsia="Times New Roman" w:hint="default"/>
                <w:spacing w:val="-4"/>
                <w:sz w:val="18"/>
                <w:szCs w:val="18"/>
              </w:rPr>
              <w:t>IC</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和非接触式</w:t>
            </w:r>
            <w:r>
              <w:rPr>
                <w:rFonts w:ascii="Times New Roman" w:hAnsi="Times New Roman" w:cs="Times New Roman" w:eastAsia="Times New Roman" w:hint="default"/>
                <w:sz w:val="18"/>
                <w:szCs w:val="18"/>
              </w:rPr>
              <w:t>IC</w:t>
            </w:r>
            <w:r>
              <w:rPr>
                <w:rFonts w:ascii="宋体" w:hAnsi="宋体" w:cs="宋体" w:eastAsia="宋体" w:hint="default"/>
                <w:sz w:val="18"/>
                <w:szCs w:val="18"/>
              </w:rPr>
              <w:t>卡等功能集成为一体的移动展业一体机设备。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69"/>
              <w:jc w:val="right"/>
              <w:rPr>
                <w:rFonts w:ascii="宋体" w:hAnsi="宋体" w:cs="宋体" w:eastAsia="宋体" w:hint="default"/>
                <w:sz w:val="18"/>
                <w:szCs w:val="18"/>
              </w:rPr>
            </w:pPr>
            <w:r>
              <w:rPr>
                <w:rFonts w:ascii="宋体" w:hAnsi="宋体" w:cs="宋体" w:eastAsia="宋体" w:hint="default"/>
                <w:sz w:val="18"/>
                <w:szCs w:val="18"/>
              </w:rPr>
              <w:t>验证阶段</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9"/>
              <w:ind w:left="3" w:right="89"/>
              <w:jc w:val="both"/>
              <w:rPr>
                <w:rFonts w:ascii="宋体" w:hAnsi="宋体" w:cs="宋体" w:eastAsia="宋体" w:hint="default"/>
                <w:sz w:val="18"/>
                <w:szCs w:val="18"/>
              </w:rPr>
            </w:pPr>
            <w:r>
              <w:rPr>
                <w:rFonts w:ascii="宋体" w:hAnsi="宋体" w:cs="宋体" w:eastAsia="宋体" w:hint="default"/>
                <w:sz w:val="18"/>
                <w:szCs w:val="18"/>
              </w:rPr>
              <w:t>建立汇金银行移动金融解决方 案的产品竞争力，完善金融行 业产品线布局，巩固公司在金 融行业解决方案的领先地位。</w:t>
            </w:r>
          </w:p>
        </w:tc>
      </w:tr>
    </w:tbl>
    <w:p>
      <w:pPr>
        <w:spacing w:line="240" w:lineRule="auto" w:before="5"/>
        <w:rPr>
          <w:rFonts w:ascii="宋体" w:hAnsi="宋体" w:cs="宋体" w:eastAsia="宋体" w:hint="default"/>
          <w:sz w:val="24"/>
          <w:szCs w:val="24"/>
        </w:rPr>
      </w:pPr>
    </w:p>
    <w:p>
      <w:pPr>
        <w:pStyle w:val="BodyText"/>
        <w:spacing w:line="240" w:lineRule="auto" w:before="44"/>
        <w:ind w:left="534" w:right="6972"/>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5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35,901,446.12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28,818,427.64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25,245,949.57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600" w:right="0"/>
        </w:sectPr>
      </w:pPr>
    </w:p>
    <w:p>
      <w:pPr>
        <w:pStyle w:val="BodyText"/>
        <w:spacing w:line="240" w:lineRule="auto" w:before="51"/>
        <w:ind w:left="534" w:right="-19"/>
        <w:jc w:val="left"/>
      </w:pPr>
      <w:r>
        <w:rPr/>
        <w:t>研发投入总额占营业收入的比重较上年发生显著变化的原因</w:t>
      </w:r>
    </w:p>
    <w:p>
      <w:pPr>
        <w:pStyle w:val="BodyText"/>
        <w:spacing w:line="338" w:lineRule="auto" w:before="117"/>
        <w:ind w:left="534" w:right="4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left="53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534"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600" w:right="0"/>
          <w:cols w:num="2" w:equalWidth="0">
            <w:col w:w="9445" w:space="40"/>
            <w:col w:w="1825"/>
          </w:cols>
        </w:sectPr>
      </w:pPr>
    </w:p>
    <w:p>
      <w:pPr>
        <w:spacing w:line="240" w:lineRule="auto" w:before="0"/>
        <w:rPr>
          <w:rFonts w:ascii="宋体" w:hAnsi="宋体" w:cs="宋体" w:eastAsia="宋体" w:hint="default"/>
          <w:sz w:val="8"/>
          <w:szCs w:val="8"/>
        </w:rPr>
      </w:pPr>
    </w:p>
    <w:tbl>
      <w:tblPr>
        <w:tblW w:w="0" w:type="auto"/>
        <w:jc w:val="left"/>
        <w:tblInd w:w="5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bl>
    <w:p>
      <w:pPr>
        <w:pStyle w:val="BodyText"/>
        <w:spacing w:line="240" w:lineRule="auto" w:before="11"/>
        <w:ind w:left="534" w:right="6972"/>
        <w:jc w:val="left"/>
      </w:pPr>
      <w:r>
        <w:rPr/>
        <w:t>无。</w:t>
      </w:r>
    </w:p>
    <w:p>
      <w:pPr>
        <w:spacing w:after="0" w:line="240" w:lineRule="auto"/>
        <w:jc w:val="left"/>
        <w:sectPr>
          <w:type w:val="continuous"/>
          <w:pgSz w:w="11910" w:h="16840"/>
          <w:pgMar w:top="1060" w:bottom="1160" w:left="60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266,884,696.63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218,445,255.44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22.17%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315,963,627.28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209,418,574.87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50.88%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-49,078,930.65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9,026,680.57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-643.71%</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1,671,515,117.70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1,491,331,064.83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1,944,926,440.35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1,132,693,577.59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71.71%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-273,411,322.65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358,637,487.24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-176.24%</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20,266,096.89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28,362,000.00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-28.54%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48,110,997.00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138.65%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-27,844,900.11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-439.49%</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-350,333,121.36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375,866,167.81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-193.21%</w:t>
            </w:r>
            <w:r>
              <w:rPr>
                <w:rFonts w:ascii="Times New Roman"/>
                <w:sz w:val="18"/>
              </w:rPr>
            </w:r>
          </w:p>
        </w:tc>
      </w:tr>
    </w:tbl>
    <w:p>
      <w:pPr>
        <w:pStyle w:val="BodyText"/>
        <w:spacing w:line="240" w:lineRule="auto" w:before="51"/>
        <w:ind w:right="0"/>
        <w:jc w:val="left"/>
      </w:pPr>
      <w:r>
        <w:rPr/>
        <w:t>相关数据同比发生重大变动的主要影响因素说明</w:t>
      </w:r>
    </w:p>
    <w:p>
      <w:pPr>
        <w:pStyle w:val="BodyText"/>
        <w:spacing w:line="319" w:lineRule="auto" w:before="116"/>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经营活动产生的现金流量净额较上年同期下降</w:t>
      </w:r>
      <w:r>
        <w:rPr>
          <w:rFonts w:ascii="Times New Roman" w:hAnsi="Times New Roman" w:cs="Times New Roman" w:eastAsia="Times New Roman" w:hint="default"/>
          <w:spacing w:val="-1"/>
        </w:rPr>
        <w:t>643.71%</w:t>
      </w:r>
      <w:r>
        <w:rPr>
          <w:spacing w:val="-1"/>
        </w:rPr>
        <w:t>，主要因报告期内研发新项目开支增加、员工薪酬等经营活动现金流</w:t>
      </w:r>
      <w:r>
        <w:rPr>
          <w:spacing w:val="-41"/>
        </w:rPr>
        <w:t> </w:t>
      </w:r>
      <w:r>
        <w:rPr>
          <w:spacing w:val="-41"/>
        </w:rPr>
      </w:r>
      <w:r>
        <w:rPr/>
        <w:t>出增加所致。</w:t>
      </w:r>
    </w:p>
    <w:p>
      <w:pPr>
        <w:pStyle w:val="BodyText"/>
        <w:spacing w:line="300" w:lineRule="auto" w:before="17"/>
        <w:ind w:right="1118"/>
        <w:jc w:val="left"/>
      </w:pPr>
      <w:r>
        <w:rPr/>
        <w:t>投资活动产生的现金流量净额较上年同期下降</w:t>
      </w:r>
      <w:r>
        <w:rPr>
          <w:rFonts w:ascii="Times New Roman" w:hAnsi="Times New Roman" w:cs="Times New Roman" w:eastAsia="Times New Roman" w:hint="default"/>
        </w:rPr>
        <w:t>176.24%</w:t>
      </w:r>
      <w:r>
        <w:rPr/>
        <w:t>，主要系期末理财产品未到期收回所致。 </w:t>
      </w:r>
      <w:r>
        <w:rPr>
          <w:spacing w:val="-1"/>
        </w:rPr>
        <w:t>筹资活动产生的现金流量净额较上年同期下降</w:t>
      </w:r>
      <w:r>
        <w:rPr>
          <w:rFonts w:ascii="Times New Roman" w:hAnsi="Times New Roman" w:cs="Times New Roman" w:eastAsia="Times New Roman" w:hint="default"/>
          <w:spacing w:val="-1"/>
        </w:rPr>
        <w:t>439.49%</w:t>
      </w:r>
      <w:r>
        <w:rPr>
          <w:spacing w:val="-1"/>
        </w:rPr>
        <w:t>，主要系</w:t>
      </w:r>
      <w:r>
        <w:rPr>
          <w:rFonts w:ascii="Times New Roman" w:hAnsi="Times New Roman" w:cs="Times New Roman" w:eastAsia="Times New Roman" w:hint="default"/>
          <w:spacing w:val="-1"/>
        </w:rPr>
        <w:t>2018</w:t>
      </w:r>
      <w:r>
        <w:rPr>
          <w:spacing w:val="-1"/>
        </w:rPr>
        <w:t>年分配股利较上年大幅增加以及</w:t>
      </w:r>
      <w:r>
        <w:rPr>
          <w:rFonts w:ascii="Times New Roman" w:hAnsi="Times New Roman" w:cs="Times New Roman" w:eastAsia="Times New Roman" w:hint="default"/>
          <w:spacing w:val="-1"/>
        </w:rPr>
        <w:t>2018</w:t>
      </w:r>
      <w:r>
        <w:rPr>
          <w:spacing w:val="-1"/>
        </w:rPr>
        <w:t>年支付回购股权激</w:t>
      </w:r>
      <w:r>
        <w:rPr>
          <w:spacing w:val="-37"/>
        </w:rPr>
        <w:t> </w:t>
      </w:r>
      <w:r>
        <w:rPr/>
        <w:t>励款项所致。</w:t>
      </w:r>
    </w:p>
    <w:p>
      <w:pPr>
        <w:pStyle w:val="BodyText"/>
        <w:spacing w:line="240" w:lineRule="auto" w:before="72"/>
        <w:ind w:right="0"/>
        <w:jc w:val="left"/>
      </w:pPr>
      <w:r>
        <w:rPr/>
        <w:t>报告期内公司经营活动产生的现金净流量与本年度净利润存在重大差异的原因说明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0"/>
        <w:jc w:val="left"/>
      </w:pPr>
      <w:r>
        <w:rPr>
          <w:rFonts w:ascii="Times New Roman" w:hAnsi="Times New Roman" w:cs="Times New Roman" w:eastAsia="Times New Roman" w:hint="default"/>
          <w:spacing w:val="-1"/>
        </w:rPr>
        <w:t>2018</w:t>
      </w:r>
      <w:r>
        <w:rPr>
          <w:spacing w:val="-1"/>
        </w:rPr>
        <w:t>年净利润</w:t>
      </w:r>
      <w:r>
        <w:rPr>
          <w:rFonts w:ascii="Times New Roman" w:hAnsi="Times New Roman" w:cs="Times New Roman" w:eastAsia="Times New Roman" w:hint="default"/>
          <w:spacing w:val="-1"/>
        </w:rPr>
        <w:t>25,935,804.17</w:t>
      </w:r>
      <w:r>
        <w:rPr>
          <w:spacing w:val="-1"/>
        </w:rPr>
        <w:t>元，经营活动产生的现金净流量</w:t>
      </w:r>
      <w:r>
        <w:rPr>
          <w:rFonts w:ascii="Times New Roman" w:hAnsi="Times New Roman" w:cs="Times New Roman" w:eastAsia="Times New Roman" w:hint="default"/>
          <w:spacing w:val="-1"/>
        </w:rPr>
        <w:t>-49,078,930.65</w:t>
      </w:r>
      <w:r>
        <w:rPr>
          <w:spacing w:val="-1"/>
        </w:rPr>
        <w:t>元，差异</w:t>
      </w:r>
      <w:r>
        <w:rPr>
          <w:rFonts w:ascii="Times New Roman" w:hAnsi="Times New Roman" w:cs="Times New Roman" w:eastAsia="Times New Roman" w:hint="default"/>
          <w:spacing w:val="-1"/>
        </w:rPr>
        <w:t>75,014,734.82</w:t>
      </w:r>
      <w:r>
        <w:rPr>
          <w:spacing w:val="-1"/>
        </w:rPr>
        <w:t>元，主要系公司所属行业具</w:t>
      </w:r>
      <w:r>
        <w:rPr>
          <w:spacing w:val="-31"/>
        </w:rPr>
        <w:t> </w:t>
      </w:r>
      <w:r>
        <w:rPr>
          <w:spacing w:val="-31"/>
        </w:rPr>
      </w:r>
      <w:r>
        <w:rPr/>
        <w:t>有季节性特征，今年收入主要集中在第四季度，部分货款尚未及时回笼。</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15,107,543.05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67.81%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8,096,234.53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36.34%</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150"/>
              <w:jc w:val="left"/>
              <w:rPr>
                <w:rFonts w:ascii="宋体" w:hAnsi="宋体" w:cs="宋体" w:eastAsia="宋体" w:hint="default"/>
                <w:sz w:val="18"/>
                <w:szCs w:val="18"/>
              </w:rPr>
            </w:pPr>
            <w:r>
              <w:rPr>
                <w:rFonts w:ascii="宋体" w:hAnsi="宋体" w:cs="宋体" w:eastAsia="宋体" w:hint="default"/>
                <w:sz w:val="18"/>
                <w:szCs w:val="18"/>
              </w:rPr>
              <w:t>主要为应收账款坏账准备 及存货跌价损失</w:t>
            </w:r>
          </w:p>
        </w:tc>
        <w:tc>
          <w:tcPr>
            <w:tcW w:w="2340"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144"/>
              <w:jc w:val="left"/>
              <w:rPr>
                <w:rFonts w:ascii="宋体" w:hAnsi="宋体" w:cs="宋体" w:eastAsia="宋体" w:hint="default"/>
                <w:sz w:val="18"/>
                <w:szCs w:val="18"/>
              </w:rPr>
            </w:pPr>
            <w:r>
              <w:rPr>
                <w:rFonts w:ascii="宋体" w:hAnsi="宋体" w:cs="宋体" w:eastAsia="宋体" w:hint="default"/>
                <w:sz w:val="18"/>
                <w:szCs w:val="18"/>
              </w:rPr>
              <w:t>应收账款坏账准备具有可持 续性</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2,061.54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主要为收到合同违约金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127,745.66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0.57%</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主要为非流动资产报废损</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36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失</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8" w:right="0"/>
              <w:jc w:val="left"/>
              <w:rPr>
                <w:rFonts w:ascii="Times New Roman" w:hAnsi="Times New Roman" w:cs="Times New Roman" w:eastAsia="Times New Roman" w:hint="default"/>
                <w:sz w:val="18"/>
                <w:szCs w:val="18"/>
              </w:rPr>
            </w:pPr>
            <w:r>
              <w:rPr>
                <w:rFonts w:ascii="Times New Roman"/>
                <w:sz w:val="18"/>
              </w:rPr>
              <w:t>3,932,437.55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17.65%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主要为日常活动有关的其 他政府补助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164,421,420.7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20.79%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514,554,542.06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67.03%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-46.24%</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主要是本期末理财产品未到期。</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145,869,358.3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18.45%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105,711,641.83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13.77%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4.68%</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67,442,331.22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54,283,743.53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13,129,319.11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14,565,887.73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54,689,785.06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7,303,351.21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320,236,144.7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49,026,496.15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34.11%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主要是本期末理财产品未到期。</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11,656,642.15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11,849,897.45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-0.07%</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截至报告期末，公司主要资产不存在被查封、扣押、冻结或者被抵押、质押的情形。</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47,386,433.85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2,269.32%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258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33,296.61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2,672.51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7,661.63</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27,539.09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尚未使用 的募集资 金将用于 完成募投 </w:t>
            </w:r>
            <w:r>
              <w:rPr>
                <w:rFonts w:ascii="宋体" w:hAnsi="宋体" w:cs="宋体" w:eastAsia="宋体" w:hint="default"/>
                <w:spacing w:val="-18"/>
                <w:sz w:val="18"/>
                <w:szCs w:val="18"/>
              </w:rPr>
              <w:t>项目，其存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放于募投 资金三方 监管专户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33,296.61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2,672.51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7,661.63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27,539.09</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6"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年度，公司实际使用募集资金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2,672.51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万元，累计使用募集资金总额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7,661.63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日，募集</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资金尚未使用金额为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27,539.09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万元，专用账户余额为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27,539.09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万元（包括累计收到的银行存款利息扣除银行手续费等的 </w:t>
            </w:r>
            <w:r>
              <w:rPr>
                <w:rFonts w:ascii="宋体" w:hAnsi="宋体" w:cs="宋体" w:eastAsia="宋体" w:hint="default"/>
                <w:spacing w:val="-2"/>
                <w:sz w:val="18"/>
                <w:szCs w:val="18"/>
              </w:rPr>
              <w:t>净额）。公司将尚未使用的募集资金存放于银行募集资金专户，同时使用部分闲置募集资金进行现金管理。</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0"/>
        <w:gridCol w:w="914"/>
        <w:gridCol w:w="721"/>
        <w:gridCol w:w="721"/>
        <w:gridCol w:w="722"/>
        <w:gridCol w:w="720"/>
        <w:gridCol w:w="722"/>
        <w:gridCol w:w="721"/>
        <w:gridCol w:w="721"/>
        <w:gridCol w:w="723"/>
        <w:gridCol w:w="722"/>
        <w:gridCol w:w="721"/>
        <w:gridCol w:w="722"/>
      </w:tblGrid>
      <w:tr>
        <w:trPr>
          <w:trHeight w:val="1650"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361" w:right="93"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55" w:right="5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86"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85"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70"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85"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银行自助设备内控 管理解决方案升级 改造项目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14,547.6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14,547.6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2,385.93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4,831.81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33.21%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银行现金实物流转 内控管理解决方案 升级改造项目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7,132.16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7,132.16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1,471.59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4,154.45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4,889.63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249.53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银行印章管理解决 方案建设项目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6,006.54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6,631.31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1,012.84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物流内控管理解决 方案建设项目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1,455.81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95.86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95.86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6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33,296.6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33,296.6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2,672.51</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7,661.63</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
        </w:tc>
        <w:tc>
          <w:tcPr>
            <w:tcW w:w="722" w:type="dxa"/>
            <w:vMerge w:val="restart"/>
            <w:tcBorders>
              <w:top w:val="single" w:sz="4" w:space="0" w:color="000000"/>
              <w:left w:val="single" w:sz="4" w:space="0" w:color="000000"/>
              <w:right w:val="single" w:sz="9" w:space="0" w:color="D2D2D2"/>
            </w:tcBorders>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33,296.6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33,296.6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2,672.51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7,661.63</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1962"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本次募集资金投资项目在前期经过充分的可行性论证，但在具体实施过程中受到多方面因素</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影响，因置换项目用地，地形及地质发生变化，工程施工规划及投入需要进行相应调整，导</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致建设项目开工时间延期，公司募集资金投资项目无法在计划时间内达到预定可使用状态。 基于上述原因，根据现阶段募集资金投资项目的实施进度、实际建设情况及市场发展前景， 公司决定将募集资金投资项目达到预定可使用状态日期由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日长至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235"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物流内控管理解决方案建设项目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旨在拓展主营业务相关产品和技术在物流行业应用，扩大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公司产品线，增强公司可持续发展能力。经过公司管理层近三年对物流行业发展的判断，物</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流行业竞争激励，原募投项目产品应用至物流行业，盈利空间缩小，并且物流实物流转内控</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风险管理发展并不成熟，还没有健全的行业技术标准，规模效应还不明显，将无法实现原预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计收益目标，不能达到公司及全体股东预期的投资回报，实施该项目具有不确定性。</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日，经第三届董事会第九次会议审议通过，拟终止</w:t>
            </w:r>
            <w:r>
              <w:rPr>
                <w:rFonts w:ascii="Times New Roman" w:hAnsi="Times New Roman" w:cs="Times New Roman" w:eastAsia="Times New Roman" w:hint="default"/>
                <w:sz w:val="18"/>
                <w:szCs w:val="18"/>
              </w:rPr>
              <w:t>“</w:t>
            </w:r>
            <w:r>
              <w:rPr>
                <w:rFonts w:ascii="宋体" w:hAnsi="宋体" w:cs="宋体" w:eastAsia="宋体" w:hint="default"/>
                <w:sz w:val="18"/>
                <w:szCs w:val="18"/>
              </w:rPr>
              <w:t>物流内控管理解决方案建设</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的实施，并将该项目募集资金投资余额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1,359.95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1"/>
          <w:szCs w:val="21"/>
        </w:rPr>
      </w:pPr>
    </w:p>
    <w:p>
      <w:pPr>
        <w:pStyle w:val="BodyText"/>
        <w:spacing w:line="240" w:lineRule="auto" w:before="44"/>
        <w:ind w:left="0" w:right="1137"/>
        <w:jc w:val="right"/>
      </w:pPr>
      <w:r>
        <w:rPr/>
        <w:pict>
          <v:shape style="position:absolute;margin-left:56.459999pt;margin-top:-545.508301pt;width:479.35pt;height:565.2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5"/>
                    <w:gridCol w:w="721"/>
                    <w:gridCol w:w="7216"/>
                  </w:tblGrid>
                  <w:tr>
                    <w:trPr>
                      <w:trHeight w:val="362" w:hRule="exact"/>
                    </w:trPr>
                    <w:tc>
                      <w:tcPr>
                        <w:tcW w:w="163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行印章管理解决方案建设项目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的资金投入。</w:t>
                        </w:r>
                      </w:p>
                    </w:tc>
                  </w:tr>
                  <w:tr>
                    <w:trPr>
                      <w:trHeight w:val="402" w:hRule="exact"/>
                    </w:trPr>
                    <w:tc>
                      <w:tcPr>
                        <w:tcW w:w="1635"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8"/>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6"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经公司第二届董事会第九次会议审议通过，公司全部募投项目实施地点由</w:t>
                        </w:r>
                        <w:r>
                          <w:rPr>
                            <w:rFonts w:ascii="Times New Roman" w:hAnsi="Times New Roman" w:cs="Times New Roman" w:eastAsia="Times New Roman" w:hint="default"/>
                            <w:sz w:val="18"/>
                            <w:szCs w:val="18"/>
                          </w:rPr>
                          <w:t>“</w:t>
                        </w:r>
                        <w:r>
                          <w:rPr>
                            <w:rFonts w:ascii="宋体" w:hAnsi="宋体" w:cs="宋体" w:eastAsia="宋体" w:hint="default"/>
                            <w:sz w:val="18"/>
                            <w:szCs w:val="18"/>
                          </w:rPr>
                          <w:t>珠海市科技创新 </w:t>
                        </w:r>
                        <w:r>
                          <w:rPr>
                            <w:rFonts w:ascii="宋体" w:hAnsi="宋体" w:cs="宋体" w:eastAsia="宋体" w:hint="default"/>
                            <w:spacing w:val="-1"/>
                            <w:sz w:val="18"/>
                            <w:szCs w:val="18"/>
                          </w:rPr>
                          <w:t>海岸南围、港湾北路西、技七路南侧</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变更为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珠海市科技创新海岸北围、金环路北、金环西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路西侧</w:t>
                        </w:r>
                        <w:r>
                          <w:rPr>
                            <w:rFonts w:ascii="Times New Roman" w:hAnsi="Times New Roman" w:cs="Times New Roman" w:eastAsia="Times New Roman" w:hint="default"/>
                            <w:sz w:val="18"/>
                            <w:szCs w:val="18"/>
                          </w:rPr>
                          <w:t>”</w:t>
                        </w:r>
                        <w:r>
                          <w:rPr>
                            <w:rFonts w:ascii="宋体" w:hAnsi="宋体" w:cs="宋体" w:eastAsia="宋体" w:hint="default"/>
                            <w:sz w:val="18"/>
                            <w:szCs w:val="18"/>
                          </w:rPr>
                          <w:t>，该地址更名为</w:t>
                        </w:r>
                        <w:r>
                          <w:rPr>
                            <w:rFonts w:ascii="Times New Roman" w:hAnsi="Times New Roman" w:cs="Times New Roman" w:eastAsia="Times New Roman" w:hint="default"/>
                            <w:sz w:val="18"/>
                            <w:szCs w:val="18"/>
                          </w:rPr>
                          <w:t>“</w:t>
                        </w:r>
                        <w:r>
                          <w:rPr>
                            <w:rFonts w:ascii="宋体" w:hAnsi="宋体" w:cs="宋体" w:eastAsia="宋体" w:hint="default"/>
                            <w:sz w:val="18"/>
                            <w:szCs w:val="18"/>
                          </w:rPr>
                          <w:t>珠海市高新区科技创新海岸北围鼎兴路北、兴中路西侧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9" w:lineRule="auto"/>
                          <w:ind w:left="22" w:right="160"/>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募集资金到位前，公司以自筹资金预先投入募集资金投资项目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3,900.47</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2"/>
                            <w:sz w:val="18"/>
                            <w:szCs w:val="18"/>
                          </w:rPr>
                          <w:t>日，公司第二届董事会第七次会议审议通过《关于使用募集资金置换已投入募集资金投资项</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6"/>
                            <w:sz w:val="18"/>
                            <w:szCs w:val="18"/>
                          </w:rPr>
                          <w:t>目自筹资金的议案》，同意公司使用</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3,900.47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万元募集资金置换预先已投入募集资金投资项</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目的自筹资金。其中银行自助设备内控管理解决方案升级改造项目</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2,027.03</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万元，银行现金</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实物流转内控管理解决方案升级改造项目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778.21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万元，研发中心建设项目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70.73</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万元，银行</w:t>
                        </w:r>
                      </w:p>
                      <w:p>
                        <w:pPr>
                          <w:pStyle w:val="TableParagraph"/>
                          <w:spacing w:line="240" w:lineRule="auto" w:before="64"/>
                          <w:ind w:left="23" w:right="0"/>
                          <w:jc w:val="both"/>
                          <w:rPr>
                            <w:rFonts w:ascii="宋体" w:hAnsi="宋体" w:cs="宋体" w:eastAsia="宋体" w:hint="default"/>
                            <w:sz w:val="18"/>
                            <w:szCs w:val="18"/>
                          </w:rPr>
                        </w:pPr>
                        <w:r>
                          <w:rPr>
                            <w:rFonts w:ascii="宋体" w:hAnsi="宋体" w:cs="宋体" w:eastAsia="宋体" w:hint="default"/>
                            <w:sz w:val="18"/>
                            <w:szCs w:val="18"/>
                          </w:rPr>
                          <w:t>印章管理解决方案建设项目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942.81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万元，物流内控管理解决方案建设项目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尚未使用的募集资金将用于完成募投项目，其存放于募投资金三方监管专户。</w:t>
                        </w:r>
                      </w:p>
                    </w:tc>
                  </w:tr>
                  <w:tr>
                    <w:trPr>
                      <w:trHeight w:val="196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0"/>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日，公司召开了第三届董事会第八次会议，审议通过了《关于使用部分闲置</w:t>
                        </w:r>
                        <w:r>
                          <w:rPr>
                            <w:rFonts w:ascii="宋体" w:hAnsi="宋体" w:cs="宋体" w:eastAsia="宋体" w:hint="default"/>
                            <w:sz w:val="18"/>
                            <w:szCs w:val="18"/>
                          </w:rPr>
                          <w:t> </w:t>
                        </w:r>
                        <w:r>
                          <w:rPr>
                            <w:rFonts w:ascii="宋体" w:hAnsi="宋体" w:cs="宋体" w:eastAsia="宋体" w:hint="default"/>
                            <w:spacing w:val="-3"/>
                            <w:sz w:val="18"/>
                            <w:szCs w:val="18"/>
                          </w:rPr>
                          <w:t>募集资金和自有资金进行现金管理的议案》，同意公司在确保不影响正常经营、不改变募集</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资金用途的情况下，使用不超过人民币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万元的闲置募集资金和不超过人民币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p>
                      <w:p>
                        <w:pPr>
                          <w:pStyle w:val="TableParagraph"/>
                          <w:spacing w:line="309" w:lineRule="auto" w:before="5"/>
                          <w:ind w:left="23" w:right="21"/>
                          <w:jc w:val="both"/>
                          <w:rPr>
                            <w:rFonts w:ascii="宋体" w:hAnsi="宋体" w:cs="宋体" w:eastAsia="宋体" w:hint="default"/>
                            <w:sz w:val="18"/>
                            <w:szCs w:val="18"/>
                          </w:rPr>
                        </w:pPr>
                        <w:r>
                          <w:rPr>
                            <w:rFonts w:ascii="宋体" w:hAnsi="宋体" w:cs="宋体" w:eastAsia="宋体" w:hint="default"/>
                            <w:sz w:val="18"/>
                            <w:szCs w:val="18"/>
                          </w:rPr>
                          <w:t>万元的自有资金进行现金管理，相关决议自股东大会审议通过之日起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个月内有效，上述 </w:t>
                        </w:r>
                        <w:r>
                          <w:rPr>
                            <w:rFonts w:ascii="宋体" w:hAnsi="宋体" w:cs="宋体" w:eastAsia="宋体" w:hint="default"/>
                            <w:spacing w:val="-2"/>
                            <w:sz w:val="18"/>
                            <w:szCs w:val="18"/>
                          </w:rPr>
                          <w:t>资金额度在决议有效期内可滚动使用，并授权董事长在该额度范围内行使投资决策权，签署</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4"/>
                            <w:sz w:val="18"/>
                            <w:szCs w:val="18"/>
                          </w:rPr>
                          <w:t>相关法律文件。</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日，公司召开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年第四次临时股东大会审议通过该议案</w:t>
                        </w:r>
                      </w:p>
                    </w:tc>
                  </w:tr>
                </w:tbl>
                <w:p>
                  <w:pPr/>
                </w:p>
              </w:txbxContent>
            </v:textbox>
            <w10:wrap type="none"/>
          </v:shape>
        </w:pict>
      </w:r>
      <w:r>
        <w:rPr/>
        <w:t>。</w:t>
      </w:r>
    </w:p>
    <w:p>
      <w:pPr>
        <w:spacing w:line="240" w:lineRule="auto" w:before="13"/>
        <w:rPr>
          <w:rFonts w:ascii="宋体" w:hAnsi="宋体" w:cs="宋体" w:eastAsia="宋体" w:hint="default"/>
          <w:sz w:val="27"/>
          <w:szCs w:val="27"/>
        </w:rPr>
      </w:pPr>
    </w:p>
    <w:p>
      <w:pPr>
        <w:pStyle w:val="Heading3"/>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45"/>
      </w:tblGrid>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23"/>
              <w:jc w:val="both"/>
              <w:rPr>
                <w:rFonts w:ascii="宋体" w:hAnsi="宋体" w:cs="宋体" w:eastAsia="宋体" w:hint="default"/>
                <w:sz w:val="18"/>
                <w:szCs w:val="18"/>
              </w:rPr>
            </w:pPr>
            <w:r>
              <w:rPr>
                <w:rFonts w:ascii="宋体" w:hAnsi="宋体" w:cs="宋体" w:eastAsia="宋体" w:hint="default"/>
                <w:sz w:val="18"/>
                <w:szCs w:val="18"/>
              </w:rPr>
              <w:t>变更后项目 拟投入募集 资金总额</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51"/>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0"/>
              <w:jc w:val="both"/>
              <w:rPr>
                <w:rFonts w:ascii="宋体" w:hAnsi="宋体" w:cs="宋体" w:eastAsia="宋体" w:hint="default"/>
                <w:sz w:val="18"/>
                <w:szCs w:val="18"/>
              </w:rPr>
            </w:pPr>
            <w:r>
              <w:rPr>
                <w:rFonts w:ascii="宋体" w:hAnsi="宋体" w:cs="宋体" w:eastAsia="宋体" w:hint="default"/>
                <w:sz w:val="18"/>
                <w:szCs w:val="18"/>
              </w:rPr>
              <w:t>变更后的项 目可行性是 否发生重大</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44"/>
        <w:ind w:left="0" w:right="1136"/>
        <w:jc w:val="right"/>
      </w:pPr>
      <w:r>
        <w:rPr/>
        <w:pict>
          <v:shape style="position:absolute;margin-left:56.459999pt;margin-top:-204.02829pt;width:479.3pt;height:420.0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36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2" w:right="0"/>
                          <w:jc w:val="left"/>
                          <w:rPr>
                            <w:rFonts w:ascii="宋体" w:hAnsi="宋体" w:cs="宋体" w:eastAsia="宋体" w:hint="default"/>
                            <w:sz w:val="18"/>
                            <w:szCs w:val="18"/>
                          </w:rPr>
                        </w:pPr>
                        <w:r>
                          <w:rPr>
                            <w:rFonts w:ascii="宋体" w:hAnsi="宋体" w:cs="宋体" w:eastAsia="宋体" w:hint="default"/>
                            <w:sz w:val="18"/>
                            <w:szCs w:val="18"/>
                          </w:rPr>
                          <w:t>变化</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研发中心建 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物流内控管 理解决方案 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4,889.63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249.53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5.10%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银行印章管 理解决方案 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物流内控管 理解决方案 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6,631.31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1,012.84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15.27%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11,520.94</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164.78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1,262.37</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2898"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物流内控管理解决方案建设项目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旨在拓展主营业务相关产品和技术在物流行业应 用，扩大公司产品线，增强公司可持续发展能力。经过公司管理层近三年对物流行业 发展的判断，物流行业竞争激励，原募投项目产品应用至物流行业，盈利空间缩小， 并且物流实物流转内控风险管理发展并不成熟，还没有健全的行业技术标准，规模效 </w:t>
                        </w:r>
                        <w:r>
                          <w:rPr>
                            <w:rFonts w:ascii="宋体" w:hAnsi="宋体" w:cs="宋体" w:eastAsia="宋体" w:hint="default"/>
                            <w:spacing w:val="-3"/>
                            <w:sz w:val="18"/>
                            <w:szCs w:val="18"/>
                          </w:rPr>
                          <w:t>应还不明显，将无法实现原预计收益目标，不能达到公司及全体股东预期的投资回报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实施该项目具有不确定性。</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日，经第三届董事会第九次会议审议通过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拟终止</w:t>
                        </w:r>
                        <w:r>
                          <w:rPr>
                            <w:rFonts w:ascii="Times New Roman" w:hAnsi="Times New Roman" w:cs="Times New Roman" w:eastAsia="Times New Roman" w:hint="default"/>
                            <w:sz w:val="18"/>
                            <w:szCs w:val="18"/>
                          </w:rPr>
                          <w:t>“</w:t>
                        </w:r>
                        <w:r>
                          <w:rPr>
                            <w:rFonts w:ascii="宋体" w:hAnsi="宋体" w:cs="宋体" w:eastAsia="宋体" w:hint="default"/>
                            <w:sz w:val="18"/>
                            <w:szCs w:val="18"/>
                          </w:rPr>
                          <w:t>物流内控管理解决方案建设项目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的实施，并将该项目募集资金投资余额 </w:t>
                        </w:r>
                        <w:r>
                          <w:rPr>
                            <w:rFonts w:ascii="Times New Roman" w:hAnsi="Times New Roman" w:cs="Times New Roman" w:eastAsia="Times New Roman" w:hint="default"/>
                            <w:sz w:val="18"/>
                            <w:szCs w:val="18"/>
                          </w:rPr>
                          <w:t>1,359.95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银行印章管理解决方案建设项目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的资金 投入。</w:t>
                        </w:r>
                      </w:p>
                    </w:tc>
                  </w:tr>
                  <w:tr>
                    <w:trPr>
                      <w:trHeight w:val="1962"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pacing w:val="-1"/>
                            <w:sz w:val="18"/>
                            <w:szCs w:val="18"/>
                          </w:rPr>
                          <w:t>本次募集资金投资项目在前期经过充分的可行性论证，但在具体实施过程中受到多方</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面因素影响，因置换项目用地，地形及地质发生变化，工程施工规划及投入需要进行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相应调整，导致建设项目开工时间延期，公司募集资金投资项目无法在计划时间内达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到预定可使用状态。基于上述原因，根据现阶段募集资金投资项目的实施进度、实际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建设情况及市场发展前景，公司决定将募集资金投资项目达到预定可使用状态日期由</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日长至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pStyle w:val="BodyText"/>
        <w:spacing w:line="240" w:lineRule="auto" w:before="76"/>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2"/>
        <w:spacing w:line="240" w:lineRule="auto" w:before="26"/>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89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贵安新区贵 金科技有限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智能科技产 品的研发、 设计及销 售，人工智 能及大数据 的研发与销 售，软件和 信息技术服 务领域内的 技术及产品 开发、技术 转让、技术 咨询、技术 服务，计算 机软硬件及 辅助设备、 电子设备、 通信设备、 信息服务产 品，安全保 护服务产品 的设计、研 发、生产、 销售及维 护。</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11"/>
              <w:jc w:val="right"/>
              <w:rPr>
                <w:rFonts w:ascii="宋体" w:hAnsi="宋体" w:cs="宋体" w:eastAsia="宋体" w:hint="default"/>
                <w:sz w:val="18"/>
                <w:szCs w:val="18"/>
              </w:rPr>
            </w:pPr>
            <w:r>
              <w:rPr>
                <w:rFonts w:ascii="宋体" w:hAnsi="宋体" w:cs="宋体" w:eastAsia="宋体" w:hint="default"/>
                <w:sz w:val="18"/>
                <w:szCs w:val="18"/>
              </w:rPr>
              <w:t>伍佰万元整</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22,168,907.5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1,706,909.77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19,629,385.8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-266,738.09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-207,551.54</w:t>
            </w:r>
          </w:p>
        </w:tc>
      </w:tr>
    </w:tbl>
    <w:p>
      <w:pPr>
        <w:pStyle w:val="BodyText"/>
        <w:spacing w:line="240" w:lineRule="auto" w:before="51"/>
        <w:ind w:right="0"/>
        <w:jc w:val="left"/>
      </w:pPr>
      <w:r>
        <w:rPr/>
        <w:t>报告期内取得和处置子公司的情况</w:t>
      </w:r>
    </w:p>
    <w:p>
      <w:pPr>
        <w:pStyle w:val="BodyText"/>
        <w:spacing w:line="348" w:lineRule="auto" w:before="117"/>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 不适用。</w:t>
      </w: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0"/>
        <w:jc w:val="left"/>
      </w:pPr>
      <w:r>
        <w:rPr/>
        <w:t>（一）行业格局和趋势 </w:t>
      </w:r>
      <w:r>
        <w:rPr>
          <w:spacing w:val="-4"/>
        </w:rPr>
        <w:t>近年来，金融科技领域深化发展，围绕金融风险防范、聚焦行业需求成为发展趋势。随着金融科技的发展，物联网技术、</w:t>
      </w:r>
    </w:p>
    <w:p>
      <w:pPr>
        <w:pStyle w:val="BodyText"/>
        <w:spacing w:line="316" w:lineRule="auto" w:before="19"/>
        <w:ind w:right="1032"/>
        <w:jc w:val="left"/>
      </w:pPr>
      <w:r>
        <w:rPr>
          <w:spacing w:val="-2"/>
        </w:rPr>
        <w:t>人工智能技术深入应用于金融业场景，在金融去杠杆、加强监管的趋势下，银行业对风险防控高度重视，运用金融科技助力</w:t>
      </w:r>
      <w:r>
        <w:rPr>
          <w:spacing w:val="-66"/>
        </w:rPr>
        <w:t> </w:t>
      </w:r>
      <w:r>
        <w:rPr>
          <w:spacing w:val="-66"/>
        </w:rPr>
      </w:r>
      <w:r>
        <w:rPr/>
        <w:t>金融风险防范成为趋势。公司以人工智能、物联网技术为核心，以市场需求为导向，聚焦为客户创造价值，精准市场定位，</w:t>
      </w:r>
      <w:r>
        <w:rPr/>
        <w:t> 浪式推出一代又一代新产品。</w:t>
      </w:r>
    </w:p>
    <w:p>
      <w:pPr>
        <w:pStyle w:val="BodyText"/>
        <w:spacing w:line="240" w:lineRule="auto" w:before="19"/>
        <w:ind w:left="514" w:right="0"/>
        <w:jc w:val="left"/>
      </w:pPr>
      <w:r>
        <w:rPr/>
        <w:t>（二）公司发展战略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040" w:firstLine="360"/>
        <w:jc w:val="left"/>
      </w:pPr>
      <w:r>
        <w:rPr/>
        <w:t>公司秉承</w:t>
      </w:r>
      <w:r>
        <w:rPr>
          <w:rFonts w:ascii="Times New Roman" w:hAnsi="Times New Roman" w:cs="Times New Roman" w:eastAsia="Times New Roman" w:hint="default"/>
        </w:rPr>
        <w:t>“</w:t>
      </w:r>
      <w:r>
        <w:rPr/>
        <w:t>一究到底、止于至善</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的企业文化，追求卓越，致力于打造能抓住客户心的产品，让销售事半功倍；打造能 </w:t>
      </w:r>
      <w:r>
        <w:rPr>
          <w:spacing w:val="-3"/>
        </w:rPr>
        <w:t>抓住客户心的营销，让产品插上成功的翅膀。公司始终坚持</w:t>
      </w:r>
      <w:r>
        <w:rPr>
          <w:rFonts w:ascii="Times New Roman" w:hAnsi="Times New Roman" w:cs="Times New Roman" w:eastAsia="Times New Roman" w:hint="default"/>
          <w:spacing w:val="-3"/>
        </w:rPr>
        <w:t>“</w:t>
      </w:r>
      <w:r>
        <w:rPr>
          <w:spacing w:val="-3"/>
        </w:rPr>
        <w:t>以客户为中心、市场为导向，为客户创造价值</w:t>
      </w:r>
      <w:r>
        <w:rPr>
          <w:rFonts w:ascii="Times New Roman" w:hAnsi="Times New Roman" w:cs="Times New Roman" w:eastAsia="Times New Roman" w:hint="default"/>
          <w:spacing w:val="-3"/>
        </w:rPr>
        <w:t>”</w:t>
      </w:r>
      <w:r>
        <w:rPr>
          <w:spacing w:val="-3"/>
        </w:rPr>
        <w:t>的核心价值理念，</w:t>
      </w:r>
      <w:r>
        <w:rPr>
          <w:spacing w:val="-78"/>
        </w:rPr>
        <w:t> </w:t>
      </w:r>
      <w:r>
        <w:rPr>
          <w:spacing w:val="-2"/>
        </w:rPr>
        <w:t>精准企业定位，精准客户定位、精准产品定位，因势而变，强化执行，实现企业健康发展。在日趋激烈的竞争环境下，公司</w:t>
      </w:r>
      <w:r>
        <w:rPr>
          <w:spacing w:val="-72"/>
        </w:rPr>
        <w:t> </w:t>
      </w:r>
      <w:r>
        <w:rPr>
          <w:spacing w:val="-72"/>
        </w:rPr>
      </w:r>
      <w:r>
        <w:rPr>
          <w:spacing w:val="-2"/>
        </w:rPr>
        <w:t>要敏锐把握市场需求，提升创新能力，加大研发投入，及时做好前瞻性新产品规划与布局，进一步拓展客户，保持国内行业</w:t>
      </w:r>
      <w:r>
        <w:rPr>
          <w:spacing w:val="-66"/>
        </w:rPr>
        <w:t> </w:t>
      </w:r>
      <w:r>
        <w:rPr>
          <w:spacing w:val="-66"/>
        </w:rPr>
      </w:r>
      <w:r>
        <w:rPr/>
        <w:t>领先地位，持续奋斗，持续创造价值。</w:t>
      </w:r>
    </w:p>
    <w:p>
      <w:pPr>
        <w:pStyle w:val="BodyText"/>
        <w:spacing w:line="316" w:lineRule="auto" w:before="24"/>
        <w:ind w:right="1130" w:firstLine="360"/>
        <w:jc w:val="both"/>
      </w:pPr>
      <w:r>
        <w:rPr>
          <w:spacing w:val="-2"/>
        </w:rPr>
        <w:t>公司专注于人工智能、物联网、动态密码、加密通信等高新技术在金融领域、政府及社会服务等领域的应用。聚焦金融</w:t>
      </w:r>
      <w:r>
        <w:rPr/>
        <w:t> </w:t>
      </w:r>
      <w:r>
        <w:rPr>
          <w:spacing w:val="-2"/>
        </w:rPr>
        <w:t>行业内控风险防范，产品研发紧跟金融行业及金融科技发展趋势，浪式发展，销售一代、研发一代、预研一代，为客户创造</w:t>
      </w:r>
      <w:r>
        <w:rPr>
          <w:spacing w:val="-68"/>
        </w:rPr>
        <w:t> </w:t>
      </w:r>
      <w:r>
        <w:rPr>
          <w:spacing w:val="-68"/>
        </w:rPr>
      </w:r>
      <w:r>
        <w:rPr/>
        <w:t>价值，实现有质量的经营增长。</w:t>
      </w:r>
    </w:p>
    <w:p>
      <w:pPr>
        <w:pStyle w:val="BodyText"/>
        <w:spacing w:line="300" w:lineRule="auto" w:before="19"/>
        <w:ind w:left="514" w:right="2832"/>
        <w:jc w:val="left"/>
      </w:pPr>
      <w:r>
        <w:rPr/>
        <w:t>（三）</w:t>
      </w:r>
      <w:r>
        <w:rPr>
          <w:rFonts w:ascii="Times New Roman" w:hAnsi="Times New Roman" w:cs="Times New Roman" w:eastAsia="Times New Roman" w:hint="default"/>
        </w:rPr>
        <w:t>2019</w:t>
      </w:r>
      <w:r>
        <w:rPr/>
        <w:t>年度工作部署 围绕公司的战略规划，公司制定了</w:t>
      </w:r>
      <w:r>
        <w:rPr>
          <w:rFonts w:ascii="Times New Roman" w:hAnsi="Times New Roman" w:cs="Times New Roman" w:eastAsia="Times New Roman" w:hint="default"/>
        </w:rPr>
        <w:t>2019</w:t>
      </w:r>
      <w:r>
        <w:rPr/>
        <w:t>年各项工作部署，保证公司持续健康的发展。具体如下： </w:t>
      </w:r>
      <w:r>
        <w:rPr>
          <w:rFonts w:ascii="Times New Roman" w:hAnsi="Times New Roman" w:cs="Times New Roman" w:eastAsia="Times New Roman" w:hint="default"/>
        </w:rPr>
        <w:t>1</w:t>
      </w:r>
      <w:r>
        <w:rPr/>
        <w:t>、研发和产品方面</w:t>
      </w:r>
    </w:p>
    <w:p>
      <w:pPr>
        <w:pStyle w:val="BodyText"/>
        <w:spacing w:line="316" w:lineRule="auto" w:before="13"/>
        <w:ind w:right="0" w:firstLine="360"/>
        <w:jc w:val="left"/>
      </w:pPr>
      <w:r>
        <w:rPr>
          <w:spacing w:val="-4"/>
        </w:rPr>
        <w:t>公司关注金融业改革和金融科技发展动向，以市场为导向，以金融科技、金融行业转型发展为主线，持续加大研发投入，</w:t>
      </w:r>
      <w:r>
        <w:rPr/>
        <w:t> </w:t>
      </w:r>
      <w:r>
        <w:rPr>
          <w:spacing w:val="-2"/>
        </w:rPr>
        <w:t>提高产品竞争力，在保持现有核心竞争优势的基础上，广泛并专业的收集和理解市场及客户需求，完善研发项目管理，聚焦</w:t>
      </w:r>
      <w:r>
        <w:rPr>
          <w:spacing w:val="-66"/>
        </w:rPr>
        <w:t> </w:t>
      </w:r>
      <w:r>
        <w:rPr>
          <w:spacing w:val="-66"/>
        </w:rPr>
      </w:r>
      <w:r>
        <w:rPr/>
        <w:t>核心价值，精准市场定位，浪式推出一代又一代新产品，打造具有行业核心竞争力的同心多元化产品集群。</w:t>
      </w:r>
    </w:p>
    <w:p>
      <w:pPr>
        <w:pStyle w:val="BodyText"/>
        <w:spacing w:line="240" w:lineRule="auto" w:before="19"/>
        <w:ind w:left="514" w:right="0"/>
        <w:jc w:val="left"/>
      </w:pPr>
      <w:r>
        <w:rPr/>
        <w:t>公司将继续提升知识产权的质量和保护工作力度，及时将技术创新成果转化为专利资产。</w:t>
      </w:r>
    </w:p>
    <w:p>
      <w:pPr>
        <w:pStyle w:val="BodyText"/>
        <w:spacing w:line="300" w:lineRule="auto" w:before="76"/>
        <w:ind w:left="514" w:right="1032"/>
        <w:jc w:val="left"/>
      </w:pPr>
      <w:r>
        <w:rPr>
          <w:rFonts w:ascii="Times New Roman" w:hAnsi="Times New Roman" w:cs="Times New Roman" w:eastAsia="Times New Roman" w:hint="default"/>
        </w:rPr>
        <w:t>2</w:t>
      </w:r>
      <w:r>
        <w:rPr/>
        <w:t>、市场方面 积极维护客户、供应商资源，匹配资源投入，持续地经营客户群体，实现有效突破，加强供应商的选择、培养和管理，</w:t>
      </w:r>
    </w:p>
    <w:p>
      <w:pPr>
        <w:pStyle w:val="BodyText"/>
        <w:spacing w:line="316" w:lineRule="auto" w:before="31"/>
        <w:ind w:right="1118"/>
        <w:jc w:val="left"/>
      </w:pPr>
      <w:r>
        <w:rPr>
          <w:spacing w:val="-2"/>
        </w:rPr>
        <w:t>建立良好的合作关系，共同发展。公司将在重点客户和产品上进行布局，力争在新业务上实现突破，为长期业绩的增长奠定</w:t>
      </w:r>
      <w:r>
        <w:rPr>
          <w:spacing w:val="-66"/>
        </w:rPr>
        <w:t> </w:t>
      </w:r>
      <w:r>
        <w:rPr>
          <w:spacing w:val="-66"/>
        </w:rPr>
      </w:r>
      <w:r>
        <w:rPr/>
        <w:t>基础。</w:t>
      </w:r>
    </w:p>
    <w:p>
      <w:pPr>
        <w:pStyle w:val="BodyText"/>
        <w:spacing w:line="309" w:lineRule="auto" w:before="19"/>
        <w:ind w:left="514" w:right="1032"/>
        <w:jc w:val="left"/>
      </w:pPr>
      <w:r>
        <w:rPr/>
        <w:t>重视品牌建设，加强市场宣传力度，完善渠道、上下游战略合作，增强服务能力，进一步提升公司的品牌形象和价值。 </w:t>
      </w:r>
      <w:r>
        <w:rPr>
          <w:rFonts w:ascii="Times New Roman" w:hAnsi="Times New Roman" w:cs="Times New Roman" w:eastAsia="Times New Roman" w:hint="default"/>
        </w:rPr>
        <w:t>3</w:t>
      </w:r>
      <w:r>
        <w:rPr/>
        <w:t>、体系建设方面 </w:t>
      </w:r>
      <w:r>
        <w:rPr>
          <w:spacing w:val="-2"/>
        </w:rPr>
        <w:t>继续深化体系建设，更好地支持组织架构、平台、流程、制度建设以及职能部门；建立前瞻、敏捷、立规则、保质量地</w:t>
      </w:r>
    </w:p>
    <w:p>
      <w:pPr>
        <w:pStyle w:val="BodyText"/>
        <w:spacing w:line="240" w:lineRule="auto" w:before="24"/>
        <w:ind w:right="0"/>
        <w:jc w:val="left"/>
      </w:pPr>
      <w:r>
        <w:rPr/>
        <w:t>产出组织和支撑产出组织的能力组织体系；以终为始地打造汇金质量预防性和推进标准化体系建设。</w:t>
      </w:r>
    </w:p>
    <w:p>
      <w:pPr>
        <w:pStyle w:val="BodyText"/>
        <w:spacing w:line="300" w:lineRule="auto" w:before="76"/>
        <w:ind w:left="514" w:right="0"/>
        <w:jc w:val="left"/>
      </w:pPr>
      <w:r>
        <w:rPr>
          <w:rFonts w:ascii="Times New Roman" w:hAnsi="Times New Roman" w:cs="Times New Roman" w:eastAsia="Times New Roman" w:hint="default"/>
        </w:rPr>
        <w:t>4</w:t>
      </w:r>
      <w:r>
        <w:rPr/>
        <w:t>、内部控制方面 </w:t>
      </w:r>
      <w:r>
        <w:rPr>
          <w:spacing w:val="-2"/>
        </w:rPr>
        <w:t>强化管控，加强生产品质的控制，提高生产计划的可行性和准确性；强化内部审计监督及稽核管理职能。持续完善公司</w:t>
      </w:r>
    </w:p>
    <w:p>
      <w:pPr>
        <w:pStyle w:val="BodyText"/>
        <w:spacing w:line="240" w:lineRule="auto" w:before="31"/>
        <w:ind w:right="0"/>
        <w:jc w:val="left"/>
      </w:pPr>
      <w:r>
        <w:rPr/>
        <w:t>治理和内部控制制度，优化管理流程，提升管理水平，提高公司经营管理效率，适应企业的快速发展。</w:t>
      </w:r>
    </w:p>
    <w:p>
      <w:pPr>
        <w:pStyle w:val="BodyText"/>
        <w:spacing w:line="300" w:lineRule="auto" w:before="76"/>
        <w:ind w:left="514" w:right="1118"/>
        <w:jc w:val="left"/>
      </w:pPr>
      <w:r>
        <w:rPr>
          <w:rFonts w:ascii="Times New Roman" w:hAnsi="Times New Roman" w:cs="Times New Roman" w:eastAsia="Times New Roman" w:hint="default"/>
        </w:rPr>
        <w:t>5</w:t>
      </w:r>
      <w:r>
        <w:rPr/>
        <w:t>、人员方面 </w:t>
      </w:r>
      <w:r>
        <w:rPr>
          <w:spacing w:val="-2"/>
        </w:rPr>
        <w:t>持续完善适应公司发展的人才选用、培养、考核、激励机制。建立</w:t>
      </w:r>
      <w:r>
        <w:rPr>
          <w:rFonts w:ascii="Times New Roman" w:hAnsi="Times New Roman" w:cs="Times New Roman" w:eastAsia="Times New Roman" w:hint="default"/>
          <w:spacing w:val="-2"/>
        </w:rPr>
        <w:t>“</w:t>
      </w:r>
      <w:r>
        <w:rPr>
          <w:spacing w:val="-2"/>
        </w:rPr>
        <w:t>责任结果导向</w:t>
      </w:r>
      <w:r>
        <w:rPr>
          <w:rFonts w:ascii="Times New Roman" w:hAnsi="Times New Roman" w:cs="Times New Roman" w:eastAsia="Times New Roman" w:hint="default"/>
          <w:spacing w:val="-2"/>
        </w:rPr>
        <w:t>”</w:t>
      </w:r>
      <w:r>
        <w:rPr>
          <w:spacing w:val="-2"/>
        </w:rPr>
        <w:t>的绩效考核机制，打造独立思考的精</w:t>
      </w:r>
    </w:p>
    <w:p>
      <w:pPr>
        <w:pStyle w:val="BodyText"/>
        <w:spacing w:line="316" w:lineRule="auto" w:before="13"/>
        <w:ind w:right="1140"/>
        <w:jc w:val="left"/>
      </w:pPr>
      <w:r>
        <w:rPr/>
        <w:t>兵强将，让人才资源真正实现增值增效。</w:t>
      </w:r>
      <w:r>
        <w:rPr>
          <w:spacing w:val="-18"/>
        </w:rPr>
        <w:t> </w:t>
      </w:r>
      <w:r>
        <w:rPr/>
        <w:t>注重员工在工作中的实践和成长，鼓励总结和分享，形成你追我赶的良好局面通</w:t>
      </w:r>
      <w:r>
        <w:rPr/>
        <w:t> 过树立先进、表彰优秀等激励手段，充分调动员工的积极性和创造性。提升企业人才整体竞争力。</w:t>
      </w:r>
    </w:p>
    <w:p>
      <w:pPr>
        <w:pStyle w:val="BodyText"/>
        <w:spacing w:line="300" w:lineRule="auto" w:before="19"/>
        <w:ind w:left="514" w:right="0"/>
        <w:jc w:val="left"/>
      </w:pPr>
      <w:r>
        <w:rPr>
          <w:rFonts w:ascii="Times New Roman" w:hAnsi="Times New Roman" w:cs="Times New Roman" w:eastAsia="Times New Roman" w:hint="default"/>
        </w:rPr>
        <w:t>6</w:t>
      </w:r>
      <w:r>
        <w:rPr/>
        <w:t>、内生与外延并进发展 </w:t>
      </w:r>
      <w:r>
        <w:rPr>
          <w:spacing w:val="-2"/>
        </w:rPr>
        <w:t>在深耕、精耕主营业务，企业内生式发展的同时，关注市场趋势，依托资本市场的支持，通过收购兼并、参股控股等方</w:t>
      </w:r>
    </w:p>
    <w:p>
      <w:pPr>
        <w:pStyle w:val="BodyText"/>
        <w:spacing w:line="316" w:lineRule="auto" w:before="31"/>
        <w:ind w:left="514" w:right="3372" w:hanging="360"/>
        <w:jc w:val="left"/>
      </w:pPr>
      <w:r>
        <w:rPr/>
        <w:t>式，寻求外延并购等发展机会，实现资本推动产业发展，实现资源互补，促进公司稳健发展。 上述经营计划不构成公司对投资者的业绩承诺。请投资者注意投资风险。</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日投资者 关系活动记录表</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39996pt;margin-top:708.200012pt;width:290.95pt;height:20.8pt;mso-position-horizontal-relative:page;mso-position-vertical-relative:page;z-index:-1158208" coordorigin="4857,14164" coordsize="5819,416">
            <v:group style="position:absolute;left:4868;top:14176;width:2;height:393" coordorigin="4868,14176" coordsize="2,393">
              <v:shape style="position:absolute;left:4868;top:14176;width:2;height:393" coordorigin="4868,14176" coordsize="0,393" path="m4868,14176l4868,14568e" filled="false" stroked="true" strokeweight="1.160pt" strokecolor="#ffffff">
                <v:path arrowok="t"/>
              </v:shape>
            </v:group>
            <v:group style="position:absolute;left:4880;top:14176;width:5796;height:393" coordorigin="4880,14176" coordsize="5796,393">
              <v:shape style="position:absolute;left:4880;top:14176;width:5796;height:393" coordorigin="4880,14176" coordsize="5796,393" path="m4880,14568l10675,14568,10675,14176,4880,14176,4880,14568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_TOC_250007"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日，公司召开第二届董事会第十九次会议，审议通过了公司</w:t>
      </w:r>
      <w:r>
        <w:rPr>
          <w:rFonts w:ascii="Times New Roman" w:hAnsi="Times New Roman" w:cs="Times New Roman" w:eastAsia="Times New Roman" w:hint="default"/>
        </w:rPr>
        <w:t>2017</w:t>
      </w:r>
      <w:r>
        <w:rPr/>
        <w:t>年度利润分配预案：以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 总股本</w:t>
      </w:r>
      <w:r>
        <w:rPr>
          <w:rFonts w:ascii="Times New Roman" w:hAnsi="Times New Roman" w:cs="Times New Roman" w:eastAsia="Times New Roman" w:hint="default"/>
        </w:rPr>
        <w:t>85,160,000</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3.60</w:t>
      </w:r>
      <w:r>
        <w:rPr/>
        <w:t>元（含税），同时以资本公积金向全体股东每</w:t>
      </w:r>
      <w:r>
        <w:rPr>
          <w:rFonts w:ascii="Times New Roman" w:hAnsi="Times New Roman" w:cs="Times New Roman" w:eastAsia="Times New Roman" w:hint="default"/>
        </w:rPr>
        <w:t>10</w:t>
      </w:r>
      <w:r>
        <w:rPr/>
        <w:t>股 转增</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日，公司召开的</w:t>
      </w:r>
      <w:r>
        <w:rPr>
          <w:rFonts w:ascii="Times New Roman" w:hAnsi="Times New Roman" w:cs="Times New Roman" w:eastAsia="Times New Roman" w:hint="default"/>
        </w:rPr>
        <w:t>2017</w:t>
      </w:r>
      <w:r>
        <w:rPr/>
        <w:t>年年度股东大会审议通过了</w:t>
      </w:r>
      <w:r>
        <w:rPr>
          <w:rFonts w:ascii="Times New Roman" w:hAnsi="Times New Roman" w:cs="Times New Roman" w:eastAsia="Times New Roman" w:hint="default"/>
        </w:rPr>
        <w:t>2017</w:t>
      </w:r>
      <w:r>
        <w:rPr/>
        <w:t>年年度权益分派方案。</w:t>
      </w:r>
    </w:p>
    <w:p>
      <w:pPr>
        <w:pStyle w:val="BodyText"/>
        <w:spacing w:line="300" w:lineRule="auto" w:before="13"/>
        <w:ind w:right="1118"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日，公司披露了《</w:t>
      </w:r>
      <w:r>
        <w:rPr>
          <w:rFonts w:ascii="Times New Roman" w:hAnsi="Times New Roman" w:cs="Times New Roman" w:eastAsia="Times New Roman" w:hint="default"/>
        </w:rPr>
        <w:t>2017</w:t>
      </w:r>
      <w:r>
        <w:rPr/>
        <w:t>年年度权益分派实施公告》（公告编号：</w:t>
      </w:r>
      <w:r>
        <w:rPr>
          <w:rFonts w:ascii="Times New Roman" w:hAnsi="Times New Roman" w:cs="Times New Roman" w:eastAsia="Times New Roman" w:hint="default"/>
        </w:rPr>
        <w:t>2018-048</w:t>
      </w:r>
      <w:r>
        <w:rPr/>
        <w:t>），由于公司权益分派方案经股 </w:t>
      </w:r>
      <w:r>
        <w:rPr>
          <w:spacing w:val="-1"/>
        </w:rPr>
        <w:t>东大会审议通过后至实施前，公司股份总数因实施限制性股票授予登记而增加，根据</w:t>
      </w:r>
      <w:r>
        <w:rPr>
          <w:spacing w:val="-5"/>
        </w:rPr>
        <w:t> </w:t>
      </w:r>
      <w:r>
        <w:rPr>
          <w:rFonts w:ascii="Times New Roman" w:hAnsi="Times New Roman" w:cs="Times New Roman" w:eastAsia="Times New Roman" w:hint="default"/>
          <w:spacing w:val="-2"/>
        </w:rPr>
        <w:t>“</w:t>
      </w:r>
      <w:r>
        <w:rPr>
          <w:spacing w:val="-2"/>
        </w:rPr>
        <w:t>现金分红总额、送红股总额、转增股</w:t>
      </w:r>
      <w:r>
        <w:rPr/>
        <w:t> 本总额固定不变</w:t>
      </w:r>
      <w:r>
        <w:rPr>
          <w:rFonts w:ascii="Times New Roman" w:hAnsi="Times New Roman" w:cs="Times New Roman" w:eastAsia="Times New Roman" w:hint="default"/>
        </w:rPr>
        <w:t>”</w:t>
      </w:r>
      <w:r>
        <w:rPr/>
        <w:t>的原则，调整后的公司</w:t>
      </w:r>
      <w:r>
        <w:rPr>
          <w:rFonts w:ascii="Times New Roman" w:hAnsi="Times New Roman" w:cs="Times New Roman" w:eastAsia="Times New Roman" w:hint="default"/>
        </w:rPr>
        <w:t>2017</w:t>
      </w:r>
      <w:r>
        <w:rPr/>
        <w:t>年年度权益分派方案为：以总股本</w:t>
      </w:r>
      <w:r>
        <w:rPr>
          <w:rFonts w:ascii="Times New Roman" w:hAnsi="Times New Roman" w:cs="Times New Roman" w:eastAsia="Times New Roman" w:hint="default"/>
        </w:rPr>
        <w:t>85,350,000</w:t>
      </w:r>
      <w:r>
        <w:rPr/>
        <w:t>股为基数，向全体股东每</w:t>
      </w:r>
      <w:r>
        <w:rPr>
          <w:rFonts w:ascii="Times New Roman" w:hAnsi="Times New Roman" w:cs="Times New Roman" w:eastAsia="Times New Roman" w:hint="default"/>
        </w:rPr>
        <w:t>10</w:t>
      </w:r>
      <w:r>
        <w:rPr/>
        <w:t>股派 </w:t>
      </w:r>
      <w:r>
        <w:rPr>
          <w:rFonts w:ascii="Times New Roman" w:hAnsi="Times New Roman" w:cs="Times New Roman" w:eastAsia="Times New Roman" w:hint="default"/>
          <w:spacing w:val="-2"/>
        </w:rPr>
        <w:t>3.591985</w:t>
      </w:r>
      <w:r>
        <w:rPr>
          <w:spacing w:val="-2"/>
        </w:rPr>
        <w:t>元人民币现金（含税），同时以资本公积金向全体股东每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9.977738</w:t>
      </w:r>
      <w:r>
        <w:rPr>
          <w:spacing w:val="-2"/>
        </w:rPr>
        <w:t>股。本次权益分派股权登记日为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29</w:t>
      </w: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日。截止报告期末，公司已经完成</w:t>
      </w:r>
      <w:r>
        <w:rPr>
          <w:rFonts w:ascii="Times New Roman" w:hAnsi="Times New Roman" w:cs="Times New Roman" w:eastAsia="Times New Roman" w:hint="default"/>
        </w:rPr>
        <w:t>2017</w:t>
      </w:r>
      <w:r>
        <w:rPr/>
        <w:t>年度权益分派的实施工作。</w:t>
      </w:r>
    </w:p>
    <w:p>
      <w:pPr>
        <w:pStyle w:val="BodyText"/>
        <w:spacing w:line="316" w:lineRule="auto" w:before="13"/>
        <w:ind w:right="0" w:firstLine="360"/>
        <w:jc w:val="left"/>
      </w:pPr>
      <w:r>
        <w:rPr>
          <w:spacing w:val="-4"/>
        </w:rPr>
        <w:t>报告期内，公司按照《公司章程》及《珠海汇金科技股份有限公司首次公开发行股票并上市后股东分红回报规划》执行，</w:t>
      </w:r>
      <w:r>
        <w:rPr/>
        <w:t> 公司普通股利润分配政策没有发生变化。</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9"/>
        <w:ind w:right="0"/>
        <w:jc w:val="left"/>
      </w:pPr>
      <w:r>
        <w:rPr/>
        <w:t>公司报告期利润分配预案及资本公积金转增股本预案与公司章程和分红管理办法等的相关规定一致</w:t>
      </w:r>
    </w:p>
    <w:p>
      <w:pPr>
        <w:pStyle w:val="BodyText"/>
        <w:spacing w:line="348" w:lineRule="auto" w:before="117"/>
        <w:ind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170,115,232</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34,023,046.40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tabs>
                <w:tab w:pos="5504" w:val="left" w:leader="none"/>
              </w:tabs>
              <w:spacing w:line="240" w:lineRule="auto" w:before="51"/>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34,023,046.40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220,746,730.81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06"/>
        <w:gridCol w:w="5863"/>
      </w:tblGrid>
      <w:tr>
        <w:trPr>
          <w:trHeight w:val="714"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经瑞华会计师事务所（特殊普通合伙）审计，公司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年度归属于上市公司股东的净利润为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2,603.75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万元。公司以截止</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15,232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派</w:t>
            </w:r>
            <w:r>
              <w:rPr>
                <w:rFonts w:ascii="宋体" w:hAnsi="宋体" w:cs="宋体" w:eastAsia="宋体" w:hint="default"/>
                <w:sz w:val="18"/>
                <w:szCs w:val="18"/>
              </w:rPr>
              <w:t>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，同时以资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本公积金转增股份每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319" w:lineRule="auto" w:before="51"/>
        <w:ind w:right="1029"/>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2016</w:t>
      </w:r>
      <w:r>
        <w:rPr>
          <w:spacing w:val="-2"/>
        </w:rPr>
        <w:t>年度利润分配方案：以公司总股本</w:t>
      </w:r>
      <w:r>
        <w:rPr>
          <w:rFonts w:ascii="Times New Roman" w:hAnsi="Times New Roman" w:cs="Times New Roman" w:eastAsia="Times New Roman" w:hint="default"/>
          <w:spacing w:val="-2"/>
        </w:rPr>
        <w:t>56,000,000</w:t>
      </w:r>
      <w:r>
        <w:rPr>
          <w:spacing w:val="-2"/>
        </w:rPr>
        <w:t>股为基数，向全体股东每</w:t>
      </w:r>
      <w:r>
        <w:rPr>
          <w:rFonts w:ascii="Times New Roman" w:hAnsi="Times New Roman" w:cs="Times New Roman" w:eastAsia="Times New Roman" w:hint="default"/>
          <w:spacing w:val="-2"/>
        </w:rPr>
        <w:t>10</w:t>
      </w:r>
      <w:r>
        <w:rPr>
          <w:spacing w:val="-2"/>
        </w:rPr>
        <w:t>股派发现金红利人民币</w:t>
      </w:r>
      <w:r>
        <w:rPr>
          <w:rFonts w:ascii="Times New Roman" w:hAnsi="Times New Roman" w:cs="Times New Roman" w:eastAsia="Times New Roman" w:hint="default"/>
          <w:spacing w:val="-2"/>
        </w:rPr>
        <w:t>3.60</w:t>
      </w:r>
      <w:r>
        <w:rPr>
          <w:spacing w:val="-2"/>
        </w:rPr>
        <w:t>元（含税），</w:t>
      </w:r>
      <w:r>
        <w:rPr/>
        <w:t> 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股。</w:t>
      </w:r>
    </w:p>
    <w:p>
      <w:pPr>
        <w:pStyle w:val="BodyText"/>
        <w:spacing w:line="300" w:lineRule="auto"/>
        <w:ind w:right="0"/>
        <w:jc w:val="left"/>
      </w:pPr>
      <w:r>
        <w:rPr>
          <w:rFonts w:ascii="Times New Roman" w:hAnsi="Times New Roman" w:cs="Times New Roman" w:eastAsia="Times New Roman" w:hint="default"/>
        </w:rPr>
        <w:t>2• </w:t>
      </w:r>
      <w:r>
        <w:rPr>
          <w:spacing w:val="-3"/>
        </w:rPr>
        <w:t>、公司</w:t>
      </w:r>
      <w:r>
        <w:rPr>
          <w:rFonts w:ascii="Times New Roman" w:hAnsi="Times New Roman" w:cs="Times New Roman" w:eastAsia="Times New Roman" w:hint="default"/>
          <w:spacing w:val="-3"/>
        </w:rPr>
        <w:t>2017</w:t>
      </w:r>
      <w:r>
        <w:rPr>
          <w:spacing w:val="-3"/>
        </w:rPr>
        <w:t>年度利润分配方案：以公司总股本</w:t>
      </w:r>
      <w:r>
        <w:rPr>
          <w:rFonts w:ascii="Times New Roman" w:hAnsi="Times New Roman" w:cs="Times New Roman" w:eastAsia="Times New Roman" w:hint="default"/>
          <w:spacing w:val="-3"/>
        </w:rPr>
        <w:t>85,350,000</w:t>
      </w:r>
      <w:r>
        <w:rPr>
          <w:spacing w:val="-3"/>
        </w:rPr>
        <w:t>股为基数，向全体股东每</w:t>
      </w:r>
      <w:r>
        <w:rPr>
          <w:rFonts w:ascii="Times New Roman" w:hAnsi="Times New Roman" w:cs="Times New Roman" w:eastAsia="Times New Roman" w:hint="default"/>
          <w:spacing w:val="-3"/>
        </w:rPr>
        <w:t>10</w:t>
      </w:r>
      <w:r>
        <w:rPr>
          <w:spacing w:val="-3"/>
        </w:rPr>
        <w:t>股派发现金红利人民币</w:t>
      </w:r>
      <w:r>
        <w:rPr>
          <w:rFonts w:ascii="Times New Roman" w:hAnsi="Times New Roman" w:cs="Times New Roman" w:eastAsia="Times New Roman" w:hint="default"/>
          <w:spacing w:val="-3"/>
        </w:rPr>
        <w:t>3.591985</w:t>
      </w:r>
      <w:r>
        <w:rPr>
          <w:spacing w:val="-3"/>
        </w:rPr>
        <w:t>元（含</w:t>
      </w:r>
      <w:r>
        <w:rPr>
          <w:spacing w:val="-87"/>
        </w:rPr>
        <w:t> </w:t>
      </w:r>
      <w:r>
        <w:rPr>
          <w:spacing w:val="-87"/>
        </w:rPr>
      </w:r>
      <w:r>
        <w:rPr/>
        <w:t>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9.977738</w:t>
      </w:r>
      <w:r>
        <w:rPr/>
        <w:t>股。 </w:t>
      </w:r>
      <w:r>
        <w:rPr>
          <w:rFonts w:ascii="Times New Roman" w:hAnsi="Times New Roman" w:cs="Times New Roman" w:eastAsia="Times New Roman" w:hint="default"/>
          <w:spacing w:val="-4"/>
        </w:rPr>
        <w:t>3</w:t>
      </w:r>
      <w:r>
        <w:rPr>
          <w:spacing w:val="-4"/>
        </w:rPr>
        <w:t>、公司</w:t>
      </w:r>
      <w:r>
        <w:rPr>
          <w:rFonts w:ascii="Times New Roman" w:hAnsi="Times New Roman" w:cs="Times New Roman" w:eastAsia="Times New Roman" w:hint="default"/>
          <w:spacing w:val="-4"/>
        </w:rPr>
        <w:t>2018</w:t>
      </w:r>
      <w:r>
        <w:rPr>
          <w:spacing w:val="-4"/>
        </w:rPr>
        <w:t>年度利润分配预案：以截止</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24</w:t>
      </w:r>
      <w:r>
        <w:rPr>
          <w:spacing w:val="-4"/>
        </w:rPr>
        <w:t>日公司总股本</w:t>
      </w:r>
      <w:r>
        <w:rPr>
          <w:rFonts w:ascii="Times New Roman" w:hAnsi="Times New Roman" w:cs="Times New Roman" w:eastAsia="Times New Roman" w:hint="default"/>
          <w:spacing w:val="-4"/>
        </w:rPr>
        <w:t>170,115,232</w:t>
      </w:r>
      <w:r>
        <w:rPr>
          <w:spacing w:val="-4"/>
        </w:rPr>
        <w:t>股为基数，向全体股东每</w:t>
      </w:r>
      <w:r>
        <w:rPr>
          <w:rFonts w:ascii="Times New Roman" w:hAnsi="Times New Roman" w:cs="Times New Roman" w:eastAsia="Times New Roman" w:hint="default"/>
          <w:spacing w:val="-4"/>
        </w:rPr>
        <w:t>10</w:t>
      </w:r>
      <w:r>
        <w:rPr>
          <w:spacing w:val="-4"/>
        </w:rPr>
        <w:t>股派发现金股利</w:t>
      </w:r>
      <w:r>
        <w:rPr>
          <w:rFonts w:ascii="Times New Roman" w:hAnsi="Times New Roman" w:cs="Times New Roman" w:eastAsia="Times New Roman" w:hint="default"/>
          <w:spacing w:val="-4"/>
        </w:rPr>
        <w:t>2.00</w:t>
      </w:r>
      <w:r>
        <w:rPr>
          <w:rFonts w:ascii="Times New Roman" w:hAnsi="Times New Roman" w:cs="Times New Roman" w:eastAsia="Times New Roman" w:hint="default"/>
          <w:spacing w:val="18"/>
        </w:rPr>
        <w:t> </w:t>
      </w:r>
      <w:r>
        <w:rPr/>
        <w:t>元人民币（含税），同时，以资本公积金转增股份每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spacing w:line="240" w:lineRule="auto" w:before="7"/>
        <w:rPr>
          <w:rFonts w:ascii="宋体" w:hAnsi="宋体" w:cs="宋体" w:eastAsia="宋体" w:hint="default"/>
          <w:sz w:val="24"/>
          <w:szCs w:val="24"/>
        </w:rPr>
      </w:pPr>
    </w:p>
    <w:p>
      <w:pPr>
        <w:pStyle w:val="BodyText"/>
        <w:spacing w:line="240" w:lineRule="auto" w:before="44"/>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85"/>
        <w:gridCol w:w="1208"/>
        <w:gridCol w:w="1185"/>
        <w:gridCol w:w="1219"/>
        <w:gridCol w:w="1172"/>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1"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5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34,023,046.40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26,037,504.42</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130.67%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34,023,046.40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130.67%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30,657,600.00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79,724,732.27</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38.45%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30,657,600.00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38.45%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78,861,491.66</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25.56%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20,160,000.00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25.56%</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5"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股份限售承 诺及减持意 向承诺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自发行人股 票上市之日 起三十六个 月内，本人不 转让或者委 托他人管理 本人直接或 间接持有的 发行人公开 发行股票前 已发行的股 票，也不由发 行人回购本 人直接或间 接持有的发 行人公开发 行股票前已 发行的股票； 任职期间本 人每年转让 的股票数量， 不超过届时 本人所持发 行人股票总 数的</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；离</w:t>
            </w:r>
            <w:r>
              <w:rPr>
                <w:rFonts w:ascii="宋体" w:hAnsi="宋体" w:cs="宋体" w:eastAsia="宋体" w:hint="default"/>
                <w:spacing w:val="-26"/>
                <w:sz w:val="18"/>
                <w:szCs w:val="18"/>
              </w:rPr>
              <w:t> </w:t>
            </w:r>
            <w:r>
              <w:rPr>
                <w:rFonts w:ascii="宋体" w:hAnsi="宋体" w:cs="宋体" w:eastAsia="宋体" w:hint="default"/>
                <w:sz w:val="18"/>
                <w:szCs w:val="18"/>
              </w:rPr>
              <w:t>职后半年内，</w:t>
            </w:r>
            <w:r>
              <w:rPr>
                <w:rFonts w:ascii="宋体" w:hAnsi="宋体" w:cs="宋体" w:eastAsia="宋体" w:hint="default"/>
                <w:sz w:val="18"/>
                <w:szCs w:val="18"/>
              </w:rPr>
              <w:t> 不转让本人 所持有的发 行人股份。本 人所持股票 在锁定期满 后两年内减 持的，其减持 价格不低于 发行价；发行 人上市后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月内如发行 人股票连续</w:t>
            </w:r>
          </w:p>
          <w:p>
            <w:pPr>
              <w:pStyle w:val="TableParagraph"/>
              <w:spacing w:line="309" w:lineRule="auto" w:before="19"/>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的收盘价均 低于发行价， 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2" w:right="97"/>
              <w:jc w:val="left"/>
              <w:rPr>
                <w:rFonts w:ascii="宋体" w:hAnsi="宋体" w:cs="宋体" w:eastAsia="宋体" w:hint="default"/>
                <w:sz w:val="18"/>
                <w:szCs w:val="18"/>
              </w:rPr>
            </w:pPr>
            <w:r>
              <w:rPr>
                <w:rFonts w:ascii="宋体" w:hAnsi="宋体" w:cs="宋体" w:eastAsia="宋体" w:hint="default"/>
                <w:sz w:val="18"/>
                <w:szCs w:val="18"/>
              </w:rPr>
              <w:t>锁定期限承 诺至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ind w:left="22" w:right="5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其他长期有 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盘价格低于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期限自动延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个月。本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人在锁定期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满，遵守相关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规章、规范性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文件及证券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规则且不违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背本人已做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出的其他承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诺的情况下，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将根据资金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需求、投资安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排等各方面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因素确定是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否减持所持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定期满两年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内，如本人确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定减持公司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股份的，则在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减持对公司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二级市场不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构成重大干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扰的条件下，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本人每年所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累积减持的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股份总数将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价格不低于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该等减持方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式为大宗交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易或集中竞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价等法律允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许的方式。该 等减持行为， 将提前三个 交易日予以 公告。期间公 司如有派息、 送股、资本公 积金转增股 本、配股等除 权除息事项， 减持底价相 应进行调整。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0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股份限售承 诺及减持意 向承诺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自发行人股 票上市之日 </w:t>
            </w:r>
            <w:r>
              <w:rPr>
                <w:rFonts w:ascii="宋体" w:hAnsi="宋体" w:cs="宋体" w:eastAsia="宋体" w:hint="default"/>
                <w:spacing w:val="-2"/>
                <w:sz w:val="18"/>
                <w:szCs w:val="18"/>
              </w:rPr>
              <w:t>起一年内，本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人不转让或 者委托他人 管理本人持 有的发行人 公开发行股 票前已发行 </w:t>
            </w:r>
            <w:r>
              <w:rPr>
                <w:rFonts w:ascii="宋体" w:hAnsi="宋体" w:cs="宋体" w:eastAsia="宋体" w:hint="default"/>
                <w:spacing w:val="-2"/>
                <w:sz w:val="18"/>
                <w:szCs w:val="18"/>
              </w:rPr>
              <w:t>的股票，也不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由发行人回 购本人持有 的发行人公 开发行股票 前已发行的 </w:t>
            </w:r>
            <w:r>
              <w:rPr>
                <w:rFonts w:ascii="宋体" w:hAnsi="宋体" w:cs="宋体" w:eastAsia="宋体" w:hint="default"/>
                <w:spacing w:val="-2"/>
                <w:sz w:val="18"/>
                <w:szCs w:val="18"/>
              </w:rPr>
              <w:t>股票；自发行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人首次公开 发行股票上 市之日起六 个月内申报 </w:t>
            </w:r>
            <w:r>
              <w:rPr>
                <w:rFonts w:ascii="宋体" w:hAnsi="宋体" w:cs="宋体" w:eastAsia="宋体" w:hint="default"/>
                <w:spacing w:val="-2"/>
                <w:sz w:val="18"/>
                <w:szCs w:val="18"/>
              </w:rPr>
              <w:t>离职的，自申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报离职之日 起十八个月 内不转让本 人直接持有 的发行人股 </w:t>
            </w:r>
            <w:r>
              <w:rPr>
                <w:rFonts w:ascii="宋体" w:hAnsi="宋体" w:cs="宋体" w:eastAsia="宋体" w:hint="default"/>
                <w:spacing w:val="-2"/>
                <w:sz w:val="18"/>
                <w:szCs w:val="18"/>
              </w:rPr>
              <w:t>份；在首次公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开发行股票 上市之日起 第七个月至 第十二个月 之间申报离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97"/>
              <w:jc w:val="both"/>
              <w:rPr>
                <w:rFonts w:ascii="宋体" w:hAnsi="宋体" w:cs="宋体" w:eastAsia="宋体" w:hint="default"/>
                <w:sz w:val="18"/>
                <w:szCs w:val="18"/>
              </w:rPr>
            </w:pPr>
            <w:r>
              <w:rPr>
                <w:rFonts w:ascii="宋体" w:hAnsi="宋体" w:cs="宋体" w:eastAsia="宋体" w:hint="default"/>
                <w:sz w:val="18"/>
                <w:szCs w:val="18"/>
              </w:rPr>
              <w:t>锁定期限承 诺至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ind w:left="22" w:right="6"/>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已履行完毕； 其他长期有</w:t>
            </w:r>
          </w:p>
          <w:p>
            <w:pPr>
              <w:pStyle w:val="TableParagraph"/>
              <w:spacing w:line="240" w:lineRule="auto" w:before="25"/>
              <w:ind w:left="22" w:right="0"/>
              <w:jc w:val="both"/>
              <w:rPr>
                <w:rFonts w:ascii="宋体" w:hAnsi="宋体" w:cs="宋体" w:eastAsia="宋体" w:hint="default"/>
                <w:sz w:val="18"/>
                <w:szCs w:val="18"/>
              </w:rPr>
            </w:pPr>
            <w:r>
              <w:rPr>
                <w:rFonts w:ascii="宋体" w:hAnsi="宋体" w:cs="宋体" w:eastAsia="宋体" w:hint="default"/>
                <w:sz w:val="18"/>
                <w:szCs w:val="18"/>
              </w:rPr>
              <w:t>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职的，自申报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十二个月内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任职期间本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人每年转让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的股票数量，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本人所持发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行人股票总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，离</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职后半年内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人股票。本人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股票在锁定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期满后两年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内减持的，其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发行人股票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价低于发行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价，或者上市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收盘价低于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期限自动延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个月。本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人在锁定期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满，遵守相关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规章、规范性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文件及证券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规则且不违</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346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背本人已做 出的其他承 诺的情况下， 将根据资金 需求、投资安 排等各方面 因素确定是 否减持所持 公司股份。锁 定期满两年 内，如本人确 定减持公司 股份的，则在 减持对公司 二级市场不 构成重大干 扰的条件下， 本人每年所 累积减持的 股份总数将 不超过本人 所持有的公 司股份总数</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；减持</w:t>
            </w:r>
            <w:r>
              <w:rPr>
                <w:rFonts w:ascii="宋体" w:hAnsi="宋体" w:cs="宋体" w:eastAsia="宋体" w:hint="default"/>
                <w:sz w:val="18"/>
                <w:szCs w:val="18"/>
              </w:rPr>
              <w:t> 价格不低于 本次发行价 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 该等减持方 式为大宗交 易或集中竞 价等法律允 许的方式。该 等减持行为， 将提前三个 交易日予以 公告。期间公 司如有派息、 送股、资本公 积金转增股 本、配股等除 权除息事项， 减持底价相 应进行调整。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宋京生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自发行人股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票上市之日 起一年内，本 人不转让或 者委托他人 管理本人持 有的发行人 公开发行股 票前已发行 的股票，也不 由发行人回 购本人持有 的发行人公 开发行股票 前已发行的 股票；自发行 人首次公开 发行股票上 市之日起六 个月内申报 离职的，自申 报离职之日 起十八个月 内不转让本 人直接持有 的发行人股 份；在首次公 开发行股票 上市之日起 第七个月至 第十二个月 之间申报离 职的，自申报 离职之日起 十二个月内 不转让本人 直接持有的 发行人股份； 任职期间本 人每年转让 的股票数量， 不超过届时 本人所持发 行人股票总 数的</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；离</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z w:val="18"/>
                <w:szCs w:val="18"/>
              </w:rPr>
              <w:t>诺履行完毕； 其他正常履</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53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职后半年内 不转让本人 持有的发行 人股票。本人 所持发行人 股票在锁定 期满后两年 内减持的，其 减持价格不 低于发行价； 发行人上市</w:t>
            </w:r>
          </w:p>
          <w:p>
            <w:pPr>
              <w:pStyle w:val="TableParagraph"/>
              <w:spacing w:line="314"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个月内如 发行人股票 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易日的收盘 价低于发行 </w:t>
            </w:r>
            <w:r>
              <w:rPr>
                <w:rFonts w:ascii="宋体" w:hAnsi="宋体" w:cs="宋体" w:eastAsia="宋体" w:hint="default"/>
                <w:spacing w:val="-2"/>
                <w:sz w:val="18"/>
                <w:szCs w:val="18"/>
              </w:rPr>
              <w:t>价，或者上市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个月期末 收盘价低于 </w:t>
            </w:r>
            <w:r>
              <w:rPr>
                <w:rFonts w:ascii="宋体" w:hAnsi="宋体" w:cs="宋体" w:eastAsia="宋体" w:hint="default"/>
                <w:spacing w:val="-2"/>
                <w:sz w:val="18"/>
                <w:szCs w:val="18"/>
              </w:rPr>
              <w:t>发行价，本人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持有发行人 股票的锁定 期限自动延 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苏州衡赢真 盛创业投资 </w:t>
            </w:r>
            <w:r>
              <w:rPr>
                <w:rFonts w:ascii="宋体" w:hAnsi="宋体" w:cs="宋体" w:eastAsia="宋体" w:hint="default"/>
                <w:spacing w:val="-2"/>
                <w:sz w:val="18"/>
                <w:szCs w:val="18"/>
              </w:rPr>
              <w:t>中心（有限合</w:t>
            </w:r>
            <w:r>
              <w:rPr>
                <w:rFonts w:ascii="宋体" w:hAnsi="宋体" w:cs="宋体" w:eastAsia="宋体" w:hint="default"/>
                <w:sz w:val="18"/>
                <w:szCs w:val="18"/>
              </w:rPr>
              <w:t> 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股份限售承 诺及减持意 向承诺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自发行人股 票上市之日 </w:t>
            </w:r>
            <w:r>
              <w:rPr>
                <w:rFonts w:ascii="宋体" w:hAnsi="宋体" w:cs="宋体" w:eastAsia="宋体" w:hint="default"/>
                <w:spacing w:val="-2"/>
                <w:sz w:val="18"/>
                <w:szCs w:val="18"/>
              </w:rPr>
              <w:t>起一年内，本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有限合伙不 转让或者委 托他人管理 本有限合伙 持有的发行 人公开发行 股票前已发 </w:t>
            </w:r>
            <w:r>
              <w:rPr>
                <w:rFonts w:ascii="宋体" w:hAnsi="宋体" w:cs="宋体" w:eastAsia="宋体" w:hint="default"/>
                <w:spacing w:val="-2"/>
                <w:sz w:val="18"/>
                <w:szCs w:val="18"/>
              </w:rPr>
              <w:t>行的股票，也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不由发行人 回购本有限 合伙持有的 发行人公开 发行股票前 已发行的股 </w:t>
            </w:r>
            <w:r>
              <w:rPr>
                <w:rFonts w:ascii="宋体" w:hAnsi="宋体" w:cs="宋体" w:eastAsia="宋体" w:hint="default"/>
                <w:spacing w:val="-2"/>
                <w:sz w:val="18"/>
                <w:szCs w:val="18"/>
              </w:rPr>
              <w:t>票。本有限合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伙所持公司 股票自上市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5"/>
              <w:ind w:left="22" w:right="97"/>
              <w:jc w:val="both"/>
              <w:rPr>
                <w:rFonts w:ascii="宋体" w:hAnsi="宋体" w:cs="宋体" w:eastAsia="宋体" w:hint="default"/>
                <w:sz w:val="18"/>
                <w:szCs w:val="18"/>
              </w:rPr>
            </w:pPr>
            <w:r>
              <w:rPr>
                <w:rFonts w:ascii="宋体" w:hAnsi="宋体" w:cs="宋体" w:eastAsia="宋体" w:hint="default"/>
                <w:sz w:val="18"/>
                <w:szCs w:val="18"/>
              </w:rPr>
              <w:t>锁定期限承 诺至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ind w:left="22" w:right="6"/>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已履行完毕； 其他长期有</w:t>
            </w:r>
          </w:p>
          <w:p>
            <w:pPr>
              <w:pStyle w:val="TableParagraph"/>
              <w:spacing w:line="240" w:lineRule="auto" w:before="25"/>
              <w:ind w:left="22" w:right="0"/>
              <w:jc w:val="both"/>
              <w:rPr>
                <w:rFonts w:ascii="宋体" w:hAnsi="宋体" w:cs="宋体" w:eastAsia="宋体" w:hint="default"/>
                <w:sz w:val="18"/>
                <w:szCs w:val="18"/>
              </w:rPr>
            </w:pPr>
            <w:r>
              <w:rPr>
                <w:rFonts w:ascii="宋体" w:hAnsi="宋体" w:cs="宋体" w:eastAsia="宋体" w:hint="default"/>
                <w:sz w:val="18"/>
                <w:szCs w:val="18"/>
              </w:rPr>
              <w:t>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3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之日起将严 格履行锁定 承诺，在股份 锁定期满并 不违背承诺 的条件下，根 据法律法规 的要求和自 身财务规划 的需要，进行 合理减持；每 次减持时，将 提前三个交 易日通知公 司公告本次 减持的数量、 减持价格区 间、减持时间 区间等，减持 将通过深圳 证券交易所 以协议转让、 大宗交易、竞 价交易或其 他方式依法 进行。期间公 司如有派息、 送股、资本公 积金转增股 本、配股等除 权除息事项， 减持底价相 应进行调整。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珠海瑞信投 资管理有限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自发行人股 票上市之日 起三十六个 </w:t>
            </w:r>
            <w:r>
              <w:rPr>
                <w:rFonts w:ascii="宋体" w:hAnsi="宋体" w:cs="宋体" w:eastAsia="宋体" w:hint="default"/>
                <w:spacing w:val="-2"/>
                <w:sz w:val="18"/>
                <w:szCs w:val="18"/>
              </w:rPr>
              <w:t>月内，本公司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不转让或者 委托他人管 理本公司持 有的发行人 公开发行股 票前已发行 </w:t>
            </w:r>
            <w:r>
              <w:rPr>
                <w:rFonts w:ascii="宋体" w:hAnsi="宋体" w:cs="宋体" w:eastAsia="宋体" w:hint="default"/>
                <w:spacing w:val="-2"/>
                <w:sz w:val="18"/>
                <w:szCs w:val="18"/>
              </w:rPr>
              <w:t>的股票，也不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9"/>
              <w:ind w:left="22" w:right="97"/>
              <w:jc w:val="left"/>
              <w:rPr>
                <w:rFonts w:ascii="宋体" w:hAnsi="宋体" w:cs="宋体" w:eastAsia="宋体" w:hint="default"/>
                <w:sz w:val="18"/>
                <w:szCs w:val="18"/>
              </w:rPr>
            </w:pPr>
            <w:r>
              <w:rPr>
                <w:rFonts w:ascii="宋体" w:hAnsi="宋体" w:cs="宋体" w:eastAsia="宋体" w:hint="default"/>
                <w:sz w:val="18"/>
                <w:szCs w:val="18"/>
              </w:rPr>
              <w:t>锁定期限承 诺至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ind w:left="22" w:right="5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其他长期有 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85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由发行人回 购本公司持 有的发行人 公开发行股 票前已发行 的股票。所持 股票在锁定 期满后两年 内减持的，其 减持价格不 低于发行价； 发行人上市</w:t>
            </w:r>
          </w:p>
          <w:p>
            <w:pPr>
              <w:pStyle w:val="TableParagraph"/>
              <w:spacing w:line="312"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个月内如 发行人股票 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易日的收盘 价均低于发 行价，或者上 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 末收盘价格 低于发行价， 持有发行人 股票的锁定 期限自动延</w:t>
            </w:r>
          </w:p>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10"/>
              <w:jc w:val="both"/>
              <w:rPr>
                <w:rFonts w:ascii="宋体" w:hAnsi="宋体" w:cs="宋体" w:eastAsia="宋体" w:hint="default"/>
                <w:sz w:val="18"/>
                <w:szCs w:val="18"/>
              </w:rPr>
            </w:pPr>
            <w:r>
              <w:rPr>
                <w:rFonts w:ascii="宋体" w:hAnsi="宋体" w:cs="宋体" w:eastAsia="宋体" w:hint="default"/>
                <w:sz w:val="18"/>
                <w:szCs w:val="18"/>
              </w:rPr>
              <w:t>李志良、李志 勇、梁铁民、 宋昌林、王毅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自发行人股 票上市之日 </w:t>
            </w:r>
            <w:r>
              <w:rPr>
                <w:rFonts w:ascii="宋体" w:hAnsi="宋体" w:cs="宋体" w:eastAsia="宋体" w:hint="default"/>
                <w:spacing w:val="-2"/>
                <w:sz w:val="18"/>
                <w:szCs w:val="18"/>
              </w:rPr>
              <w:t>起一年内，本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人不转让或 者委托他人 管理本人持 有的发行人 公开发行股 票前已发行 </w:t>
            </w:r>
            <w:r>
              <w:rPr>
                <w:rFonts w:ascii="宋体" w:hAnsi="宋体" w:cs="宋体" w:eastAsia="宋体" w:hint="default"/>
                <w:spacing w:val="-2"/>
                <w:sz w:val="18"/>
                <w:szCs w:val="18"/>
              </w:rPr>
              <w:t>的股票，也不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由发行人回 购本人持有 的发行人公 开发行股票 前已发行的 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98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pacing w:val="-2"/>
                <w:sz w:val="18"/>
                <w:szCs w:val="18"/>
              </w:rPr>
              <w:t>汇金科技、陈</w:t>
            </w:r>
            <w:r>
              <w:rPr>
                <w:rFonts w:ascii="宋体" w:hAnsi="宋体" w:cs="宋体" w:eastAsia="宋体" w:hint="default"/>
                <w:sz w:val="18"/>
                <w:szCs w:val="18"/>
              </w:rPr>
              <w:t> </w:t>
            </w:r>
            <w:r>
              <w:rPr>
                <w:rFonts w:ascii="宋体" w:hAnsi="宋体" w:cs="宋体" w:eastAsia="宋体" w:hint="default"/>
                <w:spacing w:val="-2"/>
                <w:sz w:val="18"/>
                <w:szCs w:val="18"/>
              </w:rPr>
              <w:t>喆、马铮、宋</w:t>
            </w:r>
            <w:r>
              <w:rPr>
                <w:rFonts w:ascii="宋体" w:hAnsi="宋体" w:cs="宋体" w:eastAsia="宋体" w:hint="default"/>
                <w:sz w:val="18"/>
                <w:szCs w:val="18"/>
              </w:rPr>
              <w:t> 京生、肖志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02" w:lineRule="auto"/>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为维护市场 </w:t>
            </w:r>
            <w:r>
              <w:rPr>
                <w:rFonts w:ascii="宋体" w:hAnsi="宋体" w:cs="宋体" w:eastAsia="宋体" w:hint="default"/>
                <w:spacing w:val="-2"/>
                <w:sz w:val="18"/>
                <w:szCs w:val="18"/>
              </w:rPr>
              <w:t>公平，切实保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护中小投资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1581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8"/>
                      <w:szCs w:val="18"/>
                    </w:rPr>
                  </w:pPr>
                </w:p>
                <w:p>
                  <w:pPr>
                    <w:pStyle w:val="BodyText"/>
                    <w:spacing w:line="240" w:lineRule="auto"/>
                    <w:ind w:left="0" w:right="0"/>
                    <w:jc w:val="left"/>
                  </w:pPr>
                  <w:r>
                    <w:rPr/>
                    <w:t>、</w:t>
                  </w:r>
                </w:p>
              </w:txbxContent>
            </v:textbox>
            <w10:wrap type="none"/>
          </v:shape>
        </w:pict>
      </w:r>
      <w:r>
        <w:rPr/>
        <w:pict>
          <v:group style="position:absolute;margin-left:56.459999pt;margin-top:71.759964pt;width:478.95pt;height:688pt;mso-position-horizontal-relative:page;mso-position-vertical-relative:page;z-index:-1158160" coordorigin="1129,1435" coordsize="9579,13760">
            <v:group style="position:absolute;left:1139;top:1450;width:2827;height:13730" coordorigin="1139,1450" coordsize="2827,13730">
              <v:shape style="position:absolute;left:1139;top:1450;width:2827;height:13730" coordorigin="1139,1450" coordsize="2827,13730" path="m1139,15179l3965,15179,3965,1450,1139,1450,1139,15179xe" filled="true" fillcolor="#d2d2d2" stroked="false">
                <v:path arrowok="t"/>
                <v:fill type="solid"/>
              </v:shape>
            </v:group>
            <v:group style="position:absolute;left:1139;top:1445;width:2827;height:2" coordorigin="1139,1445" coordsize="2827,2">
              <v:shape style="position:absolute;left:1139;top:1445;width:2827;height:2" coordorigin="1139,1445" coordsize="2827,0" path="m1139,1445l3965,1445e" filled="false" stroked="true" strokeweight=".48pt" strokecolor="#000000">
                <v:path arrowok="t"/>
              </v:shape>
            </v:group>
            <v:group style="position:absolute;left:3975;top:1445;width:1117;height:2" coordorigin="3975,1445" coordsize="1117,2">
              <v:shape style="position:absolute;left:3975;top:1445;width:1117;height:2" coordorigin="3975,1445" coordsize="1117,0" path="m3975,1445l5091,1445e" filled="false" stroked="true" strokeweight=".48pt" strokecolor="#000000">
                <v:path arrowok="t"/>
              </v:shape>
            </v:group>
            <v:group style="position:absolute;left:5101;top:1445;width:1116;height:2" coordorigin="5101,1445" coordsize="1116,2">
              <v:shape style="position:absolute;left:5101;top:1445;width:1116;height:2" coordorigin="5101,1445" coordsize="1116,0" path="m5101,1445l6217,1445e" filled="false" stroked="true" strokeweight=".48pt" strokecolor="#000000">
                <v:path arrowok="t"/>
              </v:shape>
            </v:group>
            <v:group style="position:absolute;left:7353;top:1450;width:1117;height:13730" coordorigin="7353,1450" coordsize="1117,13730">
              <v:shape style="position:absolute;left:7353;top:1450;width:1117;height:13730" coordorigin="7353,1450" coordsize="1117,13730" path="m7353,15179l8470,15179,8470,1450,7353,1450,7353,15179xe" filled="true" fillcolor="#ffffff" stroked="false">
                <v:path arrowok="t"/>
                <v:fill type="solid"/>
              </v:shape>
            </v:group>
            <v:group style="position:absolute;left:6226;top:1445;width:1118;height:2" coordorigin="6226,1445" coordsize="1118,2">
              <v:shape style="position:absolute;left:6226;top:1445;width:1118;height:2" coordorigin="6226,1445" coordsize="1118,0" path="m6226,1445l7344,1445e" filled="false" stroked="true" strokeweight=".48pt" strokecolor="#000000">
                <v:path arrowok="t"/>
              </v:shape>
            </v:group>
            <v:group style="position:absolute;left:7353;top:1445;width:1117;height:2" coordorigin="7353,1445" coordsize="1117,2">
              <v:shape style="position:absolute;left:7353;top:1445;width:1117;height:2" coordorigin="7353,1445" coordsize="1117,0" path="m7353,1445l8470,1445e" filled="false" stroked="true" strokeweight=".48pt" strokecolor="#000000">
                <v:path arrowok="t"/>
              </v:shape>
            </v:group>
            <v:group style="position:absolute;left:8479;top:1445;width:1112;height:2" coordorigin="8479,1445" coordsize="1112,2">
              <v:shape style="position:absolute;left:8479;top:1445;width:1112;height:2" coordorigin="8479,1445" coordsize="1112,0" path="m8479,1445l9590,1445e" filled="false" stroked="true" strokeweight=".48pt" strokecolor="#000000">
                <v:path arrowok="t"/>
              </v:shape>
            </v:group>
            <v:group style="position:absolute;left:9600;top:1445;width:1098;height:2" coordorigin="9600,1445" coordsize="1098,2">
              <v:shape style="position:absolute;left:9600;top:1445;width:1098;height:2" coordorigin="9600,1445" coordsize="1098,0" path="m9600,1445l10698,1445e" filled="false" stroked="true" strokeweight=".48pt" strokecolor="#000000">
                <v:path arrowok="t"/>
              </v:shape>
            </v:group>
            <v:group style="position:absolute;left:1134;top:1440;width:2;height:13750" coordorigin="1134,1440" coordsize="2,13750">
              <v:shape style="position:absolute;left:1134;top:1440;width:2;height:13750" coordorigin="1134,1440" coordsize="0,13750" path="m1134,1440l1134,15190e" filled="false" stroked="true" strokeweight=".48pt" strokecolor="#000000">
                <v:path arrowok="t"/>
              </v:shape>
            </v:group>
            <v:group style="position:absolute;left:1139;top:15185;width:2827;height:2" coordorigin="1139,15185" coordsize="2827,2">
              <v:shape style="position:absolute;left:1139;top:15185;width:2827;height:2" coordorigin="1139,15185" coordsize="2827,0" path="m1139,15185l3965,15185e" filled="false" stroked="true" strokeweight=".47998pt" strokecolor="#000000">
                <v:path arrowok="t"/>
              </v:shape>
            </v:group>
            <v:group style="position:absolute;left:3970;top:1440;width:2;height:13750" coordorigin="3970,1440" coordsize="2,13750">
              <v:shape style="position:absolute;left:3970;top:1440;width:2;height:13750" coordorigin="3970,1440" coordsize="0,13750" path="m3970,1440l3970,15190e" filled="false" stroked="true" strokeweight=".48pt" strokecolor="#000000">
                <v:path arrowok="t"/>
              </v:shape>
            </v:group>
            <v:group style="position:absolute;left:3975;top:15185;width:1117;height:2" coordorigin="3975,15185" coordsize="1117,2">
              <v:shape style="position:absolute;left:3975;top:15185;width:1117;height:2" coordorigin="3975,15185" coordsize="1117,0" path="m3975,15185l5091,15185e" filled="false" stroked="true" strokeweight=".47998pt" strokecolor="#000000">
                <v:path arrowok="t"/>
              </v:shape>
            </v:group>
            <v:group style="position:absolute;left:5096;top:1440;width:2;height:13750" coordorigin="5096,1440" coordsize="2,13750">
              <v:shape style="position:absolute;left:5096;top:1440;width:2;height:13750" coordorigin="5096,1440" coordsize="0,13750" path="m5096,1440l5096,15190e" filled="false" stroked="true" strokeweight=".48pt" strokecolor="#000000">
                <v:path arrowok="t"/>
              </v:shape>
            </v:group>
            <v:group style="position:absolute;left:5101;top:15185;width:1116;height:2" coordorigin="5101,15185" coordsize="1116,2">
              <v:shape style="position:absolute;left:5101;top:15185;width:1116;height:2" coordorigin="5101,15185" coordsize="1116,0" path="m5101,15185l6217,15185e" filled="false" stroked="true" strokeweight=".47998pt" strokecolor="#000000">
                <v:path arrowok="t"/>
              </v:shape>
            </v:group>
            <v:group style="position:absolute;left:6222;top:1440;width:2;height:13750" coordorigin="6222,1440" coordsize="2,13750">
              <v:shape style="position:absolute;left:6222;top:1440;width:2;height:13750" coordorigin="6222,1440" coordsize="0,13750" path="m6222,1440l6222,15190e" filled="false" stroked="true" strokeweight=".48001pt" strokecolor="#000000">
                <v:path arrowok="t"/>
              </v:shape>
            </v:group>
            <v:group style="position:absolute;left:6226;top:15185;width:1118;height:2" coordorigin="6226,15185" coordsize="1118,2">
              <v:shape style="position:absolute;left:6226;top:15185;width:1118;height:2" coordorigin="6226,15185" coordsize="1118,0" path="m6226,15185l7344,15185e" filled="false" stroked="true" strokeweight=".47998pt" strokecolor="#000000">
                <v:path arrowok="t"/>
              </v:shape>
            </v:group>
            <v:group style="position:absolute;left:7348;top:1440;width:2;height:13750" coordorigin="7348,1440" coordsize="2,13750">
              <v:shape style="position:absolute;left:7348;top:1440;width:2;height:13750" coordorigin="7348,1440" coordsize="0,13750" path="m7348,1440l7348,15190e" filled="false" stroked="true" strokeweight=".48001pt" strokecolor="#000000">
                <v:path arrowok="t"/>
              </v:shape>
            </v:group>
            <v:group style="position:absolute;left:7353;top:15185;width:1117;height:2" coordorigin="7353,15185" coordsize="1117,2">
              <v:shape style="position:absolute;left:7353;top:15185;width:1117;height:2" coordorigin="7353,15185" coordsize="1117,0" path="m7353,15185l8470,15185e" filled="false" stroked="true" strokeweight=".47998pt" strokecolor="#000000">
                <v:path arrowok="t"/>
              </v:shape>
            </v:group>
            <v:group style="position:absolute;left:8474;top:1440;width:2;height:13750" coordorigin="8474,1440" coordsize="2,13750">
              <v:shape style="position:absolute;left:8474;top:1440;width:2;height:13750" coordorigin="8474,1440" coordsize="0,13750" path="m8474,1440l8474,15190e" filled="false" stroked="true" strokeweight=".48001pt" strokecolor="#000000">
                <v:path arrowok="t"/>
              </v:shape>
            </v:group>
            <v:group style="position:absolute;left:8479;top:15185;width:1112;height:2" coordorigin="8479,15185" coordsize="1112,2">
              <v:shape style="position:absolute;left:8479;top:15185;width:1112;height:2" coordorigin="8479,15185" coordsize="1112,0" path="m8479,15185l9590,15185e" filled="false" stroked="true" strokeweight=".47998pt" strokecolor="#000000">
                <v:path arrowok="t"/>
              </v:shape>
            </v:group>
            <v:group style="position:absolute;left:9595;top:1440;width:2;height:13750" coordorigin="9595,1440" coordsize="2,13750">
              <v:shape style="position:absolute;left:9595;top:1440;width:2;height:13750" coordorigin="9595,1440" coordsize="0,13750" path="m9595,1440l9595,15190e" filled="false" stroked="true" strokeweight=".48001pt" strokecolor="#000000">
                <v:path arrowok="t"/>
              </v:shape>
            </v:group>
            <v:group style="position:absolute;left:9600;top:15185;width:1098;height:2" coordorigin="9600,15185" coordsize="1098,2">
              <v:shape style="position:absolute;left:9600;top:15185;width:1098;height:2" coordorigin="9600,15185" coordsize="1098,0" path="m9600,15185l10698,15185e" filled="false" stroked="true" strokeweight=".47998pt" strokecolor="#000000">
                <v:path arrowok="t"/>
              </v:shape>
            </v:group>
            <v:group style="position:absolute;left:10703;top:1440;width:2;height:13750" coordorigin="10703,1440" coordsize="2,13750">
              <v:shape style="position:absolute;left:10703;top:1440;width:2;height:13750" coordorigin="10703,1440" coordsize="0,13750" path="m10703,1440l10703,15190e" filled="false" stroked="true" strokeweight=".48004pt" strokecolor="#000000">
                <v:path arrowok="t"/>
              </v:shape>
            </v:group>
            <w10:wrap type="none"/>
          </v:group>
        </w:pict>
      </w:r>
    </w:p>
    <w:p>
      <w:pPr>
        <w:spacing w:line="240" w:lineRule="auto" w:before="3"/>
        <w:rPr>
          <w:rFonts w:ascii="Times New Roman" w:hAnsi="Times New Roman" w:cs="Times New Roman" w:eastAsia="Times New Roman" w:hint="default"/>
          <w:sz w:val="14"/>
          <w:szCs w:val="14"/>
        </w:rPr>
      </w:pPr>
    </w:p>
    <w:p>
      <w:pPr>
        <w:pStyle w:val="BodyText"/>
        <w:tabs>
          <w:tab w:pos="5269" w:val="left" w:leader="none"/>
        </w:tabs>
        <w:spacing w:line="304" w:lineRule="auto"/>
        <w:ind w:left="5269" w:right="4584" w:hanging="2251"/>
        <w:jc w:val="left"/>
      </w:pPr>
      <w:r>
        <w:rPr/>
        <w:t>宏、马晓丽</w:t>
        <w:tab/>
        <w:t>者的合法权 </w:t>
      </w:r>
      <w:r>
        <w:rPr>
          <w:spacing w:val="-22"/>
        </w:rPr>
        <w:t>益，公司</w:t>
      </w:r>
      <w:r>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10"/>
          <w:w w:val="99"/>
        </w:rPr>
        <w:t> </w:t>
      </w:r>
      <w:r>
        <w:rPr/>
        <w:t>股 股票上市后</w:t>
      </w:r>
      <w:r>
        <w:rPr>
          <w:spacing w:val="-46"/>
        </w:rPr>
        <w:t> </w:t>
      </w:r>
      <w:r>
        <w:rPr>
          <w:rFonts w:ascii="Times New Roman" w:hAnsi="Times New Roman" w:cs="Times New Roman" w:eastAsia="Times New Roman" w:hint="default"/>
        </w:rPr>
        <w:t>3 </w:t>
      </w:r>
      <w:r>
        <w:rPr>
          <w:spacing w:val="-2"/>
        </w:rPr>
        <w:t>年内，收盘价</w:t>
      </w:r>
    </w:p>
    <w:p>
      <w:pPr>
        <w:pStyle w:val="BodyText"/>
        <w:spacing w:line="316" w:lineRule="auto" w:before="28"/>
        <w:ind w:left="5269" w:right="4557"/>
        <w:jc w:val="left"/>
      </w:pPr>
      <w:r>
        <w:rPr/>
        <w:t>（除权除息 后，下同）连 续</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个交易 日（公司股票 全天停牌的 交易日除外， 下同）低于最 近一期经审 计的每股净 资产，且公司 情况同时满 足监管机构 对于回购、增 持等股本变 动行为的规 定，则触发控 股股东、董事 及高级管理 人员增持及 回购的相关 义务。未来新 聘的董事及 高级管理人 员，也应履行 本承诺规定 的增持及回 购的相关义 务。</w:t>
      </w:r>
      <w:r>
        <w:rPr>
          <w:rFonts w:ascii="Times New Roman" w:hAnsi="Times New Roman" w:cs="Times New Roman" w:eastAsia="Times New Roman" w:hint="default"/>
        </w:rPr>
        <w:t>1</w:t>
      </w:r>
      <w:r>
        <w:rPr/>
        <w:t>、启动 股价稳定措 施的具体条 件公司股票 连续</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个交 易日的收盘 价均低于公 司最近一期 经审计的每 股净资产。</w:t>
      </w:r>
      <w:r>
        <w:rPr>
          <w:rFonts w:ascii="Times New Roman" w:hAnsi="Times New Roman" w:cs="Times New Roman" w:eastAsia="Times New Roman" w:hint="default"/>
        </w:rPr>
        <w:t>2 </w:t>
      </w:r>
      <w:r>
        <w:rPr/>
        <w:t>股价稳定措 施的方式及 顺序股价稳</w:t>
      </w:r>
    </w:p>
    <w:p>
      <w:pPr>
        <w:spacing w:after="0" w:line="316"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定措施的方</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式为</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0"/>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购股票。选用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前述方式时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应考虑</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不能导致公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司不满足法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定上市条件；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）不能导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致控股股东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人履行要约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收购义务。东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票，除非公司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致使公司不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满足法定上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市条件或触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的要约收购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义务且控股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股东未计划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实施要约收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购；第二选择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为董事（不含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股票，在下列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情形之一出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现时将启动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第二选择：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股东增持公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4.480011pt;margin-top:72.47998pt;width:89pt;height:686.5pt;mso-position-horizontal-relative:page;mso-position-vertical-relative:page;z-index:-11581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8"/>
                    <w:ind w:left="0" w:right="0"/>
                    <w:jc w:val="left"/>
                  </w:pPr>
                  <w:r>
                    <w:rPr/>
                    <w:t>之条件；</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司股票方案</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实施完成后，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仍未满足</w:t>
            </w:r>
            <w:r>
              <w:rPr>
                <w:rFonts w:ascii="Times New Roman" w:hAnsi="Times New Roman" w:cs="Times New Roman" w:eastAsia="Times New Roman" w:hint="default"/>
                <w:sz w:val="18"/>
                <w:szCs w:val="18"/>
              </w:rPr>
              <w:t>“</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收盘价均已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高于公司最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近一期经审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计的每股净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东因故（包括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但不限于公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股票将致使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公司不满足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法定上市条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件或触发控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股股东的要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约收购义务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未计划实施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要约收购等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情形）无法实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施增持股票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计划，且董事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0"/>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不会致使公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司不满足法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定上市条件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或触发控股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股东的要约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收购义务。第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三选择为公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司回购股票，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启动该选择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的条件为：在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第一选择和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第二选择已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实施或因故</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158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1"/>
                      <w:szCs w:val="21"/>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未实施后，公</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司股票仍未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满足</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票连续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价均已高于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公司最近一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期经审计的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每股净资产</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之条件，且公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司实施股票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回购不会导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致公司不满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足法定上市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条件、公司回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购股票议案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已获得公司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准。每一自然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年度，强制启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动股价稳定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仅限一次。</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实施控股股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在达到触发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的情况下，在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公告等义务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将在满足法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定条件下依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照方案中所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规定的价格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区间、期限实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不得为控股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股东实施增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提供资金支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4</w:t>
            </w:r>
            <w:r>
              <w:rPr>
                <w:rFonts w:ascii="宋体" w:hAnsi="宋体" w:cs="宋体" w:eastAsia="宋体" w:hint="default"/>
                <w:sz w:val="18"/>
                <w:szCs w:val="18"/>
              </w:rPr>
              <w:t>、实施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1580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董事（不含独</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立董事）和高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票的程序（</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启动程序①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在达到触发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的情况下，并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且在控股股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东无法实施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票计划，且董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不会致使公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司不满足法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定上市条件，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含独立董事）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人员将在达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到触发启动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施条件或公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决定不实施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票计划公告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内向公司提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并由公司公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告。② 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股东已实施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票计划控股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股东已实施</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票计划但仍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未满足</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股票连续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交易日的收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盘价均已高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于公司最近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一期经审计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之条件</w:t>
            </w:r>
            <w:r>
              <w:rPr>
                <w:rFonts w:ascii="宋体" w:hAnsi="宋体" w:cs="宋体" w:eastAsia="宋体" w:hint="default"/>
                <w:spacing w:val="-90"/>
                <w:sz w:val="18"/>
                <w:szCs w:val="18"/>
              </w:rPr>
              <w:t>，</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司董事（不含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立董事）和高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将在控股股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股票计划实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施完毕或终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止之日起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日内向公司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提交增持公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案并由公司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）董</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持公司的计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因故未实施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票计划或在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方案实施完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成后，仍未满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足</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均已高于公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司最近一期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经审计的每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条件，董事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票方案实施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内或控股股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东未实施增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计划公告之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票，且用于增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持股票的资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金不低于其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上一年度于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公司取得薪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酬总额的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30%</w:t>
            </w:r>
            <w:r>
              <w:rPr>
                <w:rFonts w:ascii="宋体" w:hAnsi="宋体" w:cs="宋体" w:eastAsia="宋体" w:hint="default"/>
                <w:spacing w:val="-81"/>
                <w:w w:val="99"/>
                <w:sz w:val="18"/>
                <w:szCs w:val="18"/>
              </w:rPr>
              <w:t>。</w:t>
            </w:r>
            <w:r>
              <w:rPr>
                <w:rFonts w:ascii="宋体" w:hAnsi="宋体" w:cs="宋体" w:eastAsia="宋体" w:hint="default"/>
                <w:w w:val="99"/>
                <w:sz w:val="18"/>
                <w:szCs w:val="18"/>
              </w:rPr>
              <w:t>董</w:t>
            </w:r>
            <w:r>
              <w:rPr>
                <w:rFonts w:ascii="宋体" w:hAnsi="宋体" w:cs="宋体" w:eastAsia="宋体" w:hint="default"/>
                <w:spacing w:val="-81"/>
                <w:w w:val="99"/>
                <w:sz w:val="18"/>
                <w:szCs w:val="18"/>
              </w:rPr>
              <w:t>事</w:t>
            </w:r>
            <w:r>
              <w:rPr>
                <w:rFonts w:ascii="宋体" w:hAnsi="宋体" w:cs="宋体" w:eastAsia="宋体" w:hint="default"/>
                <w:w w:val="99"/>
                <w:sz w:val="18"/>
                <w:szCs w:val="18"/>
              </w:rPr>
              <w:t>（不</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含控股股东、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股票在达到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以下条件之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一的情况下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终止</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）通</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过增持公司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票连续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价均已高于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公司最近一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期经审计的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）继续增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持股票将导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致公司不满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足法定上市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）继</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续增持股票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将导致需要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履行要约收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购义务且其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未计划实施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要约收购。公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司在未来聘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任新的董事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0"/>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将要求其签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署承诺书，保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证其履行公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发行上市时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理人员已做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出的相应承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5</w:t>
            </w:r>
            <w:r>
              <w:rPr>
                <w:rFonts w:ascii="宋体" w:hAnsi="宋体" w:cs="宋体" w:eastAsia="宋体" w:hint="default"/>
                <w:sz w:val="18"/>
                <w:szCs w:val="18"/>
              </w:rPr>
              <w:t>、实施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票的程序在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控股股东和</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或董事（不含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90"/>
                <w:sz w:val="18"/>
                <w:szCs w:val="18"/>
              </w:rPr>
              <w:t>）、</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股票计划实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施后，公司股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票仍未满足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公司股票连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的收盘价均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已高于公司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最近一期经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审计的每股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之条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件，或控股股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东和董事（不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pacing w:val="-90"/>
                <w:sz w:val="18"/>
                <w:szCs w:val="18"/>
              </w:rPr>
              <w:t>）</w:t>
            </w:r>
            <w:r>
              <w:rPr>
                <w:rFonts w:ascii="宋体" w:hAnsi="宋体" w:cs="宋体" w:eastAsia="宋体" w:hint="default"/>
                <w:sz w:val="18"/>
                <w:szCs w:val="18"/>
              </w:rPr>
              <w:t>、高级管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理人员因故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未能实施增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计划，在达到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触发启动股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价稳定措施</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条件的情况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下，公司将在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董事会，依法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作出实施回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购股票的决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议，提交股东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大会批准并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公告程序。公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司将在董事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会决议出具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内召开股东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大会，审议实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施回购股票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的议案，公司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票作出的决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议，必须经出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席会议的股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东所持表决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通过。公司股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东大会批准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票的议案后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公告、备案及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通知债权人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等义务。在满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足法定条件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下依照决议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通过的实施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议案中所规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定的价格区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间、期限实施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回购。除非出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现下列情形，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公司将在股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东大会决议</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作出之日起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股票，且回购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）通过实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施回购股票，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的收盘价均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已高于公司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最近一期经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审计的每股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继续回购股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票将导致公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司不满足法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定上市条件。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单次实施回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购股票完毕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或终止后，本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次回购的公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实施完毕或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终止之日起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日内注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销，并及时办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理公司减资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程序。</w:t>
            </w:r>
            <w:r>
              <w:rPr>
                <w:rFonts w:ascii="Times New Roman" w:hAnsi="Times New Roman" w:cs="Times New Roman" w:eastAsia="Times New Roman" w:hint="default"/>
                <w:sz w:val="18"/>
                <w:szCs w:val="18"/>
              </w:rPr>
              <w:t>6</w:t>
            </w:r>
            <w:r>
              <w:rPr>
                <w:rFonts w:ascii="宋体" w:hAnsi="宋体" w:cs="宋体" w:eastAsia="宋体" w:hint="default"/>
                <w:sz w:val="18"/>
                <w:szCs w:val="18"/>
              </w:rPr>
              <w:t>、约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束机制（</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控股股东负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有增持股票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义务，但未按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定提出增持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股票计划和</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或实施增持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股票计划的，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责令控股股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东在限期内</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履行增持股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票义务，控股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股东仍不履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有权扣减其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应向控股股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东支付的分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多次违反上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述规定的，扣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减数额应累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计计算</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发行人董事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0"/>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有增持股票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义务，但未按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定提出增持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股票计划和</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或实施增持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股票计划的，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责令董事（不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pacing w:val="-90"/>
                <w:sz w:val="18"/>
                <w:szCs w:val="18"/>
              </w:rPr>
              <w:t>）</w:t>
            </w:r>
            <w:r>
              <w:rPr>
                <w:rFonts w:ascii="宋体" w:hAnsi="宋体" w:cs="宋体" w:eastAsia="宋体" w:hint="default"/>
                <w:sz w:val="18"/>
                <w:szCs w:val="18"/>
              </w:rPr>
              <w:t>、高级管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理人员在限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期内履行增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持股票义务，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董事（不含独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立董事</w:t>
            </w:r>
            <w:r>
              <w:rPr>
                <w:rFonts w:ascii="宋体" w:hAnsi="宋体" w:cs="宋体" w:eastAsia="宋体" w:hint="default"/>
                <w:spacing w:val="-90"/>
                <w:sz w:val="18"/>
                <w:szCs w:val="18"/>
              </w:rPr>
              <w:t>）</w:t>
            </w:r>
            <w:r>
              <w:rPr>
                <w:rFonts w:ascii="宋体" w:hAnsi="宋体" w:cs="宋体" w:eastAsia="宋体" w:hint="default"/>
                <w:sz w:val="18"/>
                <w:szCs w:val="18"/>
              </w:rPr>
              <w:t>、高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仍不履行，发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行人有权自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行扣减其应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向董事（不含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员支付的报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酬</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人董事（不含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09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员拒不履行 本承诺规定 的股票增持 义务情节严 重的，控股股 东或董事会、 监事会、半数 以上的独立 董事有权提 请股东大会 同意更换相 关董事，发行 人董事会有 权解聘相关 高级管理人 </w:t>
            </w:r>
            <w:r>
              <w:rPr>
                <w:rFonts w:ascii="宋体" w:hAnsi="宋体" w:cs="宋体" w:eastAsia="宋体" w:hint="default"/>
                <w:spacing w:val="-15"/>
                <w:sz w:val="18"/>
                <w:szCs w:val="18"/>
              </w:rPr>
              <w:t>员。（</w:t>
            </w:r>
            <w:r>
              <w:rPr>
                <w:rFonts w:ascii="Times New Roman" w:hAnsi="Times New Roman" w:cs="Times New Roman" w:eastAsia="Times New Roman" w:hint="default"/>
                <w:spacing w:val="-15"/>
                <w:sz w:val="18"/>
                <w:szCs w:val="18"/>
              </w:rPr>
              <w:t>4</w:t>
            </w:r>
            <w:r>
              <w:rPr>
                <w:rFonts w:ascii="宋体" w:hAnsi="宋体" w:cs="宋体" w:eastAsia="宋体" w:hint="default"/>
                <w:spacing w:val="-15"/>
                <w:sz w:val="18"/>
                <w:szCs w:val="18"/>
              </w:rPr>
              <w:t>）发行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人拒不履行 本承诺规定 义务的，发行</w:t>
            </w:r>
            <w:r>
              <w:rPr>
                <w:rFonts w:ascii="宋体" w:hAnsi="宋体" w:cs="宋体" w:eastAsia="宋体" w:hint="default"/>
                <w:sz w:val="18"/>
                <w:szCs w:val="18"/>
              </w:rPr>
              <w:t> 人应在中国 证监会指定 报刊上公开 说明未履行 本预案规定 义务的具体 原因并向公 司股东和社 会公众投资 者道歉。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汇金科技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股份回购承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发行人招股 说明书有虚 </w:t>
            </w:r>
            <w:r>
              <w:rPr>
                <w:rFonts w:ascii="宋体" w:hAnsi="宋体" w:cs="宋体" w:eastAsia="宋体" w:hint="default"/>
                <w:spacing w:val="-2"/>
                <w:sz w:val="18"/>
                <w:szCs w:val="18"/>
              </w:rPr>
              <w:t>假记载、误导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性陈述或者 </w:t>
            </w:r>
            <w:r>
              <w:rPr>
                <w:rFonts w:ascii="宋体" w:hAnsi="宋体" w:cs="宋体" w:eastAsia="宋体" w:hint="default"/>
                <w:spacing w:val="-2"/>
                <w:sz w:val="18"/>
                <w:szCs w:val="18"/>
              </w:rPr>
              <w:t>重大遗漏，对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判断发行人 是否符合法 律规定的发 行条件构成 </w:t>
            </w:r>
            <w:r>
              <w:rPr>
                <w:rFonts w:ascii="宋体" w:hAnsi="宋体" w:cs="宋体" w:eastAsia="宋体" w:hint="default"/>
                <w:spacing w:val="-2"/>
                <w:sz w:val="18"/>
                <w:szCs w:val="18"/>
              </w:rPr>
              <w:t>重大、实质影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响的，将依法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回购首次公 开发行的全 部新股。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45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股份回购承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发行人招股 说明书有虚 </w:t>
            </w:r>
            <w:r>
              <w:rPr>
                <w:rFonts w:ascii="宋体" w:hAnsi="宋体" w:cs="宋体" w:eastAsia="宋体" w:hint="default"/>
                <w:spacing w:val="-2"/>
                <w:sz w:val="18"/>
                <w:szCs w:val="18"/>
              </w:rPr>
              <w:t>假记载、误导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性陈述或者 </w:t>
            </w:r>
            <w:r>
              <w:rPr>
                <w:rFonts w:ascii="宋体" w:hAnsi="宋体" w:cs="宋体" w:eastAsia="宋体" w:hint="default"/>
                <w:spacing w:val="-2"/>
                <w:sz w:val="18"/>
                <w:szCs w:val="18"/>
              </w:rPr>
              <w:t>重大遗漏，对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判断发行人 是否符合法 律规定的发 行条件构成 </w:t>
            </w:r>
            <w:r>
              <w:rPr>
                <w:rFonts w:ascii="宋体" w:hAnsi="宋体" w:cs="宋体" w:eastAsia="宋体" w:hint="default"/>
                <w:spacing w:val="-2"/>
                <w:sz w:val="18"/>
                <w:szCs w:val="18"/>
              </w:rPr>
              <w:t>重大、实质影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响的，将依法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购回已转让 的原限售股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52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陈喆、马铮、 肖志宏、宋京 生、侯平、杨 大贺、于风 政、何锋、陈 家贤、罗秀 红、汇金科技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其它承诺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发行人招股 说明书有虚 假记载、误导 性陈述或者 重大遗漏，致 使投资者在 证券交易中 遭受损失的， 将依法赔偿 投资者实际 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566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陈喆、马铮、 肖志宏、宋京 生、侯平、杨 大贺、于风 政、马晓丽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填补即期回 报措施切实 履行的承诺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控股股东承 诺</w:t>
            </w:r>
            <w:r>
              <w:rPr>
                <w:rFonts w:ascii="Times New Roman" w:hAnsi="Times New Roman" w:cs="Times New Roman" w:eastAsia="Times New Roman" w:hint="default"/>
                <w:sz w:val="18"/>
                <w:szCs w:val="18"/>
              </w:rPr>
              <w:t>“</w:t>
            </w:r>
            <w:r>
              <w:rPr>
                <w:rFonts w:ascii="宋体" w:hAnsi="宋体" w:cs="宋体" w:eastAsia="宋体" w:hint="default"/>
                <w:sz w:val="18"/>
                <w:szCs w:val="18"/>
              </w:rPr>
              <w:t>不越权干 预公司经营 </w:t>
            </w:r>
            <w:r>
              <w:rPr>
                <w:rFonts w:ascii="宋体" w:hAnsi="宋体" w:cs="宋体" w:eastAsia="宋体" w:hint="default"/>
                <w:spacing w:val="-2"/>
                <w:sz w:val="18"/>
                <w:szCs w:val="18"/>
              </w:rPr>
              <w:t>管理活动，不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侵占公司利 益</w:t>
            </w:r>
            <w:r>
              <w:rPr>
                <w:rFonts w:ascii="Times New Roman" w:hAnsi="Times New Roman" w:cs="Times New Roman" w:eastAsia="Times New Roman" w:hint="default"/>
                <w:sz w:val="18"/>
                <w:szCs w:val="18"/>
              </w:rPr>
              <w:t>”</w:t>
            </w:r>
            <w:r>
              <w:rPr>
                <w:rFonts w:ascii="宋体" w:hAnsi="宋体" w:cs="宋体" w:eastAsia="宋体" w:hint="default"/>
                <w:sz w:val="18"/>
                <w:szCs w:val="18"/>
              </w:rPr>
              <w:t>。全体董 </w:t>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人员承诺</w:t>
            </w:r>
            <w:r>
              <w:rPr>
                <w:rFonts w:ascii="Times New Roman" w:hAnsi="Times New Roman" w:cs="Times New Roman" w:eastAsia="Times New Roman" w:hint="default"/>
                <w:sz w:val="18"/>
                <w:szCs w:val="18"/>
              </w:rPr>
              <w:t>“</w:t>
            </w:r>
            <w:r>
              <w:rPr>
                <w:rFonts w:ascii="宋体" w:hAnsi="宋体" w:cs="宋体" w:eastAsia="宋体" w:hint="default"/>
                <w:sz w:val="18"/>
                <w:szCs w:val="18"/>
              </w:rPr>
              <w:t>承 诺不无偿或 以不公平条 件向其他单 位或者个人 </w:t>
            </w:r>
            <w:r>
              <w:rPr>
                <w:rFonts w:ascii="宋体" w:hAnsi="宋体" w:cs="宋体" w:eastAsia="宋体" w:hint="default"/>
                <w:spacing w:val="-2"/>
                <w:sz w:val="18"/>
                <w:szCs w:val="18"/>
              </w:rPr>
              <w:t>输送利益，也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不采用其他 方式损害发 </w:t>
            </w:r>
            <w:r>
              <w:rPr>
                <w:rFonts w:ascii="宋体" w:hAnsi="宋体" w:cs="宋体" w:eastAsia="宋体" w:hint="default"/>
                <w:spacing w:val="-2"/>
                <w:sz w:val="18"/>
                <w:szCs w:val="18"/>
              </w:rPr>
              <w:t>行人利益；承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诺对本人的 职务消费行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47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为进行约束； 承诺不动用 发行人资产 从事与其履 行职责无关 的投资、消费 活动；承诺由 董事会或薪 酬委员会制 定的薪酬制 度与发行人 填补回报措 施的执行情 况相挂钩；承 诺拟公布的 发行人股权 激励的行权 条件与发行 人填补回报 措施的执行 情况相挂钩； 承诺本人忠 实、勤勉地履 行职责，维护 发行人和全 体股东的合 法权益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汇金科技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公司根据国 务院发布国 办发〔</w:t>
            </w:r>
            <w:r>
              <w:rPr>
                <w:rFonts w:ascii="Times New Roman" w:hAnsi="Times New Roman" w:cs="Times New Roman" w:eastAsia="Times New Roman" w:hint="default"/>
                <w:sz w:val="18"/>
                <w:szCs w:val="18"/>
              </w:rPr>
              <w:t>2013</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 进一步加强 资本市场中 小投资者合 法权益保护 工作的意见》 及证监会《上 市公司监管 指引第 </w:t>
            </w:r>
            <w:r>
              <w:rPr>
                <w:rFonts w:ascii="Times New Roman" w:hAnsi="Times New Roman" w:cs="Times New Roman" w:eastAsia="Times New Roman" w:hint="default"/>
                <w:sz w:val="18"/>
                <w:szCs w:val="18"/>
              </w:rPr>
              <w:t>3  </w:t>
            </w:r>
            <w:r>
              <w:rPr>
                <w:rFonts w:ascii="宋体" w:hAnsi="宋体" w:cs="宋体" w:eastAsia="宋体" w:hint="default"/>
                <w:sz w:val="18"/>
                <w:szCs w:val="18"/>
              </w:rPr>
              <w:t>号</w:t>
            </w:r>
          </w:p>
          <w:p>
            <w:pPr>
              <w:pStyle w:val="TableParagraph"/>
              <w:spacing w:line="314" w:lineRule="auto" w:before="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上市公 司现金分红》 等规范文件 的相关相求， 重视对投资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3002pt;margin-top:72.47998pt;width:62pt;height:438.9pt;mso-position-horizontal-relative:page;mso-position-vertical-relative:page;z-index:-1157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5"/>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78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者的合理投 资回报，制定 了本次发行 上市后适用 的《珠海汇金 科技股份有 限公司公司 章程（草案） 及《珠海汇金 科技股份有 限公司首次 公开发行股 票并上市后 股东分红回 </w:t>
            </w:r>
            <w:r>
              <w:rPr>
                <w:rFonts w:ascii="宋体" w:hAnsi="宋体" w:cs="宋体" w:eastAsia="宋体" w:hint="default"/>
                <w:spacing w:val="-15"/>
                <w:sz w:val="18"/>
                <w:szCs w:val="18"/>
              </w:rPr>
              <w:t>报规划》，完</w:t>
            </w:r>
            <w:r>
              <w:rPr>
                <w:rFonts w:ascii="宋体" w:hAnsi="宋体" w:cs="宋体" w:eastAsia="宋体" w:hint="default"/>
                <w:sz w:val="18"/>
                <w:szCs w:val="18"/>
              </w:rPr>
              <w:t> 善了公司利 润分配制度， 对利润分配 政策尤其是 现金分红政 策进行了具 体安排。公司 承诺将严格 按照上述制 度进行利润 分配，切实保 障投资者收 益权。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877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5"/>
                <w:sz w:val="20"/>
                <w:szCs w:val="20"/>
              </w:rPr>
              <w:pict>
                <v:group style="width:55.85pt;height:438.9pt;mso-position-horizontal-relative:char;mso-position-vertical-relative:line" coordorigin="0,0" coordsize="1117,8778">
                  <v:group style="position:absolute;left:0;top:0;width:1117;height:8778" coordorigin="0,0" coordsize="1117,8778">
                    <v:shape style="position:absolute;left:0;top:0;width:1117;height:8778" coordorigin="0,0" coordsize="1117,8778" path="m0,8778l1116,8778,1116,0,0,0,0,8778xe" filled="true" fillcolor="#ffffff" stroked="false">
                      <v:path arrowok="t"/>
                      <v:fill type="solid"/>
                    </v:shape>
                  </v:group>
                </v:group>
              </w:pict>
            </w:r>
            <w:r>
              <w:rPr>
                <w:rFonts w:ascii="Times New Roman" w:hAnsi="Times New Roman" w:cs="Times New Roman" w:eastAsia="Times New Roman" w:hint="default"/>
                <w:position w:val="-175"/>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本人目前未 以任何形式 直接或间接 从事与发行 人相同或相 似的业务，未 拥有与发行 人相同或相 似的控股公 司、联营公司 及合营公司， 将来也不会 从事与发行 人相同或相 似的业务；本 人将不投资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340.219971pt;width:62pt;height:194pt;mso-position-horizontal-relative:page;mso-position-vertical-relative:page;z-index:-11579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group style="position:absolute;margin-left:367.660004pt;margin-top:340.219971pt;width:55.85pt;height:194pt;mso-position-horizontal-relative:page;mso-position-vertical-relative:page;z-index:-1157920" coordorigin="7353,6804" coordsize="1117,3880">
            <v:shape style="position:absolute;left:7353;top:6804;width:1117;height:3880" coordorigin="7353,6804" coordsize="1117,3880" path="m7353,10684l8470,10684,8470,6804,7353,6804,7353,1068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与发行人相</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同或相似的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企业或项目，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以避免对发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行人的生产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经营构成直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竞争；保证本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人与本人关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系密切的家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庭成员不直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事、参与或进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行与发行人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生产、经营相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、不利用自</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身作为发行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人控股股东、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之地位及控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制性影响谋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求发行人在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业务合作等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方面给予优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于市场第三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方的权利；</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不利用自身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91"/>
              <w:jc w:val="both"/>
              <w:rPr>
                <w:rFonts w:ascii="宋体" w:hAnsi="宋体" w:cs="宋体" w:eastAsia="宋体" w:hint="default"/>
                <w:sz w:val="18"/>
                <w:szCs w:val="18"/>
              </w:rPr>
            </w:pPr>
            <w:r>
              <w:rPr>
                <w:rFonts w:ascii="宋体" w:hAnsi="宋体" w:cs="宋体" w:eastAsia="宋体" w:hint="default"/>
                <w:sz w:val="18"/>
                <w:szCs w:val="18"/>
              </w:rPr>
              <w:t>规范和减少 关联交易承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1"/>
              <w:jc w:val="left"/>
              <w:rPr>
                <w:rFonts w:ascii="宋体" w:hAnsi="宋体" w:cs="宋体" w:eastAsia="宋体" w:hint="default"/>
                <w:sz w:val="18"/>
                <w:szCs w:val="18"/>
              </w:rPr>
            </w:pPr>
            <w:r>
              <w:rPr>
                <w:rFonts w:ascii="宋体" w:hAnsi="宋体" w:cs="宋体" w:eastAsia="宋体" w:hint="default"/>
                <w:sz w:val="18"/>
                <w:szCs w:val="18"/>
              </w:rPr>
              <w:t>作为发行人 </w:t>
            </w:r>
            <w:r>
              <w:rPr>
                <w:rFonts w:ascii="宋体" w:hAnsi="宋体" w:cs="宋体" w:eastAsia="宋体" w:hint="default"/>
                <w:spacing w:val="-2"/>
                <w:sz w:val="18"/>
                <w:szCs w:val="18"/>
              </w:rPr>
              <w:t>控股股东、实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际控制人之</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地位及控制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性影响谋求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与发行人达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成交易的优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先权利；</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不以与市场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价格相比显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失公允的条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件与发行人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进行交易，亦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不利用该类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交易从事任</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4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何损害发行 人利益的行 为；</w:t>
            </w:r>
            <w:r>
              <w:rPr>
                <w:rFonts w:ascii="Times New Roman" w:hAnsi="Times New Roman" w:cs="Times New Roman" w:eastAsia="Times New Roman" w:hint="default"/>
                <w:sz w:val="18"/>
                <w:szCs w:val="18"/>
              </w:rPr>
              <w:t>4</w:t>
            </w:r>
            <w:r>
              <w:rPr>
                <w:rFonts w:ascii="宋体" w:hAnsi="宋体" w:cs="宋体" w:eastAsia="宋体" w:hint="default"/>
                <w:sz w:val="18"/>
                <w:szCs w:val="18"/>
              </w:rPr>
              <w:t>、在发 行人将来可 能产生的与 本人及本人 控制的企业 的关联交易 </w:t>
            </w:r>
            <w:r>
              <w:rPr>
                <w:rFonts w:ascii="宋体" w:hAnsi="宋体" w:cs="宋体" w:eastAsia="宋体" w:hint="default"/>
                <w:spacing w:val="-2"/>
                <w:sz w:val="18"/>
                <w:szCs w:val="18"/>
              </w:rPr>
              <w:t>时，本人将积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极、善意促使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发行人采取 如下措施规 范该等关联 </w:t>
            </w:r>
            <w:r>
              <w:rPr>
                <w:rFonts w:ascii="宋体" w:hAnsi="宋体" w:cs="宋体" w:eastAsia="宋体" w:hint="default"/>
                <w:spacing w:val="-15"/>
                <w:sz w:val="18"/>
                <w:szCs w:val="18"/>
              </w:rPr>
              <w:t>交易：（</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）严</w:t>
            </w:r>
            <w:r>
              <w:rPr>
                <w:rFonts w:ascii="宋体" w:hAnsi="宋体" w:cs="宋体" w:eastAsia="宋体" w:hint="default"/>
                <w:spacing w:val="-5"/>
                <w:sz w:val="18"/>
                <w:szCs w:val="18"/>
              </w:rPr>
              <w:t> </w:t>
            </w:r>
            <w:r>
              <w:rPr>
                <w:rFonts w:ascii="宋体" w:hAnsi="宋体" w:cs="宋体" w:eastAsia="宋体" w:hint="default"/>
                <w:sz w:val="18"/>
                <w:szCs w:val="18"/>
              </w:rPr>
              <w:t>格遵守发行</w:t>
            </w:r>
            <w:r>
              <w:rPr>
                <w:rFonts w:ascii="宋体" w:hAnsi="宋体" w:cs="宋体" w:eastAsia="宋体" w:hint="default"/>
                <w:sz w:val="18"/>
                <w:szCs w:val="18"/>
              </w:rPr>
              <w:t> </w:t>
            </w:r>
            <w:r>
              <w:rPr>
                <w:rFonts w:ascii="宋体" w:hAnsi="宋体" w:cs="宋体" w:eastAsia="宋体" w:hint="default"/>
                <w:spacing w:val="-2"/>
                <w:sz w:val="18"/>
                <w:szCs w:val="18"/>
              </w:rPr>
              <w:t>人章程、股东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大会议事规 </w:t>
            </w:r>
            <w:r>
              <w:rPr>
                <w:rFonts w:ascii="宋体" w:hAnsi="宋体" w:cs="宋体" w:eastAsia="宋体" w:hint="default"/>
                <w:spacing w:val="-2"/>
                <w:sz w:val="18"/>
                <w:szCs w:val="18"/>
              </w:rPr>
              <w:t>则、董事会议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事规则等相 </w:t>
            </w:r>
            <w:r>
              <w:rPr>
                <w:rFonts w:ascii="宋体" w:hAnsi="宋体" w:cs="宋体" w:eastAsia="宋体" w:hint="default"/>
                <w:spacing w:val="-2"/>
                <w:sz w:val="18"/>
                <w:szCs w:val="18"/>
              </w:rPr>
              <w:t>关规定，履行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关联交易决 </w:t>
            </w:r>
            <w:r>
              <w:rPr>
                <w:rFonts w:ascii="宋体" w:hAnsi="宋体" w:cs="宋体" w:eastAsia="宋体" w:hint="default"/>
                <w:spacing w:val="-2"/>
                <w:sz w:val="18"/>
                <w:szCs w:val="18"/>
              </w:rPr>
              <w:t>策、回避表决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等公允决策 </w:t>
            </w:r>
            <w:r>
              <w:rPr>
                <w:rFonts w:ascii="宋体" w:hAnsi="宋体" w:cs="宋体" w:eastAsia="宋体" w:hint="default"/>
                <w:spacing w:val="-2"/>
                <w:sz w:val="18"/>
                <w:szCs w:val="18"/>
              </w:rPr>
              <w:t>程序，及时详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细进行信息 </w:t>
            </w:r>
            <w:r>
              <w:rPr>
                <w:rFonts w:ascii="宋体" w:hAnsi="宋体" w:cs="宋体" w:eastAsia="宋体" w:hint="default"/>
                <w:spacing w:val="-15"/>
                <w:sz w:val="18"/>
                <w:szCs w:val="18"/>
              </w:rPr>
              <w:t>披露；（</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）依</w:t>
            </w:r>
            <w:r>
              <w:rPr>
                <w:rFonts w:ascii="宋体" w:hAnsi="宋体" w:cs="宋体" w:eastAsia="宋体" w:hint="default"/>
                <w:spacing w:val="-5"/>
                <w:sz w:val="18"/>
                <w:szCs w:val="18"/>
              </w:rPr>
              <w:t> </w:t>
            </w:r>
            <w:r>
              <w:rPr>
                <w:rFonts w:ascii="宋体" w:hAnsi="宋体" w:cs="宋体" w:eastAsia="宋体" w:hint="default"/>
                <w:sz w:val="18"/>
                <w:szCs w:val="18"/>
              </w:rPr>
              <w:t>照市场经济</w:t>
            </w:r>
            <w:r>
              <w:rPr>
                <w:rFonts w:ascii="宋体" w:hAnsi="宋体" w:cs="宋体" w:eastAsia="宋体" w:hint="default"/>
                <w:sz w:val="18"/>
                <w:szCs w:val="18"/>
              </w:rPr>
              <w:t> </w:t>
            </w:r>
            <w:r>
              <w:rPr>
                <w:rFonts w:ascii="宋体" w:hAnsi="宋体" w:cs="宋体" w:eastAsia="宋体" w:hint="default"/>
                <w:spacing w:val="-2"/>
                <w:sz w:val="18"/>
                <w:szCs w:val="18"/>
              </w:rPr>
              <w:t>原则，采取市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场定价确定 交易价格。</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3" w:right="21"/>
              <w:jc w:val="left"/>
              <w:rPr>
                <w:rFonts w:ascii="宋体" w:hAnsi="宋体" w:cs="宋体" w:eastAsia="宋体" w:hint="default"/>
                <w:sz w:val="18"/>
                <w:szCs w:val="18"/>
              </w:rPr>
            </w:pPr>
            <w:r>
              <w:rPr>
                <w:rFonts w:ascii="宋体" w:hAnsi="宋体" w:cs="宋体" w:eastAsia="宋体" w:hint="default"/>
                <w:spacing w:val="-2"/>
                <w:sz w:val="18"/>
                <w:szCs w:val="18"/>
              </w:rPr>
              <w:t>马铮、苏州衡</w:t>
            </w:r>
            <w:r>
              <w:rPr>
                <w:rFonts w:ascii="宋体" w:hAnsi="宋体" w:cs="宋体" w:eastAsia="宋体" w:hint="default"/>
                <w:sz w:val="18"/>
                <w:szCs w:val="18"/>
              </w:rPr>
              <w:t> 赢真盛创业 </w:t>
            </w:r>
            <w:r>
              <w:rPr>
                <w:rFonts w:ascii="宋体" w:hAnsi="宋体" w:cs="宋体" w:eastAsia="宋体" w:hint="default"/>
                <w:spacing w:val="-2"/>
                <w:sz w:val="18"/>
                <w:szCs w:val="18"/>
              </w:rPr>
              <w:t>投资中心（有</w:t>
            </w:r>
            <w:r>
              <w:rPr>
                <w:rFonts w:ascii="宋体" w:hAnsi="宋体" w:cs="宋体" w:eastAsia="宋体" w:hint="default"/>
                <w:sz w:val="18"/>
                <w:szCs w:val="18"/>
              </w:rPr>
              <w:t> 限合伙）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规范和减少 关联交易承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、不利用自 身作为发行 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东之地位及 影响谋求发 行人在业务 合作等方面 给予优于市 场第三方的 权利；</w:t>
            </w:r>
            <w:r>
              <w:rPr>
                <w:rFonts w:ascii="Times New Roman" w:hAnsi="Times New Roman" w:cs="Times New Roman" w:eastAsia="Times New Roman" w:hint="default"/>
                <w:sz w:val="18"/>
                <w:szCs w:val="18"/>
              </w:rPr>
              <w:t>2</w:t>
            </w:r>
            <w:r>
              <w:rPr>
                <w:rFonts w:ascii="宋体" w:hAnsi="宋体" w:cs="宋体" w:eastAsia="宋体" w:hint="default"/>
                <w:sz w:val="18"/>
                <w:szCs w:val="18"/>
              </w:rPr>
              <w:t>、不 利用自身作 为发行人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以上股东之 地位及影响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15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谋求与发行 人达成交易 的优先权利； </w:t>
            </w:r>
            <w:r>
              <w:rPr>
                <w:rFonts w:ascii="Times New Roman" w:hAnsi="Times New Roman" w:cs="Times New Roman" w:eastAsia="Times New Roman" w:hint="default"/>
                <w:sz w:val="18"/>
                <w:szCs w:val="18"/>
              </w:rPr>
              <w:t>3</w:t>
            </w:r>
            <w:r>
              <w:rPr>
                <w:rFonts w:ascii="宋体" w:hAnsi="宋体" w:cs="宋体" w:eastAsia="宋体" w:hint="default"/>
                <w:sz w:val="18"/>
                <w:szCs w:val="18"/>
              </w:rPr>
              <w:t>、不以与市 场价格相比 显失公允的 条件与发行 人进行交易， 亦不利用该 类交易从事 任何损害发 行人利益的 行为；</w:t>
            </w:r>
            <w:r>
              <w:rPr>
                <w:rFonts w:ascii="Times New Roman" w:hAnsi="Times New Roman" w:cs="Times New Roman" w:eastAsia="Times New Roman" w:hint="default"/>
                <w:sz w:val="18"/>
                <w:szCs w:val="18"/>
              </w:rPr>
              <w:t>4</w:t>
            </w:r>
            <w:r>
              <w:rPr>
                <w:rFonts w:ascii="宋体" w:hAnsi="宋体" w:cs="宋体" w:eastAsia="宋体" w:hint="default"/>
                <w:sz w:val="18"/>
                <w:szCs w:val="18"/>
              </w:rPr>
              <w:t>、在 发行人将来 可能产生的 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企业 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企业 控制的企业 的关联交易 </w:t>
            </w:r>
            <w:r>
              <w:rPr>
                <w:rFonts w:ascii="宋体" w:hAnsi="宋体" w:cs="宋体" w:eastAsia="宋体" w:hint="default"/>
                <w:spacing w:val="-9"/>
                <w:sz w:val="18"/>
                <w:szCs w:val="18"/>
              </w:rPr>
              <w:t>时，本人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企业</w:t>
            </w:r>
            <w:r>
              <w:rPr>
                <w:rFonts w:ascii="宋体" w:hAnsi="宋体" w:cs="宋体" w:eastAsia="宋体" w:hint="default"/>
                <w:spacing w:val="-88"/>
                <w:sz w:val="18"/>
                <w:szCs w:val="18"/>
              </w:rPr>
              <w:t> </w:t>
            </w:r>
            <w:r>
              <w:rPr>
                <w:rFonts w:ascii="宋体" w:hAnsi="宋体" w:cs="宋体" w:eastAsia="宋体" w:hint="default"/>
                <w:sz w:val="18"/>
                <w:szCs w:val="18"/>
              </w:rPr>
              <w:t>将积极、善意</w:t>
            </w:r>
            <w:r>
              <w:rPr>
                <w:rFonts w:ascii="宋体" w:hAnsi="宋体" w:cs="宋体" w:eastAsia="宋体" w:hint="default"/>
                <w:sz w:val="18"/>
                <w:szCs w:val="18"/>
              </w:rPr>
              <w:t> 促使发行人 采取如下措 施规范该等 关联交易：</w:t>
            </w:r>
          </w:p>
          <w:p>
            <w:pPr>
              <w:pStyle w:val="TableParagraph"/>
              <w:spacing w:line="316"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）严格遵 守发行人章 程、股东大会 议事规则、董 事会议事规 则等相关规 定，履行关联 交易决策、回 避表决等公 允决策程序， 及时详细进 行信息披露；</w:t>
            </w:r>
          </w:p>
          <w:p>
            <w:pPr>
              <w:pStyle w:val="TableParagraph"/>
              <w:spacing w:line="314"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）依照市 场经济原则， 采取市场定 价确定交易 价格。</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汇金科技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其它承诺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92"/>
              <w:jc w:val="left"/>
              <w:rPr>
                <w:rFonts w:ascii="宋体" w:hAnsi="宋体" w:cs="宋体" w:eastAsia="宋体" w:hint="default"/>
                <w:sz w:val="18"/>
                <w:szCs w:val="18"/>
              </w:rPr>
            </w:pPr>
            <w:r>
              <w:rPr>
                <w:rFonts w:ascii="宋体" w:hAnsi="宋体" w:cs="宋体" w:eastAsia="宋体" w:hint="default"/>
                <w:sz w:val="18"/>
                <w:szCs w:val="18"/>
              </w:rPr>
              <w:t>公司承诺不 为激励对象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25"/>
        <w:gridCol w:w="1137"/>
        <w:gridCol w:w="1126"/>
        <w:gridCol w:w="1127"/>
        <w:gridCol w:w="1126"/>
        <w:gridCol w:w="1121"/>
        <w:gridCol w:w="1108"/>
      </w:tblGrid>
      <w:tr>
        <w:trPr>
          <w:trHeight w:val="3483"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依公司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年限制性股 票激励计划 获取有关限 制性股票提 供贷款以及 其他任何形 式的财务资 </w:t>
            </w:r>
            <w:r>
              <w:rPr>
                <w:rFonts w:ascii="宋体" w:hAnsi="宋体" w:cs="宋体" w:eastAsia="宋体" w:hint="default"/>
                <w:spacing w:val="-2"/>
                <w:sz w:val="18"/>
                <w:szCs w:val="18"/>
              </w:rPr>
              <w:t>助，包括为其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贷款提供担 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3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44"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4"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2"/>
        </w:rPr>
        <w:t> </w:t>
      </w:r>
      <w:r>
        <w:rPr>
          <w:spacing w:val="-72"/>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0" w:firstLine="342"/>
        <w:jc w:val="left"/>
      </w:pPr>
      <w:r>
        <w:rPr/>
        <w:t>财政部</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月发布《关于修订印发</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spacing w:val="-4"/>
        </w:rPr>
        <w:t>年度一般企业财务报表格式的通知》（财会（</w:t>
      </w:r>
      <w:r>
        <w:rPr>
          <w:rFonts w:ascii="Times New Roman" w:hAnsi="Times New Roman" w:cs="Times New Roman" w:eastAsia="Times New Roman" w:hint="default"/>
          <w:spacing w:val="-4"/>
        </w:rPr>
        <w:t>2018</w:t>
      </w:r>
      <w:r>
        <w:rPr>
          <w:spacing w:val="-4"/>
        </w:rPr>
        <w:t>）</w:t>
      </w:r>
      <w:r>
        <w:rPr>
          <w:rFonts w:ascii="Times New Roman" w:hAnsi="Times New Roman" w:cs="Times New Roman" w:eastAsia="Times New Roman" w:hint="default"/>
          <w:spacing w:val="-4"/>
        </w:rPr>
        <w:t>15</w:t>
      </w:r>
      <w:r>
        <w:rPr>
          <w:rFonts w:ascii="Times New Roman" w:hAnsi="Times New Roman" w:cs="Times New Roman" w:eastAsia="Times New Roman" w:hint="default"/>
          <w:spacing w:val="1"/>
        </w:rPr>
        <w:t> </w:t>
      </w:r>
      <w:r>
        <w:rPr>
          <w:spacing w:val="-12"/>
        </w:rPr>
        <w:t>号），对企业财务</w:t>
      </w:r>
      <w:r>
        <w:rPr/>
        <w:t> </w:t>
      </w:r>
      <w:r>
        <w:rPr>
          <w:spacing w:val="-3"/>
          <w:w w:val="100"/>
        </w:rPr>
        <w:t>报表格式进行相应调整，将原</w:t>
      </w:r>
      <w:r>
        <w:rPr>
          <w:rFonts w:ascii="Times New Roman" w:hAnsi="Times New Roman" w:cs="Times New Roman" w:eastAsia="Times New Roman" w:hint="default"/>
          <w:spacing w:val="-3"/>
          <w:w w:val="100"/>
        </w:rPr>
        <w:t>“</w:t>
      </w:r>
      <w:r>
        <w:rPr>
          <w:spacing w:val="-3"/>
          <w:w w:val="100"/>
        </w:rPr>
        <w:t>应收票据</w:t>
      </w:r>
      <w:r>
        <w:rPr>
          <w:rFonts w:ascii="Times New Roman" w:hAnsi="Times New Roman" w:cs="Times New Roman" w:eastAsia="Times New Roman" w:hint="default"/>
          <w:spacing w:val="-3"/>
          <w:w w:val="100"/>
        </w:rPr>
        <w:t>”</w:t>
      </w:r>
      <w:r>
        <w:rPr>
          <w:spacing w:val="-3"/>
          <w:w w:val="100"/>
        </w:rPr>
        <w:t>及</w:t>
      </w:r>
      <w:r>
        <w:rPr>
          <w:rFonts w:ascii="Times New Roman" w:hAnsi="Times New Roman" w:cs="Times New Roman" w:eastAsia="Times New Roman" w:hint="default"/>
          <w:spacing w:val="-3"/>
          <w:w w:val="100"/>
        </w:rPr>
        <w:t>“</w:t>
      </w:r>
      <w:r>
        <w:rPr>
          <w:spacing w:val="-3"/>
          <w:w w:val="100"/>
        </w:rPr>
        <w:t>应收账款</w:t>
      </w:r>
      <w:r>
        <w:rPr>
          <w:rFonts w:ascii="Times New Roman" w:hAnsi="Times New Roman" w:cs="Times New Roman" w:eastAsia="Times New Roman" w:hint="default"/>
          <w:spacing w:val="-3"/>
          <w:w w:val="100"/>
        </w:rPr>
        <w:t>”</w:t>
      </w:r>
      <w:r>
        <w:rPr>
          <w:spacing w:val="-3"/>
          <w:w w:val="100"/>
        </w:rPr>
        <w:t>项目整合为</w:t>
      </w:r>
      <w:r>
        <w:rPr>
          <w:rFonts w:ascii="Times New Roman" w:hAnsi="Times New Roman" w:cs="Times New Roman" w:eastAsia="Times New Roman" w:hint="default"/>
          <w:spacing w:val="-3"/>
          <w:w w:val="100"/>
        </w:rPr>
        <w:t>“</w:t>
      </w:r>
      <w:r>
        <w:rPr>
          <w:spacing w:val="-3"/>
          <w:w w:val="100"/>
        </w:rPr>
        <w:t>应收票据及应收账款</w:t>
      </w:r>
      <w:r>
        <w:rPr>
          <w:rFonts w:ascii="Times New Roman" w:hAnsi="Times New Roman" w:cs="Times New Roman" w:eastAsia="Times New Roman" w:hint="default"/>
          <w:spacing w:val="-3"/>
          <w:w w:val="100"/>
        </w:rPr>
        <w:t>”</w:t>
      </w:r>
      <w:r>
        <w:rPr>
          <w:spacing w:val="-3"/>
          <w:w w:val="100"/>
        </w:rPr>
        <w:t>项目；将原</w:t>
      </w:r>
      <w:r>
        <w:rPr>
          <w:rFonts w:ascii="Times New Roman" w:hAnsi="Times New Roman" w:cs="Times New Roman" w:eastAsia="Times New Roman" w:hint="default"/>
          <w:spacing w:val="-3"/>
          <w:w w:val="100"/>
        </w:rPr>
        <w:t>“</w:t>
      </w:r>
      <w:r>
        <w:rPr>
          <w:spacing w:val="-3"/>
          <w:w w:val="100"/>
        </w:rPr>
        <w:t>应收利息</w:t>
      </w:r>
      <w:r>
        <w:rPr>
          <w:rFonts w:ascii="Times New Roman" w:hAnsi="Times New Roman" w:cs="Times New Roman" w:eastAsia="Times New Roman" w:hint="default"/>
          <w:spacing w:val="-3"/>
          <w:w w:val="100"/>
        </w:rPr>
        <w:t>”</w:t>
      </w:r>
      <w:r>
        <w:rPr>
          <w:spacing w:val="-3"/>
          <w:w w:val="100"/>
        </w:rPr>
        <w:t>及</w:t>
      </w:r>
      <w:r>
        <w:rPr>
          <w:rFonts w:ascii="Times New Roman" w:hAnsi="Times New Roman" w:cs="Times New Roman" w:eastAsia="Times New Roman" w:hint="default"/>
          <w:spacing w:val="-3"/>
          <w:w w:val="100"/>
        </w:rPr>
        <w:t>“</w:t>
      </w:r>
      <w:r>
        <w:rPr>
          <w:spacing w:val="-3"/>
          <w:w w:val="100"/>
        </w:rPr>
        <w:t>应收股利</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31"/>
          <w:w w:val="100"/>
        </w:rPr>
        <w:t> </w:t>
      </w:r>
      <w:r>
        <w:rPr/>
        <w:t>项目归并至</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项目；将原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项目；将原</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项 </w:t>
      </w:r>
      <w:r>
        <w:rPr>
          <w:spacing w:val="-2"/>
        </w:rPr>
        <w:t>目；将原</w:t>
      </w:r>
      <w:r>
        <w:rPr>
          <w:rFonts w:ascii="Times New Roman" w:hAnsi="Times New Roman" w:cs="Times New Roman" w:eastAsia="Times New Roman" w:hint="default"/>
          <w:spacing w:val="-2"/>
        </w:rPr>
        <w:t>“</w:t>
      </w:r>
      <w:r>
        <w:rPr>
          <w:spacing w:val="-2"/>
        </w:rPr>
        <w:t>应付票据</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应付账款</w:t>
      </w:r>
      <w:r>
        <w:rPr>
          <w:rFonts w:ascii="Times New Roman" w:hAnsi="Times New Roman" w:cs="Times New Roman" w:eastAsia="Times New Roman" w:hint="default"/>
          <w:spacing w:val="-2"/>
        </w:rPr>
        <w:t>”</w:t>
      </w:r>
      <w:r>
        <w:rPr>
          <w:spacing w:val="-2"/>
        </w:rPr>
        <w:t>项目整合为</w:t>
      </w:r>
      <w:r>
        <w:rPr>
          <w:rFonts w:ascii="Times New Roman" w:hAnsi="Times New Roman" w:cs="Times New Roman" w:eastAsia="Times New Roman" w:hint="default"/>
          <w:spacing w:val="-2"/>
        </w:rPr>
        <w:t>“</w:t>
      </w:r>
      <w:r>
        <w:rPr>
          <w:spacing w:val="-2"/>
        </w:rPr>
        <w:t>应付票据及应付账款</w:t>
      </w:r>
      <w:r>
        <w:rPr>
          <w:rFonts w:ascii="Times New Roman" w:hAnsi="Times New Roman" w:cs="Times New Roman" w:eastAsia="Times New Roman" w:hint="default"/>
          <w:spacing w:val="-2"/>
        </w:rPr>
        <w:t>”</w:t>
      </w:r>
      <w:r>
        <w:rPr>
          <w:spacing w:val="-2"/>
        </w:rPr>
        <w:t>项目；将原</w:t>
      </w:r>
      <w:r>
        <w:rPr>
          <w:rFonts w:ascii="Times New Roman" w:hAnsi="Times New Roman" w:cs="Times New Roman" w:eastAsia="Times New Roman" w:hint="default"/>
          <w:spacing w:val="-2"/>
        </w:rPr>
        <w:t>“</w:t>
      </w:r>
      <w:r>
        <w:rPr>
          <w:spacing w:val="-2"/>
        </w:rPr>
        <w:t>应付利息</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应付股利</w:t>
      </w:r>
      <w:r>
        <w:rPr>
          <w:rFonts w:ascii="Times New Roman" w:hAnsi="Times New Roman" w:cs="Times New Roman" w:eastAsia="Times New Roman" w:hint="default"/>
          <w:spacing w:val="-2"/>
        </w:rPr>
        <w:t>”</w:t>
      </w:r>
      <w:r>
        <w:rPr>
          <w:spacing w:val="-2"/>
        </w:rPr>
        <w:t>项目归并至</w:t>
      </w:r>
      <w:r>
        <w:rPr>
          <w:rFonts w:ascii="Times New Roman" w:hAnsi="Times New Roman" w:cs="Times New Roman" w:eastAsia="Times New Roman" w:hint="default"/>
          <w:spacing w:val="-2"/>
        </w:rPr>
        <w:t>“</w:t>
      </w:r>
      <w:r>
        <w:rPr>
          <w:spacing w:val="-2"/>
        </w:rPr>
        <w:t>其他应</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207"/>
        <w:jc w:val="both"/>
      </w:pPr>
      <w:r>
        <w:rPr/>
        <w:t>付款</w:t>
      </w:r>
      <w:r>
        <w:rPr>
          <w:rFonts w:ascii="Times New Roman" w:hAnsi="Times New Roman" w:cs="Times New Roman" w:eastAsia="Times New Roman" w:hint="default"/>
        </w:rPr>
        <w:t>”</w:t>
      </w:r>
      <w:r>
        <w:rPr/>
        <w:t>项目；将原</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项目；新增</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项目，从</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项目中分拆</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项目；在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项目下增加</w:t>
      </w:r>
      <w:r>
        <w:rPr>
          <w:rFonts w:ascii="Times New Roman" w:hAnsi="Times New Roman" w:cs="Times New Roman" w:eastAsia="Times New Roman" w:hint="default"/>
        </w:rPr>
        <w:t>“</w:t>
      </w:r>
      <w:r>
        <w:rPr/>
        <w:t>其中：利息费用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项目；所有者权益变动表新增</w:t>
      </w:r>
      <w:r>
        <w:rPr>
          <w:rFonts w:ascii="Times New Roman" w:hAnsi="Times New Roman" w:cs="Times New Roman" w:eastAsia="Times New Roman" w:hint="default"/>
        </w:rPr>
        <w:t>“</w:t>
      </w:r>
      <w:r>
        <w:rPr/>
        <w:t>设定受益计划变动额结转留 存收益</w:t>
      </w:r>
      <w:r>
        <w:rPr>
          <w:rFonts w:ascii="Times New Roman" w:hAnsi="Times New Roman" w:cs="Times New Roman" w:eastAsia="Times New Roman" w:hint="default"/>
        </w:rPr>
        <w:t>”</w:t>
      </w:r>
      <w:r>
        <w:rPr/>
        <w:t>项目。公司对该项会计政策变更采用追溯调整法，对</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年度合并财务报表列报项目进行追溯调整具体如下：</w:t>
      </w:r>
    </w:p>
    <w:p>
      <w:pPr>
        <w:spacing w:line="240" w:lineRule="auto" w:before="2"/>
        <w:rPr>
          <w:rFonts w:ascii="宋体" w:hAnsi="宋体" w:cs="宋体" w:eastAsia="宋体" w:hint="default"/>
          <w:sz w:val="3"/>
          <w:szCs w:val="3"/>
        </w:rPr>
      </w:pPr>
    </w:p>
    <w:tbl>
      <w:tblPr>
        <w:tblW w:w="0" w:type="auto"/>
        <w:jc w:val="left"/>
        <w:tblInd w:w="357" w:type="dxa"/>
        <w:tblLayout w:type="fixed"/>
        <w:tblCellMar>
          <w:top w:w="0" w:type="dxa"/>
          <w:left w:w="0" w:type="dxa"/>
          <w:bottom w:w="0" w:type="dxa"/>
          <w:right w:w="0" w:type="dxa"/>
        </w:tblCellMar>
        <w:tblLook w:val="01E0"/>
      </w:tblPr>
      <w:tblGrid>
        <w:gridCol w:w="2304"/>
        <w:gridCol w:w="2304"/>
        <w:gridCol w:w="2304"/>
        <w:gridCol w:w="2304"/>
      </w:tblGrid>
      <w:tr>
        <w:trPr>
          <w:trHeight w:val="347" w:hRule="exact"/>
        </w:trPr>
        <w:tc>
          <w:tcPr>
            <w:tcW w:w="46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86" w:right="0"/>
              <w:jc w:val="left"/>
              <w:rPr>
                <w:rFonts w:ascii="宋体" w:hAnsi="宋体" w:cs="宋体" w:eastAsia="宋体" w:hint="default"/>
                <w:sz w:val="18"/>
                <w:szCs w:val="18"/>
              </w:rPr>
            </w:pPr>
            <w:r>
              <w:rPr>
                <w:rFonts w:ascii="宋体" w:hAnsi="宋体" w:cs="宋体" w:eastAsia="宋体" w:hint="default"/>
                <w:sz w:val="18"/>
                <w:szCs w:val="18"/>
              </w:rPr>
              <w:t>原列报表项目及金额</w:t>
            </w:r>
          </w:p>
        </w:tc>
        <w:tc>
          <w:tcPr>
            <w:tcW w:w="46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85" w:right="0"/>
              <w:jc w:val="left"/>
              <w:rPr>
                <w:rFonts w:ascii="宋体" w:hAnsi="宋体" w:cs="宋体" w:eastAsia="宋体" w:hint="default"/>
                <w:sz w:val="18"/>
                <w:szCs w:val="18"/>
              </w:rPr>
            </w:pPr>
            <w:r>
              <w:rPr>
                <w:rFonts w:ascii="宋体" w:hAnsi="宋体" w:cs="宋体" w:eastAsia="宋体" w:hint="default"/>
                <w:sz w:val="18"/>
                <w:szCs w:val="18"/>
              </w:rPr>
              <w:t>新列报表项目及金额</w:t>
            </w:r>
          </w:p>
        </w:tc>
      </w:tr>
      <w:tr>
        <w:trPr>
          <w:trHeight w:val="348"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04" w:type="dxa"/>
            <w:tcBorders>
              <w:top w:val="single" w:sz="6" w:space="0" w:color="000000"/>
              <w:left w:val="single" w:sz="6" w:space="0" w:color="000000"/>
              <w:bottom w:val="single" w:sz="6" w:space="0" w:color="000000"/>
              <w:right w:val="single" w:sz="6" w:space="0" w:color="000000"/>
            </w:tcBorders>
          </w:tcPr>
          <w:p>
            <w:pP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161" w:right="0"/>
              <w:jc w:val="left"/>
              <w:rPr>
                <w:rFonts w:ascii="Times New Roman" w:hAnsi="Times New Roman" w:cs="Times New Roman" w:eastAsia="Times New Roman" w:hint="default"/>
                <w:sz w:val="18"/>
                <w:szCs w:val="18"/>
              </w:rPr>
            </w:pPr>
            <w:r>
              <w:rPr>
                <w:rFonts w:ascii="Times New Roman"/>
                <w:sz w:val="18"/>
              </w:rPr>
              <w:t>105,711,641.83</w:t>
            </w: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105,711,641.83</w:t>
            </w:r>
          </w:p>
        </w:tc>
        <w:tc>
          <w:tcPr>
            <w:tcW w:w="2304" w:type="dxa"/>
            <w:vMerge/>
            <w:tcBorders>
              <w:left w:val="single" w:sz="6" w:space="0" w:color="000000"/>
              <w:bottom w:val="single" w:sz="6" w:space="0" w:color="000000"/>
              <w:right w:val="single" w:sz="6" w:space="0" w:color="000000"/>
            </w:tcBorders>
          </w:tcPr>
          <w:p>
            <w:pPr/>
          </w:p>
        </w:tc>
        <w:tc>
          <w:tcPr>
            <w:tcW w:w="2304" w:type="dxa"/>
            <w:vMerge/>
            <w:tcBorders>
              <w:left w:val="single" w:sz="6" w:space="0" w:color="000000"/>
              <w:bottom w:val="single" w:sz="6" w:space="0" w:color="000000"/>
              <w:right w:val="single" w:sz="6" w:space="0" w:color="000000"/>
            </w:tcBorders>
          </w:tcPr>
          <w:p>
            <w:pP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949,715.07</w:t>
            </w: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41" w:right="0"/>
              <w:jc w:val="left"/>
              <w:rPr>
                <w:rFonts w:ascii="Times New Roman" w:hAnsi="Times New Roman" w:cs="Times New Roman" w:eastAsia="Times New Roman" w:hint="default"/>
                <w:sz w:val="18"/>
                <w:szCs w:val="18"/>
              </w:rPr>
            </w:pPr>
            <w:r>
              <w:rPr>
                <w:rFonts w:ascii="Times New Roman"/>
                <w:sz w:val="18"/>
              </w:rPr>
              <w:t>3,374,281.83</w:t>
            </w: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304" w:type="dxa"/>
            <w:tcBorders>
              <w:top w:val="single" w:sz="6" w:space="0" w:color="000000"/>
              <w:left w:val="single" w:sz="6" w:space="0" w:color="000000"/>
              <w:bottom w:val="single" w:sz="6" w:space="0" w:color="000000"/>
              <w:right w:val="single" w:sz="6" w:space="0" w:color="000000"/>
            </w:tcBorders>
          </w:tcPr>
          <w:p>
            <w:pPr/>
          </w:p>
        </w:tc>
        <w:tc>
          <w:tcPr>
            <w:tcW w:w="2304" w:type="dxa"/>
            <w:vMerge/>
            <w:tcBorders>
              <w:left w:val="single" w:sz="6" w:space="0" w:color="000000"/>
              <w:right w:val="single" w:sz="6" w:space="0" w:color="000000"/>
            </w:tcBorders>
          </w:tcPr>
          <w:p>
            <w:pPr/>
          </w:p>
        </w:tc>
        <w:tc>
          <w:tcPr>
            <w:tcW w:w="2304" w:type="dxa"/>
            <w:vMerge/>
            <w:tcBorders>
              <w:left w:val="single" w:sz="6" w:space="0" w:color="000000"/>
              <w:right w:val="single" w:sz="6" w:space="0" w:color="000000"/>
            </w:tcBorders>
          </w:tcPr>
          <w:p>
            <w:pP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2,424,566.76</w:t>
            </w:r>
          </w:p>
        </w:tc>
        <w:tc>
          <w:tcPr>
            <w:tcW w:w="2304" w:type="dxa"/>
            <w:vMerge/>
            <w:tcBorders>
              <w:left w:val="single" w:sz="6" w:space="0" w:color="000000"/>
              <w:bottom w:val="single" w:sz="6" w:space="0" w:color="000000"/>
              <w:right w:val="single" w:sz="6" w:space="0" w:color="000000"/>
            </w:tcBorders>
          </w:tcPr>
          <w:p>
            <w:pPr/>
          </w:p>
        </w:tc>
        <w:tc>
          <w:tcPr>
            <w:tcW w:w="2304" w:type="dxa"/>
            <w:vMerge/>
            <w:tcBorders>
              <w:left w:val="single" w:sz="6" w:space="0" w:color="000000"/>
              <w:bottom w:val="single" w:sz="6" w:space="0" w:color="000000"/>
              <w:right w:val="single" w:sz="6" w:space="0" w:color="000000"/>
            </w:tcBorders>
          </w:tcPr>
          <w:p>
            <w:pPr/>
          </w:p>
        </w:tc>
      </w:tr>
      <w:tr>
        <w:trPr>
          <w:trHeight w:val="348"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14,565,887.73</w:t>
            </w: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51" w:right="0"/>
              <w:jc w:val="left"/>
              <w:rPr>
                <w:rFonts w:ascii="Times New Roman" w:hAnsi="Times New Roman" w:cs="Times New Roman" w:eastAsia="Times New Roman" w:hint="default"/>
                <w:sz w:val="18"/>
                <w:szCs w:val="18"/>
              </w:rPr>
            </w:pPr>
            <w:r>
              <w:rPr>
                <w:rFonts w:ascii="Times New Roman"/>
                <w:sz w:val="18"/>
              </w:rPr>
              <w:t>14,565,887.73</w:t>
            </w: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304" w:type="dxa"/>
            <w:tcBorders>
              <w:top w:val="single" w:sz="6" w:space="0" w:color="000000"/>
              <w:left w:val="single" w:sz="6" w:space="0" w:color="000000"/>
              <w:bottom w:val="single" w:sz="6" w:space="0" w:color="000000"/>
              <w:right w:val="single" w:sz="6" w:space="0" w:color="000000"/>
            </w:tcBorders>
          </w:tcPr>
          <w:p>
            <w:pPr/>
          </w:p>
        </w:tc>
        <w:tc>
          <w:tcPr>
            <w:tcW w:w="2304" w:type="dxa"/>
            <w:vMerge/>
            <w:tcBorders>
              <w:left w:val="single" w:sz="6" w:space="0" w:color="000000"/>
              <w:bottom w:val="single" w:sz="6" w:space="0" w:color="000000"/>
              <w:right w:val="single" w:sz="6" w:space="0" w:color="000000"/>
            </w:tcBorders>
          </w:tcPr>
          <w:p>
            <w:pPr/>
          </w:p>
        </w:tc>
        <w:tc>
          <w:tcPr>
            <w:tcW w:w="2304" w:type="dxa"/>
            <w:vMerge/>
            <w:tcBorders>
              <w:left w:val="single" w:sz="6" w:space="0" w:color="000000"/>
              <w:bottom w:val="single" w:sz="6" w:space="0" w:color="000000"/>
              <w:right w:val="single" w:sz="6" w:space="0" w:color="000000"/>
            </w:tcBorders>
          </w:tcPr>
          <w:p>
            <w:pP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7,303,351.21</w:t>
            </w: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341" w:right="0"/>
              <w:jc w:val="left"/>
              <w:rPr>
                <w:rFonts w:ascii="Times New Roman" w:hAnsi="Times New Roman" w:cs="Times New Roman" w:eastAsia="Times New Roman" w:hint="default"/>
                <w:sz w:val="18"/>
                <w:szCs w:val="18"/>
              </w:rPr>
            </w:pPr>
            <w:r>
              <w:rPr>
                <w:rFonts w:ascii="Times New Roman"/>
                <w:sz w:val="18"/>
              </w:rPr>
              <w:t>7,303,351.21</w:t>
            </w: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304" w:type="dxa"/>
            <w:tcBorders>
              <w:top w:val="single" w:sz="6" w:space="0" w:color="000000"/>
              <w:left w:val="single" w:sz="6" w:space="0" w:color="000000"/>
              <w:bottom w:val="single" w:sz="6" w:space="0" w:color="000000"/>
              <w:right w:val="single" w:sz="6" w:space="0" w:color="000000"/>
            </w:tcBorders>
          </w:tcPr>
          <w:p>
            <w:pPr/>
          </w:p>
        </w:tc>
        <w:tc>
          <w:tcPr>
            <w:tcW w:w="2304" w:type="dxa"/>
            <w:vMerge/>
            <w:tcBorders>
              <w:left w:val="single" w:sz="6" w:space="0" w:color="000000"/>
              <w:bottom w:val="single" w:sz="6" w:space="0" w:color="000000"/>
              <w:right w:val="single" w:sz="6" w:space="0" w:color="000000"/>
            </w:tcBorders>
          </w:tcPr>
          <w:p>
            <w:pPr/>
          </w:p>
        </w:tc>
        <w:tc>
          <w:tcPr>
            <w:tcW w:w="2304" w:type="dxa"/>
            <w:vMerge/>
            <w:tcBorders>
              <w:left w:val="single" w:sz="6" w:space="0" w:color="000000"/>
              <w:bottom w:val="single" w:sz="6" w:space="0" w:color="000000"/>
              <w:right w:val="single" w:sz="6" w:space="0" w:color="000000"/>
            </w:tcBorders>
          </w:tcPr>
          <w:p>
            <w:pP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04" w:type="dxa"/>
            <w:tcBorders>
              <w:top w:val="single" w:sz="6" w:space="0" w:color="000000"/>
              <w:left w:val="single" w:sz="6" w:space="0" w:color="000000"/>
              <w:bottom w:val="single" w:sz="6" w:space="0" w:color="000000"/>
              <w:right w:val="single" w:sz="6" w:space="0" w:color="000000"/>
            </w:tcBorders>
          </w:tcPr>
          <w:p>
            <w:pP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51" w:right="0"/>
              <w:jc w:val="left"/>
              <w:rPr>
                <w:rFonts w:ascii="Times New Roman" w:hAnsi="Times New Roman" w:cs="Times New Roman" w:eastAsia="Times New Roman" w:hint="default"/>
                <w:sz w:val="18"/>
                <w:szCs w:val="18"/>
              </w:rPr>
            </w:pPr>
            <w:r>
              <w:rPr>
                <w:rFonts w:ascii="Times New Roman"/>
                <w:sz w:val="18"/>
              </w:rPr>
              <w:t>18,831,256.07</w:t>
            </w: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18,831,256.07</w:t>
            </w:r>
          </w:p>
        </w:tc>
        <w:tc>
          <w:tcPr>
            <w:tcW w:w="2304" w:type="dxa"/>
            <w:vMerge/>
            <w:tcBorders>
              <w:left w:val="single" w:sz="6" w:space="0" w:color="000000"/>
              <w:bottom w:val="single" w:sz="6" w:space="0" w:color="000000"/>
              <w:right w:val="single" w:sz="6" w:space="0" w:color="000000"/>
            </w:tcBorders>
          </w:tcPr>
          <w:p>
            <w:pPr/>
          </w:p>
        </w:tc>
        <w:tc>
          <w:tcPr>
            <w:tcW w:w="2304" w:type="dxa"/>
            <w:vMerge/>
            <w:tcBorders>
              <w:left w:val="single" w:sz="6" w:space="0" w:color="000000"/>
              <w:bottom w:val="single" w:sz="6" w:space="0" w:color="000000"/>
              <w:right w:val="single" w:sz="6" w:space="0" w:color="000000"/>
            </w:tcBorders>
          </w:tcPr>
          <w:p>
            <w:pPr/>
          </w:p>
        </w:tc>
      </w:tr>
      <w:tr>
        <w:trPr>
          <w:trHeight w:val="348"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04" w:type="dxa"/>
            <w:tcBorders>
              <w:top w:val="single" w:sz="6" w:space="0" w:color="000000"/>
              <w:left w:val="single" w:sz="6" w:space="0" w:color="000000"/>
              <w:bottom w:val="single" w:sz="6" w:space="0" w:color="000000"/>
              <w:right w:val="single" w:sz="6" w:space="0" w:color="000000"/>
            </w:tcBorders>
          </w:tcPr>
          <w:p>
            <w:pP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51" w:right="0"/>
              <w:jc w:val="left"/>
              <w:rPr>
                <w:rFonts w:ascii="Times New Roman" w:hAnsi="Times New Roman" w:cs="Times New Roman" w:eastAsia="Times New Roman" w:hint="default"/>
                <w:sz w:val="18"/>
                <w:szCs w:val="18"/>
              </w:rPr>
            </w:pPr>
            <w:r>
              <w:rPr>
                <w:rFonts w:ascii="Times New Roman"/>
                <w:sz w:val="18"/>
              </w:rPr>
              <w:t>28,934,248.77</w:t>
            </w: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04" w:type="dxa"/>
            <w:tcBorders>
              <w:top w:val="single" w:sz="6" w:space="0" w:color="000000"/>
              <w:left w:val="single" w:sz="6" w:space="0" w:color="000000"/>
              <w:bottom w:val="single" w:sz="6" w:space="0" w:color="000000"/>
              <w:right w:val="single" w:sz="6" w:space="0" w:color="000000"/>
            </w:tcBorders>
          </w:tcPr>
          <w:p>
            <w:pPr/>
          </w:p>
        </w:tc>
        <w:tc>
          <w:tcPr>
            <w:tcW w:w="2304" w:type="dxa"/>
            <w:vMerge/>
            <w:tcBorders>
              <w:left w:val="single" w:sz="6" w:space="0" w:color="000000"/>
              <w:right w:val="single" w:sz="6" w:space="0" w:color="000000"/>
            </w:tcBorders>
          </w:tcPr>
          <w:p>
            <w:pPr/>
          </w:p>
        </w:tc>
        <w:tc>
          <w:tcPr>
            <w:tcW w:w="2304" w:type="dxa"/>
            <w:vMerge/>
            <w:tcBorders>
              <w:left w:val="single" w:sz="6" w:space="0" w:color="000000"/>
              <w:right w:val="single" w:sz="6" w:space="0" w:color="000000"/>
            </w:tcBorders>
          </w:tcPr>
          <w:p>
            <w:pP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28,934,248.77</w:t>
            </w:r>
          </w:p>
        </w:tc>
        <w:tc>
          <w:tcPr>
            <w:tcW w:w="2304" w:type="dxa"/>
            <w:vMerge/>
            <w:tcBorders>
              <w:left w:val="single" w:sz="6" w:space="0" w:color="000000"/>
              <w:bottom w:val="single" w:sz="6" w:space="0" w:color="000000"/>
              <w:right w:val="single" w:sz="6" w:space="0" w:color="000000"/>
            </w:tcBorders>
          </w:tcPr>
          <w:p>
            <w:pPr/>
          </w:p>
        </w:tc>
        <w:tc>
          <w:tcPr>
            <w:tcW w:w="2304" w:type="dxa"/>
            <w:vMerge/>
            <w:tcBorders>
              <w:left w:val="single" w:sz="6" w:space="0" w:color="000000"/>
              <w:bottom w:val="single" w:sz="6" w:space="0" w:color="000000"/>
              <w:right w:val="single" w:sz="6" w:space="0" w:color="000000"/>
            </w:tcBorders>
          </w:tcPr>
          <w:p>
            <w:pPr/>
          </w:p>
        </w:tc>
      </w:tr>
      <w:tr>
        <w:trPr>
          <w:trHeight w:val="347" w:hRule="exact"/>
        </w:trPr>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51" w:right="0"/>
              <w:jc w:val="left"/>
              <w:rPr>
                <w:rFonts w:ascii="Times New Roman" w:hAnsi="Times New Roman" w:cs="Times New Roman" w:eastAsia="Times New Roman" w:hint="default"/>
                <w:sz w:val="18"/>
                <w:szCs w:val="18"/>
              </w:rPr>
            </w:pPr>
            <w:r>
              <w:rPr>
                <w:rFonts w:ascii="Times New Roman"/>
                <w:sz w:val="18"/>
              </w:rPr>
              <w:t>49,210,528.50</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20,392,100.86</w:t>
            </w:r>
          </w:p>
        </w:tc>
      </w:tr>
      <w:tr>
        <w:trPr>
          <w:trHeight w:val="348" w:hRule="exact"/>
        </w:trPr>
        <w:tc>
          <w:tcPr>
            <w:tcW w:w="2304" w:type="dxa"/>
            <w:vMerge/>
            <w:tcBorders>
              <w:left w:val="single" w:sz="6" w:space="0" w:color="000000"/>
              <w:bottom w:val="single" w:sz="6" w:space="0" w:color="000000"/>
              <w:right w:val="single" w:sz="6" w:space="0" w:color="000000"/>
            </w:tcBorders>
          </w:tcPr>
          <w:p>
            <w:pPr/>
          </w:p>
        </w:tc>
        <w:tc>
          <w:tcPr>
            <w:tcW w:w="2304" w:type="dxa"/>
            <w:vMerge/>
            <w:tcBorders>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28,818,427.64</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王莹、刘展强</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年、刘展强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是否改聘会计师事务所</w:t>
      </w:r>
    </w:p>
    <w:p>
      <w:pPr>
        <w:pStyle w:val="BodyText"/>
        <w:spacing w:line="340" w:lineRule="auto" w:before="116"/>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0"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日，公司召开第二届董事会第二十一次会议和第二届监事会第十九次会议，审议通过《关于向激励对象</w:t>
      </w:r>
      <w:r>
        <w:rPr/>
        <w:t> </w:t>
      </w:r>
      <w:r>
        <w:rPr>
          <w:spacing w:val="-2"/>
        </w:rPr>
        <w:t>授予预留部分限制性股票的议案》，公司董事会认为</w:t>
      </w:r>
      <w:r>
        <w:rPr>
          <w:rFonts w:ascii="Times New Roman" w:hAnsi="Times New Roman" w:cs="Times New Roman" w:eastAsia="Times New Roman" w:hint="default"/>
          <w:spacing w:val="-2"/>
        </w:rPr>
        <w:t>2017</w:t>
      </w:r>
      <w:r>
        <w:rPr>
          <w:spacing w:val="-2"/>
        </w:rPr>
        <w:t>年限制性股票激励计划规定的预留部分授予条件已经成就，同意向</w:t>
      </w:r>
      <w:r>
        <w:rPr>
          <w:spacing w:val="-62"/>
        </w:rPr>
        <w:t> </w:t>
      </w:r>
      <w:r>
        <w:rPr>
          <w:spacing w:val="-62"/>
        </w:rPr>
      </w:r>
      <w:r>
        <w:rPr>
          <w:spacing w:val="-2"/>
        </w:rPr>
        <w:t>符合条件的激励对象授予预留部分限制性股票。根据公司股东大会的授权，董事会确定预留部分的授予日为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w:t>
      </w:r>
      <w:r>
        <w:rPr>
          <w:spacing w:val="-55"/>
        </w:rPr>
        <w:t> </w:t>
      </w:r>
      <w:r>
        <w:rPr/>
        <w:t>授予价格为</w:t>
      </w:r>
      <w:r>
        <w:rPr>
          <w:rFonts w:ascii="Times New Roman" w:hAnsi="Times New Roman" w:cs="Times New Roman" w:eastAsia="Times New Roman" w:hint="default"/>
        </w:rPr>
        <w:t>21.18</w:t>
      </w:r>
      <w:r>
        <w:rPr/>
        <w:t>元</w:t>
      </w:r>
      <w:r>
        <w:rPr>
          <w:rFonts w:ascii="Times New Roman" w:hAnsi="Times New Roman" w:cs="Times New Roman" w:eastAsia="Times New Roman" w:hint="default"/>
        </w:rPr>
        <w:t>/</w:t>
      </w:r>
      <w:r>
        <w:rPr/>
        <w:t>股，监事会对名单进行了核查并发表意见。</w:t>
      </w:r>
    </w:p>
    <w:p>
      <w:pPr>
        <w:pStyle w:val="BodyText"/>
        <w:spacing w:line="240" w:lineRule="auto" w:before="13"/>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日，公司完成</w:t>
      </w:r>
      <w:r>
        <w:rPr>
          <w:rFonts w:ascii="Times New Roman" w:hAnsi="Times New Roman" w:cs="Times New Roman" w:eastAsia="Times New Roman" w:hint="default"/>
        </w:rPr>
        <w:t>2017</w:t>
      </w:r>
      <w:r>
        <w:rPr/>
        <w:t>年限制性股票激励计划限制性股票预留部分的授予登记工作，向</w:t>
      </w:r>
      <w:r>
        <w:rPr>
          <w:rFonts w:ascii="Times New Roman" w:hAnsi="Times New Roman" w:cs="Times New Roman" w:eastAsia="Times New Roman" w:hint="default"/>
        </w:rPr>
        <w:t>6</w:t>
      </w:r>
      <w:r>
        <w:rPr/>
        <w:t>名激励对象授予</w:t>
      </w:r>
      <w:r>
        <w:rPr>
          <w:rFonts w:ascii="Times New Roman" w:hAnsi="Times New Roman" w:cs="Times New Roman" w:eastAsia="Times New Roman" w:hint="default"/>
        </w:rPr>
        <w:t>19</w:t>
      </w:r>
    </w:p>
    <w:p>
      <w:pPr>
        <w:pStyle w:val="BodyText"/>
        <w:spacing w:line="240" w:lineRule="auto" w:before="63"/>
        <w:ind w:right="0"/>
        <w:jc w:val="both"/>
      </w:pPr>
      <w:r>
        <w:rPr/>
        <w:t>万股限制性股票，上市日期为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日，并披露了《关于</w:t>
      </w:r>
      <w:r>
        <w:rPr>
          <w:rFonts w:ascii="Times New Roman" w:hAnsi="Times New Roman" w:cs="Times New Roman" w:eastAsia="Times New Roman" w:hint="default"/>
        </w:rPr>
        <w:t>2017</w:t>
      </w:r>
      <w:r>
        <w:rPr/>
        <w:t>年限制性股票激励计划预留部分授予登记完成的公告》。</w:t>
      </w:r>
    </w:p>
    <w:p>
      <w:pPr>
        <w:pStyle w:val="BodyText"/>
        <w:spacing w:line="300" w:lineRule="auto" w:before="63"/>
        <w:ind w:right="1117" w:firstLine="360"/>
        <w:jc w:val="left"/>
        <w:rPr>
          <w:rFonts w:ascii="Times New Roman" w:hAnsi="Times New Roman" w:cs="Times New Roman" w:eastAsia="Times New Roman" w:hint="default"/>
        </w:rPr>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日，公司召开第三届董事会第二次会议和第三届监事会第二次会议，审议通过《关于调整限制性股票回</w:t>
      </w:r>
      <w:r>
        <w:rPr/>
        <w:t> </w:t>
      </w:r>
      <w:r>
        <w:rPr>
          <w:spacing w:val="-8"/>
        </w:rPr>
        <w:t>购价格的议案》、《关于回购注销部分限制性股票的议案》等议案。经过调整，将公司首次授予的限制性股票回购价格由</w:t>
      </w:r>
      <w:r>
        <w:rPr>
          <w:spacing w:val="24"/>
        </w:rPr>
        <w:t> </w:t>
      </w:r>
      <w:r>
        <w:rPr>
          <w:rFonts w:ascii="Times New Roman" w:hAnsi="Times New Roman" w:cs="Times New Roman" w:eastAsia="Times New Roman" w:hint="default"/>
        </w:rPr>
        <w:t>24.45</w:t>
      </w:r>
    </w:p>
    <w:p>
      <w:pPr>
        <w:pStyle w:val="BodyText"/>
        <w:spacing w:line="300" w:lineRule="auto" w:before="13"/>
        <w:ind w:right="1181"/>
        <w:jc w:val="both"/>
      </w:pPr>
      <w:r>
        <w:rPr/>
        <w:t>元</w:t>
      </w:r>
      <w:r>
        <w:rPr>
          <w:rFonts w:ascii="Times New Roman" w:hAnsi="Times New Roman" w:cs="Times New Roman" w:eastAsia="Times New Roman" w:hint="default"/>
        </w:rPr>
        <w:t>/</w:t>
      </w:r>
      <w:r>
        <w:rPr/>
        <w:t>股调整为 </w:t>
      </w:r>
      <w:r>
        <w:rPr>
          <w:rFonts w:ascii="Times New Roman" w:hAnsi="Times New Roman" w:cs="Times New Roman" w:eastAsia="Times New Roman" w:hint="default"/>
        </w:rPr>
        <w:t>12.0588 </w:t>
      </w:r>
      <w:r>
        <w:rPr/>
        <w:t>元</w:t>
      </w:r>
      <w:r>
        <w:rPr>
          <w:rFonts w:ascii="Times New Roman" w:hAnsi="Times New Roman" w:cs="Times New Roman" w:eastAsia="Times New Roman" w:hint="default"/>
        </w:rPr>
        <w:t>/</w:t>
      </w:r>
      <w:r>
        <w:rPr/>
        <w:t>股，将公司预留授予的限制性股票回购价格由 </w:t>
      </w:r>
      <w:r>
        <w:rPr>
          <w:rFonts w:ascii="Times New Roman" w:hAnsi="Times New Roman" w:cs="Times New Roman" w:eastAsia="Times New Roman" w:hint="default"/>
        </w:rPr>
        <w:t>21.18 </w:t>
      </w:r>
      <w:r>
        <w:rPr/>
        <w:t>元</w:t>
      </w:r>
      <w:r>
        <w:rPr>
          <w:rFonts w:ascii="Times New Roman" w:hAnsi="Times New Roman" w:cs="Times New Roman" w:eastAsia="Times New Roman" w:hint="default"/>
        </w:rPr>
        <w:t>/</w:t>
      </w:r>
      <w:r>
        <w:rPr/>
        <w:t>股调整为 </w:t>
      </w:r>
      <w:r>
        <w:rPr>
          <w:rFonts w:ascii="Times New Roman" w:hAnsi="Times New Roman" w:cs="Times New Roman" w:eastAsia="Times New Roman" w:hint="default"/>
        </w:rPr>
        <w:t>10.4220</w:t>
      </w:r>
      <w:r>
        <w:rPr>
          <w:rFonts w:ascii="Times New Roman" w:hAnsi="Times New Roman" w:cs="Times New Roman" w:eastAsia="Times New Roman" w:hint="default"/>
          <w:spacing w:val="20"/>
        </w:rPr>
        <w:t> </w:t>
      </w:r>
      <w:r>
        <w:rPr/>
        <w:t>元</w:t>
      </w:r>
      <w:r>
        <w:rPr>
          <w:rFonts w:ascii="Times New Roman" w:hAnsi="Times New Roman" w:cs="Times New Roman" w:eastAsia="Times New Roman" w:hint="default"/>
        </w:rPr>
        <w:t>/</w:t>
      </w:r>
      <w:r>
        <w:rPr/>
        <w:t>股；同时对激励对象 中因个人原因离职的</w:t>
      </w:r>
      <w:r>
        <w:rPr>
          <w:rFonts w:ascii="Times New Roman" w:hAnsi="Times New Roman" w:cs="Times New Roman" w:eastAsia="Times New Roman" w:hint="default"/>
        </w:rPr>
        <w:t>3</w:t>
      </w:r>
      <w:r>
        <w:rPr/>
        <w:t>名人员已获授尚未解除限售的限制性股票共计</w:t>
      </w:r>
      <w:r>
        <w:rPr>
          <w:rFonts w:ascii="Times New Roman" w:hAnsi="Times New Roman" w:cs="Times New Roman" w:eastAsia="Times New Roman" w:hint="default"/>
        </w:rPr>
        <w:t>99,889</w:t>
      </w:r>
      <w:r>
        <w:rPr/>
        <w:t>股进行回购注销。公司独立董事发表了同意的独 立意见，监事会发表了核查意见，律师出具了法律意见书。</w:t>
      </w:r>
    </w:p>
    <w:p>
      <w:pPr>
        <w:pStyle w:val="BodyText"/>
        <w:spacing w:line="300" w:lineRule="auto" w:before="31"/>
        <w:ind w:right="1131"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日，公司召开第三届董事会第七次会议和第三届监事会第四次会议，审议通过《关于</w:t>
      </w:r>
      <w:r>
        <w:rPr>
          <w:rFonts w:ascii="Times New Roman" w:hAnsi="Times New Roman" w:cs="Times New Roman" w:eastAsia="Times New Roman" w:hint="default"/>
        </w:rPr>
        <w:t>2017</w:t>
      </w:r>
      <w:r>
        <w:rPr/>
        <w:t>年限制性股 </w:t>
      </w:r>
      <w:r>
        <w:rPr>
          <w:spacing w:val="-2"/>
        </w:rPr>
        <w:t>票激励计划首次授予部分第一个解除限售期解除限售条件成就的议案》，符合本次解除限售条件的激励对象共计</w:t>
      </w:r>
      <w:r>
        <w:rPr>
          <w:rFonts w:ascii="Times New Roman" w:hAnsi="Times New Roman" w:cs="Times New Roman" w:eastAsia="Times New Roman" w:hint="default"/>
          <w:spacing w:val="-2"/>
        </w:rPr>
        <w:t>40</w:t>
      </w:r>
      <w:r>
        <w:rPr>
          <w:spacing w:val="-2"/>
        </w:rPr>
        <w:t>人，可解</w:t>
      </w:r>
      <w:r>
        <w:rPr>
          <w:spacing w:val="-64"/>
        </w:rPr>
        <w:t> </w:t>
      </w:r>
      <w:r>
        <w:rPr>
          <w:spacing w:val="-64"/>
        </w:rPr>
      </w:r>
      <w:r>
        <w:rPr/>
        <w:t>除限售的限制性股票数量为</w:t>
      </w:r>
      <w:r>
        <w:rPr>
          <w:rFonts w:ascii="Times New Roman" w:hAnsi="Times New Roman" w:cs="Times New Roman" w:eastAsia="Times New Roman" w:hint="default"/>
        </w:rPr>
        <w:t>447,501</w:t>
      </w:r>
      <w:r>
        <w:rPr/>
        <w:t>股。公司独立董事发表了同意的独立意见，监事会发表了核查意见，律师出具了法律意 见书。</w:t>
      </w:r>
    </w:p>
    <w:p>
      <w:pPr>
        <w:pStyle w:val="BodyText"/>
        <w:spacing w:line="300" w:lineRule="auto" w:before="31"/>
        <w:ind w:right="1122" w:firstLine="36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日，公司披露了《关于</w:t>
      </w:r>
      <w:r>
        <w:rPr>
          <w:rFonts w:ascii="Times New Roman" w:hAnsi="Times New Roman" w:cs="Times New Roman" w:eastAsia="Times New Roman" w:hint="default"/>
        </w:rPr>
        <w:t>2017</w:t>
      </w:r>
      <w:r>
        <w:rPr/>
        <w:t>年限制性股票激励计划首次授予部分限制性股票第一个解除限售期解除限 售股份上市流通的提示性公告》，本次解除限售的限制性股票上市流通日为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w:t>
      </w:r>
    </w:p>
    <w:p>
      <w:pPr>
        <w:pStyle w:val="BodyText"/>
        <w:spacing w:line="240" w:lineRule="auto" w:before="13"/>
        <w:ind w:left="514"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日，公司在中国证券登记结算有限责任公司深圳分公司完成对</w:t>
      </w:r>
      <w:r>
        <w:rPr>
          <w:rFonts w:ascii="Times New Roman" w:hAnsi="Times New Roman" w:cs="Times New Roman" w:eastAsia="Times New Roman" w:hint="default"/>
        </w:rPr>
        <w:t>3</w:t>
      </w:r>
      <w:r>
        <w:rPr/>
        <w:t>名离职激励对象已获受但尚未解锁的限</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制性股票共计</w:t>
      </w:r>
      <w:r>
        <w:rPr>
          <w:rFonts w:ascii="Times New Roman" w:hAnsi="Times New Roman" w:cs="Times New Roman" w:eastAsia="Times New Roman" w:hint="default"/>
        </w:rPr>
        <w:t>99,889</w:t>
      </w:r>
      <w:r>
        <w:rPr/>
        <w:t>股的回购注销手续，并披露了《关于部分限制性股票回购注销完成的公告》。</w:t>
      </w:r>
    </w:p>
    <w:p>
      <w:pPr>
        <w:spacing w:line="240" w:lineRule="auto" w:before="10"/>
        <w:rPr>
          <w:rFonts w:ascii="宋体" w:hAnsi="宋体" w:cs="宋体" w:eastAsia="宋体" w:hint="default"/>
          <w:sz w:val="4"/>
          <w:szCs w:val="4"/>
        </w:rPr>
      </w:pPr>
    </w:p>
    <w:p>
      <w:pPr>
        <w:spacing w:line="7469" w:lineRule="exact"/>
        <w:ind w:left="485" w:right="0" w:firstLine="0"/>
        <w:rPr>
          <w:rFonts w:ascii="宋体" w:hAnsi="宋体" w:cs="宋体" w:eastAsia="宋体" w:hint="default"/>
          <w:sz w:val="20"/>
          <w:szCs w:val="20"/>
        </w:rPr>
      </w:pPr>
      <w:r>
        <w:rPr>
          <w:rFonts w:ascii="宋体" w:hAnsi="宋体" w:cs="宋体" w:eastAsia="宋体" w:hint="default"/>
          <w:position w:val="-148"/>
          <w:sz w:val="20"/>
          <w:szCs w:val="20"/>
        </w:rPr>
        <w:pict>
          <v:group style="width:448.8pt;height:373.5pt;mso-position-horizontal-relative:char;mso-position-vertical-relative:line" coordorigin="0,0" coordsize="8976,7470">
            <v:shape style="position:absolute;left:10;top:14;width:8955;height:7440" type="#_x0000_t75" stroked="false">
              <v:imagedata r:id="rId12" o:title=""/>
            </v:shape>
            <v:group style="position:absolute;left:10;top:10;width:8957;height:2" coordorigin="10,10" coordsize="8957,2">
              <v:shape style="position:absolute;left:10;top:10;width:8957;height:2" coordorigin="10,10" coordsize="8957,0" path="m10,10l8966,10e" filled="false" stroked="true" strokeweight=".48pt" strokecolor="#000000">
                <v:path arrowok="t"/>
              </v:shape>
            </v:group>
            <v:group style="position:absolute;left:5;top:5;width:2;height:7460" coordorigin="5,5" coordsize="2,7460">
              <v:shape style="position:absolute;left:5;top:5;width:2;height:7460" coordorigin="5,5" coordsize="0,7460" path="m5,5l5,7465e" filled="false" stroked="true" strokeweight=".48pt" strokecolor="#000000">
                <v:path arrowok="t"/>
              </v:shape>
            </v:group>
            <v:group style="position:absolute;left:8971;top:5;width:2;height:7460" coordorigin="8971,5" coordsize="2,7460">
              <v:shape style="position:absolute;left:8971;top:5;width:2;height:7460" coordorigin="8971,5" coordsize="0,7460" path="m8971,5l8971,7465e" filled="false" stroked="true" strokeweight=".47998pt" strokecolor="#000000">
                <v:path arrowok="t"/>
              </v:shape>
            </v:group>
            <v:group style="position:absolute;left:10;top:7460;width:8957;height:2" coordorigin="10,7460" coordsize="8957,2">
              <v:shape style="position:absolute;left:10;top:7460;width:8957;height:2" coordorigin="10,7460" coordsize="8957,0" path="m10,7460l8966,7460e" filled="false" stroked="true" strokeweight=".47998pt" strokecolor="#000000">
                <v:path arrowok="t"/>
              </v:shape>
            </v:group>
          </v:group>
        </w:pict>
      </w:r>
      <w:r>
        <w:rPr>
          <w:rFonts w:ascii="宋体" w:hAnsi="宋体" w:cs="宋体" w:eastAsia="宋体" w:hint="default"/>
          <w:position w:val="-148"/>
          <w:sz w:val="20"/>
          <w:szCs w:val="20"/>
        </w:rPr>
      </w:r>
    </w:p>
    <w:p>
      <w:pPr>
        <w:spacing w:line="240" w:lineRule="auto" w:before="2"/>
        <w:rPr>
          <w:rFonts w:ascii="宋体" w:hAnsi="宋体" w:cs="宋体" w:eastAsia="宋体" w:hint="default"/>
          <w:sz w:val="25"/>
          <w:szCs w:val="25"/>
        </w:rPr>
      </w:pPr>
    </w:p>
    <w:p>
      <w:pPr>
        <w:pStyle w:val="BodyText"/>
        <w:spacing w:line="338" w:lineRule="auto" w:before="44"/>
        <w:ind w:left="514" w:right="1117"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报告期内，公司计提股权激励费用</w:t>
      </w:r>
      <w:r>
        <w:rPr>
          <w:rFonts w:ascii="Times New Roman" w:hAnsi="Times New Roman" w:cs="Times New Roman" w:eastAsia="Times New Roman" w:hint="default"/>
        </w:rPr>
        <w:t>267.67</w:t>
      </w:r>
      <w:r>
        <w:rPr/>
        <w:t>万元，剔除股权激励费用后归属于上市公司股东的净利润</w:t>
      </w:r>
      <w:r>
        <w:rPr>
          <w:spacing w:val="-40"/>
        </w:rPr>
        <w:t> </w:t>
      </w:r>
      <w:r>
        <w:rPr>
          <w:rFonts w:ascii="Times New Roman" w:hAnsi="Times New Roman" w:cs="Times New Roman" w:eastAsia="Times New Roman" w:hint="default"/>
        </w:rPr>
        <w:t>2,871.42</w:t>
      </w:r>
      <w:r>
        <w:rPr/>
        <w:t>万元，股权</w:t>
      </w:r>
    </w:p>
    <w:p>
      <w:pPr>
        <w:pStyle w:val="BodyText"/>
        <w:spacing w:line="230" w:lineRule="exact"/>
        <w:ind w:right="0"/>
        <w:jc w:val="left"/>
      </w:pPr>
      <w:r>
        <w:rPr/>
        <w:t>激励费用占剔除股权激励费用后归属于上市公司股东的净利润的</w:t>
      </w:r>
      <w:r>
        <w:rPr>
          <w:rFonts w:ascii="Times New Roman" w:hAnsi="Times New Roman" w:cs="Times New Roman" w:eastAsia="Times New Roman" w:hint="default"/>
        </w:rPr>
        <w:t>9.32%</w:t>
      </w:r>
      <w:r>
        <w:rPr/>
        <w:t>。其中核心技术人员的股权激励费用是</w:t>
      </w:r>
      <w:r>
        <w:rPr>
          <w:rFonts w:ascii="Times New Roman" w:hAnsi="Times New Roman" w:cs="Times New Roman" w:eastAsia="Times New Roman" w:hint="default"/>
        </w:rPr>
        <w:t>37.08</w:t>
      </w:r>
      <w:r>
        <w:rPr/>
        <w:t>万，占当</w:t>
      </w:r>
    </w:p>
    <w:p>
      <w:pPr>
        <w:pStyle w:val="BodyText"/>
        <w:spacing w:line="240" w:lineRule="auto" w:before="63"/>
        <w:ind w:right="0"/>
        <w:jc w:val="left"/>
      </w:pPr>
      <w:r>
        <w:rPr/>
        <w:t>期计提股权激励费用的</w:t>
      </w:r>
      <w:r>
        <w:rPr>
          <w:spacing w:val="-24"/>
        </w:rPr>
        <w:t> </w:t>
      </w:r>
      <w:r>
        <w:rPr>
          <w:rFonts w:ascii="Times New Roman" w:hAnsi="Times New Roman" w:cs="Times New Roman" w:eastAsia="Times New Roman" w:hint="default"/>
        </w:rPr>
        <w:t>13.85%</w:t>
      </w:r>
      <w:r>
        <w:rPr/>
        <w:t>。预计</w:t>
      </w:r>
      <w:r>
        <w:rPr>
          <w:rFonts w:ascii="Times New Roman" w:hAnsi="Times New Roman" w:cs="Times New Roman" w:eastAsia="Times New Roman" w:hint="default"/>
        </w:rPr>
        <w:t>2019-2021</w:t>
      </w:r>
      <w:r>
        <w:rPr/>
        <w:t>年股权激励费用分别为</w:t>
      </w:r>
      <w:r>
        <w:rPr>
          <w:rFonts w:ascii="Times New Roman" w:hAnsi="Times New Roman" w:cs="Times New Roman" w:eastAsia="Times New Roman" w:hint="default"/>
        </w:rPr>
        <w:t>147.5</w:t>
      </w:r>
      <w:r>
        <w:rPr/>
        <w:t>万元、</w:t>
      </w:r>
      <w:r>
        <w:rPr>
          <w:rFonts w:ascii="Times New Roman" w:hAnsi="Times New Roman" w:cs="Times New Roman" w:eastAsia="Times New Roman" w:hint="default"/>
        </w:rPr>
        <w:t>106.01</w:t>
      </w:r>
      <w:r>
        <w:rPr/>
        <w:t>万元、</w:t>
      </w:r>
      <w:r>
        <w:rPr>
          <w:rFonts w:ascii="Times New Roman" w:hAnsi="Times New Roman" w:cs="Times New Roman" w:eastAsia="Times New Roman" w:hint="default"/>
        </w:rPr>
        <w:t>4.06</w:t>
      </w:r>
      <w:r>
        <w:rPr/>
        <w:t>万元。</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报告期内委托理财概况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192,450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单项金额重大或安全性较低、流动性较差、不保本的高风险委托理财具体情况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6275" w:space="246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73"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103.34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分行 营业 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114.24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116.78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87.95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bl>
    <w:p>
      <w:pPr>
        <w:spacing w:after="0" w:line="319"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分行 营业 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124.93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124.93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8,800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40.5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40.5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分行 营业 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57.53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股份 有限 公司 珠海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3.95%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66"/>
              <w:jc w:val="left"/>
              <w:rPr>
                <w:rFonts w:ascii="宋体" w:hAnsi="宋体" w:cs="宋体" w:eastAsia="宋体" w:hint="default"/>
                <w:sz w:val="18"/>
                <w:szCs w:val="18"/>
              </w:rPr>
            </w:pPr>
            <w:r>
              <w:rPr>
                <w:rFonts w:ascii="宋体" w:hAnsi="宋体" w:cs="宋体" w:eastAsia="宋体" w:hint="default"/>
                <w:sz w:val="18"/>
                <w:szCs w:val="18"/>
              </w:rPr>
              <w:t>未到 期</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8,800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25.32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25.32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分行 营业 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8,000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75.79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6"/>
              <w:jc w:val="left"/>
              <w:rPr>
                <w:rFonts w:ascii="宋体" w:hAnsi="宋体" w:cs="宋体" w:eastAsia="宋体" w:hint="default"/>
                <w:sz w:val="18"/>
                <w:szCs w:val="18"/>
              </w:rPr>
            </w:pPr>
            <w:r>
              <w:rPr>
                <w:rFonts w:ascii="宋体" w:hAnsi="宋体" w:cs="宋体" w:eastAsia="宋体" w:hint="default"/>
                <w:sz w:val="18"/>
                <w:szCs w:val="18"/>
              </w:rPr>
              <w:t>未到 期</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分行 营业 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113.69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66"/>
              <w:jc w:val="left"/>
              <w:rPr>
                <w:rFonts w:ascii="宋体" w:hAnsi="宋体" w:cs="宋体" w:eastAsia="宋体" w:hint="default"/>
                <w:sz w:val="18"/>
                <w:szCs w:val="18"/>
              </w:rPr>
            </w:pPr>
            <w:r>
              <w:rPr>
                <w:rFonts w:ascii="宋体" w:hAnsi="宋体" w:cs="宋体" w:eastAsia="宋体" w:hint="default"/>
                <w:sz w:val="18"/>
                <w:szCs w:val="18"/>
              </w:rPr>
              <w:t>未到 期</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招商 银行 股份 有限 公司 珠海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4.22%</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广发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4.55%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56.72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56.72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6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中国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保证收</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签署</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4.05%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3"/>
              <w:jc w:val="left"/>
              <w:rPr>
                <w:rFonts w:ascii="宋体" w:hAnsi="宋体" w:cs="宋体" w:eastAsia="宋体" w:hint="default"/>
                <w:sz w:val="18"/>
                <w:szCs w:val="18"/>
              </w:rPr>
            </w:pPr>
            <w:r>
              <w:rPr>
                <w:rFonts w:ascii="宋体" w:hAnsi="宋体" w:cs="宋体" w:eastAsia="宋体" w:hint="default"/>
                <w:sz w:val="18"/>
                <w:szCs w:val="18"/>
              </w:rPr>
              <w:t>巨潮 资讯</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7"/>
              <w:jc w:val="right"/>
              <w:rPr>
                <w:rFonts w:ascii="宋体" w:hAnsi="宋体" w:cs="宋体" w:eastAsia="宋体" w:hint="default"/>
                <w:sz w:val="18"/>
                <w:szCs w:val="18"/>
              </w:rPr>
            </w:pP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7"/>
              <w:jc w:val="right"/>
              <w:rPr>
                <w:rFonts w:ascii="宋体" w:hAnsi="宋体" w:cs="宋体" w:eastAsia="宋体" w:hint="default"/>
                <w:sz w:val="18"/>
                <w:szCs w:val="18"/>
              </w:rPr>
            </w:pPr>
            <w:r>
              <w:rPr>
                <w:rFonts w:ascii="宋体" w:hAnsi="宋体" w:cs="宋体" w:eastAsia="宋体" w:hint="default"/>
                <w:sz w:val="18"/>
                <w:szCs w:val="18"/>
              </w:rPr>
              <w:t>协议</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0" w:right="0"/>
              <w:jc w:val="center"/>
              <w:rPr>
                <w:rFonts w:ascii="Times New Roman" w:hAnsi="Times New Roman" w:cs="Times New Roman" w:eastAsia="Times New Roman" w:hint="default"/>
                <w:sz w:val="18"/>
                <w:szCs w:val="18"/>
              </w:rPr>
            </w:pPr>
            <w:r>
              <w:rPr>
                <w:rFonts w:ascii="Times New Roman"/>
                <w:sz w:val="18"/>
              </w:rPr>
              <w:t>3.40%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2.14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2.24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0" w:right="0"/>
              <w:jc w:val="center"/>
              <w:rPr>
                <w:rFonts w:ascii="Times New Roman" w:hAnsi="Times New Roman" w:cs="Times New Roman" w:eastAsia="Times New Roman" w:hint="default"/>
                <w:sz w:val="18"/>
                <w:szCs w:val="18"/>
              </w:rPr>
            </w:pPr>
            <w:r>
              <w:rPr>
                <w:rFonts w:ascii="Times New Roman"/>
                <w:sz w:val="18"/>
              </w:rPr>
              <w:t>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6"/>
              <w:jc w:val="left"/>
              <w:rPr>
                <w:rFonts w:ascii="宋体" w:hAnsi="宋体" w:cs="宋体" w:eastAsia="宋体" w:hint="default"/>
                <w:sz w:val="18"/>
                <w:szCs w:val="18"/>
              </w:rPr>
            </w:pPr>
            <w:r>
              <w:rPr>
                <w:rFonts w:ascii="宋体" w:hAnsi="宋体" w:cs="宋体" w:eastAsia="宋体" w:hint="default"/>
                <w:sz w:val="18"/>
                <w:szCs w:val="18"/>
              </w:rPr>
              <w:t>未到 期</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0" w:right="0"/>
              <w:jc w:val="center"/>
              <w:rPr>
                <w:rFonts w:ascii="Times New Roman" w:hAnsi="Times New Roman" w:cs="Times New Roman" w:eastAsia="Times New Roman" w:hint="default"/>
                <w:sz w:val="18"/>
                <w:szCs w:val="18"/>
              </w:rPr>
            </w:pPr>
            <w:r>
              <w:rPr>
                <w:rFonts w:ascii="Times New Roman"/>
                <w:sz w:val="18"/>
              </w:rPr>
              <w:t>3.10%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
              <w:jc w:val="left"/>
              <w:rPr>
                <w:rFonts w:ascii="宋体" w:hAnsi="宋体" w:cs="宋体" w:eastAsia="宋体" w:hint="default"/>
                <w:sz w:val="18"/>
                <w:szCs w:val="18"/>
              </w:rPr>
            </w:pPr>
            <w:r>
              <w:rPr>
                <w:rFonts w:ascii="宋体" w:hAnsi="宋体" w:cs="宋体" w:eastAsia="宋体" w:hint="default"/>
                <w:sz w:val="18"/>
                <w:szCs w:val="18"/>
              </w:rPr>
              <w:t>开放 </w:t>
            </w:r>
            <w:r>
              <w:rPr>
                <w:rFonts w:ascii="宋体" w:hAnsi="宋体" w:cs="宋体" w:eastAsia="宋体" w:hint="default"/>
                <w:spacing w:val="-12"/>
                <w:sz w:val="18"/>
                <w:szCs w:val="18"/>
              </w:rPr>
              <w:t>型，无</w:t>
            </w:r>
            <w:r>
              <w:rPr>
                <w:rFonts w:ascii="宋体" w:hAnsi="宋体" w:cs="宋体" w:eastAsia="宋体" w:hint="default"/>
                <w:sz w:val="18"/>
                <w:szCs w:val="18"/>
              </w:rPr>
              <w:t> 固定 期限； 未赎</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广发 银行 股份 有限 公司 珠海 吉大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资金 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签署 协议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0" w:right="0"/>
              <w:jc w:val="center"/>
              <w:rPr>
                <w:rFonts w:ascii="Times New Roman" w:hAnsi="Times New Roman" w:cs="Times New Roman" w:eastAsia="Times New Roman" w:hint="default"/>
                <w:sz w:val="18"/>
                <w:szCs w:val="18"/>
              </w:rPr>
            </w:pPr>
            <w:r>
              <w:rPr>
                <w:rFonts w:ascii="Times New Roman"/>
                <w:sz w:val="18"/>
              </w:rPr>
              <w:t>4.05%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19.97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6"/>
              <w:jc w:val="left"/>
              <w:rPr>
                <w:rFonts w:ascii="宋体" w:hAnsi="宋体" w:cs="宋体" w:eastAsia="宋体" w:hint="default"/>
                <w:sz w:val="18"/>
                <w:szCs w:val="18"/>
              </w:rPr>
            </w:pPr>
            <w:r>
              <w:rPr>
                <w:rFonts w:ascii="宋体" w:hAnsi="宋体" w:cs="宋体" w:eastAsia="宋体" w:hint="default"/>
                <w:sz w:val="18"/>
                <w:szCs w:val="18"/>
              </w:rPr>
              <w:t>未到 期</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1,050.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26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755.45</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委托理财出现预期无法收回本金或存在其他可能导致减值的情形</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十七、社会责任情况" w:id="95"/>
      <w:bookmarkEnd w:id="95"/>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作为上市公司，公司在追求企业经济效益的同时，积极履行社会责任，切实维护股东、职工、供应商及客户的利益，实</w:t>
      </w:r>
      <w:r>
        <w:rPr/>
        <w:t> 现公司全面、协调、可持续的发展。</w:t>
      </w:r>
    </w:p>
    <w:p>
      <w:pPr>
        <w:pStyle w:val="BodyText"/>
        <w:spacing w:line="300" w:lineRule="auto" w:before="19"/>
        <w:ind w:left="514" w:right="0"/>
        <w:jc w:val="left"/>
      </w:pPr>
      <w:r>
        <w:rPr>
          <w:rFonts w:ascii="Times New Roman" w:hAnsi="Times New Roman" w:cs="Times New Roman" w:eastAsia="Times New Roman" w:hint="default"/>
        </w:rPr>
        <w:t>1</w:t>
      </w:r>
      <w:r>
        <w:rPr/>
        <w:t>、股东权益保护 </w:t>
      </w:r>
      <w:r>
        <w:rPr>
          <w:spacing w:val="-2"/>
        </w:rPr>
        <w:t>公司始终将股东权益放在第一位，重视股东利益，特别是中小股东的利益。公司组织机构健全，内控体系完备，形成了</w:t>
      </w:r>
    </w:p>
    <w:p>
      <w:pPr>
        <w:pStyle w:val="BodyText"/>
        <w:spacing w:line="316" w:lineRule="auto" w:before="31"/>
        <w:ind w:right="1032"/>
        <w:jc w:val="left"/>
      </w:pPr>
      <w:r>
        <w:rPr/>
        <w:t>包含股东大会、董事会、监事会及经营管理层的现代法人治理结构。公司重视投资者关系管理工作，通过投资者热线电话、 </w:t>
      </w:r>
      <w:r>
        <w:rPr>
          <w:spacing w:val="-4"/>
        </w:rPr>
        <w:t>投资者电子信箱、深交所互动易等多种渠道，保持与股东的有效沟通，积极履行信息披露义务，切实保障了全体股东的权益。</w:t>
      </w:r>
    </w:p>
    <w:p>
      <w:pPr>
        <w:pStyle w:val="BodyText"/>
        <w:spacing w:line="300" w:lineRule="auto" w:before="19"/>
        <w:ind w:left="514" w:right="1032"/>
        <w:jc w:val="left"/>
      </w:pPr>
      <w:r>
        <w:rPr>
          <w:rFonts w:ascii="Times New Roman" w:hAnsi="Times New Roman" w:cs="Times New Roman" w:eastAsia="Times New Roman" w:hint="default"/>
        </w:rPr>
        <w:t>2</w:t>
      </w:r>
      <w:r>
        <w:rPr/>
        <w:t>、职工权益保护 公司严格遵守《劳动法》等相关法律法规，保护员工合法权益，坚持以人为本，为员工提供实现个人价值的发展平台。</w:t>
      </w:r>
    </w:p>
    <w:p>
      <w:pPr>
        <w:pStyle w:val="BodyText"/>
        <w:spacing w:line="316" w:lineRule="auto" w:before="32"/>
        <w:ind w:right="1132"/>
        <w:jc w:val="both"/>
      </w:pPr>
      <w:r>
        <w:rPr>
          <w:spacing w:val="-2"/>
        </w:rPr>
        <w:t>公司不断完善薪酬福利体系，积极推进股权激励计划，实现企业与员工共同发展，共享企业经营成果。宣导企业文化，增强</w:t>
      </w:r>
      <w:r>
        <w:rPr>
          <w:spacing w:val="-66"/>
        </w:rPr>
        <w:t> </w:t>
      </w:r>
      <w:r>
        <w:rPr>
          <w:spacing w:val="-66"/>
        </w:rPr>
      </w:r>
      <w:r>
        <w:rPr>
          <w:spacing w:val="-2"/>
        </w:rPr>
        <w:t>企业凝聚力。公司工会不定期组织篮球赛、羽毛球赛、摄影活动比赛、观影活动等企业文化活动，对于员工家庭成员出现重</w:t>
      </w:r>
      <w:r>
        <w:rPr>
          <w:spacing w:val="-66"/>
        </w:rPr>
        <w:t> </w:t>
      </w:r>
      <w:r>
        <w:rPr>
          <w:spacing w:val="-66"/>
        </w:rPr>
      </w:r>
      <w:r>
        <w:rPr/>
        <w:t>大疾病或员工患病的情况，公司工会进行了及时的慰问和救助。</w:t>
      </w:r>
    </w:p>
    <w:p>
      <w:pPr>
        <w:pStyle w:val="BodyText"/>
        <w:spacing w:line="300" w:lineRule="auto" w:before="19"/>
        <w:ind w:left="514" w:right="0"/>
        <w:jc w:val="left"/>
      </w:pPr>
      <w:r>
        <w:rPr>
          <w:rFonts w:ascii="Times New Roman" w:hAnsi="Times New Roman" w:cs="Times New Roman" w:eastAsia="Times New Roman" w:hint="default"/>
        </w:rPr>
        <w:t>3</w:t>
      </w:r>
      <w:r>
        <w:rPr/>
        <w:t>、供应商及客户权益保护 </w:t>
      </w:r>
      <w:r>
        <w:rPr>
          <w:spacing w:val="-2"/>
        </w:rPr>
        <w:t>公司始终诚实守信、规范经营，坚持与供应商及客户实现互利共赢，与供应商和客户建立并保持长期良好的战略合作关</w:t>
      </w:r>
    </w:p>
    <w:p>
      <w:pPr>
        <w:pStyle w:val="BodyText"/>
        <w:spacing w:line="240" w:lineRule="auto" w:before="31"/>
        <w:ind w:right="0"/>
        <w:jc w:val="both"/>
      </w:pPr>
      <w:r>
        <w:rPr/>
        <w:t>系。</w:t>
      </w:r>
    </w:p>
    <w:p>
      <w:pPr>
        <w:pStyle w:val="BodyText"/>
        <w:spacing w:line="240" w:lineRule="auto" w:before="76"/>
        <w:ind w:left="514" w:right="0"/>
        <w:jc w:val="left"/>
      </w:pPr>
      <w:r>
        <w:rPr>
          <w:rFonts w:ascii="Times New Roman" w:hAnsi="Times New Roman" w:cs="Times New Roman" w:eastAsia="Times New Roman" w:hint="default"/>
        </w:rPr>
        <w:t>4</w:t>
      </w:r>
      <w:r>
        <w:rPr/>
        <w:t>、积极参与公益事业</w:t>
      </w:r>
    </w:p>
    <w:p>
      <w:pPr>
        <w:pStyle w:val="BodyText"/>
        <w:spacing w:line="316" w:lineRule="auto" w:before="63"/>
        <w:ind w:right="1140" w:firstLine="360"/>
        <w:jc w:val="left"/>
      </w:pPr>
      <w:r>
        <w:rPr/>
        <w:t>公司积极投身于社会公益事业，为创建和谐社会贡献自己的力量。</w:t>
      </w:r>
      <w:r>
        <w:rPr>
          <w:spacing w:val="-18"/>
        </w:rPr>
        <w:t> </w:t>
      </w:r>
      <w:r>
        <w:rPr/>
        <w:t>公司设立的汇金科技慈善基金，持续关注和帮扶珠</w:t>
      </w:r>
      <w:r>
        <w:rPr/>
        <w:t> 海市社会福利院的儿童，通过捐赠物资、专项帮扶等，建立长期的爱心互动关系。</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否</w:t>
      </w:r>
    </w:p>
    <w:p>
      <w:pPr>
        <w:pStyle w:val="BodyText"/>
        <w:spacing w:line="240" w:lineRule="auto" w:before="28"/>
        <w:ind w:right="0"/>
        <w:jc w:val="both"/>
      </w:pPr>
      <w:r>
        <w:rPr/>
        <w:t>公司及子公司不属于环境保护部门公布的重点排污单位。</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697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报告期内，公司筹划的重大资产重组事宜：</w:t>
      </w:r>
    </w:p>
    <w:p>
      <w:pPr>
        <w:pStyle w:val="BodyText"/>
        <w:spacing w:line="300" w:lineRule="auto" w:before="3"/>
        <w:ind w:right="1132" w:firstLine="360"/>
        <w:jc w:val="both"/>
      </w:pPr>
      <w:r>
        <w:rPr>
          <w:spacing w:val="-4"/>
        </w:rPr>
        <w:t>公司因筹划重大资产重组事项，经向深圳证券交易所申请，公司股票于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25</w:t>
      </w:r>
      <w:r>
        <w:rPr>
          <w:spacing w:val="-4"/>
        </w:rPr>
        <w:t>日开市起停牌，公司于同日披露《关</w:t>
      </w:r>
      <w:r>
        <w:rPr/>
        <w:t> </w:t>
      </w:r>
      <w:r>
        <w:rPr>
          <w:spacing w:val="-1"/>
        </w:rPr>
        <w:t>于重大资产重组停牌公告》（公告编号</w:t>
      </w:r>
      <w:r>
        <w:rPr>
          <w:rFonts w:ascii="Times New Roman" w:hAnsi="Times New Roman" w:cs="Times New Roman" w:eastAsia="Times New Roman" w:hint="default"/>
          <w:spacing w:val="-1"/>
        </w:rPr>
        <w:t>2018-049</w:t>
      </w:r>
      <w:r>
        <w:rPr>
          <w:spacing w:val="-1"/>
        </w:rPr>
        <w:t>）。本次重大资产重组事项为拟购买北京捷文科技股份有限公司（以下简称</w:t>
      </w:r>
      <w:r>
        <w:rPr>
          <w:spacing w:val="-86"/>
        </w:rPr>
        <w:t> </w:t>
      </w:r>
      <w:r>
        <w:rPr>
          <w:spacing w:val="-86"/>
        </w:rPr>
      </w:r>
      <w:r>
        <w:rPr>
          <w:rFonts w:ascii="Times New Roman" w:hAnsi="Times New Roman" w:cs="Times New Roman" w:eastAsia="Times New Roman" w:hint="default"/>
        </w:rPr>
        <w:t>“</w:t>
      </w:r>
      <w:r>
        <w:rPr/>
        <w:t>标的公司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的股权。</w:t>
      </w:r>
    </w:p>
    <w:p>
      <w:pPr>
        <w:pStyle w:val="BodyText"/>
        <w:spacing w:line="300" w:lineRule="auto" w:before="13"/>
        <w:ind w:right="1039" w:firstLine="360"/>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日分别披露了《关于重大资产重组进展公告》（公告编号分别为： </w:t>
      </w:r>
      <w:r>
        <w:rPr>
          <w:rFonts w:ascii="Times New Roman" w:hAnsi="Times New Roman" w:cs="Times New Roman" w:eastAsia="Times New Roman" w:hint="default"/>
          <w:spacing w:val="-2"/>
        </w:rPr>
        <w:t>2018-054</w:t>
      </w:r>
      <w:r>
        <w:rPr>
          <w:spacing w:val="-2"/>
        </w:rPr>
        <w:t>、</w:t>
      </w:r>
      <w:r>
        <w:rPr>
          <w:rFonts w:ascii="Times New Roman" w:hAnsi="Times New Roman" w:cs="Times New Roman" w:eastAsia="Times New Roman" w:hint="default"/>
          <w:spacing w:val="-2"/>
        </w:rPr>
        <w:t>2018-055</w:t>
      </w:r>
      <w:r>
        <w:rPr>
          <w:spacing w:val="-2"/>
        </w:rPr>
        <w:t>、</w:t>
      </w:r>
      <w:r>
        <w:rPr>
          <w:rFonts w:ascii="Times New Roman" w:hAnsi="Times New Roman" w:cs="Times New Roman" w:eastAsia="Times New Roman" w:hint="default"/>
          <w:spacing w:val="-2"/>
        </w:rPr>
        <w:t>2018-056</w:t>
      </w:r>
      <w:r>
        <w:rPr>
          <w:spacing w:val="-2"/>
        </w:rPr>
        <w:t>）。根据重大资产重组的工作进展情况，经公司申请，公司股票于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25</w:t>
      </w:r>
      <w:r>
        <w:rPr>
          <w:spacing w:val="-2"/>
        </w:rPr>
        <w:t>日开市起继续</w:t>
      </w:r>
      <w:r>
        <w:rPr>
          <w:spacing w:val="-38"/>
        </w:rPr>
        <w:t> </w:t>
      </w:r>
      <w:r>
        <w:rPr/>
        <w:t>停牌，公司于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日披露《关于重大资产重组继续停牌的公告》（公告编号：</w:t>
      </w:r>
      <w:r>
        <w:rPr>
          <w:rFonts w:ascii="Times New Roman" w:hAnsi="Times New Roman" w:cs="Times New Roman" w:eastAsia="Times New Roman" w:hint="default"/>
        </w:rPr>
        <w:t>2018-057</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2018 </w:t>
      </w:r>
      <w:r>
        <w:rPr>
          <w:spacing w:val="-7"/>
        </w:rPr>
        <w:t>年</w:t>
      </w:r>
      <w:r>
        <w:rPr>
          <w:rFonts w:ascii="Times New Roman" w:hAnsi="Times New Roman" w:cs="Times New Roman" w:eastAsia="Times New Roman" w:hint="default"/>
          <w:spacing w:val="-7"/>
        </w:rPr>
        <w:t>7</w:t>
      </w:r>
      <w:r>
        <w:rPr>
          <w:spacing w:val="-7"/>
        </w:rPr>
        <w:t>月</w:t>
      </w:r>
      <w:r>
        <w:rPr>
          <w:rFonts w:ascii="Times New Roman" w:hAnsi="Times New Roman" w:cs="Times New Roman" w:eastAsia="Times New Roman" w:hint="default"/>
          <w:spacing w:val="-7"/>
        </w:rPr>
        <w:t>7</w:t>
      </w:r>
      <w:r>
        <w:rPr>
          <w:spacing w:val="-7"/>
        </w:rPr>
        <w:t>日、</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7</w:t>
      </w:r>
      <w:r>
        <w:rPr>
          <w:spacing w:val="-7"/>
        </w:rPr>
        <w:t>月</w:t>
      </w:r>
      <w:r>
        <w:rPr>
          <w:rFonts w:ascii="Times New Roman" w:hAnsi="Times New Roman" w:cs="Times New Roman" w:eastAsia="Times New Roman" w:hint="default"/>
          <w:spacing w:val="-7"/>
        </w:rPr>
        <w:t>14</w:t>
      </w:r>
      <w:r>
        <w:rPr>
          <w:spacing w:val="-7"/>
        </w:rPr>
        <w:t>日、</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7</w:t>
      </w:r>
      <w:r>
        <w:rPr>
          <w:spacing w:val="-7"/>
        </w:rPr>
        <w:t>月</w:t>
      </w:r>
      <w:r>
        <w:rPr>
          <w:rFonts w:ascii="Times New Roman" w:hAnsi="Times New Roman" w:cs="Times New Roman" w:eastAsia="Times New Roman" w:hint="default"/>
          <w:spacing w:val="-7"/>
        </w:rPr>
        <w:t>21</w:t>
      </w:r>
      <w:r>
        <w:rPr>
          <w:spacing w:val="-7"/>
        </w:rPr>
        <w:t>日分别披露了《关于重大资产重组进展公告》（公告编号分别为：</w:t>
      </w:r>
      <w:r>
        <w:rPr>
          <w:rFonts w:ascii="Times New Roman" w:hAnsi="Times New Roman" w:cs="Times New Roman" w:eastAsia="Times New Roman" w:hint="default"/>
          <w:spacing w:val="-7"/>
        </w:rPr>
        <w:t>2018-060</w:t>
      </w:r>
      <w:r>
        <w:rPr>
          <w:spacing w:val="-7"/>
        </w:rPr>
        <w:t>、</w:t>
      </w:r>
      <w:r>
        <w:rPr>
          <w:rFonts w:ascii="Times New Roman" w:hAnsi="Times New Roman" w:cs="Times New Roman" w:eastAsia="Times New Roman" w:hint="default"/>
          <w:spacing w:val="-7"/>
        </w:rPr>
        <w:t>2018-062</w:t>
      </w:r>
      <w:r>
        <w:rPr>
          <w:spacing w:val="-7"/>
        </w:rPr>
        <w:t>、</w:t>
      </w:r>
      <w:r>
        <w:rPr>
          <w:spacing w:val="-53"/>
        </w:rPr>
        <w:t> </w:t>
      </w:r>
      <w:r>
        <w:rPr>
          <w:rFonts w:ascii="Times New Roman" w:hAnsi="Times New Roman" w:cs="Times New Roman" w:eastAsia="Times New Roman" w:hint="default"/>
        </w:rPr>
        <w:t>2018-065</w:t>
      </w:r>
      <w:r>
        <w:rPr/>
        <w:t>、</w:t>
      </w:r>
      <w:r>
        <w:rPr>
          <w:rFonts w:ascii="Times New Roman" w:hAnsi="Times New Roman" w:cs="Times New Roman" w:eastAsia="Times New Roman" w:hint="default"/>
        </w:rPr>
        <w:t>2018-068</w:t>
      </w:r>
      <w:r>
        <w:rPr/>
        <w:t>）。</w:t>
      </w:r>
    </w:p>
    <w:p>
      <w:pPr>
        <w:pStyle w:val="BodyText"/>
        <w:spacing w:line="307" w:lineRule="auto" w:before="13"/>
        <w:ind w:right="1051" w:firstLine="360"/>
        <w:jc w:val="left"/>
      </w:pPr>
      <w:r>
        <w:rPr/>
        <w:t>根据《上市公司重大资产重组管理办法》及深圳证券交易所的相关规定和要求，公司股票于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日（星期三） </w:t>
      </w:r>
      <w:r>
        <w:rPr>
          <w:spacing w:val="-2"/>
        </w:rPr>
        <w:t>开市起复牌。股票复牌后继续推进本次重大资产重组的相关工作，公司于同日披露了《关于公司股票复牌且继续推进重大资</w:t>
      </w:r>
      <w:r>
        <w:rPr>
          <w:spacing w:val="-66"/>
        </w:rPr>
        <w:t> </w:t>
      </w:r>
      <w:r>
        <w:rPr>
          <w:spacing w:val="-66"/>
        </w:rPr>
      </w:r>
      <w:r>
        <w:rPr/>
        <w:t>产重组事项的公告》（公告编号：</w:t>
      </w:r>
      <w:r>
        <w:rPr>
          <w:rFonts w:ascii="Times New Roman" w:hAnsi="Times New Roman" w:cs="Times New Roman" w:eastAsia="Times New Roman" w:hint="default"/>
        </w:rPr>
        <w:t>2018-069</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2018 </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8</w:t>
      </w:r>
      <w:r>
        <w:rPr>
          <w:spacing w:val="-2"/>
        </w:rPr>
        <w:t>日分别披露了《关于重大资产重组进展公告》（公告编号：</w:t>
      </w:r>
      <w:r>
        <w:rPr>
          <w:rFonts w:ascii="Times New Roman" w:hAnsi="Times New Roman" w:cs="Times New Roman" w:eastAsia="Times New Roman" w:hint="default"/>
          <w:spacing w:val="-2"/>
        </w:rPr>
        <w:t>2018-072</w:t>
      </w:r>
      <w:r>
        <w:rPr>
          <w:spacing w:val="-2"/>
        </w:rPr>
        <w:t>、</w:t>
      </w:r>
      <w:r>
        <w:rPr>
          <w:rFonts w:ascii="Times New Roman" w:hAnsi="Times New Roman" w:cs="Times New Roman" w:eastAsia="Times New Roman" w:hint="default"/>
          <w:spacing w:val="-2"/>
        </w:rPr>
        <w:t>2018-074</w:t>
      </w:r>
      <w:r>
        <w:rPr>
          <w:spacing w:val="-2"/>
        </w:rPr>
        <w:t>、</w:t>
      </w:r>
      <w:r>
        <w:rPr>
          <w:rFonts w:ascii="Times New Roman" w:hAnsi="Times New Roman" w:cs="Times New Roman" w:eastAsia="Times New Roman" w:hint="default"/>
          <w:spacing w:val="-2"/>
        </w:rPr>
        <w:t>2018-084</w:t>
      </w:r>
      <w:r>
        <w:rPr>
          <w:spacing w:val="-2"/>
        </w:rPr>
        <w:t>、</w:t>
      </w:r>
      <w:r>
        <w:rPr>
          <w:rFonts w:ascii="Times New Roman" w:hAnsi="Times New Roman" w:cs="Times New Roman" w:eastAsia="Times New Roman" w:hint="default"/>
          <w:spacing w:val="-2"/>
        </w:rPr>
        <w:t>2018-087</w:t>
      </w:r>
      <w:r>
        <w:rPr>
          <w:spacing w:val="-2"/>
        </w:rPr>
        <w:t>、</w:t>
      </w:r>
      <w:r>
        <w:rPr>
          <w:rFonts w:ascii="Times New Roman" w:hAnsi="Times New Roman" w:cs="Times New Roman" w:eastAsia="Times New Roman" w:hint="default"/>
          <w:spacing w:val="-2"/>
        </w:rPr>
        <w:t>2018-093</w:t>
      </w:r>
      <w:r>
        <w:rPr>
          <w:spacing w:val="-2"/>
        </w:rPr>
        <w:t>）。</w:t>
      </w:r>
      <w:r>
        <w:rPr/>
      </w:r>
    </w:p>
    <w:p>
      <w:pPr>
        <w:pStyle w:val="BodyText"/>
        <w:spacing w:line="300" w:lineRule="auto" w:before="7"/>
        <w:ind w:right="1039" w:firstLine="360"/>
        <w:jc w:val="left"/>
      </w:pPr>
      <w:r>
        <w:rPr>
          <w:spacing w:val="-2"/>
        </w:rPr>
        <w:t>本次交易方根据国有产权处置的相关制度规定终止原意向交易方案，公司管理层经过协商论证，于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15</w:t>
      </w:r>
      <w:r>
        <w:rPr>
          <w:spacing w:val="-2"/>
        </w:rPr>
        <w:t>日召开</w:t>
      </w:r>
      <w:r>
        <w:rPr/>
        <w:t> </w:t>
      </w:r>
      <w:r>
        <w:rPr>
          <w:spacing w:val="-3"/>
        </w:rPr>
        <w:t>第三届董事会第四次会议，审议通过《关于暂不参与竞拍北京捷文科技股份有限公司</w:t>
      </w:r>
      <w:r>
        <w:rPr>
          <w:rFonts w:ascii="Times New Roman" w:hAnsi="Times New Roman" w:cs="Times New Roman" w:eastAsia="Times New Roman" w:hint="default"/>
          <w:spacing w:val="-3"/>
        </w:rPr>
        <w:t>60%</w:t>
      </w:r>
      <w:r>
        <w:rPr>
          <w:spacing w:val="-3"/>
        </w:rPr>
        <w:t>股权的议案》，全体董事一致同意，</w:t>
      </w:r>
      <w:r>
        <w:rPr>
          <w:spacing w:val="-65"/>
        </w:rPr>
        <w:t> </w:t>
      </w:r>
      <w:r>
        <w:rPr>
          <w:spacing w:val="-65"/>
        </w:rPr>
      </w:r>
      <w:r>
        <w:rPr>
          <w:spacing w:val="-2"/>
        </w:rPr>
        <w:t>暂不参与标的公司</w:t>
      </w:r>
      <w:r>
        <w:rPr>
          <w:rFonts w:ascii="Times New Roman" w:hAnsi="Times New Roman" w:cs="Times New Roman" w:eastAsia="Times New Roman" w:hint="default"/>
          <w:spacing w:val="-2"/>
        </w:rPr>
        <w:t>60%</w:t>
      </w:r>
      <w:r>
        <w:rPr>
          <w:spacing w:val="-2"/>
        </w:rPr>
        <w:t>股权公开转让的竞拍事项，并披露了《关于重大资产重组进展公告》（公告编号：</w:t>
      </w:r>
      <w:r>
        <w:rPr>
          <w:rFonts w:ascii="Times New Roman" w:hAnsi="Times New Roman" w:cs="Times New Roman" w:eastAsia="Times New Roman" w:hint="default"/>
          <w:spacing w:val="-2"/>
        </w:rPr>
        <w:t>2018-097</w:t>
      </w:r>
      <w:r>
        <w:rPr>
          <w:spacing w:val="-2"/>
        </w:rPr>
        <w:t>）。此后，</w:t>
      </w:r>
      <w:r>
        <w:rPr>
          <w:spacing w:val="-84"/>
        </w:rPr>
        <w:t> </w:t>
      </w:r>
      <w:r>
        <w:rPr>
          <w:spacing w:val="-84"/>
        </w:rPr>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日分别披露了《关于重大资产重组进展公告》（公告编号：</w:t>
      </w:r>
      <w:r>
        <w:rPr>
          <w:rFonts w:ascii="Times New Roman" w:hAnsi="Times New Roman" w:cs="Times New Roman" w:eastAsia="Times New Roman" w:hint="default"/>
        </w:rPr>
        <w:t>2018-106</w:t>
      </w:r>
      <w:r>
        <w:rPr/>
        <w:t>、</w:t>
      </w:r>
      <w:r>
        <w:rPr>
          <w:rFonts w:ascii="Times New Roman" w:hAnsi="Times New Roman" w:cs="Times New Roman" w:eastAsia="Times New Roman" w:hint="default"/>
        </w:rPr>
        <w:t>2018-107</w:t>
      </w:r>
      <w:r>
        <w:rPr/>
        <w:t>）。</w:t>
      </w:r>
    </w:p>
    <w:p>
      <w:pPr>
        <w:pStyle w:val="BodyText"/>
        <w:spacing w:line="312" w:lineRule="auto" w:before="13"/>
        <w:ind w:right="1043"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日，公司召开第三届董事会第六次会议，审议通过了《关于终止重大资产重组事项的议案》，由于未能就</w:t>
      </w:r>
      <w:r>
        <w:rPr/>
        <w:t> </w:t>
      </w:r>
      <w:r>
        <w:rPr>
          <w:spacing w:val="-2"/>
        </w:rPr>
        <w:t>本次重大资产重组事项主要条款达成一致意见，经认真听取各方意见并与相关各方协商一致，为了切实保护公司及全体股东</w:t>
      </w:r>
      <w:r>
        <w:rPr>
          <w:spacing w:val="-64"/>
        </w:rPr>
        <w:t> </w:t>
      </w:r>
      <w:r>
        <w:rPr>
          <w:spacing w:val="-64"/>
        </w:rPr>
      </w:r>
      <w:r>
        <w:rPr>
          <w:spacing w:val="-4"/>
        </w:rPr>
        <w:t>利益，经审慎研究，公司决定终止推进本次重大资产重组事项，并披露了《关于终止重大资产重组事项的公告》（公告编号：</w:t>
      </w:r>
      <w:r>
        <w:rPr>
          <w:spacing w:val="-44"/>
        </w:rPr>
        <w:t> </w:t>
      </w:r>
      <w:r>
        <w:rPr>
          <w:spacing w:val="-44"/>
        </w:rPr>
      </w:r>
      <w:r>
        <w:rPr>
          <w:rFonts w:ascii="Times New Roman" w:hAnsi="Times New Roman" w:cs="Times New Roman" w:eastAsia="Times New Roman" w:hint="default"/>
        </w:rPr>
        <w:t>2018-109</w:t>
      </w:r>
      <w:r>
        <w:rPr/>
        <w:t>）。</w:t>
      </w:r>
    </w:p>
    <w:p>
      <w:pPr>
        <w:pStyle w:val="BodyText"/>
        <w:spacing w:line="240" w:lineRule="auto" w:before="3"/>
        <w:ind w:left="514" w:right="0"/>
        <w:jc w:val="left"/>
      </w:pPr>
      <w:r>
        <w:rPr/>
        <w:t>具体内容已在指定信息披露媒体巨潮资讯网（</w:t>
      </w:r>
      <w:hyperlink r:id="rId9">
        <w:r>
          <w:rPr>
            <w:rFonts w:ascii="Times New Roman" w:hAnsi="Times New Roman" w:cs="Times New Roman" w:eastAsia="Times New Roman" w:hint="default"/>
          </w:rPr>
          <w:t>www.cninfo.com.cn</w:t>
        </w:r>
      </w:hyperlink>
      <w:r>
        <w:rPr/>
        <w:t>）披露。</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103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4"/>
        </w:rPr>
        <w:t>公司控股子公司贵安新区贵金科技有限公司，因业务发展需要对经营范围进行了变更，并完成工商变更登记及备案手续。</w:t>
      </w:r>
    </w:p>
    <w:p>
      <w:pPr>
        <w:pStyle w:val="BodyText"/>
        <w:spacing w:line="300" w:lineRule="auto" w:before="2"/>
        <w:ind w:right="1131"/>
        <w:jc w:val="left"/>
      </w:pPr>
      <w:r>
        <w:rPr>
          <w:spacing w:val="-1"/>
        </w:rPr>
        <w:t>详见</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14</w:t>
      </w:r>
      <w:r>
        <w:rPr>
          <w:spacing w:val="-1"/>
        </w:rPr>
        <w:t>日在指定信息披露媒体巨潮资讯网（</w:t>
      </w:r>
      <w:hyperlink r:id="rId9">
        <w:r>
          <w:rPr>
            <w:rFonts w:ascii="Times New Roman" w:hAnsi="Times New Roman" w:cs="Times New Roman" w:eastAsia="Times New Roman" w:hint="default"/>
            <w:spacing w:val="-1"/>
          </w:rPr>
          <w:t>www.cninfo.com.cn</w:t>
        </w:r>
      </w:hyperlink>
      <w:r>
        <w:rPr>
          <w:spacing w:val="-1"/>
        </w:rPr>
        <w:t>）披露的《关于控股子公司变更经营范围并完成工</w:t>
      </w:r>
      <w:r>
        <w:rPr>
          <w:spacing w:val="-44"/>
        </w:rPr>
        <w:t> </w:t>
      </w:r>
      <w:r>
        <w:rPr>
          <w:spacing w:val="-44"/>
        </w:rPr>
      </w:r>
      <w:r>
        <w:rPr/>
        <w:t>商变更登记的公告》（公告编号：</w:t>
      </w:r>
      <w:r>
        <w:rPr>
          <w:rFonts w:ascii="Times New Roman" w:hAnsi="Times New Roman" w:cs="Times New Roman" w:eastAsia="Times New Roman" w:hint="default"/>
        </w:rPr>
        <w:t>2018-086</w:t>
      </w:r>
      <w:r>
        <w:rPr/>
        <w:t>）。</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_TOC_250006" w:id="101"/>
      <w:bookmarkStart w:name="第六节 股份变动及股东情况" w:id="102"/>
      <w:r>
        <w:rPr>
          <w:b w:val="0"/>
          <w:bCs w:val="0"/>
        </w:rPr>
      </w:r>
      <w:r>
        <w:rPr/>
        <w:t>第六节</w:t>
      </w:r>
      <w:r>
        <w:rPr>
          <w:spacing w:val="-10"/>
        </w:rPr>
        <w:t> </w:t>
      </w:r>
      <w:r>
        <w:rPr/>
        <w:t>股份变动及股东情况</w:t>
      </w:r>
      <w:bookmarkEnd w:id="10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51,543,12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60.52%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190,000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51,617,95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-547,390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51,260,56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102,803,6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60.33%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51,543,12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60.52%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190,000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51,617,95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-547,390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51,260,56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102,803,6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60.33%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2,925,000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3.43%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2,918,488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2,918,488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5,843,488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3.43%</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48,618,12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57.09%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190,000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48,699,46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-547,390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48,342,07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96,960,20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56.90%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33,616,87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39.48%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33,542,03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447,501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33,989,53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67,606,41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39.67%</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33,616,87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39.48%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33,542,03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447,501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33,989,53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67,606,41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39.67%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85,160,00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190,000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85,159,99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-99,889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85,250,10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170,410,1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18" w:firstLine="360"/>
        <w:jc w:val="left"/>
      </w:pPr>
      <w:r>
        <w:rPr>
          <w:rFonts w:ascii="Times New Roman" w:hAnsi="Times New Roman" w:cs="Times New Roman" w:eastAsia="Times New Roman" w:hint="default"/>
          <w:spacing w:val="-2"/>
        </w:rPr>
        <w:t>1</w:t>
      </w:r>
      <w:r>
        <w:rPr>
          <w:spacing w:val="-2"/>
        </w:rPr>
        <w:t>、报告期内，公司完成了</w:t>
      </w:r>
      <w:r>
        <w:rPr>
          <w:rFonts w:ascii="Times New Roman" w:hAnsi="Times New Roman" w:cs="Times New Roman" w:eastAsia="Times New Roman" w:hint="default"/>
          <w:spacing w:val="-2"/>
        </w:rPr>
        <w:t>2017</w:t>
      </w:r>
      <w:r>
        <w:rPr>
          <w:spacing w:val="-2"/>
        </w:rPr>
        <w:t>年限制性股票激励计划预留部分限制性股票的授予登记工作，向</w:t>
      </w:r>
      <w:r>
        <w:rPr>
          <w:rFonts w:ascii="Times New Roman" w:hAnsi="Times New Roman" w:cs="Times New Roman" w:eastAsia="Times New Roman" w:hint="default"/>
          <w:spacing w:val="-2"/>
        </w:rPr>
        <w:t>6</w:t>
      </w:r>
      <w:r>
        <w:rPr>
          <w:spacing w:val="-2"/>
        </w:rPr>
        <w:t>名激励对象授予</w:t>
      </w:r>
      <w:r>
        <w:rPr>
          <w:rFonts w:ascii="Times New Roman" w:hAnsi="Times New Roman" w:cs="Times New Roman" w:eastAsia="Times New Roman" w:hint="default"/>
          <w:spacing w:val="-2"/>
        </w:rPr>
        <w:t>19</w:t>
      </w:r>
      <w:r>
        <w:rPr>
          <w:spacing w:val="-2"/>
        </w:rPr>
        <w:t>万股</w:t>
      </w:r>
      <w:r>
        <w:rPr/>
        <w:t> 限制性股票。</w:t>
      </w:r>
    </w:p>
    <w:p>
      <w:pPr>
        <w:pStyle w:val="BodyText"/>
        <w:spacing w:line="240" w:lineRule="auto" w:before="31"/>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、报告期内，公司实施了</w:t>
      </w:r>
      <w:r>
        <w:rPr>
          <w:rFonts w:ascii="Times New Roman" w:hAnsi="Times New Roman" w:cs="Times New Roman" w:eastAsia="Times New Roman" w:hint="default"/>
        </w:rPr>
        <w:t>2017</w:t>
      </w:r>
      <w:r>
        <w:rPr/>
        <w:t>年年度权益分派方案：以方案实施时的公司总股本</w:t>
      </w:r>
      <w:r>
        <w:rPr>
          <w:rFonts w:ascii="Times New Roman" w:hAnsi="Times New Roman" w:cs="Times New Roman" w:eastAsia="Times New Roman" w:hint="default"/>
        </w:rPr>
        <w:t>85,350,000</w:t>
      </w:r>
      <w:r>
        <w:rPr/>
        <w:t>股为基数，向全体股东每</w:t>
      </w:r>
      <w:r>
        <w:rPr>
          <w:rFonts w:ascii="Times New Roman" w:hAnsi="Times New Roman" w:cs="Times New Roman" w:eastAsia="Times New Roman" w:hint="default"/>
        </w:rPr>
        <w:t>10</w:t>
      </w:r>
    </w:p>
    <w:p>
      <w:pPr>
        <w:pStyle w:val="BodyText"/>
        <w:spacing w:line="240" w:lineRule="auto" w:before="63"/>
        <w:ind w:right="0"/>
        <w:jc w:val="left"/>
      </w:pPr>
      <w:r>
        <w:rPr/>
        <w:t>股派</w:t>
      </w:r>
      <w:r>
        <w:rPr>
          <w:rFonts w:ascii="Times New Roman" w:hAnsi="Times New Roman" w:cs="Times New Roman" w:eastAsia="Times New Roman" w:hint="default"/>
        </w:rPr>
        <w:t>3.591985</w:t>
      </w:r>
      <w:r>
        <w:rPr/>
        <w:t>元人民币现金（含税），同时，以资本公积金向全体股东每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9.977738</w:t>
      </w:r>
      <w:r>
        <w:rPr/>
        <w:t>股。</w:t>
      </w:r>
    </w:p>
    <w:p>
      <w:pPr>
        <w:pStyle w:val="BodyText"/>
        <w:spacing w:line="240" w:lineRule="auto" w:before="63"/>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、报告期内，公司根据</w:t>
      </w:r>
      <w:r>
        <w:rPr>
          <w:rFonts w:ascii="Times New Roman" w:hAnsi="Times New Roman" w:cs="Times New Roman" w:eastAsia="Times New Roman" w:hint="default"/>
        </w:rPr>
        <w:t>2017</w:t>
      </w:r>
      <w:r>
        <w:rPr/>
        <w:t>年限制性股票激励计划，对</w:t>
      </w:r>
      <w:r>
        <w:rPr>
          <w:rFonts w:ascii="Times New Roman" w:hAnsi="Times New Roman" w:cs="Times New Roman" w:eastAsia="Times New Roman" w:hint="default"/>
        </w:rPr>
        <w:t>3</w:t>
      </w:r>
      <w:r>
        <w:rPr/>
        <w:t>名离职激励对象已获授尚未解除限售的限制性股票共计</w:t>
      </w:r>
      <w:r>
        <w:rPr>
          <w:rFonts w:ascii="Times New Roman" w:hAnsi="Times New Roman" w:cs="Times New Roman" w:eastAsia="Times New Roman" w:hint="default"/>
        </w:rPr>
        <w:t>99,889</w:t>
      </w:r>
    </w:p>
    <w:p>
      <w:pPr>
        <w:pStyle w:val="BodyText"/>
        <w:spacing w:line="240" w:lineRule="auto" w:before="63"/>
        <w:ind w:right="0"/>
        <w:jc w:val="left"/>
      </w:pPr>
      <w:r>
        <w:rPr/>
        <w:t>股进行回购注销。</w:t>
      </w:r>
    </w:p>
    <w:p>
      <w:pPr>
        <w:pStyle w:val="BodyText"/>
        <w:spacing w:line="319" w:lineRule="auto" w:before="76"/>
        <w:ind w:right="1122" w:firstLine="360"/>
        <w:jc w:val="left"/>
      </w:pPr>
      <w:r>
        <w:rPr>
          <w:rFonts w:ascii="Times New Roman" w:hAnsi="Times New Roman" w:cs="Times New Roman" w:eastAsia="Times New Roman" w:hint="default"/>
        </w:rPr>
        <w:t>4</w:t>
      </w:r>
      <w:r>
        <w:rPr/>
        <w:t>、报告期内，公司</w:t>
      </w:r>
      <w:r>
        <w:rPr>
          <w:rFonts w:ascii="Times New Roman" w:hAnsi="Times New Roman" w:cs="Times New Roman" w:eastAsia="Times New Roman" w:hint="default"/>
        </w:rPr>
        <w:t>2017</w:t>
      </w:r>
      <w:r>
        <w:rPr/>
        <w:t>年限制性股票激励计划首次授予部分第一个解除限售期解除限售条件成就，符合本次解除限售 条件的激励对象共计</w:t>
      </w:r>
      <w:r>
        <w:rPr>
          <w:rFonts w:ascii="Times New Roman" w:hAnsi="Times New Roman" w:cs="Times New Roman" w:eastAsia="Times New Roman" w:hint="default"/>
        </w:rPr>
        <w:t>40</w:t>
      </w:r>
      <w:r>
        <w:rPr/>
        <w:t>人，可解除限售的限制性股票数量为</w:t>
      </w:r>
      <w:r>
        <w:rPr>
          <w:rFonts w:ascii="Times New Roman" w:hAnsi="Times New Roman" w:cs="Times New Roman" w:eastAsia="Times New Roman" w:hint="default"/>
        </w:rPr>
        <w:t>447,501</w:t>
      </w:r>
      <w:r>
        <w:rPr/>
        <w:t>股，公司办理了相应的解除限售手续。 股份变动的批准情况</w:t>
      </w:r>
    </w:p>
    <w:p>
      <w:pPr>
        <w:pStyle w:val="BodyText"/>
        <w:spacing w:line="240" w:lineRule="auto" w:before="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40"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日，公司召开第二届董事会第二十一次会议和第二届监事会第十九次会议，审议通过《关于向激励对象</w:t>
      </w:r>
      <w:r>
        <w:rPr/>
        <w:t> </w:t>
      </w:r>
      <w:r>
        <w:rPr>
          <w:spacing w:val="-2"/>
        </w:rPr>
        <w:t>授予预留部分限制性股票的议案》，公司董事会认为</w:t>
      </w:r>
      <w:r>
        <w:rPr>
          <w:rFonts w:ascii="Times New Roman" w:hAnsi="Times New Roman" w:cs="Times New Roman" w:eastAsia="Times New Roman" w:hint="default"/>
          <w:spacing w:val="-2"/>
        </w:rPr>
        <w:t>2017</w:t>
      </w:r>
      <w:r>
        <w:rPr>
          <w:spacing w:val="-2"/>
        </w:rPr>
        <w:t>年限制性股票激励计划规定的预留部分授予条件已经成就，同意向</w:t>
      </w:r>
      <w:r>
        <w:rPr>
          <w:spacing w:val="-62"/>
        </w:rPr>
        <w:t> </w:t>
      </w:r>
      <w:r>
        <w:rPr>
          <w:spacing w:val="-62"/>
        </w:rPr>
      </w:r>
      <w:r>
        <w:rPr>
          <w:spacing w:val="-2"/>
        </w:rPr>
        <w:t>符合条件的激励对象授予预留部分限制性股票。根据公司股东大会的授权，董事会确定预留部分的授予日为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监事会对名单进行了核查并发表意见。</w:t>
      </w:r>
    </w:p>
    <w:p>
      <w:pPr>
        <w:pStyle w:val="BodyText"/>
        <w:spacing w:line="240" w:lineRule="auto" w:before="76"/>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日，公司完成</w:t>
      </w:r>
      <w:r>
        <w:rPr>
          <w:rFonts w:ascii="Times New Roman" w:hAnsi="Times New Roman" w:cs="Times New Roman" w:eastAsia="Times New Roman" w:hint="default"/>
        </w:rPr>
        <w:t>2017</w:t>
      </w:r>
      <w:r>
        <w:rPr/>
        <w:t>年限制性股票激励计划限制性股票预留部分的授予登记工作，向</w:t>
      </w:r>
      <w:r>
        <w:rPr>
          <w:rFonts w:ascii="Times New Roman" w:hAnsi="Times New Roman" w:cs="Times New Roman" w:eastAsia="Times New Roman" w:hint="default"/>
        </w:rPr>
        <w:t>6</w:t>
      </w:r>
      <w:r>
        <w:rPr/>
        <w:t>名激励对象授予</w:t>
      </w:r>
      <w:r>
        <w:rPr>
          <w:rFonts w:ascii="Times New Roman" w:hAnsi="Times New Roman" w:cs="Times New Roman" w:eastAsia="Times New Roman" w:hint="default"/>
        </w:rPr>
        <w:t>19</w:t>
      </w:r>
    </w:p>
    <w:p>
      <w:pPr>
        <w:pStyle w:val="BodyText"/>
        <w:spacing w:line="240" w:lineRule="auto" w:before="63"/>
        <w:ind w:right="0"/>
        <w:jc w:val="left"/>
      </w:pPr>
      <w:r>
        <w:rPr/>
        <w:t>万股限制性股票，上市日期为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日，并披露了《关于</w:t>
      </w:r>
      <w:r>
        <w:rPr>
          <w:rFonts w:ascii="Times New Roman" w:hAnsi="Times New Roman" w:cs="Times New Roman" w:eastAsia="Times New Roman" w:hint="default"/>
        </w:rPr>
        <w:t>2017</w:t>
      </w:r>
      <w:r>
        <w:rPr/>
        <w:t>年限制性股票激励计划预留部分授予登记完成的公告》。</w:t>
      </w:r>
    </w:p>
    <w:p>
      <w:pPr>
        <w:pStyle w:val="BodyText"/>
        <w:spacing w:line="302" w:lineRule="auto" w:before="63"/>
        <w:ind w:right="0" w:firstLine="36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2017</w:t>
      </w:r>
      <w:r>
        <w:rPr/>
        <w:t>年度利润分配预案经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日召开的第二届董事会第十九次会议和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日召开的</w:t>
      </w:r>
      <w:r>
        <w:rPr>
          <w:rFonts w:ascii="Times New Roman" w:hAnsi="Times New Roman" w:cs="Times New Roman" w:eastAsia="Times New Roman" w:hint="default"/>
        </w:rPr>
        <w:t>2017</w:t>
      </w:r>
      <w:r>
        <w:rPr/>
        <w:t>年年度 </w:t>
      </w:r>
      <w:r>
        <w:rPr>
          <w:spacing w:val="-2"/>
        </w:rPr>
        <w:t>股东大会审议通过。由于公司权益分派方案经股东大会审议通过后至实施前，公司完成了</w:t>
      </w:r>
      <w:r>
        <w:rPr>
          <w:rFonts w:ascii="Times New Roman" w:hAnsi="Times New Roman" w:cs="Times New Roman" w:eastAsia="Times New Roman" w:hint="default"/>
          <w:spacing w:val="-2"/>
        </w:rPr>
        <w:t>2017</w:t>
      </w:r>
      <w:r>
        <w:rPr>
          <w:spacing w:val="-2"/>
        </w:rPr>
        <w:t>年限制性股票激励计划限制性</w:t>
      </w:r>
      <w:r>
        <w:rPr>
          <w:spacing w:val="-60"/>
        </w:rPr>
        <w:t> </w:t>
      </w:r>
      <w:r>
        <w:rPr>
          <w:spacing w:val="-2"/>
        </w:rPr>
        <w:t>股票预留部分的授予登记工作，股份总数由</w:t>
      </w:r>
      <w:r>
        <w:rPr>
          <w:rFonts w:ascii="Times New Roman" w:hAnsi="Times New Roman" w:cs="Times New Roman" w:eastAsia="Times New Roman" w:hint="default"/>
          <w:spacing w:val="-2"/>
        </w:rPr>
        <w:t>85,160,000</w:t>
      </w:r>
      <w:r>
        <w:rPr>
          <w:spacing w:val="-2"/>
        </w:rPr>
        <w:t>股增加至</w:t>
      </w:r>
      <w:r>
        <w:rPr>
          <w:rFonts w:ascii="Times New Roman" w:hAnsi="Times New Roman" w:cs="Times New Roman" w:eastAsia="Times New Roman" w:hint="default"/>
          <w:spacing w:val="-2"/>
        </w:rPr>
        <w:t>85,350,000</w:t>
      </w:r>
      <w:r>
        <w:rPr>
          <w:spacing w:val="-2"/>
        </w:rPr>
        <w:t>股。根据《深圳证券交易所创业板上市公司规范运</w:t>
      </w:r>
      <w:r>
        <w:rPr>
          <w:spacing w:val="-49"/>
        </w:rPr>
        <w:t> </w:t>
      </w:r>
      <w:r>
        <w:rPr>
          <w:spacing w:val="-49"/>
        </w:rPr>
      </w:r>
      <w:r>
        <w:rPr>
          <w:spacing w:val="-4"/>
        </w:rPr>
        <w:t>作指引》的相关规定，分配方案公布后至实施前，公司总股本由于增发新股、股权激励行权、可转债转股等原因发生变动的，</w:t>
      </w:r>
      <w:r>
        <w:rPr>
          <w:spacing w:val="-44"/>
        </w:rPr>
        <w:t> </w:t>
      </w:r>
      <w:r>
        <w:rPr>
          <w:spacing w:val="-44"/>
        </w:rPr>
      </w:r>
      <w:r>
        <w:rPr/>
        <w:t>应当按照</w:t>
      </w:r>
      <w:r>
        <w:rPr>
          <w:rFonts w:ascii="Times New Roman" w:hAnsi="Times New Roman" w:cs="Times New Roman" w:eastAsia="Times New Roman" w:hint="default"/>
        </w:rPr>
        <w:t>“</w:t>
      </w:r>
      <w:r>
        <w:rPr/>
        <w:t>现金分红总额、送红股总额、转增股本总额固定不变</w:t>
      </w:r>
      <w:r>
        <w:rPr>
          <w:rFonts w:ascii="Times New Roman" w:hAnsi="Times New Roman" w:cs="Times New Roman" w:eastAsia="Times New Roman" w:hint="default"/>
        </w:rPr>
        <w:t>”</w:t>
      </w:r>
      <w:r>
        <w:rPr/>
        <w:t>的原则，在权益分派实施公告中披露按公司最新总股本计算 的分配比例。公司于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日发布了《</w:t>
      </w:r>
      <w:r>
        <w:rPr>
          <w:rFonts w:ascii="Times New Roman" w:hAnsi="Times New Roman" w:cs="Times New Roman" w:eastAsia="Times New Roman" w:hint="default"/>
        </w:rPr>
        <w:t>2017</w:t>
      </w:r>
      <w:r>
        <w:rPr/>
        <w:t>年年度权益分派实施公告》，本次权益分派股权登记日为：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 </w:t>
      </w: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w:t>
      </w:r>
    </w:p>
    <w:p>
      <w:pPr>
        <w:pStyle w:val="BodyText"/>
        <w:spacing w:line="300" w:lineRule="auto" w:before="11"/>
        <w:ind w:right="1032" w:firstLine="360"/>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日，公司召开第三届董事会第二次会议和第三届监事会第二次会议，审议通过《关于调整限制性股票回</w:t>
      </w:r>
      <w:r>
        <w:rPr/>
        <w:t> 购价格的议案》、《关于回购注销部分限制性股票的议案》等议案，相关议案经公司</w:t>
      </w:r>
      <w:r>
        <w:rPr>
          <w:rFonts w:ascii="Times New Roman" w:hAnsi="Times New Roman" w:cs="Times New Roman" w:eastAsia="Times New Roman" w:hint="default"/>
        </w:rPr>
        <w:t>2018</w:t>
      </w:r>
      <w:r>
        <w:rPr/>
        <w:t>年第二次临时股东大会审议通过， 同意公司董事会对激励对象中因个人原因离职的</w:t>
      </w:r>
      <w:r>
        <w:rPr>
          <w:rFonts w:ascii="Times New Roman" w:hAnsi="Times New Roman" w:cs="Times New Roman" w:eastAsia="Times New Roman" w:hint="default"/>
        </w:rPr>
        <w:t>3</w:t>
      </w:r>
      <w:r>
        <w:rPr/>
        <w:t>名人员（具体为：首次授予的激励对象白磊、张庆春，预留授予的激励对 象刘志梧）已获授尚未解除限售的限制性股票共计</w:t>
      </w:r>
      <w:r>
        <w:rPr>
          <w:rFonts w:ascii="Times New Roman" w:hAnsi="Times New Roman" w:cs="Times New Roman" w:eastAsia="Times New Roman" w:hint="default"/>
        </w:rPr>
        <w:t>99,889</w:t>
      </w:r>
      <w:r>
        <w:rPr/>
        <w:t>股进行回购注销。公司用于本次回购的资金为公司自有资金。公司 独立董事发表了同意的独立意见，监事会发表了核查意见。</w:t>
      </w:r>
    </w:p>
    <w:p>
      <w:pPr>
        <w:pStyle w:val="BodyText"/>
        <w:spacing w:line="300" w:lineRule="auto" w:before="31"/>
        <w:ind w:right="1131"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日，公司召开第三届董事会第七次会议和第三届监事会第四次会议，审议通过《关于</w:t>
      </w:r>
      <w:r>
        <w:rPr>
          <w:rFonts w:ascii="Times New Roman" w:hAnsi="Times New Roman" w:cs="Times New Roman" w:eastAsia="Times New Roman" w:hint="default"/>
        </w:rPr>
        <w:t>2017</w:t>
      </w:r>
      <w:r>
        <w:rPr/>
        <w:t>年限制性股 </w:t>
      </w:r>
      <w:r>
        <w:rPr>
          <w:spacing w:val="-2"/>
        </w:rPr>
        <w:t>票激励计划首次授予部分第一个解除限售期解除限售条件成就的议案》，符合本次解除限售条件的激励对象共计</w:t>
      </w:r>
      <w:r>
        <w:rPr>
          <w:rFonts w:ascii="Times New Roman" w:hAnsi="Times New Roman" w:cs="Times New Roman" w:eastAsia="Times New Roman" w:hint="default"/>
          <w:spacing w:val="-2"/>
        </w:rPr>
        <w:t>40</w:t>
      </w:r>
      <w:r>
        <w:rPr>
          <w:spacing w:val="-2"/>
        </w:rPr>
        <w:t>人，可解</w:t>
      </w:r>
      <w:r>
        <w:rPr>
          <w:spacing w:val="-63"/>
        </w:rPr>
        <w:t> </w:t>
      </w:r>
      <w:r>
        <w:rPr>
          <w:spacing w:val="-63"/>
        </w:rPr>
      </w:r>
      <w:r>
        <w:rPr/>
        <w:t>除限售的限制性股票数量为</w:t>
      </w:r>
      <w:r>
        <w:rPr>
          <w:rFonts w:ascii="Times New Roman" w:hAnsi="Times New Roman" w:cs="Times New Roman" w:eastAsia="Times New Roman" w:hint="default"/>
        </w:rPr>
        <w:t>447,501</w:t>
      </w:r>
      <w:r>
        <w:rPr/>
        <w:t>股。公司独立董事发表了同意的独立意见，监事会发表了核查意见。</w:t>
      </w:r>
    </w:p>
    <w:p>
      <w:pPr>
        <w:pStyle w:val="BodyText"/>
        <w:spacing w:line="300" w:lineRule="auto" w:before="13"/>
        <w:ind w:right="1122" w:firstLine="36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日，公司披露了《关于</w:t>
      </w:r>
      <w:r>
        <w:rPr>
          <w:rFonts w:ascii="Times New Roman" w:hAnsi="Times New Roman" w:cs="Times New Roman" w:eastAsia="Times New Roman" w:hint="default"/>
        </w:rPr>
        <w:t>2017</w:t>
      </w:r>
      <w:r>
        <w:rPr/>
        <w:t>年限制性股票激励计划首次授予部分限制性股票第一个解除限售期解除限 售股份上市流通的提示性公告》，本次解除限售的限制性股票上市流通日为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w:t>
      </w:r>
    </w:p>
    <w:p>
      <w:pPr>
        <w:pStyle w:val="BodyText"/>
        <w:spacing w:line="300" w:lineRule="auto" w:before="13"/>
        <w:ind w:right="1167" w:firstLine="36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日，公司在中国证券登记结算有限责任公司深圳分公司完成</w:t>
      </w:r>
      <w:r>
        <w:rPr>
          <w:rFonts w:ascii="Times New Roman" w:hAnsi="Times New Roman" w:cs="Times New Roman" w:eastAsia="Times New Roman" w:hint="default"/>
        </w:rPr>
        <w:t>99,889</w:t>
      </w:r>
      <w:r>
        <w:rPr/>
        <w:t>股限制性股票的回购注销手续，并 披露了《关于部分限制性股票回购注销完成的公告》。</w:t>
      </w:r>
    </w:p>
    <w:p>
      <w:pPr>
        <w:pStyle w:val="BodyText"/>
        <w:spacing w:line="240" w:lineRule="auto" w:before="72"/>
        <w:ind w:right="0"/>
        <w:jc w:val="left"/>
      </w:pPr>
      <w:r>
        <w:rPr/>
        <w:t>股份变动的过户情况</w:t>
      </w:r>
    </w:p>
    <w:p>
      <w:pPr>
        <w:pStyle w:val="BodyText"/>
        <w:spacing w:line="338" w:lineRule="auto" w:before="117"/>
        <w:ind w:left="514" w:right="121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上述股份变动，公司已按照深圳证券交易所及中国证券登记结算有限责任公司深圳分公司的要求，办理了相关业务。</w:t>
      </w:r>
    </w:p>
    <w:p>
      <w:pPr>
        <w:pStyle w:val="BodyText"/>
        <w:spacing w:line="240" w:lineRule="auto" w:before="43"/>
        <w:ind w:right="0"/>
        <w:jc w:val="left"/>
      </w:pPr>
      <w:r>
        <w:rPr/>
        <w:t>股份回购的实施进展情况</w:t>
      </w:r>
    </w:p>
    <w:p>
      <w:pPr>
        <w:pStyle w:val="BodyText"/>
        <w:spacing w:line="338" w:lineRule="auto" w:before="117"/>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40" w:lineRule="auto" w:before="42"/>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报告期内，公司总股本由</w:t>
      </w:r>
      <w:r>
        <w:rPr>
          <w:rFonts w:ascii="Times New Roman" w:hAnsi="Times New Roman" w:cs="Times New Roman" w:eastAsia="Times New Roman" w:hint="default"/>
        </w:rPr>
        <w:t>85,160,000</w:t>
      </w:r>
      <w:r>
        <w:rPr/>
        <w:t>股增加至</w:t>
      </w:r>
      <w:r>
        <w:rPr>
          <w:rFonts w:ascii="Times New Roman" w:hAnsi="Times New Roman" w:cs="Times New Roman" w:eastAsia="Times New Roman" w:hint="default"/>
        </w:rPr>
        <w:t>170,410,104</w:t>
      </w:r>
      <w:r>
        <w:rPr/>
        <w:t>股，股份变动对公司最近一年和最近一期基本每股收益和稀释</w:t>
      </w:r>
    </w:p>
    <w:p>
      <w:pPr>
        <w:pStyle w:val="BodyText"/>
        <w:spacing w:line="230" w:lineRule="exact"/>
        <w:ind w:right="0"/>
        <w:jc w:val="left"/>
        <w:rPr>
          <w:rFonts w:ascii="Times New Roman" w:hAnsi="Times New Roman" w:cs="Times New Roman" w:eastAsia="Times New Roman" w:hint="default"/>
        </w:rPr>
      </w:pPr>
      <w:r>
        <w:rPr/>
        <w:t>每股收益、归属于公司普股股东的每股净资产等财务指标的影响如下：报告期内公司基本每股收益、稀释每股收益均为</w:t>
      </w:r>
      <w:r>
        <w:rPr>
          <w:rFonts w:ascii="Times New Roman" w:hAnsi="Times New Roman" w:cs="Times New Roman" w:eastAsia="Times New Roman" w:hint="default"/>
        </w:rPr>
        <w:t>0.16</w:t>
      </w:r>
    </w:p>
    <w:p>
      <w:pPr>
        <w:pStyle w:val="BodyText"/>
        <w:spacing w:line="340" w:lineRule="auto" w:before="63"/>
        <w:ind w:right="2387"/>
        <w:jc w:val="left"/>
      </w:pPr>
      <w:r>
        <w:rPr/>
        <w:t>元</w:t>
      </w:r>
      <w:r>
        <w:rPr>
          <w:rFonts w:ascii="Times New Roman" w:hAnsi="Times New Roman" w:cs="Times New Roman" w:eastAsia="Times New Roman" w:hint="default"/>
        </w:rPr>
        <w:t>/</w:t>
      </w:r>
      <w:r>
        <w:rPr/>
        <w:t>股，比去年同期下降</w:t>
      </w:r>
      <w:r>
        <w:rPr>
          <w:rFonts w:ascii="Times New Roman" w:hAnsi="Times New Roman" w:cs="Times New Roman" w:eastAsia="Times New Roman" w:hint="default"/>
        </w:rPr>
        <w:t>66.67%</w:t>
      </w:r>
      <w:r>
        <w:rPr/>
        <w:t>，归属于公司普通股东的每股净资产为</w:t>
      </w:r>
      <w:r>
        <w:rPr>
          <w:rFonts w:ascii="Times New Roman" w:hAnsi="Times New Roman" w:cs="Times New Roman" w:eastAsia="Times New Roman" w:hint="default"/>
        </w:rPr>
        <w:t>4.02</w:t>
      </w:r>
      <w:r>
        <w:rPr/>
        <w:t>元</w:t>
      </w:r>
      <w:r>
        <w:rPr>
          <w:rFonts w:ascii="Times New Roman" w:hAnsi="Times New Roman" w:cs="Times New Roman" w:eastAsia="Times New Roman" w:hint="default"/>
        </w:rPr>
        <w:t>/</w:t>
      </w:r>
      <w:r>
        <w:rPr/>
        <w:t>股，比去年同期下降</w:t>
      </w:r>
      <w:r>
        <w:rPr>
          <w:rFonts w:ascii="Times New Roman" w:hAnsi="Times New Roman" w:cs="Times New Roman" w:eastAsia="Times New Roman" w:hint="default"/>
        </w:rPr>
        <w:t>49.78%</w:t>
      </w:r>
      <w:r>
        <w:rPr/>
        <w:t>。 公司认为必要或证券监管机构要求披露的其他内容</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51"/>
      </w:tblGrid>
      <w:tr>
        <w:trPr>
          <w:trHeight w:val="39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9" w:right="0"/>
              <w:jc w:val="left"/>
              <w:rPr>
                <w:rFonts w:ascii="宋体" w:hAnsi="宋体" w:cs="宋体" w:eastAsia="宋体" w:hint="default"/>
                <w:sz w:val="18"/>
                <w:szCs w:val="18"/>
              </w:rPr>
            </w:pPr>
            <w:r>
              <w:rPr>
                <w:rFonts w:ascii="宋体" w:hAnsi="宋体" w:cs="宋体" w:eastAsia="宋体" w:hint="default"/>
                <w:sz w:val="18"/>
                <w:szCs w:val="18"/>
              </w:rPr>
              <w:t>本期解除限售股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9" w:right="0"/>
              <w:jc w:val="left"/>
              <w:rPr>
                <w:rFonts w:ascii="宋体" w:hAnsi="宋体" w:cs="宋体" w:eastAsia="宋体" w:hint="default"/>
                <w:sz w:val="18"/>
                <w:szCs w:val="18"/>
              </w:rPr>
            </w:pPr>
            <w:r>
              <w:rPr>
                <w:rFonts w:ascii="宋体" w:hAnsi="宋体" w:cs="宋体" w:eastAsia="宋体" w:hint="default"/>
                <w:sz w:val="18"/>
                <w:szCs w:val="18"/>
              </w:rPr>
              <w:t>本期增加限售股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25.059998pt;margin-top:312.049988pt;width:68pt;height:28pt;mso-position-horizontal-relative:page;mso-position-vertical-relative:page;z-index:-1157872" coordorigin="2501,6241" coordsize="1360,560">
            <v:group style="position:absolute;left:2513;top:6252;width:2;height:393" coordorigin="2513,6252" coordsize="2,393">
              <v:shape style="position:absolute;left:2513;top:6252;width:2;height:393" coordorigin="2513,6252" coordsize="0,393" path="m2513,6252l2513,6645e" filled="false" stroked="true" strokeweight="1.140pt" strokecolor="#ffffff">
                <v:path arrowok="t"/>
              </v:shape>
            </v:group>
            <v:group style="position:absolute;left:2501;top:6645;width:1360;height:156" coordorigin="2501,6645" coordsize="1360,156">
              <v:shape style="position:absolute;left:2501;top:6645;width:1360;height:156" coordorigin="2501,6645" coordsize="1360,156" path="m2501,6801l3861,6801,3861,6645,2501,6645,2501,6801xe" filled="true" fillcolor="#ffffff" stroked="false">
                <v:path arrowok="t"/>
                <v:fill type="solid"/>
              </v:shape>
            </v:group>
            <v:group style="position:absolute;left:2524;top:6252;width:1313;height:393" coordorigin="2524,6252" coordsize="1313,393">
              <v:shape style="position:absolute;left:2524;top:6252;width:1313;height:393" coordorigin="2524,6252" coordsize="1313,393" path="m2524,6645l3837,6645,3837,6252,2524,6252,2524,664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362"/>
        <w:gridCol w:w="341"/>
        <w:gridCol w:w="1028"/>
        <w:gridCol w:w="1370"/>
        <w:gridCol w:w="1369"/>
        <w:gridCol w:w="1368"/>
        <w:gridCol w:w="1370"/>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32,175,000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32,103,372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64,278,372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15,224,625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15,190,732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30,415,357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按相关规定持续 锁定或解锁</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珠海瑞信投资管 理有限公司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2,925,000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2,918,488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5,843,488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宋京生</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58,500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116,870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依据股东承诺办 理</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马晓丽</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50,000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79,911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按股权激励计划 执行</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蔡林生</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50,000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79,911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按股权激励计划 执行</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股权激励</w:t>
            </w:r>
            <w:r>
              <w:rPr>
                <w:rFonts w:ascii="Times New Roman" w:hAnsi="Times New Roman" w:cs="Times New Roman" w:eastAsia="Times New Roman" w:hint="default"/>
                <w:sz w:val="18"/>
                <w:szCs w:val="18"/>
              </w:rPr>
              <w:t>-</w:t>
            </w:r>
            <w:r>
              <w:rPr>
                <w:rFonts w:ascii="宋体" w:hAnsi="宋体" w:cs="宋体" w:eastAsia="宋体" w:hint="default"/>
                <w:sz w:val="18"/>
                <w:szCs w:val="18"/>
              </w:rPr>
              <w:t>首次 </w:t>
            </w:r>
            <w:r>
              <w:rPr>
                <w:rFonts w:ascii="宋体" w:hAnsi="宋体" w:cs="宋体" w:eastAsia="宋体" w:hint="default"/>
                <w:spacing w:val="-13"/>
                <w:sz w:val="18"/>
                <w:szCs w:val="18"/>
              </w:rPr>
              <w:t>授予部分（</w:t>
            </w:r>
            <w:r>
              <w:rPr>
                <w:rFonts w:ascii="Times New Roman" w:hAnsi="Times New Roman" w:cs="Times New Roman" w:eastAsia="Times New Roman" w:hint="default"/>
                <w:spacing w:val="-13"/>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3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1,060,000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407,545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977,728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1,630,183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按股权激励计划 执行</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股权激励</w:t>
            </w:r>
            <w:r>
              <w:rPr>
                <w:rFonts w:ascii="Times New Roman" w:hAnsi="Times New Roman" w:cs="Times New Roman" w:eastAsia="Times New Roman" w:hint="default"/>
                <w:sz w:val="18"/>
                <w:szCs w:val="18"/>
              </w:rPr>
              <w:t>-</w:t>
            </w:r>
            <w:r>
              <w:rPr>
                <w:rFonts w:ascii="宋体" w:hAnsi="宋体" w:cs="宋体" w:eastAsia="宋体" w:hint="default"/>
                <w:sz w:val="18"/>
                <w:szCs w:val="18"/>
              </w:rPr>
              <w:t>预留 </w:t>
            </w:r>
            <w:r>
              <w:rPr>
                <w:rFonts w:ascii="宋体" w:hAnsi="宋体" w:cs="宋体" w:eastAsia="宋体" w:hint="default"/>
                <w:spacing w:val="-12"/>
                <w:sz w:val="18"/>
                <w:szCs w:val="18"/>
              </w:rPr>
              <w:t>部分（</w:t>
            </w:r>
            <w:r>
              <w:rPr>
                <w:rFonts w:ascii="Times New Roman" w:hAnsi="Times New Roman" w:cs="Times New Roman" w:eastAsia="Times New Roman" w:hint="default"/>
                <w:spacing w:val="-12"/>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人，与首</w:t>
            </w:r>
            <w:r>
              <w:rPr>
                <w:rFonts w:ascii="宋体" w:hAnsi="宋体" w:cs="宋体" w:eastAsia="宋体" w:hint="default"/>
                <w:sz w:val="18"/>
                <w:szCs w:val="18"/>
              </w:rPr>
              <w:t> 次授予部分有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人重合）</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359,599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7"/>
              <w:jc w:val="left"/>
              <w:rPr>
                <w:rFonts w:ascii="宋体" w:hAnsi="宋体" w:cs="宋体" w:eastAsia="宋体" w:hint="default"/>
                <w:sz w:val="18"/>
                <w:szCs w:val="18"/>
              </w:rPr>
            </w:pPr>
            <w:r>
              <w:rPr>
                <w:rFonts w:ascii="宋体" w:hAnsi="宋体" w:cs="宋体" w:eastAsia="宋体" w:hint="default"/>
                <w:sz w:val="18"/>
                <w:szCs w:val="18"/>
              </w:rPr>
              <w:t>按股权激励计划 执行</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51,543,125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447,501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51,708,067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102,803,691</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190,000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190,000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57" w:lineRule="auto" w:before="52"/>
        <w:ind w:left="514" w:right="0" w:hanging="360"/>
        <w:jc w:val="left"/>
      </w:pPr>
      <w:r>
        <w:rPr/>
        <w:t>报告期内证券发行（不含优先股）情况的说明 </w:t>
      </w:r>
      <w:r>
        <w:rPr>
          <w:spacing w:val="-5"/>
        </w:rPr>
        <w:t>公司于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27</w:t>
      </w:r>
      <w:r>
        <w:rPr>
          <w:spacing w:val="-5"/>
        </w:rPr>
        <w:t>日召开第二届董事会第二十一次会议，审议通过《关于向激励对象授予预留部分限制性股票的议案》，</w:t>
      </w:r>
    </w:p>
    <w:p>
      <w:pPr>
        <w:pStyle w:val="BodyText"/>
        <w:spacing w:line="214" w:lineRule="exact"/>
        <w:ind w:right="0"/>
        <w:jc w:val="left"/>
      </w:pPr>
      <w:r>
        <w:rPr/>
        <w:t>向符合条件的</w:t>
      </w:r>
      <w:r>
        <w:rPr>
          <w:rFonts w:ascii="Times New Roman" w:hAnsi="Times New Roman" w:cs="Times New Roman" w:eastAsia="Times New Roman" w:hint="default"/>
        </w:rPr>
        <w:t>6</w:t>
      </w:r>
      <w:r>
        <w:rPr/>
        <w:t>名激励对象授予预留部分限制性股票</w:t>
      </w:r>
      <w:r>
        <w:rPr>
          <w:rFonts w:ascii="Times New Roman" w:hAnsi="Times New Roman" w:cs="Times New Roman" w:eastAsia="Times New Roman" w:hint="default"/>
        </w:rPr>
        <w:t>19</w:t>
      </w:r>
      <w:r>
        <w:rPr/>
        <w:t>万股，授予价格为</w:t>
      </w:r>
      <w:r>
        <w:rPr>
          <w:rFonts w:ascii="Times New Roman" w:hAnsi="Times New Roman" w:cs="Times New Roman" w:eastAsia="Times New Roman" w:hint="default"/>
        </w:rPr>
        <w:t>21.18</w:t>
      </w:r>
      <w:r>
        <w:rPr/>
        <w:t>元</w:t>
      </w:r>
      <w:r>
        <w:rPr>
          <w:rFonts w:ascii="Times New Roman" w:hAnsi="Times New Roman" w:cs="Times New Roman" w:eastAsia="Times New Roman" w:hint="default"/>
        </w:rPr>
        <w:t>/</w:t>
      </w:r>
      <w:r>
        <w:rPr/>
        <w:t>股，授予日为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日。根据深圳证</w:t>
      </w:r>
    </w:p>
    <w:p>
      <w:pPr>
        <w:pStyle w:val="BodyText"/>
        <w:spacing w:line="316" w:lineRule="auto" w:before="63"/>
        <w:ind w:right="0"/>
        <w:jc w:val="left"/>
      </w:pPr>
      <w:r>
        <w:rPr>
          <w:spacing w:val="-2"/>
        </w:rPr>
        <w:t>券交易所、中国证券登记结算有限责任公司深圳分公司有关规则的规定，公司完成了相应的授予登记工作，预留部分限制性</w:t>
      </w:r>
      <w:r>
        <w:rPr>
          <w:spacing w:val="-66"/>
        </w:rPr>
        <w:t> </w:t>
      </w:r>
      <w:r>
        <w:rPr>
          <w:spacing w:val="-66"/>
        </w:rPr>
      </w:r>
      <w:r>
        <w:rPr/>
        <w:t>股票的上市日期为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2"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日，公司披露《关于</w:t>
      </w:r>
      <w:r>
        <w:rPr>
          <w:rFonts w:ascii="Times New Roman" w:hAnsi="Times New Roman" w:cs="Times New Roman" w:eastAsia="Times New Roman" w:hint="default"/>
          <w:spacing w:val="-2"/>
        </w:rPr>
        <w:t>2017</w:t>
      </w:r>
      <w:r>
        <w:rPr>
          <w:spacing w:val="-2"/>
        </w:rPr>
        <w:t>年限制性股票激励计划预留部分授予登记完成的公告》，公司完成了</w:t>
      </w:r>
      <w:r>
        <w:rPr>
          <w:rFonts w:ascii="Times New Roman" w:hAnsi="Times New Roman" w:cs="Times New Roman" w:eastAsia="Times New Roman" w:hint="default"/>
          <w:spacing w:val="-2"/>
        </w:rPr>
        <w:t>2017</w:t>
      </w:r>
      <w:r>
        <w:rPr>
          <w:spacing w:val="-2"/>
        </w:rPr>
        <w:t>年限</w:t>
      </w:r>
      <w:r>
        <w:rPr/>
        <w:t> 制性股票激励计划限制性股票预留部分的授予登记工作，向</w:t>
      </w:r>
      <w:r>
        <w:rPr>
          <w:rFonts w:ascii="Times New Roman" w:hAnsi="Times New Roman" w:cs="Times New Roman" w:eastAsia="Times New Roman" w:hint="default"/>
        </w:rPr>
        <w:t>6</w:t>
      </w:r>
      <w:r>
        <w:rPr/>
        <w:t>名激励对象授予</w:t>
      </w:r>
      <w:r>
        <w:rPr>
          <w:rFonts w:ascii="Times New Roman" w:hAnsi="Times New Roman" w:cs="Times New Roman" w:eastAsia="Times New Roman" w:hint="default"/>
        </w:rPr>
        <w:t>19</w:t>
      </w:r>
      <w:r>
        <w:rPr/>
        <w:t>万股限制性股票，本次限制性股票授予完成 后，公司总股本由</w:t>
      </w:r>
      <w:r>
        <w:rPr>
          <w:rFonts w:ascii="Times New Roman" w:hAnsi="Times New Roman" w:cs="Times New Roman" w:eastAsia="Times New Roman" w:hint="default"/>
        </w:rPr>
        <w:t>85,160,000</w:t>
      </w:r>
      <w:r>
        <w:rPr/>
        <w:t>股增加至</w:t>
      </w:r>
      <w:r>
        <w:rPr>
          <w:rFonts w:ascii="Times New Roman" w:hAnsi="Times New Roman" w:cs="Times New Roman" w:eastAsia="Times New Roman" w:hint="default"/>
        </w:rPr>
        <w:t>85,350,000</w:t>
      </w:r>
      <w:r>
        <w:rPr/>
        <w:t>股。</w:t>
      </w:r>
    </w:p>
    <w:p>
      <w:pPr>
        <w:pStyle w:val="BodyText"/>
        <w:spacing w:line="300" w:lineRule="auto" w:before="13"/>
        <w:ind w:right="1139"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日，公司披露《</w:t>
      </w:r>
      <w:r>
        <w:rPr>
          <w:rFonts w:ascii="Times New Roman" w:hAnsi="Times New Roman" w:cs="Times New Roman" w:eastAsia="Times New Roman" w:hint="default"/>
        </w:rPr>
        <w:t>2017</w:t>
      </w:r>
      <w:r>
        <w:rPr/>
        <w:t>年年度权益分派实施公告》，本次权益分派股权登记日为：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日，除权 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日。本次实施权益分派后，公司总股本由</w:t>
      </w:r>
      <w:r>
        <w:rPr>
          <w:rFonts w:ascii="Times New Roman" w:hAnsi="Times New Roman" w:cs="Times New Roman" w:eastAsia="Times New Roman" w:hint="default"/>
        </w:rPr>
        <w:t>85,350,000</w:t>
      </w:r>
      <w:r>
        <w:rPr/>
        <w:t>股增至</w:t>
      </w:r>
      <w:r>
        <w:rPr>
          <w:rFonts w:ascii="Times New Roman" w:hAnsi="Times New Roman" w:cs="Times New Roman" w:eastAsia="Times New Roman" w:hint="default"/>
        </w:rPr>
        <w:t>170,509,993</w:t>
      </w:r>
      <w:r>
        <w:rPr/>
        <w:t>股。</w:t>
      </w:r>
    </w:p>
    <w:p>
      <w:pPr>
        <w:pStyle w:val="BodyText"/>
        <w:spacing w:line="300" w:lineRule="auto" w:before="13"/>
        <w:ind w:right="1132"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日，公司披露《关于部分限制性股票回购注销完成的公告》，公司完成对</w:t>
      </w:r>
      <w:r>
        <w:rPr>
          <w:rFonts w:ascii="Times New Roman" w:hAnsi="Times New Roman" w:cs="Times New Roman" w:eastAsia="Times New Roman" w:hint="default"/>
          <w:spacing w:val="-2"/>
        </w:rPr>
        <w:t>3</w:t>
      </w:r>
      <w:r>
        <w:rPr>
          <w:spacing w:val="-2"/>
        </w:rPr>
        <w:t>名离职激励对象已获受但尚</w:t>
      </w:r>
      <w:r>
        <w:rPr/>
        <w:t> 未解锁的限制性股票共计</w:t>
      </w:r>
      <w:r>
        <w:rPr>
          <w:rFonts w:ascii="Times New Roman" w:hAnsi="Times New Roman" w:cs="Times New Roman" w:eastAsia="Times New Roman" w:hint="default"/>
        </w:rPr>
        <w:t>99,889</w:t>
      </w:r>
      <w:r>
        <w:rPr/>
        <w:t>股的回购注销。本次回购注销完成后，公司总股本由</w:t>
      </w:r>
      <w:r>
        <w:rPr>
          <w:rFonts w:ascii="Times New Roman" w:hAnsi="Times New Roman" w:cs="Times New Roman" w:eastAsia="Times New Roman" w:hint="default"/>
        </w:rPr>
        <w:t>170,509,993</w:t>
      </w:r>
      <w:r>
        <w:rPr/>
        <w:t>股变更为</w:t>
      </w:r>
      <w:r>
        <w:rPr>
          <w:rFonts w:ascii="Times New Roman" w:hAnsi="Times New Roman" w:cs="Times New Roman" w:eastAsia="Times New Roman" w:hint="default"/>
        </w:rPr>
        <w:t>170,410,104</w:t>
      </w:r>
      <w:r>
        <w:rPr/>
        <w:t>股。</w:t>
      </w:r>
    </w:p>
    <w:p>
      <w:pPr>
        <w:pStyle w:val="BodyText"/>
        <w:spacing w:line="240" w:lineRule="auto" w:before="13"/>
        <w:ind w:left="514" w:right="0"/>
        <w:jc w:val="left"/>
      </w:pPr>
      <w:r>
        <w:rPr>
          <w:rFonts w:ascii="Times New Roman" w:hAnsi="Times New Roman" w:cs="Times New Roman" w:eastAsia="Times New Roman" w:hint="default"/>
        </w:rPr>
        <w:t>4</w:t>
      </w:r>
      <w:r>
        <w:rPr/>
        <w:t>、公司资产和负债结构未发生变动。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49.277008pt;margin-top:68.311714pt;width:85.6pt;height:31.2pt;mso-position-horizontal-relative:page;mso-position-vertical-relative:paragraph;z-index:-1157848"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68.311714pt;width:52.45pt;height:31.2pt;mso-position-horizontal-relative:page;mso-position-vertical-relative:paragraph;z-index:-1157824" coordorigin="9648,1366" coordsize="1049,624">
            <v:shape style="position:absolute;left:9648;top:1366;width:1049;height:624" coordorigin="9648,1366" coordsize="1049,624" path="m9648,1990l10697,1990,10697,1366,9648,1366,9648,1990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5"/>
        <w:gridCol w:w="134"/>
        <w:gridCol w:w="673"/>
        <w:gridCol w:w="739"/>
        <w:gridCol w:w="744"/>
        <w:gridCol w:w="830"/>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14,930</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14,030</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8"/>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37.72%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64,278,37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32,103,37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64,278,37</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2D2D2"/>
              <w:left w:val="single" w:sz="4" w:space="0" w:color="000000"/>
              <w:bottom w:val="single" w:sz="4" w:space="0" w:color="000000"/>
              <w:right w:val="single" w:sz="4" w:space="0" w:color="000000"/>
            </w:tcBorders>
          </w:tcPr>
          <w:p>
            <w:pPr/>
          </w:p>
        </w:tc>
        <w:tc>
          <w:tcPr>
            <w:tcW w:w="1350" w:type="dxa"/>
            <w:gridSpan w:val="3"/>
            <w:tcBorders>
              <w:top w:val="single" w:sz="48" w:space="0" w:color="D2D2D2"/>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23.80%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40,553,80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20,254,30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30,415,35</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10,138,45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珠海瑞信投资管 理有限公司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3.43%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5,843,488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2,918,488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5,843,488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苏州衡赢真盛创 </w:t>
            </w:r>
            <w:r>
              <w:rPr>
                <w:rFonts w:ascii="宋体" w:hAnsi="宋体" w:cs="宋体" w:eastAsia="宋体" w:hint="default"/>
                <w:spacing w:val="-4"/>
                <w:sz w:val="18"/>
                <w:szCs w:val="18"/>
              </w:rPr>
              <w:t>业投资中心（有限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3,527,823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-972,177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3,527,823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郭进生</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982,616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982,616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郭国勇</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947,936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947,936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5.9pt;mso-position-horizontal-relative:page;mso-position-vertical-relative:page;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275,000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郭华容</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688,137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688,137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于梅英</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马德桃</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359,599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209,599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299,666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59,933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302" w:lineRule="auto" w:before="51"/>
                          <w:ind w:left="16" w:right="113"/>
                          <w:jc w:val="left"/>
                          <w:rPr>
                            <w:rFonts w:ascii="宋体" w:hAnsi="宋体" w:cs="宋体" w:eastAsia="宋体" w:hint="default"/>
                            <w:sz w:val="18"/>
                            <w:szCs w:val="18"/>
                          </w:rPr>
                        </w:pPr>
                        <w:r>
                          <w:rPr>
                            <w:rFonts w:ascii="宋体" w:hAnsi="宋体" w:cs="宋体" w:eastAsia="宋体" w:hint="default"/>
                            <w:sz w:val="18"/>
                            <w:szCs w:val="18"/>
                          </w:rPr>
                          <w:t>公司控股股东、实际控制人陈喆女士持有珠海瑞信投资管理有限公司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65.13%</w:t>
                        </w:r>
                        <w:r>
                          <w:rPr>
                            <w:rFonts w:ascii="宋体" w:hAnsi="宋体" w:cs="宋体" w:eastAsia="宋体" w:hint="default"/>
                            <w:sz w:val="18"/>
                            <w:szCs w:val="18"/>
                          </w:rPr>
                          <w:t>的股份 为珠海瑞信投资管理有限公司的实际控制人。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10,138,452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10,138,452</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苏州衡赢真盛创业投资中心（有限合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3,527,823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3,527,823</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郭进生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982,616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982,616</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郭国勇</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947,936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947,936</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郭华容</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688,137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688,137</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于梅英</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陈振静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346,414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346,414</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王小丽</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黄碧玉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269,569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269,569</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公司未知上述股东之间是否存在关联关系和一致行动的情形。</w:t>
                        </w:r>
                      </w:p>
                    </w:tc>
                  </w:tr>
                  <w:tr>
                    <w:trPr>
                      <w:trHeight w:val="3683"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、公司股东郭进生通过中信建投证券股份有限公司客户信用交易担保证券账户持有 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982,616 </w:t>
                        </w:r>
                        <w:r>
                          <w:rPr>
                            <w:rFonts w:ascii="宋体" w:hAnsi="宋体" w:cs="宋体" w:eastAsia="宋体" w:hint="default"/>
                            <w:sz w:val="18"/>
                            <w:szCs w:val="18"/>
                          </w:rPr>
                          <w:t>股。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、公司股东郭国勇通过中信建投证券股份有限公司客户信用交易担保证券账户持有 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947,936 </w:t>
                        </w:r>
                        <w:r>
                          <w:rPr>
                            <w:rFonts w:ascii="宋体" w:hAnsi="宋体" w:cs="宋体" w:eastAsia="宋体" w:hint="default"/>
                            <w:sz w:val="18"/>
                            <w:szCs w:val="18"/>
                          </w:rPr>
                          <w:t>股。</w:t>
                        </w:r>
                      </w:p>
                      <w:p>
                        <w:pPr>
                          <w:pStyle w:val="TableParagraph"/>
                          <w:spacing w:line="240" w:lineRule="auto" w:before="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、公司股东郭华容除通过普通证券账户持有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21,879 </w:t>
                        </w:r>
                        <w:r>
                          <w:rPr>
                            <w:rFonts w:ascii="宋体" w:hAnsi="宋体" w:cs="宋体" w:eastAsia="宋体" w:hint="default"/>
                            <w:sz w:val="18"/>
                            <w:szCs w:val="18"/>
                          </w:rPr>
                          <w:t>股外，还通过中信建投证券股份</w:t>
                        </w:r>
                      </w:p>
                      <w:p>
                        <w:pPr>
                          <w:pStyle w:val="TableParagraph"/>
                          <w:spacing w:line="319" w:lineRule="auto" w:before="64"/>
                          <w:ind w:left="22" w:right="85"/>
                          <w:jc w:val="left"/>
                          <w:rPr>
                            <w:rFonts w:ascii="宋体" w:hAnsi="宋体" w:cs="宋体" w:eastAsia="宋体" w:hint="default"/>
                            <w:sz w:val="18"/>
                            <w:szCs w:val="18"/>
                          </w:rPr>
                        </w:pPr>
                        <w:r>
                          <w:rPr>
                            <w:rFonts w:ascii="宋体" w:hAnsi="宋体" w:cs="宋体" w:eastAsia="宋体" w:hint="default"/>
                            <w:sz w:val="18"/>
                            <w:szCs w:val="18"/>
                          </w:rPr>
                          <w:t>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666,258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688,137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w:t>
                        </w:r>
                        <w:r>
                          <w:rPr>
                            <w:rFonts w:ascii="Times New Roman" w:hAnsi="Times New Roman" w:cs="Times New Roman" w:eastAsia="Times New Roman" w:hint="default"/>
                            <w:sz w:val="18"/>
                            <w:szCs w:val="18"/>
                          </w:rPr>
                          <w:t>4</w:t>
                        </w:r>
                        <w:r>
                          <w:rPr>
                            <w:rFonts w:ascii="宋体" w:hAnsi="宋体" w:cs="宋体" w:eastAsia="宋体" w:hint="default"/>
                            <w:sz w:val="18"/>
                            <w:szCs w:val="18"/>
                          </w:rPr>
                          <w:t>、公司股东于梅英通过中原证券股份有限公司客户信用交易担保证券账户持有公司 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396,000 </w:t>
                        </w:r>
                        <w:r>
                          <w:rPr>
                            <w:rFonts w:ascii="宋体" w:hAnsi="宋体" w:cs="宋体" w:eastAsia="宋体" w:hint="default"/>
                            <w:sz w:val="18"/>
                            <w:szCs w:val="18"/>
                          </w:rPr>
                          <w:t>股。</w:t>
                        </w:r>
                      </w:p>
                      <w:p>
                        <w:pPr>
                          <w:pStyle w:val="TableParagraph"/>
                          <w:spacing w:line="240" w:lineRule="auto" w:before="3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、公司股东陈振静除通过普通证券账户持有</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138,146</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股外，还通过上海证券有限责任</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208,268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346,414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、公司股东王小丽通过华安证券股份有限公司客户信用交易担保证券账户持有公司</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0" w:right="1141"/>
        <w:jc w:val="right"/>
      </w:pPr>
      <w:r>
        <w:rPr/>
        <w:t>，</w:t>
      </w:r>
    </w:p>
    <w:p>
      <w:pPr>
        <w:spacing w:after="0" w:line="240" w:lineRule="auto"/>
        <w:jc w:val="right"/>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2871;height:353" coordorigin="10,14" coordsize="2871,353">
              <v:shape style="position:absolute;left:10;top:14;width:2871;height:353" coordorigin="10,14" coordsize="2871,353" path="m10,367l2880,367,2880,14,10,14,10,367xe" filled="true" fillcolor="#d2d2d2" stroked="false">
                <v:path arrowok="t"/>
                <v:fill type="solid"/>
              </v:shape>
            </v:group>
            <v:group style="position:absolute;left:10;top:10;width:2871;height:2" coordorigin="10,10" coordsize="2871,2">
              <v:shape style="position:absolute;left:10;top:10;width:2871;height:2" coordorigin="10,10" coordsize="2871,0" path="m10,10l2880,10e" filled="false" stroked="true" strokeweight=".48pt" strokecolor="#000000">
                <v:path arrowok="t"/>
              </v:shape>
            </v:group>
            <v:group style="position:absolute;left:2890;top:10;width:6679;height:2" coordorigin="2890,10" coordsize="6679,2">
              <v:shape style="position:absolute;left:2890;top:10;width:6679;height:2" coordorigin="2890,10" coordsize="6679,0" path="m2890,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2871;height:2" coordorigin="10,372" coordsize="2871,2">
              <v:shape style="position:absolute;left:10;top:372;width:2871;height:2" coordorigin="10,372" coordsize="2871,0" path="m10,372l2880,372e" filled="false" stroked="true" strokeweight=".48pt" strokecolor="#000000">
                <v:path arrowok="t"/>
              </v:shape>
            </v:group>
            <v:group style="position:absolute;left:2885;top:5;width:2;height:372" coordorigin="2885,5" coordsize="2,372">
              <v:shape style="position:absolute;left:2885;top:5;width:2;height:372" coordorigin="2885,5" coordsize="0,372" path="m2885,5l2885,377e" filled="false" stroked="true" strokeweight=".48pt" strokecolor="#000000">
                <v:path arrowok="t"/>
              </v:shape>
            </v:group>
            <v:group style="position:absolute;left:2890;top:372;width:6679;height:2" coordorigin="2890,372" coordsize="6679,2">
              <v:shape style="position:absolute;left:2890;top:372;width:6679;height:2" coordorigin="2890,372" coordsize="6679,0" path="m2890,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004pt" strokecolor="#000000">
                <v:path arrowok="t"/>
              </v:shape>
              <v:shape style="position:absolute;left:2885;top:10;width:6689;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310,000 </w:t>
                      </w:r>
                      <w:r>
                        <w:rPr>
                          <w:rFonts w:ascii="宋体" w:hAnsi="宋体" w:cs="宋体" w:eastAsia="宋体" w:hint="default"/>
                          <w:sz w:val="18"/>
                          <w:szCs w:val="18"/>
                        </w:rPr>
                        <w:t>股。</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2"/>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控股股东报告期内变更</w:t>
      </w:r>
    </w:p>
    <w:p>
      <w:pPr>
        <w:pStyle w:val="BodyText"/>
        <w:spacing w:line="338" w:lineRule="auto" w:before="117"/>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及其一致行动人" w:id="113"/>
      <w:bookmarkEnd w:id="11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38" w:lineRule="auto" w:before="117"/>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w:t>
      </w: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公司与实际控制人之间的产权及控制关系的方框图</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9"/>
          <w:szCs w:val="29"/>
        </w:rPr>
      </w:pPr>
    </w:p>
    <w:p>
      <w:pPr>
        <w:spacing w:line="3405" w:lineRule="exact"/>
        <w:ind w:left="2477"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3167564" cy="2162270"/>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4" cstate="print"/>
                    <a:stretch>
                      <a:fillRect/>
                    </a:stretch>
                  </pic:blipFill>
                  <pic:spPr>
                    <a:xfrm>
                      <a:off x="0" y="0"/>
                      <a:ext cx="3167564" cy="2162270"/>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8"/>
        <w:rPr>
          <w:rFonts w:ascii="宋体" w:hAnsi="宋体" w:cs="宋体" w:eastAsia="宋体" w:hint="default"/>
          <w:sz w:val="28"/>
          <w:szCs w:val="28"/>
        </w:rPr>
      </w:pPr>
    </w:p>
    <w:p>
      <w:pPr>
        <w:pStyle w:val="BodyText"/>
        <w:spacing w:line="240" w:lineRule="auto" w:before="44"/>
        <w:ind w:right="0"/>
        <w:jc w:val="left"/>
      </w:pPr>
      <w:r>
        <w:rPr/>
        <w:t>实际控制人通过信托或其他资产管理方式控制公司</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footerReference w:type="default" r:id="rId13"/>
          <w:pgSz w:w="11910" w:h="16840"/>
          <w:pgMar w:footer="979" w:header="747" w:top="1060" w:bottom="1160" w:left="980" w:right="0"/>
          <w:pgNumType w:start="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16"/>
      <w:bookmarkStart w:name="第七节 优先股相关情况" w:id="117"/>
      <w:r>
        <w:rPr>
          <w:b w:val="0"/>
          <w:bCs w:val="0"/>
        </w:rPr>
      </w:r>
      <w:r>
        <w:rPr/>
        <w:t>第七节</w:t>
      </w:r>
      <w:r>
        <w:rPr>
          <w:spacing w:val="-8"/>
        </w:rPr>
        <w:t> </w:t>
      </w:r>
      <w:r>
        <w:rPr/>
        <w:t>优先股相关情况</w:t>
      </w:r>
      <w:bookmarkEnd w:id="116"/>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18"/>
      <w:bookmarkStart w:name="第八节 董事、监事、高级管理人员和员工情况" w:id="119"/>
      <w:r>
        <w:rPr>
          <w:b w:val="0"/>
          <w:bCs w:val="0"/>
        </w:rPr>
      </w:r>
      <w:r>
        <w:rPr/>
        <w:t>第八节</w:t>
      </w:r>
      <w:r>
        <w:rPr>
          <w:spacing w:val="-16"/>
        </w:rPr>
        <w:t> </w:t>
      </w:r>
      <w:r>
        <w:rPr/>
        <w:t>董事、监事、高级管理人员和员工情况</w:t>
      </w:r>
      <w:bookmarkEnd w:id="118"/>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32,175,00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32,103,37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64,278,37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董事长、 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20,299,50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20,254,30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40,553,80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59,933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59,933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于风政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杨大贺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田联房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陈家贤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杨贤帮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孙玉玲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财务总 监、董事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肖志宏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董事、副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侯平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马晓丽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99,889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蔡林生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99,889</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52,574,50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52,517,39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105,091,8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pict>
          <v:group style="position:absolute;margin-left:189.919998pt;margin-top:73.331718pt;width:66.05pt;height:27.95pt;mso-position-horizontal-relative:page;mso-position-vertical-relative:paragraph;z-index:-1157728" coordorigin="3798,1467" coordsize="1321,559">
            <v:group style="position:absolute;left:3798;top:1467;width:1321;height:157" coordorigin="3798,1467" coordsize="1321,157">
              <v:shape style="position:absolute;left:3798;top:1467;width:1321;height:157" coordorigin="3798,1467" coordsize="1321,157" path="m3798,1623l5119,1623,5119,1467,3798,1467,3798,1623xe" filled="true" fillcolor="#ffffff" stroked="false">
                <v:path arrowok="t"/>
                <v:fill type="solid"/>
              </v:shape>
            </v:group>
            <v:group style="position:absolute;left:3810;top:1623;width:2;height:392" coordorigin="3810,1623" coordsize="2,392">
              <v:shape style="position:absolute;left:3810;top:1623;width:2;height:392" coordorigin="3810,1623" coordsize="0,392" path="m3810,1623l3810,2014e" filled="false" stroked="true" strokeweight="1.140pt" strokecolor="#ffffff">
                <v:path arrowok="t"/>
              </v:shape>
            </v:group>
            <v:group style="position:absolute;left:3821;top:1623;width:1275;height:392" coordorigin="3821,1623" coordsize="1275,392">
              <v:shape style="position:absolute;left:3821;top:1623;width:1275;height:392" coordorigin="3821,1623" coordsize="1275,392" path="m3821,2014l5096,2014,5096,1623,3821,1623,3821,2014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年第一次临时股东大会 </w:t>
            </w:r>
            <w:r>
              <w:rPr>
                <w:rFonts w:ascii="宋体" w:hAnsi="宋体" w:cs="宋体" w:eastAsia="宋体" w:hint="default"/>
                <w:spacing w:val="-4"/>
                <w:sz w:val="18"/>
                <w:szCs w:val="18"/>
              </w:rPr>
              <w:t>及第三届董事会第一次会议审议通过。（换届选举）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10"/>
              <w:jc w:val="left"/>
              <w:rPr>
                <w:rFonts w:ascii="宋体" w:hAnsi="宋体" w:cs="宋体" w:eastAsia="宋体" w:hint="default"/>
                <w:sz w:val="18"/>
                <w:szCs w:val="18"/>
              </w:rPr>
            </w:pPr>
            <w:r>
              <w:rPr>
                <w:rFonts w:ascii="宋体" w:hAnsi="宋体" w:cs="宋体" w:eastAsia="宋体" w:hint="default"/>
                <w:spacing w:val="-11"/>
                <w:sz w:val="18"/>
                <w:szCs w:val="18"/>
              </w:rPr>
              <w:t>董事、副董事长</w:t>
            </w:r>
            <w:r>
              <w:rPr>
                <w:rFonts w:ascii="宋体" w:hAnsi="宋体" w:cs="宋体" w:eastAsia="宋体" w:hint="default"/>
                <w:sz w:val="18"/>
                <w:szCs w:val="18"/>
              </w:rPr>
              <w:t> 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3"/>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年第一次临时股东大会 </w:t>
            </w:r>
            <w:r>
              <w:rPr>
                <w:rFonts w:ascii="宋体" w:hAnsi="宋体" w:cs="宋体" w:eastAsia="宋体" w:hint="default"/>
                <w:spacing w:val="-4"/>
                <w:sz w:val="18"/>
                <w:szCs w:val="18"/>
              </w:rPr>
              <w:t>及第三届董事会第一次会议审议通过。（换届选举）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肖志宏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年第一次临时股东大会 </w:t>
            </w:r>
            <w:r>
              <w:rPr>
                <w:rFonts w:ascii="宋体" w:hAnsi="宋体" w:cs="宋体" w:eastAsia="宋体" w:hint="default"/>
                <w:spacing w:val="-4"/>
                <w:sz w:val="18"/>
                <w:szCs w:val="18"/>
              </w:rPr>
              <w:t>及第三届董事会第一次会议审议通过。（换届选举）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年第一次临时股东大会 </w:t>
            </w:r>
            <w:r>
              <w:rPr>
                <w:rFonts w:ascii="宋体" w:hAnsi="宋体" w:cs="宋体" w:eastAsia="宋体" w:hint="default"/>
                <w:spacing w:val="-9"/>
                <w:sz w:val="18"/>
                <w:szCs w:val="18"/>
              </w:rPr>
              <w:t>审议通过。（换届选举）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于风政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年第一次临时股东大会 </w:t>
            </w:r>
            <w:r>
              <w:rPr>
                <w:rFonts w:ascii="宋体" w:hAnsi="宋体" w:cs="宋体" w:eastAsia="宋体" w:hint="default"/>
                <w:spacing w:val="-9"/>
                <w:sz w:val="18"/>
                <w:szCs w:val="18"/>
              </w:rPr>
              <w:t>审议通过。（换届选举）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杨大贺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年第一次临时股东大会 </w:t>
            </w:r>
            <w:r>
              <w:rPr>
                <w:rFonts w:ascii="宋体" w:hAnsi="宋体" w:cs="宋体" w:eastAsia="宋体" w:hint="default"/>
                <w:spacing w:val="-9"/>
                <w:sz w:val="18"/>
                <w:szCs w:val="18"/>
              </w:rPr>
              <w:t>审议通过。（换届选举）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年第一次临时股东大会 </w:t>
            </w:r>
            <w:r>
              <w:rPr>
                <w:rFonts w:ascii="宋体" w:hAnsi="宋体" w:cs="宋体" w:eastAsia="宋体" w:hint="default"/>
                <w:spacing w:val="-4"/>
                <w:sz w:val="18"/>
                <w:szCs w:val="18"/>
              </w:rPr>
              <w:t>及第三届监事会第一次会议审议通过。（换届选举）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陈家贤</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年第一次临时股东大会 </w:t>
            </w:r>
            <w:r>
              <w:rPr>
                <w:rFonts w:ascii="宋体" w:hAnsi="宋体" w:cs="宋体" w:eastAsia="宋体" w:hint="default"/>
                <w:spacing w:val="-9"/>
                <w:sz w:val="18"/>
                <w:szCs w:val="18"/>
              </w:rPr>
              <w:t>审议通过。（换届选举）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杨贤帮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公司职工代表大会选举产生（换届选举）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马晓丽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宋体" w:hAnsi="宋体" w:cs="宋体" w:eastAsia="宋体" w:hint="default"/>
                <w:spacing w:val="-83"/>
                <w:sz w:val="18"/>
                <w:szCs w:val="18"/>
              </w:rPr>
              <w:t>，</w:t>
            </w:r>
            <w:r>
              <w:rPr>
                <w:rFonts w:ascii="宋体" w:hAnsi="宋体" w:cs="宋体" w:eastAsia="宋体" w:hint="default"/>
                <w:sz w:val="18"/>
                <w:szCs w:val="18"/>
              </w:rPr>
              <w:t>公司第三届董事会第一次会议审议</w:t>
            </w:r>
            <w:r>
              <w:rPr>
                <w:rFonts w:ascii="宋体" w:hAnsi="宋体" w:cs="宋体" w:eastAsia="宋体" w:hint="default"/>
                <w:sz w:val="18"/>
                <w:szCs w:val="18"/>
              </w:rPr>
              <w:t> 通过</w:t>
            </w:r>
            <w:r>
              <w:rPr>
                <w:rFonts w:ascii="宋体" w:hAnsi="宋体" w:cs="宋体" w:eastAsia="宋体" w:hint="default"/>
                <w:spacing w:val="-90"/>
                <w:sz w:val="18"/>
                <w:szCs w:val="18"/>
              </w:rPr>
              <w:t>。</w:t>
            </w:r>
            <w:r>
              <w:rPr>
                <w:rFonts w:ascii="宋体" w:hAnsi="宋体" w:cs="宋体" w:eastAsia="宋体" w:hint="default"/>
                <w:sz w:val="18"/>
                <w:szCs w:val="18"/>
              </w:rPr>
              <w:t>（换届后聘任）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蔡林生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宋体" w:hAnsi="宋体" w:cs="宋体" w:eastAsia="宋体" w:hint="default"/>
                <w:spacing w:val="-83"/>
                <w:sz w:val="18"/>
                <w:szCs w:val="18"/>
              </w:rPr>
              <w:t>，</w:t>
            </w:r>
            <w:r>
              <w:rPr>
                <w:rFonts w:ascii="宋体" w:hAnsi="宋体" w:cs="宋体" w:eastAsia="宋体" w:hint="default"/>
                <w:sz w:val="18"/>
                <w:szCs w:val="18"/>
              </w:rPr>
              <w:t>公司第三届董事会第一次会议审议</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before="44"/>
        <w:ind w:left="0" w:right="1148"/>
        <w:jc w:val="right"/>
      </w:pPr>
      <w:r>
        <w:rPr/>
        <w:pict>
          <v:shape style="position:absolute;margin-left:56.459999pt;margin-top:-233.188263pt;width:479.2pt;height:299.7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0"/>
                    <w:gridCol w:w="1330"/>
                    <w:gridCol w:w="1331"/>
                    <w:gridCol w:w="4248"/>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通过</w:t>
                        </w:r>
                        <w:r>
                          <w:rPr>
                            <w:rFonts w:ascii="宋体" w:hAnsi="宋体" w:cs="宋体" w:eastAsia="宋体" w:hint="default"/>
                            <w:spacing w:val="-90"/>
                            <w:sz w:val="18"/>
                            <w:szCs w:val="18"/>
                          </w:rPr>
                          <w:t>。</w:t>
                        </w:r>
                        <w:r>
                          <w:rPr>
                            <w:rFonts w:ascii="宋体" w:hAnsi="宋体" w:cs="宋体" w:eastAsia="宋体" w:hint="default"/>
                            <w:sz w:val="18"/>
                            <w:szCs w:val="18"/>
                          </w:rPr>
                          <w:t>（换届后聘任）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肖志宏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马晓丽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蔡林生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周晔</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年第三次临时股东大会 审议通过。</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田联房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年第二次临时股东大会 审议通过。</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孙玉玲</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5"/>
                          <w:jc w:val="left"/>
                          <w:rPr>
                            <w:rFonts w:ascii="宋体" w:hAnsi="宋体" w:cs="宋体" w:eastAsia="宋体" w:hint="default"/>
                            <w:sz w:val="18"/>
                            <w:szCs w:val="18"/>
                          </w:rPr>
                        </w:pPr>
                        <w:r>
                          <w:rPr>
                            <w:rFonts w:ascii="宋体" w:hAnsi="宋体" w:cs="宋体" w:eastAsia="宋体" w:hint="default"/>
                            <w:sz w:val="18"/>
                            <w:szCs w:val="18"/>
                          </w:rPr>
                          <w:t>财务总监、董事 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日，经第三届董事会第十次会议审议 同意聘任孙玉玲女士担任公司财务总监；</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日，经第三届董事会第十一次会议审议，同意聘任孙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玉玲女士担任董事会秘书。</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2"/>
      <w:bookmarkEnd w:id="122"/>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0" w:lineRule="auto" w:before="115"/>
        <w:ind w:left="444" w:right="0" w:hanging="291"/>
        <w:jc w:val="left"/>
      </w:pPr>
      <w:r>
        <w:rPr>
          <w:rFonts w:ascii="Times New Roman" w:hAnsi="Times New Roman" w:cs="Times New Roman" w:eastAsia="Times New Roman" w:hint="default"/>
        </w:rPr>
        <w:t>1</w:t>
      </w:r>
      <w:r>
        <w:rPr/>
        <w:t>、现任董事简历： </w:t>
      </w:r>
      <w:r>
        <w:rPr>
          <w:spacing w:val="-1"/>
        </w:rPr>
        <w:t>陈喆女士：</w:t>
      </w:r>
      <w:r>
        <w:rPr>
          <w:rFonts w:ascii="Times New Roman" w:hAnsi="Times New Roman" w:cs="Times New Roman" w:eastAsia="Times New Roman" w:hint="default"/>
          <w:spacing w:val="-1"/>
        </w:rPr>
        <w:t>1963</w:t>
      </w:r>
      <w:r>
        <w:rPr>
          <w:spacing w:val="-1"/>
        </w:rPr>
        <w:t>年出生，中国国籍，无永久境外居留权，中共党员，本科学历。</w:t>
      </w:r>
      <w:r>
        <w:rPr>
          <w:rFonts w:ascii="Times New Roman" w:hAnsi="Times New Roman" w:cs="Times New Roman" w:eastAsia="Times New Roman" w:hint="default"/>
          <w:spacing w:val="-1"/>
        </w:rPr>
        <w:t>1985</w:t>
      </w:r>
      <w:r>
        <w:rPr>
          <w:spacing w:val="-1"/>
        </w:rPr>
        <w:t>年至</w:t>
      </w:r>
      <w:r>
        <w:rPr>
          <w:rFonts w:ascii="Times New Roman" w:hAnsi="Times New Roman" w:cs="Times New Roman" w:eastAsia="Times New Roman" w:hint="default"/>
          <w:spacing w:val="-1"/>
        </w:rPr>
        <w:t>1989</w:t>
      </w:r>
      <w:r>
        <w:rPr>
          <w:spacing w:val="-1"/>
        </w:rPr>
        <w:t>年，于青海省统计局经济</w:t>
      </w:r>
    </w:p>
    <w:p>
      <w:pPr>
        <w:pStyle w:val="BodyText"/>
        <w:spacing w:line="300" w:lineRule="auto" w:before="13"/>
        <w:ind w:right="0"/>
        <w:jc w:val="left"/>
      </w:pPr>
      <w:r>
        <w:rPr>
          <w:spacing w:val="-2"/>
        </w:rPr>
        <w:t>统计处任职；</w:t>
      </w:r>
      <w:r>
        <w:rPr>
          <w:rFonts w:ascii="Times New Roman" w:hAnsi="Times New Roman" w:cs="Times New Roman" w:eastAsia="Times New Roman" w:hint="default"/>
          <w:spacing w:val="-2"/>
        </w:rPr>
        <w:t>1989</w:t>
      </w:r>
      <w:r>
        <w:rPr>
          <w:spacing w:val="-2"/>
        </w:rPr>
        <w:t>年至</w:t>
      </w:r>
      <w:r>
        <w:rPr>
          <w:rFonts w:ascii="Times New Roman" w:hAnsi="Times New Roman" w:cs="Times New Roman" w:eastAsia="Times New Roman" w:hint="default"/>
          <w:spacing w:val="-2"/>
        </w:rPr>
        <w:t>1997</w:t>
      </w:r>
      <w:r>
        <w:rPr>
          <w:spacing w:val="-2"/>
        </w:rPr>
        <w:t>年，历任中国银行甘肃省分行人事处科员、副科长；</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2003</w:t>
      </w:r>
      <w:r>
        <w:rPr>
          <w:spacing w:val="-2"/>
        </w:rPr>
        <w:t>年，历任中国银行广东省珠海</w:t>
      </w:r>
      <w:r>
        <w:rPr>
          <w:spacing w:val="-50"/>
        </w:rPr>
        <w:t> </w:t>
      </w:r>
      <w:r>
        <w:rPr>
          <w:spacing w:val="-50"/>
        </w:rPr>
      </w:r>
      <w:r>
        <w:rPr/>
        <w:t>湾仔支行副行长、行长；</w:t>
      </w:r>
      <w:r>
        <w:rPr>
          <w:rFonts w:ascii="Times New Roman" w:hAnsi="Times New Roman" w:cs="Times New Roman" w:eastAsia="Times New Roman" w:hint="default"/>
        </w:rPr>
        <w:t>2005</w:t>
      </w:r>
      <w:r>
        <w:rPr/>
        <w:t>年创立本公司，任执行董事，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月至今任董事长兼总经理。</w:t>
      </w:r>
    </w:p>
    <w:p>
      <w:pPr>
        <w:pStyle w:val="BodyText"/>
        <w:spacing w:line="300" w:lineRule="auto" w:before="13"/>
        <w:ind w:right="1121" w:firstLine="290"/>
        <w:jc w:val="both"/>
      </w:pPr>
      <w:r>
        <w:rPr/>
        <w:t>马铮先生：</w:t>
      </w:r>
      <w:r>
        <w:rPr>
          <w:rFonts w:ascii="Times New Roman" w:hAnsi="Times New Roman" w:cs="Times New Roman" w:eastAsia="Times New Roman" w:hint="default"/>
        </w:rPr>
        <w:t>1957</w:t>
      </w:r>
      <w:r>
        <w:rPr/>
        <w:t>年出生，中国国籍，无永久境外居留权，中共党员，研究生学历。</w:t>
      </w:r>
      <w:r>
        <w:rPr>
          <w:rFonts w:ascii="Times New Roman" w:hAnsi="Times New Roman" w:cs="Times New Roman" w:eastAsia="Times New Roman" w:hint="default"/>
        </w:rPr>
        <w:t>1976</w:t>
      </w:r>
      <w:r>
        <w:rPr/>
        <w:t>年至</w:t>
      </w:r>
      <w:r>
        <w:rPr>
          <w:rFonts w:ascii="Times New Roman" w:hAnsi="Times New Roman" w:cs="Times New Roman" w:eastAsia="Times New Roman" w:hint="default"/>
        </w:rPr>
        <w:t>1987</w:t>
      </w:r>
      <w:r>
        <w:rPr/>
        <w:t>年，于空军某部服役； </w:t>
      </w:r>
      <w:r>
        <w:rPr>
          <w:rFonts w:ascii="Times New Roman" w:hAnsi="Times New Roman" w:cs="Times New Roman" w:eastAsia="Times New Roman" w:hint="default"/>
          <w:spacing w:val="-2"/>
        </w:rPr>
        <w:t>1987</w:t>
      </w:r>
      <w:r>
        <w:rPr>
          <w:spacing w:val="-2"/>
        </w:rPr>
        <w:t>年至</w:t>
      </w:r>
      <w:r>
        <w:rPr>
          <w:rFonts w:ascii="Times New Roman" w:hAnsi="Times New Roman" w:cs="Times New Roman" w:eastAsia="Times New Roman" w:hint="default"/>
          <w:spacing w:val="-2"/>
        </w:rPr>
        <w:t>2011</w:t>
      </w:r>
      <w:r>
        <w:rPr>
          <w:spacing w:val="-2"/>
        </w:rPr>
        <w:t>年，历任中国银行总行人力资源部副处长、处长、中国银行（香港）有限公司人力资源部助理总经理、副总经</w:t>
      </w:r>
      <w:r>
        <w:rPr>
          <w:spacing w:val="-61"/>
        </w:rPr>
        <w:t> </w:t>
      </w:r>
      <w:r>
        <w:rPr>
          <w:spacing w:val="-61"/>
        </w:rPr>
      </w:r>
      <w:r>
        <w:rPr/>
        <w:t>理、俄罗斯中国银行监事等职务；现任本公司董事、副董事长、副总经理。</w:t>
      </w:r>
    </w:p>
    <w:p>
      <w:pPr>
        <w:pStyle w:val="BodyText"/>
        <w:spacing w:line="300" w:lineRule="auto" w:before="31"/>
        <w:ind w:right="1121" w:firstLine="290"/>
        <w:jc w:val="both"/>
      </w:pPr>
      <w:r>
        <w:rPr/>
        <w:t>周晔先生：</w:t>
      </w:r>
      <w:r>
        <w:rPr>
          <w:rFonts w:ascii="Times New Roman" w:hAnsi="Times New Roman" w:cs="Times New Roman" w:eastAsia="Times New Roman" w:hint="default"/>
        </w:rPr>
        <w:t>1980</w:t>
      </w:r>
      <w:r>
        <w:rPr/>
        <w:t>年出生，中国国籍，无永久境外居留权，党员，硕士学历。</w:t>
      </w:r>
      <w:r>
        <w:rPr>
          <w:rFonts w:ascii="Times New Roman" w:hAnsi="Times New Roman" w:cs="Times New Roman" w:eastAsia="Times New Roman" w:hint="default"/>
        </w:rPr>
        <w:t>2005</w:t>
      </w:r>
      <w:r>
        <w:rPr/>
        <w:t>年毕业于暨南大学，获工学硕士学位， </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2010</w:t>
      </w:r>
      <w:r>
        <w:rPr>
          <w:spacing w:val="-2"/>
        </w:rPr>
        <w:t>年，任中国工商银行软件开发中心技术主管；</w:t>
      </w:r>
      <w:r>
        <w:rPr>
          <w:rFonts w:ascii="Times New Roman" w:hAnsi="Times New Roman" w:cs="Times New Roman" w:eastAsia="Times New Roman" w:hint="default"/>
          <w:spacing w:val="-2"/>
        </w:rPr>
        <w:t>2010</w:t>
      </w:r>
      <w:r>
        <w:rPr>
          <w:spacing w:val="-2"/>
        </w:rPr>
        <w:t>年至</w:t>
      </w:r>
      <w:r>
        <w:rPr>
          <w:rFonts w:ascii="Times New Roman" w:hAnsi="Times New Roman" w:cs="Times New Roman" w:eastAsia="Times New Roman" w:hint="default"/>
          <w:spacing w:val="-2"/>
        </w:rPr>
        <w:t>2018</w:t>
      </w:r>
      <w:r>
        <w:rPr>
          <w:spacing w:val="-2"/>
        </w:rPr>
        <w:t>年，历任华润银行信息科技部高级经理、研发中心</w:t>
      </w:r>
      <w:r>
        <w:rPr>
          <w:spacing w:val="-50"/>
        </w:rPr>
        <w:t> </w:t>
      </w:r>
      <w:r>
        <w:rPr>
          <w:spacing w:val="-50"/>
        </w:rPr>
      </w:r>
      <w:r>
        <w:rPr/>
        <w:t>副总经理；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月加入公司，现任公司总裁助理、董事。</w:t>
      </w:r>
    </w:p>
    <w:p>
      <w:pPr>
        <w:pStyle w:val="BodyText"/>
        <w:spacing w:line="300" w:lineRule="auto" w:before="13"/>
        <w:ind w:right="1040" w:firstLine="290"/>
        <w:jc w:val="left"/>
      </w:pPr>
      <w:r>
        <w:rPr>
          <w:spacing w:val="-2"/>
        </w:rPr>
        <w:t>于风政先生：</w:t>
      </w:r>
      <w:r>
        <w:rPr>
          <w:rFonts w:ascii="Times New Roman" w:hAnsi="Times New Roman" w:cs="Times New Roman" w:eastAsia="Times New Roman" w:hint="default"/>
          <w:spacing w:val="-2"/>
        </w:rPr>
        <w:t>1956</w:t>
      </w:r>
      <w:r>
        <w:rPr>
          <w:spacing w:val="-2"/>
        </w:rPr>
        <w:t>年出生，中国国籍，无永久境外居留权，中共党员，法学博士。</w:t>
      </w:r>
      <w:r>
        <w:rPr>
          <w:rFonts w:ascii="Times New Roman" w:hAnsi="Times New Roman" w:cs="Times New Roman" w:eastAsia="Times New Roman" w:hint="default"/>
          <w:spacing w:val="-2"/>
        </w:rPr>
        <w:t>1972</w:t>
      </w:r>
      <w:r>
        <w:rPr>
          <w:spacing w:val="-2"/>
        </w:rPr>
        <w:t>年至</w:t>
      </w:r>
      <w:r>
        <w:rPr>
          <w:rFonts w:ascii="Times New Roman" w:hAnsi="Times New Roman" w:cs="Times New Roman" w:eastAsia="Times New Roman" w:hint="default"/>
          <w:spacing w:val="-2"/>
        </w:rPr>
        <w:t>1992</w:t>
      </w:r>
      <w:r>
        <w:rPr>
          <w:spacing w:val="-2"/>
        </w:rPr>
        <w:t>年，于长沙铁道兵学院、</w:t>
      </w:r>
      <w:r>
        <w:rPr/>
        <w:t> </w:t>
      </w:r>
      <w:r>
        <w:rPr>
          <w:spacing w:val="-5"/>
        </w:rPr>
        <w:t>解放军西安政治学院服役；</w:t>
      </w:r>
      <w:r>
        <w:rPr>
          <w:rFonts w:ascii="Times New Roman" w:hAnsi="Times New Roman" w:cs="Times New Roman" w:eastAsia="Times New Roman" w:hint="default"/>
          <w:spacing w:val="-5"/>
        </w:rPr>
        <w:t>1992</w:t>
      </w:r>
      <w:r>
        <w:rPr>
          <w:spacing w:val="-5"/>
        </w:rPr>
        <w:t>年至</w:t>
      </w:r>
      <w:r>
        <w:rPr>
          <w:rFonts w:ascii="Times New Roman" w:hAnsi="Times New Roman" w:cs="Times New Roman" w:eastAsia="Times New Roman" w:hint="default"/>
          <w:spacing w:val="-5"/>
        </w:rPr>
        <w:t>2002</w:t>
      </w:r>
      <w:r>
        <w:rPr>
          <w:spacing w:val="-5"/>
        </w:rPr>
        <w:t>年，历任北京师范大学讲师、副教授、教授、研究生院副院长等职务；</w:t>
      </w:r>
      <w:r>
        <w:rPr>
          <w:rFonts w:ascii="Times New Roman" w:hAnsi="Times New Roman" w:cs="Times New Roman" w:eastAsia="Times New Roman" w:hint="default"/>
          <w:spacing w:val="-5"/>
        </w:rPr>
        <w:t>2002</w:t>
      </w:r>
      <w:r>
        <w:rPr>
          <w:spacing w:val="-5"/>
        </w:rPr>
        <w:t>年至</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6"/>
        </w:rPr>
        <w:t> </w:t>
      </w:r>
      <w:r>
        <w:rPr>
          <w:spacing w:val="-2"/>
        </w:rPr>
        <w:t>年，历任北京师范大学珠海分校副校长、副书记，现任北京师范大学珠海分校法律与行政学院院长；</w:t>
      </w:r>
      <w:r>
        <w:rPr>
          <w:rFonts w:ascii="Times New Roman" w:hAnsi="Times New Roman" w:cs="Times New Roman" w:eastAsia="Times New Roman" w:hint="default"/>
          <w:spacing w:val="-2"/>
        </w:rPr>
        <w:t>2004</w:t>
      </w:r>
      <w:r>
        <w:rPr>
          <w:spacing w:val="-2"/>
        </w:rPr>
        <w:t>年起，曾兼任珠海</w:t>
      </w:r>
      <w:r>
        <w:rPr>
          <w:spacing w:val="-61"/>
        </w:rPr>
        <w:t> </w:t>
      </w:r>
      <w:r>
        <w:rPr>
          <w:spacing w:val="-61"/>
        </w:rPr>
      </w:r>
      <w:r>
        <w:rPr/>
        <w:t>市第六届、第七届人大常委会法律顾问、广东省法学教育研究会副会长、珠海市法学会副会长。</w:t>
      </w:r>
    </w:p>
    <w:p>
      <w:pPr>
        <w:pStyle w:val="BodyText"/>
        <w:spacing w:line="312" w:lineRule="auto" w:before="31"/>
        <w:ind w:right="1131" w:firstLine="290"/>
        <w:jc w:val="both"/>
      </w:pPr>
      <w:r>
        <w:rPr>
          <w:spacing w:val="-1"/>
        </w:rPr>
        <w:t>杨大贺先生：</w:t>
      </w:r>
      <w:r>
        <w:rPr>
          <w:rFonts w:ascii="Times New Roman" w:hAnsi="Times New Roman" w:cs="Times New Roman" w:eastAsia="Times New Roman" w:hint="default"/>
          <w:spacing w:val="-1"/>
        </w:rPr>
        <w:t>1972</w:t>
      </w:r>
      <w:r>
        <w:rPr>
          <w:spacing w:val="-1"/>
        </w:rPr>
        <w:t>年出生，中国国籍，无永久境外居留权，大专学历，注册会计师。曾在深圳市会计师事务所、深圳华</w:t>
      </w:r>
      <w:r>
        <w:rPr/>
        <w:t> </w:t>
      </w:r>
      <w:r>
        <w:rPr>
          <w:spacing w:val="-2"/>
        </w:rPr>
        <w:t>鹏会计师事务所、中华财务咨询有限公司、北京立信会计师事务所有限公司、中勤万信会计师事务所（特殊普通合伙）从事</w:t>
      </w:r>
      <w:r>
        <w:rPr>
          <w:spacing w:val="-66"/>
        </w:rPr>
        <w:t> </w:t>
      </w:r>
      <w:r>
        <w:rPr>
          <w:spacing w:val="-66"/>
        </w:rPr>
      </w:r>
      <w:r>
        <w:rPr>
          <w:spacing w:val="-2"/>
        </w:rPr>
        <w:t>审计、企业管理咨询工作，曾任中华财务咨询公司高级经理、北京立信会计师事务所审计部副经理，现任中勤万信会计师事</w:t>
      </w:r>
      <w:r>
        <w:rPr>
          <w:spacing w:val="-66"/>
        </w:rPr>
        <w:t> </w:t>
      </w:r>
      <w:r>
        <w:rPr>
          <w:spacing w:val="-66"/>
        </w:rPr>
      </w:r>
      <w:r>
        <w:rPr/>
        <w:t>务所（特殊普通合伙）审计部经理、贵州轮胎股份有限公司独立董事。</w:t>
      </w:r>
    </w:p>
    <w:p>
      <w:pPr>
        <w:pStyle w:val="BodyText"/>
        <w:spacing w:line="300" w:lineRule="auto" w:before="22"/>
        <w:ind w:right="1130" w:firstLine="290"/>
        <w:jc w:val="both"/>
      </w:pPr>
      <w:r>
        <w:rPr>
          <w:spacing w:val="-1"/>
        </w:rPr>
        <w:t>田联房先生：</w:t>
      </w:r>
      <w:r>
        <w:rPr>
          <w:rFonts w:ascii="Times New Roman" w:hAnsi="Times New Roman" w:cs="Times New Roman" w:eastAsia="Times New Roman" w:hint="default"/>
          <w:spacing w:val="-1"/>
        </w:rPr>
        <w:t>1968</w:t>
      </w:r>
      <w:r>
        <w:rPr>
          <w:spacing w:val="-1"/>
        </w:rPr>
        <w:t>年出生，中国国籍，无永久境外居留权，中共党员，工学博士。</w:t>
      </w:r>
      <w:r>
        <w:rPr>
          <w:rFonts w:ascii="Times New Roman" w:hAnsi="Times New Roman" w:cs="Times New Roman" w:eastAsia="Times New Roman" w:hint="default"/>
          <w:spacing w:val="-1"/>
        </w:rPr>
        <w:t>1997</w:t>
      </w:r>
      <w:r>
        <w:rPr>
          <w:spacing w:val="-1"/>
        </w:rPr>
        <w:t>年</w:t>
      </w:r>
      <w:r>
        <w:rPr>
          <w:rFonts w:ascii="Times New Roman" w:hAnsi="Times New Roman" w:cs="Times New Roman" w:eastAsia="Times New Roman" w:hint="default"/>
          <w:spacing w:val="-1"/>
        </w:rPr>
        <w:t>10</w:t>
      </w:r>
      <w:r>
        <w:rPr>
          <w:spacing w:val="-1"/>
        </w:rPr>
        <w:t>月，于哈尔滨工业大学获得</w:t>
      </w:r>
      <w:r>
        <w:rPr/>
        <w:t> 博士学位；</w:t>
      </w:r>
      <w:r>
        <w:rPr>
          <w:rFonts w:ascii="Times New Roman" w:hAnsi="Times New Roman" w:cs="Times New Roman" w:eastAsia="Times New Roman" w:hint="default"/>
        </w:rPr>
        <w:t>1997</w:t>
      </w:r>
      <w:r>
        <w:rPr/>
        <w:t>年至</w:t>
      </w:r>
      <w:r>
        <w:rPr>
          <w:rFonts w:ascii="Times New Roman" w:hAnsi="Times New Roman" w:cs="Times New Roman" w:eastAsia="Times New Roman" w:hint="default"/>
        </w:rPr>
        <w:t>2000</w:t>
      </w:r>
      <w:r>
        <w:rPr/>
        <w:t>年，华南理工大学电子信息学院博士后；</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2001</w:t>
      </w:r>
      <w:r>
        <w:rPr/>
        <w:t>年，美国</w:t>
      </w:r>
      <w:r>
        <w:rPr>
          <w:rFonts w:ascii="Times New Roman" w:hAnsi="Times New Roman" w:cs="Times New Roman" w:eastAsia="Times New Roman" w:hint="default"/>
        </w:rPr>
        <w:t>University</w:t>
      </w:r>
      <w:r>
        <w:rPr>
          <w:rFonts w:ascii="Times New Roman" w:hAnsi="Times New Roman" w:cs="Times New Roman" w:eastAsia="Times New Roman" w:hint="default"/>
          <w:spacing w:val="-28"/>
        </w:rPr>
        <w:t> </w:t>
      </w:r>
      <w:r>
        <w:rPr>
          <w:rFonts w:ascii="Times New Roman" w:hAnsi="Times New Roman" w:cs="Times New Roman" w:eastAsia="Times New Roman" w:hint="default"/>
        </w:rPr>
        <w:t>of</w:t>
      </w:r>
      <w:r>
        <w:rPr>
          <w:rFonts w:ascii="Times New Roman" w:hAnsi="Times New Roman" w:cs="Times New Roman" w:eastAsia="Times New Roman" w:hint="default"/>
          <w:spacing w:val="-27"/>
        </w:rPr>
        <w:t> </w:t>
      </w:r>
      <w:r>
        <w:rPr>
          <w:rFonts w:ascii="Times New Roman" w:hAnsi="Times New Roman" w:cs="Times New Roman" w:eastAsia="Times New Roman" w:hint="default"/>
        </w:rPr>
        <w:t>Californian</w:t>
      </w:r>
      <w:r>
        <w:rPr>
          <w:rFonts w:ascii="Times New Roman" w:hAnsi="Times New Roman" w:cs="Times New Roman" w:eastAsia="Times New Roman" w:hint="default"/>
          <w:spacing w:val="-28"/>
        </w:rPr>
        <w:t> </w:t>
      </w:r>
      <w:r>
        <w:rPr>
          <w:rFonts w:ascii="Times New Roman" w:hAnsi="Times New Roman" w:cs="Times New Roman" w:eastAsia="Times New Roman" w:hint="default"/>
        </w:rPr>
        <w:t>at</w:t>
      </w:r>
      <w:r>
        <w:rPr>
          <w:rFonts w:ascii="Times New Roman" w:hAnsi="Times New Roman" w:cs="Times New Roman" w:eastAsia="Times New Roman" w:hint="default"/>
          <w:spacing w:val="-28"/>
        </w:rPr>
        <w:t> </w:t>
      </w:r>
      <w:r>
        <w:rPr>
          <w:rFonts w:ascii="Times New Roman" w:hAnsi="Times New Roman" w:cs="Times New Roman" w:eastAsia="Times New Roman" w:hint="default"/>
        </w:rPr>
        <w:t>Riverside</w:t>
      </w:r>
      <w:r>
        <w:rPr>
          <w:rFonts w:ascii="Times New Roman" w:hAnsi="Times New Roman" w:cs="Times New Roman" w:eastAsia="Times New Roman" w:hint="default"/>
        </w:rPr>
        <w:t> </w:t>
      </w:r>
      <w:r>
        <w:rPr/>
        <w:t>访问学者；</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2004</w:t>
      </w:r>
      <w:r>
        <w:rPr/>
        <w:t>年美国</w:t>
      </w:r>
      <w:r>
        <w:rPr>
          <w:rFonts w:ascii="Times New Roman" w:hAnsi="Times New Roman" w:cs="Times New Roman" w:eastAsia="Times New Roman" w:hint="default"/>
        </w:rPr>
        <w:t>University of</w:t>
      </w:r>
      <w:r>
        <w:rPr>
          <w:rFonts w:ascii="Times New Roman" w:hAnsi="Times New Roman" w:cs="Times New Roman" w:eastAsia="Times New Roman" w:hint="default"/>
          <w:spacing w:val="-3"/>
        </w:rPr>
        <w:t> </w:t>
      </w:r>
      <w:r>
        <w:rPr>
          <w:rFonts w:ascii="Times New Roman" w:hAnsi="Times New Roman" w:cs="Times New Roman" w:eastAsia="Times New Roman" w:hint="default"/>
        </w:rPr>
        <w:t>Pittsburgh</w:t>
      </w:r>
      <w:r>
        <w:rPr/>
        <w:t>访问学者；</w:t>
      </w:r>
      <w:r>
        <w:rPr>
          <w:rFonts w:ascii="Times New Roman" w:hAnsi="Times New Roman" w:cs="Times New Roman" w:eastAsia="Times New Roman" w:hint="default"/>
        </w:rPr>
        <w:t>2004</w:t>
      </w:r>
      <w:r>
        <w:rPr/>
        <w:t>年至今在华南理工大学任教，教育部</w:t>
      </w:r>
      <w:r>
        <w:rPr>
          <w:rFonts w:ascii="Times New Roman" w:hAnsi="Times New Roman" w:cs="Times New Roman" w:eastAsia="Times New Roman" w:hint="default"/>
        </w:rPr>
        <w:t>“</w:t>
      </w:r>
      <w:r>
        <w:rPr/>
        <w:t>新世纪优秀人</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72"/>
        <w:jc w:val="left"/>
      </w:pPr>
      <w:r>
        <w:rPr/>
        <w:t>才</w:t>
      </w:r>
      <w:r>
        <w:rPr>
          <w:rFonts w:ascii="Times New Roman" w:hAnsi="Times New Roman" w:cs="Times New Roman" w:eastAsia="Times New Roman" w:hint="default"/>
        </w:rPr>
        <w:t>”</w:t>
      </w:r>
      <w:r>
        <w:rPr/>
        <w:t>，教育部</w:t>
      </w:r>
      <w:r>
        <w:rPr>
          <w:rFonts w:ascii="Times New Roman" w:hAnsi="Times New Roman" w:cs="Times New Roman" w:eastAsia="Times New Roman" w:hint="default"/>
        </w:rPr>
        <w:t>“</w:t>
      </w:r>
      <w:r>
        <w:rPr/>
        <w:t>自主系统与网络控制</w:t>
      </w:r>
      <w:r>
        <w:rPr>
          <w:rFonts w:ascii="Times New Roman" w:hAnsi="Times New Roman" w:cs="Times New Roman" w:eastAsia="Times New Roman" w:hint="default"/>
        </w:rPr>
        <w:t>”</w:t>
      </w:r>
      <w:r>
        <w:rPr/>
        <w:t>重点实验室副主任，华南理工大学兴华人才工程学术团队</w:t>
      </w:r>
      <w:r>
        <w:rPr>
          <w:rFonts w:ascii="Times New Roman" w:hAnsi="Times New Roman" w:cs="Times New Roman" w:eastAsia="Times New Roman" w:hint="default"/>
        </w:rPr>
        <w:t>“</w:t>
      </w:r>
      <w:r>
        <w:rPr/>
        <w:t>模式识别与智能系统</w:t>
      </w:r>
      <w:r>
        <w:rPr>
          <w:rFonts w:ascii="Times New Roman" w:hAnsi="Times New Roman" w:cs="Times New Roman" w:eastAsia="Times New Roman" w:hint="default"/>
        </w:rPr>
        <w:t>”</w:t>
      </w:r>
      <w:r>
        <w:rPr/>
        <w:t>团队负 责人。</w:t>
      </w:r>
    </w:p>
    <w:p>
      <w:pPr>
        <w:pStyle w:val="BodyText"/>
        <w:spacing w:line="300" w:lineRule="auto" w:before="31"/>
        <w:ind w:left="444" w:right="0" w:hanging="291"/>
        <w:jc w:val="left"/>
      </w:pPr>
      <w:r>
        <w:rPr>
          <w:rFonts w:ascii="Times New Roman" w:hAnsi="Times New Roman" w:cs="Times New Roman" w:eastAsia="Times New Roman" w:hint="default"/>
        </w:rPr>
        <w:t>2</w:t>
      </w:r>
      <w:r>
        <w:rPr/>
        <w:t>、现任监事简历： </w:t>
      </w:r>
      <w:r>
        <w:rPr>
          <w:spacing w:val="-1"/>
        </w:rPr>
        <w:t>何锋先生：</w:t>
      </w:r>
      <w:r>
        <w:rPr>
          <w:rFonts w:ascii="Times New Roman" w:hAnsi="Times New Roman" w:cs="Times New Roman" w:eastAsia="Times New Roman" w:hint="default"/>
          <w:spacing w:val="-1"/>
        </w:rPr>
        <w:t>1977</w:t>
      </w:r>
      <w:r>
        <w:rPr>
          <w:spacing w:val="-1"/>
        </w:rPr>
        <w:t>年出生，中国国籍，无永久境外居留权，中共党员，本科学历。</w:t>
      </w:r>
      <w:r>
        <w:rPr>
          <w:rFonts w:ascii="Times New Roman" w:hAnsi="Times New Roman" w:cs="Times New Roman" w:eastAsia="Times New Roman" w:hint="default"/>
          <w:spacing w:val="-1"/>
        </w:rPr>
        <w:t>1997</w:t>
      </w:r>
      <w:r>
        <w:rPr>
          <w:spacing w:val="-1"/>
        </w:rPr>
        <w:t>年至</w:t>
      </w:r>
      <w:r>
        <w:rPr>
          <w:rFonts w:ascii="Times New Roman" w:hAnsi="Times New Roman" w:cs="Times New Roman" w:eastAsia="Times New Roman" w:hint="default"/>
          <w:spacing w:val="-1"/>
        </w:rPr>
        <w:t>2002</w:t>
      </w:r>
      <w:r>
        <w:rPr>
          <w:spacing w:val="-1"/>
        </w:rPr>
        <w:t>年，于中国人民解放军某</w:t>
      </w:r>
    </w:p>
    <w:p>
      <w:pPr>
        <w:pStyle w:val="BodyText"/>
        <w:spacing w:line="300" w:lineRule="auto" w:before="13"/>
        <w:ind w:right="1118"/>
        <w:jc w:val="left"/>
      </w:pPr>
      <w:r>
        <w:rPr>
          <w:spacing w:val="-2"/>
        </w:rPr>
        <w:t>部服役；</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2005</w:t>
      </w:r>
      <w:r>
        <w:rPr>
          <w:spacing w:val="-2"/>
        </w:rPr>
        <w:t>年，任珠海外经贸专修学院远程教育处副处长；</w:t>
      </w:r>
      <w:r>
        <w:rPr>
          <w:rFonts w:ascii="Times New Roman" w:hAnsi="Times New Roman" w:cs="Times New Roman" w:eastAsia="Times New Roman" w:hint="default"/>
          <w:spacing w:val="-2"/>
        </w:rPr>
        <w:t>2005</w:t>
      </w:r>
      <w:r>
        <w:rPr>
          <w:spacing w:val="-2"/>
        </w:rPr>
        <w:t>年加入本公司，现任公司生产中心副总监兼生产</w:t>
      </w:r>
      <w:r>
        <w:rPr>
          <w:spacing w:val="-53"/>
        </w:rPr>
        <w:t> </w:t>
      </w:r>
      <w:r>
        <w:rPr>
          <w:spacing w:val="-53"/>
        </w:rPr>
      </w:r>
      <w:r>
        <w:rPr/>
        <w:t>管理部经理。</w:t>
      </w:r>
    </w:p>
    <w:p>
      <w:pPr>
        <w:pStyle w:val="BodyText"/>
        <w:spacing w:line="309" w:lineRule="auto" w:before="31"/>
        <w:ind w:right="1132" w:firstLine="290"/>
        <w:jc w:val="both"/>
      </w:pPr>
      <w:r>
        <w:rPr>
          <w:spacing w:val="-1"/>
        </w:rPr>
        <w:t>陈家贤先生：</w:t>
      </w:r>
      <w:r>
        <w:rPr>
          <w:rFonts w:ascii="Times New Roman" w:hAnsi="Times New Roman" w:cs="Times New Roman" w:eastAsia="Times New Roman" w:hint="default"/>
          <w:spacing w:val="-1"/>
        </w:rPr>
        <w:t>1975</w:t>
      </w:r>
      <w:r>
        <w:rPr>
          <w:spacing w:val="-1"/>
        </w:rPr>
        <w:t>年出生，中国国籍，无永久境外居留权，大专学历。具有多年电力安全和金融安全领域从业经验以及</w:t>
      </w:r>
      <w:r>
        <w:rPr/>
        <w:t> </w:t>
      </w:r>
      <w:r>
        <w:rPr>
          <w:spacing w:val="-2"/>
        </w:rPr>
        <w:t>锁类结构研发经验，先后就职于珠海金电电源工业有限公司、长园共创电力安全技术股份有限公司、珠海优特电力科技股份</w:t>
      </w:r>
      <w:r>
        <w:rPr>
          <w:spacing w:val="-66"/>
        </w:rPr>
        <w:t> </w:t>
      </w:r>
      <w:r>
        <w:rPr>
          <w:spacing w:val="-66"/>
        </w:rPr>
      </w:r>
      <w:r>
        <w:rPr/>
        <w:t>有限公司任结构工程师；</w:t>
      </w:r>
      <w:r>
        <w:rPr>
          <w:rFonts w:ascii="Times New Roman" w:hAnsi="Times New Roman" w:cs="Times New Roman" w:eastAsia="Times New Roman" w:hint="default"/>
        </w:rPr>
        <w:t>2010</w:t>
      </w:r>
      <w:r>
        <w:rPr/>
        <w:t>年加入公司，现任公司产品研发中心结构部工程师。</w:t>
      </w:r>
    </w:p>
    <w:p>
      <w:pPr>
        <w:pStyle w:val="BodyText"/>
        <w:spacing w:line="300" w:lineRule="auto" w:before="5"/>
        <w:ind w:right="0" w:firstLine="290"/>
        <w:jc w:val="left"/>
      </w:pPr>
      <w:r>
        <w:rPr>
          <w:spacing w:val="-1"/>
        </w:rPr>
        <w:t>杨贤帮先生：</w:t>
      </w:r>
      <w:r>
        <w:rPr>
          <w:rFonts w:ascii="Times New Roman" w:hAnsi="Times New Roman" w:cs="Times New Roman" w:eastAsia="Times New Roman" w:hint="default"/>
          <w:spacing w:val="-1"/>
        </w:rPr>
        <w:t>1981</w:t>
      </w:r>
      <w:r>
        <w:rPr>
          <w:spacing w:val="-1"/>
        </w:rPr>
        <w:t>年出生，中国国籍，无境外永久居留权，本科学历。先后任职于武汉金牛经济发展有限公司、珠海金</w:t>
      </w:r>
      <w:r>
        <w:rPr/>
        <w:t> 力防水技术有限公司；</w:t>
      </w:r>
      <w:r>
        <w:rPr>
          <w:rFonts w:ascii="Times New Roman" w:hAnsi="Times New Roman" w:cs="Times New Roman" w:eastAsia="Times New Roman" w:hint="default"/>
        </w:rPr>
        <w:t>2011</w:t>
      </w:r>
      <w:r>
        <w:rPr/>
        <w:t>年加入公司，现任公司总裁办总务主管。</w:t>
      </w:r>
    </w:p>
    <w:p>
      <w:pPr>
        <w:pStyle w:val="BodyText"/>
        <w:spacing w:line="300" w:lineRule="auto" w:before="13"/>
        <w:ind w:left="444" w:right="5982" w:hanging="291"/>
        <w:jc w:val="left"/>
      </w:pPr>
      <w:r>
        <w:rPr>
          <w:rFonts w:ascii="Times New Roman" w:hAnsi="Times New Roman" w:cs="Times New Roman" w:eastAsia="Times New Roman" w:hint="default"/>
        </w:rPr>
        <w:t>3</w:t>
      </w:r>
      <w:r>
        <w:rPr/>
        <w:t>、现任高级管理人员简历： 陈喆女士、马铮先生的简历，参见</w:t>
      </w:r>
      <w:r>
        <w:rPr>
          <w:rFonts w:ascii="Times New Roman" w:hAnsi="Times New Roman" w:cs="Times New Roman" w:eastAsia="Times New Roman" w:hint="default"/>
        </w:rPr>
        <w:t>“</w:t>
      </w:r>
      <w:r>
        <w:rPr/>
        <w:t>现任董事简历</w:t>
      </w:r>
      <w:r>
        <w:rPr>
          <w:rFonts w:ascii="Times New Roman" w:hAnsi="Times New Roman" w:cs="Times New Roman" w:eastAsia="Times New Roman" w:hint="default"/>
        </w:rPr>
        <w:t>”</w:t>
      </w:r>
      <w:r>
        <w:rPr/>
        <w:t>部分。</w:t>
      </w:r>
    </w:p>
    <w:p>
      <w:pPr>
        <w:pStyle w:val="BodyText"/>
        <w:spacing w:line="300" w:lineRule="auto" w:before="13"/>
        <w:ind w:right="0" w:firstLine="290"/>
        <w:jc w:val="left"/>
      </w:pPr>
      <w:r>
        <w:rPr>
          <w:spacing w:val="-2"/>
        </w:rPr>
        <w:t>孙玉玲女士：</w:t>
      </w:r>
      <w:r>
        <w:rPr>
          <w:rFonts w:ascii="Times New Roman" w:hAnsi="Times New Roman" w:cs="Times New Roman" w:eastAsia="Times New Roman" w:hint="default"/>
          <w:spacing w:val="-2"/>
        </w:rPr>
        <w:t>1972</w:t>
      </w:r>
      <w:r>
        <w:rPr>
          <w:spacing w:val="-2"/>
        </w:rPr>
        <w:t>年出生，中国国籍，无永久境外居留权，本科学历，中级会计师。</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2007</w:t>
      </w:r>
      <w:r>
        <w:rPr>
          <w:spacing w:val="-2"/>
        </w:rPr>
        <w:t>年，任西门子表计</w:t>
      </w:r>
      <w:r>
        <w:rPr>
          <w:rFonts w:ascii="Times New Roman" w:hAnsi="Times New Roman" w:cs="Times New Roman" w:eastAsia="Times New Roman" w:hint="default"/>
          <w:spacing w:val="-2"/>
        </w:rPr>
        <w:t>(</w:t>
      </w:r>
      <w:r>
        <w:rPr>
          <w:spacing w:val="-2"/>
        </w:rPr>
        <w:t>珠</w:t>
      </w:r>
      <w:r>
        <w:rPr/>
        <w:t> </w:t>
      </w:r>
      <w:r>
        <w:rPr>
          <w:spacing w:val="-4"/>
        </w:rPr>
        <w:t>海</w:t>
      </w:r>
      <w:r>
        <w:rPr>
          <w:rFonts w:ascii="Times New Roman" w:hAnsi="Times New Roman" w:cs="Times New Roman" w:eastAsia="Times New Roman" w:hint="default"/>
          <w:spacing w:val="-4"/>
        </w:rPr>
        <w:t>)</w:t>
      </w:r>
      <w:r>
        <w:rPr>
          <w:spacing w:val="-4"/>
        </w:rPr>
        <w:t>有限公司会计主管；</w:t>
      </w:r>
      <w:r>
        <w:rPr>
          <w:rFonts w:ascii="Times New Roman" w:hAnsi="Times New Roman" w:cs="Times New Roman" w:eastAsia="Times New Roman" w:hint="default"/>
          <w:spacing w:val="-4"/>
        </w:rPr>
        <w:t>2007</w:t>
      </w:r>
      <w:r>
        <w:rPr>
          <w:spacing w:val="-4"/>
        </w:rPr>
        <w:t>年至</w:t>
      </w:r>
      <w:r>
        <w:rPr>
          <w:rFonts w:ascii="Times New Roman" w:hAnsi="Times New Roman" w:cs="Times New Roman" w:eastAsia="Times New Roman" w:hint="default"/>
          <w:spacing w:val="-4"/>
        </w:rPr>
        <w:t>2012</w:t>
      </w:r>
      <w:r>
        <w:rPr>
          <w:spacing w:val="-4"/>
        </w:rPr>
        <w:t>年，任珠海飞利浦有限公司财务经理；</w:t>
      </w:r>
      <w:r>
        <w:rPr>
          <w:rFonts w:ascii="Times New Roman" w:hAnsi="Times New Roman" w:cs="Times New Roman" w:eastAsia="Times New Roman" w:hint="default"/>
          <w:spacing w:val="-4"/>
        </w:rPr>
        <w:t>2012</w:t>
      </w:r>
      <w:r>
        <w:rPr>
          <w:spacing w:val="-4"/>
        </w:rPr>
        <w:t>年至</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11"/>
        </w:rPr>
        <w:t> </w:t>
      </w:r>
      <w:r>
        <w:rPr/>
        <w:t>任珠海魅族有限公司财务总监；</w:t>
      </w:r>
      <w:r>
        <w:rPr>
          <w:spacing w:val="-87"/>
        </w:rPr>
        <w:t> </w:t>
      </w:r>
      <w:r>
        <w:rPr>
          <w:spacing w:val="-87"/>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月加入公司，任公司财务总监、董事会秘书。</w:t>
      </w:r>
    </w:p>
    <w:p>
      <w:pPr>
        <w:pStyle w:val="BodyText"/>
        <w:spacing w:line="240" w:lineRule="auto" w:before="53"/>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珠海瑞信投资管理有限公司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公司董事长兼总经理陈喆女士持有珠海瑞信投资管理有限公司</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65.13%</w:t>
            </w:r>
            <w:r>
              <w:rPr>
                <w:rFonts w:ascii="宋体" w:hAnsi="宋体" w:cs="宋体" w:eastAsia="宋体" w:hint="default"/>
                <w:sz w:val="18"/>
                <w:szCs w:val="18"/>
              </w:rPr>
              <w:t>的股份，为珠海瑞信投资管理有限公 司的实际控制人。珠海瑞信投资管理有限公司系公司员工持股平台。</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贵安新区贵金科技有限公司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于风政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北京师范大学珠海分校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法律与行政 学院院长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杨大贺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中勤万信会计师事务所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部门经理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杨大贺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贵州轮胎股份有限公司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田联房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华南理工大学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杨贤帮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珠海高新区邦利贸易有限公司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202"/>
        <w:gridCol w:w="8367"/>
      </w:tblGrid>
      <w:tr>
        <w:trPr>
          <w:trHeight w:val="332" w:hRule="exact"/>
        </w:trPr>
        <w:tc>
          <w:tcPr>
            <w:tcW w:w="1202" w:type="dxa"/>
            <w:tcBorders>
              <w:top w:val="nil" w:sz="6" w:space="0" w:color="auto"/>
              <w:left w:val="nil" w:sz="6" w:space="0" w:color="auto"/>
              <w:bottom w:val="single" w:sz="4" w:space="0" w:color="000000"/>
              <w:right w:val="nil" w:sz="6" w:space="0" w:color="auto"/>
            </w:tcBorders>
          </w:tcPr>
          <w:p>
            <w:pPr/>
          </w:p>
        </w:tc>
        <w:tc>
          <w:tcPr>
            <w:tcW w:w="8367" w:type="dxa"/>
            <w:tcBorders>
              <w:top w:val="nil" w:sz="6" w:space="0" w:color="auto"/>
              <w:left w:val="nil" w:sz="6" w:space="0" w:color="auto"/>
              <w:bottom w:val="single" w:sz="4" w:space="0" w:color="000000"/>
              <w:right w:val="nil" w:sz="6" w:space="0" w:color="auto"/>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pict>
          <v:group style="position:absolute;margin-left:55.200001pt;margin-top:-52.578308pt;width:485pt;height:.1pt;mso-position-horizontal-relative:page;mso-position-vertical-relative:paragraph;z-index:-1157680" coordorigin="1104,-1052" coordsize="9700,2">
            <v:shape style="position:absolute;left:1104;top:-1052;width:9700;height:2" coordorigin="1104,-1052" coordsize="9700,0" path="m1104,-1052l10804,-1052e" filled="false" stroked="true" strokeweight=".72pt" strokecolor="#000000">
              <v:path arrowok="t"/>
            </v:shape>
            <w10:wrap type="none"/>
          </v:group>
        </w:pict>
      </w: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0" w:hanging="360"/>
        <w:jc w:val="left"/>
      </w:pPr>
      <w:r>
        <w:rPr/>
        <w:t>董事、监事、高级管理人员报酬的决策程序、确定依据、实际支付情况 </w:t>
      </w:r>
      <w:r>
        <w:rPr>
          <w:spacing w:val="-2"/>
        </w:rPr>
        <w:t>公司董事、监事报酬由股东大会决定，高级管理人员报酬由董事会决定；在公司担任职务的董事、监事、高级管理人员</w:t>
      </w:r>
    </w:p>
    <w:p>
      <w:pPr>
        <w:pStyle w:val="BodyText"/>
        <w:spacing w:line="224" w:lineRule="exact"/>
        <w:ind w:right="0"/>
        <w:jc w:val="left"/>
      </w:pPr>
      <w:r>
        <w:rPr/>
        <w:t>报酬由公司支付，董事、监事不另外支付津贴；独立董事及不在公司任职的非独立董事津贴根据股东大会通过的决议进行支</w:t>
      </w:r>
    </w:p>
    <w:p>
      <w:pPr>
        <w:pStyle w:val="BodyText"/>
        <w:spacing w:line="316" w:lineRule="auto" w:before="76"/>
        <w:ind w:left="514" w:right="0" w:hanging="360"/>
        <w:jc w:val="left"/>
      </w:pPr>
      <w:r>
        <w:rPr/>
        <w:t>付。公司依据当年盈利水平及董事、监事、高级管理人员的职责履行情况并结合年度绩效完成情况综合确定报酬。 </w:t>
      </w:r>
      <w:r>
        <w:rPr>
          <w:spacing w:val="-2"/>
        </w:rPr>
        <w:t>公司高级管理人员基本工资已发放，年度绩效考核薪酬在董事会审议通过后按时发放；公司独立董事及不在公司任职的</w:t>
      </w:r>
    </w:p>
    <w:p>
      <w:pPr>
        <w:pStyle w:val="BodyText"/>
        <w:spacing w:line="240" w:lineRule="auto" w:before="19"/>
        <w:ind w:right="0"/>
        <w:jc w:val="left"/>
      </w:pPr>
      <w:r>
        <w:rPr/>
        <w:t>非独立董事津贴已发放。</w:t>
      </w:r>
    </w:p>
    <w:p>
      <w:pPr>
        <w:spacing w:line="240" w:lineRule="auto" w:before="5"/>
        <w:rPr>
          <w:rFonts w:ascii="宋体" w:hAnsi="宋体" w:cs="宋体" w:eastAsia="宋体" w:hint="default"/>
          <w:sz w:val="29"/>
          <w:szCs w:val="29"/>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130"/>
        <w:jc w:val="right"/>
      </w:pPr>
      <w:r>
        <w:rPr/>
        <w:pict>
          <v:group style="position:absolute;margin-left:193.759995pt;margin-top:79.181725pt;width:67.9pt;height:27.95pt;mso-position-horizontal-relative:page;mso-position-vertical-relative:paragraph;z-index:-1157656" coordorigin="3875,1584" coordsize="1358,559">
            <v:group style="position:absolute;left:3875;top:1584;width:1358;height:156" coordorigin="3875,1584" coordsize="1358,156">
              <v:shape style="position:absolute;left:3875;top:1584;width:1358;height:156" coordorigin="3875,1584" coordsize="1358,156" path="m3875,1740l5233,1740,5233,1584,3875,1584,3875,1740xe" filled="true" fillcolor="#ffffff" stroked="false">
                <v:path arrowok="t"/>
                <v:fill type="solid"/>
              </v:shape>
            </v:group>
            <v:group style="position:absolute;left:3887;top:1740;width:2;height:392" coordorigin="3887,1740" coordsize="2,392">
              <v:shape style="position:absolute;left:3887;top:1740;width:2;height:392" coordorigin="3887,1740" coordsize="0,392" path="m3887,1740l3887,2131e" filled="false" stroked="true" strokeweight="1.140pt" strokecolor="#ffffff">
                <v:path arrowok="t"/>
              </v:shape>
            </v:group>
            <v:group style="position:absolute;left:3898;top:1740;width:1312;height:392" coordorigin="3898,1740" coordsize="1312,392">
              <v:shape style="position:absolute;left:3898;top:1740;width:1312;height:392" coordorigin="3898,1740" coordsize="1312,392" path="m3898,2131l5210,2131,5210,1740,3898,1740,3898,2131xe" filled="true" fillcolor="#ffffff" stroked="false">
                <v:path arrowok="t"/>
                <v:fill type="solid"/>
              </v:shape>
            </v:group>
            <w10:wrap type="none"/>
          </v:group>
        </w:pict>
      </w: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董事、副董事长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肖志宏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于风政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杨大贺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侯平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陈家贤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杨贤帮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马晓丽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蔡林生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2"/>
        <w:ind w:right="-20"/>
        <w:jc w:val="left"/>
      </w:pPr>
      <w:r>
        <w:rPr/>
        <w:t>公司董事、高级管理人员报告期内被授予的股权激励情况</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单位：股</w:t>
      </w:r>
    </w:p>
    <w:p>
      <w:pPr>
        <w:spacing w:after="0" w:line="240" w:lineRule="auto"/>
        <w:jc w:val="left"/>
        <w:sectPr>
          <w:type w:val="continuous"/>
          <w:pgSz w:w="11910" w:h="16840"/>
          <w:pgMar w:top="1060" w:bottom="1160" w:left="980" w:right="0"/>
          <w:cols w:num="2" w:equalWidth="0">
            <w:col w:w="4655" w:space="426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69"/>
        <w:gridCol w:w="869"/>
        <w:gridCol w:w="870"/>
        <w:gridCol w:w="870"/>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bl>
    <w:p>
      <w:pPr>
        <w:spacing w:after="0" w:line="319"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69"/>
        <w:gridCol w:w="869"/>
        <w:gridCol w:w="870"/>
        <w:gridCol w:w="870"/>
        <w:gridCol w:w="870"/>
        <w:gridCol w:w="870"/>
        <w:gridCol w:w="870"/>
        <w:gridCol w:w="870"/>
        <w:gridCol w:w="870"/>
      </w:tblGrid>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周晔</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21.18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59,933</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59,933</w:t>
            </w:r>
          </w:p>
        </w:tc>
      </w:tr>
      <w:tr>
        <w:trPr>
          <w:trHeight w:val="1138" w:hRule="exact"/>
        </w:trPr>
        <w:tc>
          <w:tcPr>
            <w:tcW w:w="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8" w:type="dxa"/>
            <w:gridSpan w:val="10"/>
            <w:vMerge w:val="restart"/>
            <w:tcBorders>
              <w:top w:val="single" w:sz="4" w:space="0" w:color="000000"/>
              <w:left w:val="single" w:sz="10" w:space="0" w:color="D2D2D2"/>
              <w:right w:val="single" w:sz="4" w:space="0" w:color="000000"/>
            </w:tcBorders>
          </w:tcPr>
          <w:p>
            <w:pPr>
              <w:pStyle w:val="TableParagraph"/>
              <w:spacing w:line="302" w:lineRule="auto" w:before="51"/>
              <w:ind w:left="15" w:right="22"/>
              <w:jc w:val="left"/>
              <w:rPr>
                <w:rFonts w:ascii="宋体" w:hAnsi="宋体" w:cs="宋体" w:eastAsia="宋体" w:hint="default"/>
                <w:sz w:val="18"/>
                <w:szCs w:val="18"/>
              </w:rPr>
            </w:pPr>
            <w:r>
              <w:rPr>
                <w:rFonts w:ascii="宋体" w:hAnsi="宋体" w:cs="宋体" w:eastAsia="宋体" w:hint="default"/>
                <w:sz w:val="18"/>
                <w:szCs w:val="18"/>
              </w:rPr>
              <w:t>周晔先生经公司于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年第三次临时股东大会审议通过，被选举为公司第三届董事会</w:t>
            </w:r>
            <w:r>
              <w:rPr>
                <w:rFonts w:ascii="宋体" w:hAnsi="宋体" w:cs="宋体" w:eastAsia="宋体" w:hint="default"/>
                <w:sz w:val="18"/>
                <w:szCs w:val="18"/>
              </w:rPr>
              <w:t> 现任董事。</w:t>
            </w:r>
          </w:p>
          <w:p>
            <w:pPr>
              <w:pStyle w:val="TableParagraph"/>
              <w:spacing w:line="240" w:lineRule="auto" w:before="68"/>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、报告期内，周晔先生为公司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年限制性股票激励计划预留部分的授予对象之一。本次预留部分授予并在</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中国证券登记结算有限责任公司深圳分公司完成登记，预留部分限制性股票的上市日期为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锁定期为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240" w:lineRule="auto" w:before="10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、公司在完成预留部分限制性股票授予登记后，实施了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85,350,000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w:t>
            </w:r>
            <w:r>
              <w:rPr>
                <w:rFonts w:ascii="宋体" w:hAnsi="宋体" w:cs="宋体" w:eastAsia="宋体" w:hint="default"/>
                <w:sz w:val="18"/>
                <w:szCs w:val="18"/>
              </w:rPr>
              <w:t>派发现金红利人民币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3.591985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，同时以资本公积金向全体股东每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02" w:lineRule="auto" w:before="63"/>
              <w:ind w:left="15" w:right="22"/>
              <w:jc w:val="left"/>
              <w:rPr>
                <w:rFonts w:ascii="宋体" w:hAnsi="宋体" w:cs="宋体" w:eastAsia="宋体" w:hint="default"/>
                <w:sz w:val="18"/>
                <w:szCs w:val="18"/>
              </w:rPr>
            </w:pPr>
            <w:r>
              <w:rPr>
                <w:rFonts w:ascii="宋体" w:hAnsi="宋体" w:cs="宋体" w:eastAsia="宋体" w:hint="default"/>
                <w:sz w:val="18"/>
                <w:szCs w:val="18"/>
              </w:rPr>
              <w:t>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9.977738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周晔先生持有的限制性股票数量由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股相应增加至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59,933 </w:t>
            </w:r>
            <w:r>
              <w:rPr>
                <w:rFonts w:ascii="宋体" w:hAnsi="宋体" w:cs="宋体" w:eastAsia="宋体" w:hint="default"/>
                <w:spacing w:val="-15"/>
                <w:sz w:val="18"/>
                <w:szCs w:val="18"/>
              </w:rPr>
              <w:t>股</w:t>
            </w:r>
            <w:r>
              <w:rPr>
                <w:rFonts w:ascii="宋体" w:hAnsi="宋体" w:cs="宋体" w:eastAsia="宋体" w:hint="default"/>
                <w:spacing w:val="1"/>
                <w:sz w:val="18"/>
                <w:szCs w:val="18"/>
              </w:rPr>
              <w:t>（</w:t>
            </w:r>
            <w:r>
              <w:rPr>
                <w:rFonts w:ascii="宋体" w:hAnsi="宋体" w:cs="宋体" w:eastAsia="宋体" w:hint="default"/>
                <w:sz w:val="18"/>
                <w:szCs w:val="18"/>
              </w:rPr>
              <w:t>涉及零碎股的处理</w:t>
            </w:r>
            <w:r>
              <w:rPr>
                <w:rFonts w:ascii="宋体" w:hAnsi="宋体" w:cs="宋体" w:eastAsia="宋体" w:hint="default"/>
                <w:spacing w:val="-15"/>
                <w:sz w:val="18"/>
                <w:szCs w:val="18"/>
              </w:rPr>
              <w:t>，</w:t>
            </w:r>
            <w:r>
              <w:rPr>
                <w:rFonts w:ascii="宋体" w:hAnsi="宋体" w:cs="宋体" w:eastAsia="宋体" w:hint="default"/>
                <w:sz w:val="18"/>
                <w:szCs w:val="18"/>
              </w:rPr>
              <w:t>股</w:t>
            </w:r>
            <w:r>
              <w:rPr>
                <w:rFonts w:ascii="宋体" w:hAnsi="宋体" w:cs="宋体" w:eastAsia="宋体" w:hint="default"/>
                <w:sz w:val="18"/>
                <w:szCs w:val="18"/>
              </w:rPr>
              <w:t> 东最终股份数据以中国结算深圳分公司登记确认结果为准</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03" w:hRule="exact"/>
        </w:trPr>
        <w:tc>
          <w:tcPr>
            <w:tcW w:w="8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698" w:type="dxa"/>
            <w:gridSpan w:val="10"/>
            <w:vMerge/>
            <w:tcBorders>
              <w:left w:val="single" w:sz="10" w:space="0" w:color="D2D2D2"/>
              <w:right w:val="single" w:sz="4" w:space="0" w:color="000000"/>
            </w:tcBorders>
          </w:tcPr>
          <w:p>
            <w:pPr/>
          </w:p>
        </w:tc>
      </w:tr>
      <w:tr>
        <w:trPr>
          <w:trHeight w:val="1138" w:hRule="exact"/>
        </w:trPr>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8" w:type="dxa"/>
            <w:gridSpan w:val="10"/>
            <w:vMerge/>
            <w:tcBorders>
              <w:left w:val="single" w:sz="10"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五、公司员工情况" w:id="124"/>
      <w:bookmarkEnd w:id="124"/>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5"/>
      <w:bookmarkEnd w:id="12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公司本着鼓励各级员工恪尽职守，且能为公司赢利与发展积极贡献的目的，实行以责任、能力、绩效为核心计酬依据的</w:t>
      </w:r>
      <w:r>
        <w:rPr/>
        <w:t> </w:t>
      </w:r>
      <w:r>
        <w:rPr>
          <w:spacing w:val="-2"/>
        </w:rPr>
        <w:t>薪酬制度。使员工能合理分享公司经营成果，充分发挥薪酬的激励作用，从而激励员工改善工作表现，加强和提升员工的工</w:t>
      </w:r>
      <w:r>
        <w:rPr>
          <w:spacing w:val="-66"/>
        </w:rPr>
        <w:t> </w:t>
      </w:r>
      <w:r>
        <w:rPr>
          <w:spacing w:val="-66"/>
        </w:rPr>
      </w:r>
      <w:r>
        <w:rPr/>
        <w:t>作绩效和公司的经营业绩，以实现公司发展战略目标。</w:t>
      </w:r>
    </w:p>
    <w:p>
      <w:pPr>
        <w:pStyle w:val="BodyText"/>
        <w:spacing w:line="316" w:lineRule="auto" w:before="17"/>
        <w:ind w:right="1041" w:firstLine="360"/>
        <w:jc w:val="both"/>
      </w:pPr>
      <w:r>
        <w:rPr>
          <w:spacing w:val="-4"/>
        </w:rPr>
        <w:t>公司严格遵守劳动法律法规，遵循合法、平等、自愿的原则与员工签订书面劳动合同，依法进行劳动合同的履行、变更、</w:t>
      </w:r>
      <w:r>
        <w:rPr/>
        <w:t> </w:t>
      </w:r>
      <w:r>
        <w:rPr>
          <w:spacing w:val="-1"/>
        </w:rPr>
        <w:t>解除和终止。报告期内，员工劳动合同签订率为</w:t>
      </w:r>
      <w:r>
        <w:rPr>
          <w:rFonts w:ascii="Times New Roman" w:hAnsi="Times New Roman" w:cs="Times New Roman" w:eastAsia="Times New Roman" w:hint="default"/>
          <w:spacing w:val="-1"/>
        </w:rPr>
        <w:t>100%</w:t>
      </w:r>
      <w:r>
        <w:rPr>
          <w:spacing w:val="-1"/>
        </w:rPr>
        <w:t>。公司严格遵照国家相关法律法规为员工缴纳社会保险和住房公积金。</w:t>
      </w:r>
    </w:p>
    <w:p>
      <w:pPr>
        <w:spacing w:line="240" w:lineRule="auto" w:before="0"/>
        <w:rPr>
          <w:rFonts w:ascii="宋体" w:hAnsi="宋体" w:cs="宋体" w:eastAsia="宋体" w:hint="default"/>
          <w:sz w:val="18"/>
          <w:szCs w:val="18"/>
        </w:rPr>
      </w:pPr>
    </w:p>
    <w:p>
      <w:pPr>
        <w:pStyle w:val="BodyText"/>
        <w:spacing w:line="338" w:lineRule="auto" w:before="157"/>
        <w:ind w:left="514" w:right="0"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1"/>
        </w:rPr>
        <w:t>职工薪酬总额（计入成本部分）为</w:t>
      </w:r>
      <w:r>
        <w:rPr>
          <w:rFonts w:ascii="Times New Roman" w:hAnsi="Times New Roman" w:cs="Times New Roman" w:eastAsia="Times New Roman" w:hint="default"/>
          <w:spacing w:val="-1"/>
        </w:rPr>
        <w:t>7,572.37</w:t>
      </w:r>
      <w:r>
        <w:rPr>
          <w:spacing w:val="-1"/>
        </w:rPr>
        <w:t>万元，职工薪酬总额（计入成部分）及占公司成本总额的比重为</w:t>
      </w:r>
      <w:r>
        <w:rPr>
          <w:rFonts w:ascii="Times New Roman" w:hAnsi="Times New Roman" w:cs="Times New Roman" w:eastAsia="Times New Roman" w:hint="default"/>
          <w:spacing w:val="-1"/>
        </w:rPr>
        <w:t>29.43%</w:t>
      </w:r>
      <w:r>
        <w:rPr>
          <w:spacing w:val="-1"/>
        </w:rPr>
        <w:t>；归</w:t>
      </w:r>
      <w:r>
        <w:rPr/>
      </w:r>
    </w:p>
    <w:p>
      <w:pPr>
        <w:pStyle w:val="BodyText"/>
        <w:spacing w:line="230" w:lineRule="exact"/>
        <w:ind w:right="0"/>
        <w:jc w:val="left"/>
      </w:pPr>
      <w:r>
        <w:rPr/>
        <w:t>属于母公司净利润较上年同期下降</w:t>
      </w:r>
      <w:r>
        <w:rPr>
          <w:rFonts w:ascii="Times New Roman" w:hAnsi="Times New Roman" w:cs="Times New Roman" w:eastAsia="Times New Roman" w:hint="default"/>
        </w:rPr>
        <w:t>67.34%</w:t>
      </w:r>
      <w:r>
        <w:rPr/>
        <w:t>，职工薪酬总额（计入成本部分）较上年同期增长</w:t>
      </w:r>
      <w:r>
        <w:rPr>
          <w:rFonts w:ascii="Times New Roman" w:hAnsi="Times New Roman" w:cs="Times New Roman" w:eastAsia="Times New Roman" w:hint="default"/>
        </w:rPr>
        <w:t>25.66%</w:t>
      </w:r>
      <w:r>
        <w:rPr/>
        <w:t>，归属于母公司净利润</w:t>
      </w:r>
    </w:p>
    <w:p>
      <w:pPr>
        <w:pStyle w:val="BodyText"/>
        <w:spacing w:line="240" w:lineRule="auto" w:before="63"/>
        <w:ind w:right="0"/>
        <w:jc w:val="left"/>
      </w:pPr>
      <w:r>
        <w:rPr/>
        <w:t>增长幅度小于职工薪酬总额（计入成本部分）增长幅度。</w:t>
      </w:r>
    </w:p>
    <w:p>
      <w:pPr>
        <w:pStyle w:val="BodyText"/>
        <w:spacing w:line="300" w:lineRule="auto" w:before="76"/>
        <w:ind w:right="1200" w:firstLine="360"/>
        <w:jc w:val="both"/>
      </w:pPr>
      <w:r>
        <w:rPr>
          <w:rFonts w:ascii="Times New Roman" w:hAnsi="Times New Roman" w:cs="Times New Roman" w:eastAsia="Times New Roman" w:hint="default"/>
        </w:rPr>
        <w:t>2018</w:t>
      </w:r>
      <w:r>
        <w:rPr/>
        <w:t>年核心技术人员数量占公司人员数量比重为</w:t>
      </w:r>
      <w:r>
        <w:rPr>
          <w:rFonts w:ascii="Times New Roman" w:hAnsi="Times New Roman" w:cs="Times New Roman" w:eastAsia="Times New Roman" w:hint="default"/>
        </w:rPr>
        <w:t>14.90%</w:t>
      </w:r>
      <w:r>
        <w:rPr/>
        <w:t>，职工薪酬（计入成本部分）占比</w:t>
      </w:r>
      <w:r>
        <w:rPr>
          <w:rFonts w:ascii="Times New Roman" w:hAnsi="Times New Roman" w:cs="Times New Roman" w:eastAsia="Times New Roman" w:hint="default"/>
        </w:rPr>
        <w:t>18.02%</w:t>
      </w:r>
      <w:r>
        <w:rPr/>
        <w:t>；</w:t>
      </w:r>
      <w:r>
        <w:rPr>
          <w:rFonts w:ascii="Times New Roman" w:hAnsi="Times New Roman" w:cs="Times New Roman" w:eastAsia="Times New Roman" w:hint="default"/>
        </w:rPr>
        <w:t>2017</w:t>
      </w:r>
      <w:r>
        <w:rPr/>
        <w:t>年核心技术人 员数量占公司人员数量比重为</w:t>
      </w:r>
      <w:r>
        <w:rPr>
          <w:rFonts w:ascii="Times New Roman" w:hAnsi="Times New Roman" w:cs="Times New Roman" w:eastAsia="Times New Roman" w:hint="default"/>
        </w:rPr>
        <w:t>13.15%</w:t>
      </w:r>
      <w:r>
        <w:rPr/>
        <w:t>，职工薪酬（计入成本部分）占比</w:t>
      </w:r>
      <w:r>
        <w:rPr>
          <w:rFonts w:ascii="Times New Roman" w:hAnsi="Times New Roman" w:cs="Times New Roman" w:eastAsia="Times New Roman" w:hint="default"/>
        </w:rPr>
        <w:t>19.05%</w:t>
      </w:r>
      <w:r>
        <w:rPr/>
        <w:t>，变动较小。</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3、培训计划" w:id="127"/>
      <w:bookmarkEnd w:id="12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49" w:firstLine="360"/>
        <w:jc w:val="both"/>
      </w:pPr>
      <w:r>
        <w:rPr/>
        <w:t>报告期内，公司继续完善全方位的人才培养体系，在完善</w:t>
      </w:r>
      <w:r>
        <w:rPr>
          <w:rFonts w:ascii="Times New Roman" w:hAnsi="Times New Roman" w:cs="Times New Roman" w:eastAsia="Times New Roman" w:hint="default"/>
        </w:rPr>
        <w:t>“</w:t>
      </w:r>
      <w:r>
        <w:rPr/>
        <w:t>新员工入职培训</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通用技能培训</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管理技能培训</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专 业技能培训</w:t>
      </w:r>
      <w:r>
        <w:rPr>
          <w:rFonts w:ascii="Times New Roman" w:hAnsi="Times New Roman" w:cs="Times New Roman" w:eastAsia="Times New Roman" w:hint="default"/>
        </w:rPr>
        <w:t>”</w:t>
      </w:r>
      <w:r>
        <w:rPr/>
        <w:t>的同时，利用公司内外部平台资源，将重点加强中高层管理人员的管理能力提升和销售人员专业能力的持续改 善，为实现公司年度战略目标提供有利保障。</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4、劳务外包情况" w:id="128"/>
      <w:bookmarkEnd w:id="12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105,922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_TOC_250003" w:id="129"/>
      <w:bookmarkStart w:name="第九节 公司治理" w:id="130"/>
      <w:r>
        <w:rPr>
          <w:b w:val="0"/>
          <w:bCs w:val="0"/>
        </w:rPr>
      </w:r>
      <w:r>
        <w:rPr/>
        <w:t>第九节</w:t>
      </w:r>
      <w:r>
        <w:rPr>
          <w:spacing w:val="-5"/>
        </w:rPr>
        <w:t> </w:t>
      </w:r>
      <w:r>
        <w:rPr/>
        <w:t>公司治理</w:t>
      </w:r>
      <w:bookmarkEnd w:id="12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290"/>
        <w:jc w:val="both"/>
      </w:pPr>
      <w:r>
        <w:rPr>
          <w:spacing w:val="-1"/>
        </w:rPr>
        <w:t>公司按照《公司法》、《证券法》等法律法规的要求，不断完善公司内部管理和控制制度，提升公司治理水平，控制经</w:t>
      </w:r>
      <w:r>
        <w:rPr/>
        <w:t> 营决策及管理风险，严格履行信息披露，切实维护全体股东特别是中小股东的利益。</w:t>
      </w:r>
    </w:p>
    <w:p>
      <w:pPr>
        <w:pStyle w:val="BodyText"/>
        <w:spacing w:line="309" w:lineRule="auto" w:before="19"/>
        <w:ind w:right="1133" w:firstLine="290"/>
        <w:jc w:val="both"/>
      </w:pPr>
      <w:r>
        <w:rPr>
          <w:spacing w:val="-1"/>
        </w:rPr>
        <w:t>报告期内，公司股东大会、董事会、监事会的召集召开、表决程序、信息披露均符合有关法律法规的要求，公司及控股</w:t>
      </w:r>
      <w:r>
        <w:rPr/>
        <w:t> 股东</w:t>
      </w:r>
      <w:r>
        <w:rPr>
          <w:rFonts w:ascii="Times New Roman" w:hAnsi="Times New Roman" w:cs="Times New Roman" w:eastAsia="Times New Roman" w:hint="default"/>
        </w:rPr>
        <w:t>/</w:t>
      </w:r>
      <w:r>
        <w:rPr/>
        <w:t>实际控制人、董事、监事、高级管理人员能够依法开展公司治理活动，经营行为合法合规。截至报告期末，公司整体 运作规范，法人治理结构的实际情况与中国证监会有关规范性文件要求不存在差异。</w:t>
      </w:r>
    </w:p>
    <w:p>
      <w:pPr>
        <w:pStyle w:val="BodyText"/>
        <w:spacing w:line="300" w:lineRule="auto" w:before="24"/>
        <w:ind w:left="444" w:right="0" w:hanging="291"/>
        <w:jc w:val="left"/>
      </w:pPr>
      <w:r>
        <w:rPr>
          <w:rFonts w:ascii="Times New Roman" w:hAnsi="Times New Roman" w:cs="Times New Roman" w:eastAsia="Times New Roman" w:hint="default"/>
        </w:rPr>
        <w:t>1</w:t>
      </w:r>
      <w:r>
        <w:rPr/>
        <w:t>、关于股东与股东大会 </w:t>
      </w:r>
      <w:r>
        <w:rPr>
          <w:spacing w:val="-1"/>
        </w:rPr>
        <w:t>报告期内，公司召开了一次年度股东大会，四次临时股东大会。股东大会提供网络投票方式，提高中小股东参与的积极</w:t>
      </w:r>
    </w:p>
    <w:p>
      <w:pPr>
        <w:pStyle w:val="BodyText"/>
        <w:spacing w:line="316" w:lineRule="auto" w:before="31"/>
        <w:ind w:right="1118"/>
        <w:jc w:val="left"/>
      </w:pPr>
      <w:r>
        <w:rPr>
          <w:spacing w:val="-2"/>
        </w:rPr>
        <w:t>性和便利性，并单独统计中小投资者的表决结果，同时邀请律师进行现场见证并出具法律意见书，确保会议召集召开以及表</w:t>
      </w:r>
      <w:r>
        <w:rPr>
          <w:spacing w:val="-66"/>
        </w:rPr>
        <w:t> </w:t>
      </w:r>
      <w:r>
        <w:rPr>
          <w:spacing w:val="-66"/>
        </w:rPr>
      </w:r>
      <w:r>
        <w:rPr>
          <w:spacing w:val="-2"/>
        </w:rPr>
        <w:t>决程序符合相关法律规定，切实维护全体股东特别是中小股东的权益。公司严格按照《公司法》、《公司章程》的规定和要</w:t>
      </w:r>
      <w:r>
        <w:rPr>
          <w:spacing w:val="-70"/>
        </w:rPr>
        <w:t> </w:t>
      </w:r>
      <w:r>
        <w:rPr>
          <w:spacing w:val="-70"/>
        </w:rPr>
      </w:r>
      <w:r>
        <w:rPr/>
        <w:t>求，规范股东大会的召集召开、表决程序，平等对待所有股东，不存在违反法律法规及其他规章制度的情形。 </w:t>
      </w:r>
      <w:r>
        <w:rPr>
          <w:rFonts w:ascii="Times New Roman" w:hAnsi="Times New Roman" w:cs="Times New Roman" w:eastAsia="Times New Roman" w:hint="default"/>
        </w:rPr>
        <w:t>2</w:t>
      </w:r>
      <w:r>
        <w:rPr/>
        <w:t>、关于公司与控股股东</w:t>
      </w:r>
    </w:p>
    <w:p>
      <w:pPr>
        <w:pStyle w:val="BodyText"/>
        <w:spacing w:line="316" w:lineRule="auto"/>
        <w:ind w:right="1132" w:firstLine="290"/>
        <w:jc w:val="both"/>
      </w:pPr>
      <w:r>
        <w:rPr>
          <w:spacing w:val="-1"/>
        </w:rPr>
        <w:t>报告期内，公司控股股东能够严格规范自己的行为，依法行使股东权利，没有超越公司股东大会直接或间接干预公司的</w:t>
      </w:r>
      <w:r>
        <w:rPr/>
        <w:t> </w:t>
      </w:r>
      <w:r>
        <w:rPr>
          <w:spacing w:val="-2"/>
        </w:rPr>
        <w:t>决策和重大经营活动的行为，不存在控股股东占用上市公司资金的情况，也不存在公司为控股股东及其子公司提供担保的情</w:t>
      </w:r>
      <w:r>
        <w:rPr>
          <w:spacing w:val="-64"/>
        </w:rPr>
        <w:t> </w:t>
      </w:r>
      <w:r>
        <w:rPr>
          <w:spacing w:val="-64"/>
        </w:rPr>
      </w:r>
      <w:r>
        <w:rPr>
          <w:spacing w:val="-2"/>
        </w:rPr>
        <w:t>形。公司拥有独立的业务和自主经营能力，在业务、人员、资产、机构、财务等方面与控股股东相互独立，公司董事会、监</w:t>
      </w:r>
      <w:r>
        <w:rPr>
          <w:spacing w:val="-67"/>
        </w:rPr>
        <w:t> </w:t>
      </w:r>
      <w:r>
        <w:rPr>
          <w:spacing w:val="-67"/>
        </w:rPr>
      </w:r>
      <w:r>
        <w:rPr/>
        <w:t>事会和内部机构独立运作。</w:t>
      </w:r>
    </w:p>
    <w:p>
      <w:pPr>
        <w:pStyle w:val="BodyText"/>
        <w:spacing w:line="300" w:lineRule="auto" w:before="19"/>
        <w:ind w:left="444" w:right="1028" w:hanging="291"/>
        <w:jc w:val="left"/>
      </w:pPr>
      <w:r>
        <w:rPr>
          <w:rFonts w:ascii="Times New Roman" w:hAnsi="Times New Roman" w:cs="Times New Roman" w:eastAsia="Times New Roman" w:hint="default"/>
        </w:rPr>
        <w:t>3</w:t>
      </w:r>
      <w:r>
        <w:rPr/>
        <w:t>、关于董事与董事会 </w:t>
      </w:r>
      <w:r>
        <w:rPr>
          <w:spacing w:val="-2"/>
        </w:rPr>
        <w:t>报告期内，公司董事会的人员结构及数量、董事的选聘程序符合有关法律法规。公司董事严格按照《公司法》《证券法》</w:t>
      </w:r>
    </w:p>
    <w:p>
      <w:pPr>
        <w:pStyle w:val="BodyText"/>
        <w:spacing w:line="316" w:lineRule="auto" w:before="31"/>
        <w:ind w:right="1130"/>
        <w:jc w:val="both"/>
      </w:pPr>
      <w:r>
        <w:rPr>
          <w:spacing w:val="-2"/>
        </w:rPr>
        <w:t>及《公司章程》等规定和要求，认真履行董事职责，按时出席董事会和股东大会，积极参与公司经营管理决策，积极参加培</w:t>
      </w:r>
      <w:r>
        <w:rPr>
          <w:spacing w:val="-68"/>
        </w:rPr>
        <w:t> </w:t>
      </w:r>
      <w:r>
        <w:rPr>
          <w:spacing w:val="-68"/>
        </w:rPr>
      </w:r>
      <w:r>
        <w:rPr>
          <w:spacing w:val="-2"/>
        </w:rPr>
        <w:t>训，学习有关法律法规，勤勉尽责地履行职责和义务。董事会下设立战略委员会、审计委员会、提名委员会及薪酬与考核委</w:t>
      </w:r>
      <w:r>
        <w:rPr>
          <w:spacing w:val="-66"/>
        </w:rPr>
        <w:t> </w:t>
      </w:r>
      <w:r>
        <w:rPr>
          <w:spacing w:val="-66"/>
        </w:rPr>
      </w:r>
      <w:r>
        <w:rPr/>
        <w:t>员会，在促进公司规范运作等方面发挥重要作用。</w:t>
      </w:r>
    </w:p>
    <w:p>
      <w:pPr>
        <w:pStyle w:val="BodyText"/>
        <w:spacing w:line="300" w:lineRule="auto" w:before="19"/>
        <w:ind w:left="444" w:right="1192" w:hanging="291"/>
        <w:jc w:val="left"/>
      </w:pPr>
      <w:r>
        <w:rPr>
          <w:rFonts w:ascii="Times New Roman" w:hAnsi="Times New Roman" w:cs="Times New Roman" w:eastAsia="Times New Roman" w:hint="default"/>
        </w:rPr>
        <w:t>4</w:t>
      </w:r>
      <w:r>
        <w:rPr/>
        <w:t>、关于监事与监事会 报告期内，公司监事会的人数及人员构成符合法律法规和《公司章程》的要求，公司监事会现有</w:t>
      </w:r>
      <w:r>
        <w:rPr>
          <w:rFonts w:ascii="Times New Roman" w:hAnsi="Times New Roman" w:cs="Times New Roman" w:eastAsia="Times New Roman" w:hint="default"/>
        </w:rPr>
        <w:t>3</w:t>
      </w:r>
      <w:r>
        <w:rPr/>
        <w:t>名监事，其中职工代</w:t>
      </w:r>
    </w:p>
    <w:p>
      <w:pPr>
        <w:pStyle w:val="BodyText"/>
        <w:spacing w:line="300" w:lineRule="auto" w:before="13"/>
        <w:ind w:right="1122"/>
        <w:jc w:val="left"/>
      </w:pPr>
      <w:r>
        <w:rPr/>
        <w:t>表监事</w:t>
      </w:r>
      <w:r>
        <w:rPr>
          <w:rFonts w:ascii="Times New Roman" w:hAnsi="Times New Roman" w:cs="Times New Roman" w:eastAsia="Times New Roman" w:hint="default"/>
        </w:rPr>
        <w:t>1</w:t>
      </w:r>
      <w:r>
        <w:rPr/>
        <w:t>人，由职工代表大会选举产生。报告期内，监事会按照规定召开会议，全体监事能够从维护公司和股东合法权益出 发，认真履行职责，对董事会和公司经营管理层进行有效监督。</w:t>
      </w:r>
    </w:p>
    <w:p>
      <w:pPr>
        <w:pStyle w:val="BodyText"/>
        <w:spacing w:line="300" w:lineRule="auto" w:before="31"/>
        <w:ind w:left="444" w:right="1822" w:hanging="291"/>
        <w:jc w:val="left"/>
      </w:pPr>
      <w:r>
        <w:rPr>
          <w:rFonts w:ascii="Times New Roman" w:hAnsi="Times New Roman" w:cs="Times New Roman" w:eastAsia="Times New Roman" w:hint="default"/>
        </w:rPr>
        <w:t>5</w:t>
      </w:r>
      <w:r>
        <w:rPr/>
        <w:t>、关于信息披露与透明度 公司严格按照相关法律法规的规定，真实、准确、完整、及时、公平地履行信息披露义务，并指定巨潮资讯网</w:t>
      </w:r>
    </w:p>
    <w:p>
      <w:pPr>
        <w:pStyle w:val="BodyText"/>
        <w:spacing w:line="300" w:lineRule="auto" w:before="31"/>
        <w:ind w:right="1187"/>
        <w:jc w:val="left"/>
      </w:pPr>
      <w:r>
        <w:rPr/>
        <w:t>（</w:t>
      </w:r>
      <w:hyperlink r:id="rId9">
        <w:r>
          <w:rPr>
            <w:rFonts w:ascii="Times New Roman" w:hAnsi="Times New Roman" w:cs="Times New Roman" w:eastAsia="Times New Roman" w:hint="default"/>
          </w:rPr>
          <w:t>www.cninfo.com.cn</w:t>
        </w:r>
      </w:hyperlink>
      <w:r>
        <w:rPr/>
        <w:t>）、《证券时报》、《中国证券报》、《证券日报》和《上海证券报》为公司信息披露媒体，确保公</w:t>
      </w:r>
      <w:r>
        <w:rPr>
          <w:w w:val="99"/>
        </w:rPr>
        <w:t> </w:t>
      </w:r>
      <w:r>
        <w:rPr/>
        <w:t>司所有股东及时、公平地获取公司信息。</w:t>
      </w:r>
    </w:p>
    <w:p>
      <w:pPr>
        <w:pStyle w:val="BodyText"/>
        <w:spacing w:line="300" w:lineRule="auto" w:before="31"/>
        <w:ind w:left="444" w:right="0" w:hanging="291"/>
        <w:jc w:val="left"/>
      </w:pPr>
      <w:r>
        <w:rPr>
          <w:rFonts w:ascii="Times New Roman" w:hAnsi="Times New Roman" w:cs="Times New Roman" w:eastAsia="Times New Roman" w:hint="default"/>
        </w:rPr>
        <w:t>6</w:t>
      </w:r>
      <w:r>
        <w:rPr/>
        <w:t>、关于投资者关系管理 </w:t>
      </w:r>
      <w:r>
        <w:rPr>
          <w:spacing w:val="-1"/>
        </w:rPr>
        <w:t>公司建立正面积极的投资者关系，通过业绩说明会、互动平台、投资者热线电话、投资者咨询邮箱等多种方式，增进投</w:t>
      </w:r>
    </w:p>
    <w:p>
      <w:pPr>
        <w:pStyle w:val="BodyText"/>
        <w:spacing w:line="240" w:lineRule="auto" w:before="31"/>
        <w:ind w:right="0"/>
        <w:jc w:val="left"/>
      </w:pPr>
      <w:r>
        <w:rPr/>
        <w:t>资者对公司经营发展的了解，与投资者加强沟通交流，引导投资者正确认识公司，维护与投资者的良好关系。</w:t>
      </w:r>
    </w:p>
    <w:p>
      <w:pPr>
        <w:pStyle w:val="BodyText"/>
        <w:spacing w:line="300" w:lineRule="auto" w:before="76"/>
        <w:ind w:left="444" w:right="1102" w:hanging="291"/>
        <w:jc w:val="left"/>
      </w:pPr>
      <w:r>
        <w:rPr>
          <w:rFonts w:ascii="Times New Roman" w:hAnsi="Times New Roman" w:cs="Times New Roman" w:eastAsia="Times New Roman" w:hint="default"/>
        </w:rPr>
        <w:t>7</w:t>
      </w:r>
      <w:r>
        <w:rPr/>
        <w:t>、关于内幕信息知情人管理 公司在筹划重大事项时，积极做好内幕信息知情人登记及报备工作，确保内幕信息知情人不以任何形式泄露相关信息，</w:t>
      </w:r>
    </w:p>
    <w:p>
      <w:pPr>
        <w:pStyle w:val="BodyText"/>
        <w:spacing w:line="240" w:lineRule="auto" w:before="31"/>
        <w:ind w:right="0"/>
        <w:jc w:val="left"/>
      </w:pPr>
      <w:r>
        <w:rPr/>
        <w:t>不利用内幕信息买卖公司股票，或建议他人买卖公司股票。</w:t>
      </w:r>
    </w:p>
    <w:p>
      <w:pPr>
        <w:pStyle w:val="BodyText"/>
        <w:spacing w:line="300" w:lineRule="auto" w:before="77"/>
        <w:ind w:left="454" w:right="0" w:hanging="300"/>
        <w:jc w:val="left"/>
      </w:pPr>
      <w:r>
        <w:rPr>
          <w:rFonts w:ascii="Times New Roman" w:hAnsi="Times New Roman" w:cs="Times New Roman" w:eastAsia="Times New Roman" w:hint="default"/>
        </w:rPr>
        <w:t>8</w:t>
      </w:r>
      <w:r>
        <w:rPr/>
        <w:t>、关于相关利益者 </w:t>
      </w:r>
      <w:r>
        <w:rPr>
          <w:spacing w:val="-1"/>
        </w:rPr>
        <w:t>公司充分尊重和维护相关利益者的合法权益，加强与各方的沟通，实现股东、员工、社会等各方利益的协调平衡，推动</w:t>
      </w:r>
    </w:p>
    <w:p>
      <w:pPr>
        <w:pStyle w:val="BodyText"/>
        <w:spacing w:line="240" w:lineRule="auto" w:before="31"/>
        <w:ind w:right="0"/>
        <w:jc w:val="left"/>
      </w:pPr>
      <w:r>
        <w:rPr/>
        <w:t>公司稳健发展。</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公司治理的实际状况与中国证监会发布的有关上市公司治理的规范性文件是否存在重大差异</w:t>
      </w:r>
    </w:p>
    <w:p>
      <w:pPr>
        <w:pStyle w:val="BodyText"/>
        <w:spacing w:line="340" w:lineRule="auto" w:before="116"/>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spacing w:val="-3"/>
        </w:rPr>
        <w:t>公司不断建立、健全法人治理结构，在业务、人员、资产、机构、财务等方面均与控股股东分开，具有独立完整的资产、</w:t>
      </w:r>
      <w:r>
        <w:rPr/>
        <w:t> 业务及自主经营能力。</w:t>
      </w:r>
    </w:p>
    <w:p>
      <w:pPr>
        <w:pStyle w:val="BodyText"/>
        <w:spacing w:line="300" w:lineRule="auto" w:before="19"/>
        <w:ind w:left="444" w:right="1118" w:hanging="291"/>
        <w:jc w:val="left"/>
      </w:pPr>
      <w:r>
        <w:rPr>
          <w:rFonts w:ascii="Times New Roman" w:hAnsi="Times New Roman" w:cs="Times New Roman" w:eastAsia="Times New Roman" w:hint="default"/>
        </w:rPr>
        <w:t>1</w:t>
      </w:r>
      <w:r>
        <w:rPr/>
        <w:t>、业务独立 </w:t>
      </w:r>
      <w:r>
        <w:rPr>
          <w:spacing w:val="-1"/>
        </w:rPr>
        <w:t>公司具备独立的采购、生产、销售、研发、管理体系，能够独立开展业务，独立承担责任和风险，不依赖控股股东及其</w:t>
      </w:r>
    </w:p>
    <w:p>
      <w:pPr>
        <w:pStyle w:val="BodyText"/>
        <w:spacing w:line="316" w:lineRule="auto" w:before="31"/>
        <w:ind w:right="0"/>
        <w:jc w:val="left"/>
      </w:pPr>
      <w:r>
        <w:rPr>
          <w:spacing w:val="-2"/>
        </w:rPr>
        <w:t>他关联方进行生产经营，与控股股东、实际控制人及其控制的其他企业间不存在同业竞争，也不存在控股股东、实际控制人</w:t>
      </w:r>
      <w:r>
        <w:rPr>
          <w:spacing w:val="-66"/>
        </w:rPr>
        <w:t> </w:t>
      </w:r>
      <w:r>
        <w:rPr>
          <w:spacing w:val="-66"/>
        </w:rPr>
      </w:r>
      <w:r>
        <w:rPr/>
        <w:t>利用其地位干涉公司决策和生产经营活动的情形。</w:t>
      </w:r>
    </w:p>
    <w:p>
      <w:pPr>
        <w:pStyle w:val="BodyText"/>
        <w:spacing w:line="300" w:lineRule="auto" w:before="19"/>
        <w:ind w:left="444" w:right="1118" w:hanging="291"/>
        <w:jc w:val="left"/>
      </w:pPr>
      <w:r>
        <w:rPr>
          <w:rFonts w:ascii="Times New Roman" w:hAnsi="Times New Roman" w:cs="Times New Roman" w:eastAsia="Times New Roman" w:hint="default"/>
        </w:rPr>
        <w:t>2</w:t>
      </w:r>
      <w:r>
        <w:rPr/>
        <w:t>、人员独立 </w:t>
      </w:r>
      <w:r>
        <w:rPr>
          <w:spacing w:val="-1"/>
        </w:rPr>
        <w:t>公司董事、监事、高级管理人员的选聘任职，均按照《公司法》、《公司章程》等规定的程序进行。高级管理人员不存</w:t>
      </w:r>
    </w:p>
    <w:p>
      <w:pPr>
        <w:pStyle w:val="BodyText"/>
        <w:spacing w:line="316" w:lineRule="auto" w:before="31"/>
        <w:ind w:right="0"/>
        <w:jc w:val="left"/>
      </w:pPr>
      <w:r>
        <w:rPr>
          <w:spacing w:val="-2"/>
        </w:rPr>
        <w:t>在任职于控股股东及其关联方的情形，都在公司工作并领取薪酬。公司拥有独立的人事管理系统，与员工签订劳动合同，建</w:t>
      </w:r>
      <w:r>
        <w:rPr>
          <w:spacing w:val="-66"/>
        </w:rPr>
        <w:t> </w:t>
      </w:r>
      <w:r>
        <w:rPr>
          <w:spacing w:val="-66"/>
        </w:rPr>
      </w:r>
      <w:r>
        <w:rPr/>
        <w:t>立独立的工资管理、福利与社会保障体系。</w:t>
      </w:r>
    </w:p>
    <w:p>
      <w:pPr>
        <w:pStyle w:val="BodyText"/>
        <w:spacing w:line="300" w:lineRule="auto" w:before="19"/>
        <w:ind w:left="444" w:right="1032" w:hanging="291"/>
        <w:jc w:val="left"/>
      </w:pPr>
      <w:r>
        <w:rPr>
          <w:rFonts w:ascii="Times New Roman" w:hAnsi="Times New Roman" w:cs="Times New Roman" w:eastAsia="Times New Roman" w:hint="default"/>
        </w:rPr>
        <w:t>3</w:t>
      </w:r>
      <w:r>
        <w:rPr/>
        <w:t>、资产独立 </w:t>
      </w:r>
      <w:r>
        <w:rPr>
          <w:spacing w:val="-3"/>
        </w:rPr>
        <w:t>公司资产独立完整，合法拥有与主营业务相关的土地、厂房、机器设备及商标、专利、非专利技术的所有权或者使用权。</w:t>
      </w:r>
    </w:p>
    <w:p>
      <w:pPr>
        <w:pStyle w:val="BodyText"/>
        <w:spacing w:line="316" w:lineRule="auto" w:before="31"/>
        <w:ind w:right="0"/>
        <w:jc w:val="left"/>
      </w:pPr>
      <w:r>
        <w:rPr>
          <w:spacing w:val="-2"/>
        </w:rPr>
        <w:t>公司对所有资产有完全的控制支配权，不存在资产、资金被控股股东占用而损害公司利益的情形。公司与控股股东有明确的</w:t>
      </w:r>
      <w:r>
        <w:rPr>
          <w:spacing w:val="-65"/>
        </w:rPr>
        <w:t> </w:t>
      </w:r>
      <w:r>
        <w:rPr>
          <w:spacing w:val="-65"/>
        </w:rPr>
      </w:r>
      <w:r>
        <w:rPr/>
        <w:t>产权关系，不存在依赖于控股股东及其控制的其他企业的情形。</w:t>
      </w:r>
    </w:p>
    <w:p>
      <w:pPr>
        <w:pStyle w:val="BodyText"/>
        <w:spacing w:line="300" w:lineRule="auto" w:before="19"/>
        <w:ind w:left="444" w:right="1118" w:hanging="291"/>
        <w:jc w:val="left"/>
      </w:pPr>
      <w:r>
        <w:rPr>
          <w:rFonts w:ascii="Times New Roman" w:hAnsi="Times New Roman" w:cs="Times New Roman" w:eastAsia="Times New Roman" w:hint="default"/>
        </w:rPr>
        <w:t>4</w:t>
      </w:r>
      <w:r>
        <w:rPr/>
        <w:t>、机构独立 </w:t>
      </w:r>
      <w:r>
        <w:rPr>
          <w:spacing w:val="-1"/>
        </w:rPr>
        <w:t>公司生产经营和办公机构独立，组织结构健全并能够适应自身经营发展需求，公司股东大会、董事会、监事会以及其他</w:t>
      </w:r>
    </w:p>
    <w:p>
      <w:pPr>
        <w:pStyle w:val="BodyText"/>
        <w:spacing w:line="240" w:lineRule="auto" w:before="32"/>
        <w:ind w:right="0"/>
        <w:jc w:val="left"/>
      </w:pPr>
      <w:r>
        <w:rPr/>
        <w:t>部门均独立运作，不存在控股股东及其控制的其他企业直接或间接干涉公司的机构设置或生产经营的情形。</w:t>
      </w:r>
    </w:p>
    <w:p>
      <w:pPr>
        <w:pStyle w:val="BodyText"/>
        <w:spacing w:line="300" w:lineRule="auto" w:before="76"/>
        <w:ind w:left="444" w:right="1118" w:hanging="291"/>
        <w:jc w:val="left"/>
      </w:pPr>
      <w:r>
        <w:rPr>
          <w:rFonts w:ascii="Times New Roman" w:hAnsi="Times New Roman" w:cs="Times New Roman" w:eastAsia="Times New Roman" w:hint="default"/>
        </w:rPr>
        <w:t>5</w:t>
      </w:r>
      <w:r>
        <w:rPr/>
        <w:t>、财务独立 </w:t>
      </w:r>
      <w:r>
        <w:rPr>
          <w:spacing w:val="-1"/>
        </w:rPr>
        <w:t>公司设置独立的财务部门，配备专职财务人员，实行独立核算，建立了独立的会计核算系统和财务管理制度。公司设置</w:t>
      </w:r>
    </w:p>
    <w:p>
      <w:pPr>
        <w:pStyle w:val="BodyText"/>
        <w:spacing w:line="316" w:lineRule="auto" w:before="31"/>
        <w:ind w:right="1130"/>
        <w:jc w:val="both"/>
      </w:pPr>
      <w:r>
        <w:rPr>
          <w:spacing w:val="-2"/>
        </w:rPr>
        <w:t>审计监察部，配备专职内部审计人员，内部审计管理制度健全。公司开设有独立的银行账号，依法独立进行纳税申报并履行</w:t>
      </w:r>
      <w:r>
        <w:rPr>
          <w:spacing w:val="-65"/>
        </w:rPr>
        <w:t> </w:t>
      </w:r>
      <w:r>
        <w:rPr>
          <w:spacing w:val="-65"/>
        </w:rPr>
      </w:r>
      <w:r>
        <w:rPr>
          <w:spacing w:val="-2"/>
        </w:rPr>
        <w:t>纳税义务，独立对外签订合同。不存在被控股股东干预资金使用、资金被占用等损害公司利益的情况。也不存在为股东及其</w:t>
      </w:r>
      <w:r>
        <w:rPr>
          <w:spacing w:val="-66"/>
        </w:rPr>
        <w:t> </w:t>
      </w:r>
      <w:r>
        <w:rPr>
          <w:spacing w:val="-66"/>
        </w:rPr>
      </w:r>
      <w:r>
        <w:rPr/>
        <w:t>下属单位、其他关联企业提供担保的情况。</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3"/>
      <w:bookmarkEnd w:id="133"/>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4"/>
      <w:bookmarkEnd w:id="134"/>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5"/>
      <w:bookmarkEnd w:id="13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65.12%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7" w:lineRule="auto" w:before="76"/>
              <w:ind w:left="23" w:right="-29"/>
              <w:jc w:val="left"/>
              <w:rPr>
                <w:rFonts w:ascii="宋体" w:hAnsi="宋体" w:cs="宋体" w:eastAsia="宋体"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 </w:t>
            </w:r>
            <w:r>
              <w:rPr>
                <w:rFonts w:ascii="宋体" w:hAnsi="宋体" w:cs="宋体" w:eastAsia="宋体" w:hint="default"/>
                <w:spacing w:val="-10"/>
                <w:sz w:val="18"/>
                <w:szCs w:val="18"/>
              </w:rPr>
              <w:t>东大会决议公告（公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2018-046</w:t>
            </w:r>
            <w:r>
              <w:rPr>
                <w:rFonts w:ascii="宋体" w:hAnsi="宋体" w:cs="宋体" w:eastAsia="宋体" w:hint="default"/>
                <w:sz w:val="18"/>
                <w:szCs w:val="18"/>
              </w:rPr>
              <w:t>）</w:t>
            </w:r>
          </w:p>
        </w:tc>
      </w:tr>
    </w:tbl>
    <w:p>
      <w:pPr>
        <w:spacing w:after="0" w:line="30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6"/>
              <w:ind w:left="23" w:right="84"/>
              <w:jc w:val="both"/>
              <w:rPr>
                <w:rFonts w:ascii="宋体" w:hAnsi="宋体" w:cs="宋体" w:eastAsia="宋体"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临时股东大会决议 公告（公告编号： </w:t>
            </w:r>
            <w:r>
              <w:rPr>
                <w:rFonts w:ascii="Times New Roman" w:hAnsi="Times New Roman" w:cs="Times New Roman" w:eastAsia="Times New Roman" w:hint="default"/>
                <w:sz w:val="18"/>
                <w:szCs w:val="18"/>
              </w:rPr>
              <w:t>2018-051</w:t>
            </w:r>
            <w:r>
              <w:rPr>
                <w:rFonts w:ascii="宋体" w:hAnsi="宋体" w:cs="宋体" w:eastAsia="宋体" w:hint="default"/>
                <w:sz w:val="18"/>
                <w:szCs w:val="18"/>
              </w:rPr>
              <w:t>）</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6"/>
              <w:ind w:left="23" w:right="84"/>
              <w:jc w:val="both"/>
              <w:rPr>
                <w:rFonts w:ascii="宋体" w:hAnsi="宋体" w:cs="宋体" w:eastAsia="宋体"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临时股东大会决议 公告（公告编号： </w:t>
            </w:r>
            <w:r>
              <w:rPr>
                <w:rFonts w:ascii="Times New Roman" w:hAnsi="Times New Roman" w:cs="Times New Roman" w:eastAsia="Times New Roman" w:hint="default"/>
                <w:sz w:val="18"/>
                <w:szCs w:val="18"/>
              </w:rPr>
              <w:t>2018-085</w:t>
            </w:r>
            <w:r>
              <w:rPr>
                <w:rFonts w:ascii="宋体" w:hAnsi="宋体" w:cs="宋体" w:eastAsia="宋体" w:hint="default"/>
                <w:sz w:val="18"/>
                <w:szCs w:val="18"/>
              </w:rPr>
              <w:t>）</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6"/>
              <w:ind w:left="23" w:right="84"/>
              <w:jc w:val="both"/>
              <w:rPr>
                <w:rFonts w:ascii="宋体" w:hAnsi="宋体" w:cs="宋体" w:eastAsia="宋体"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临时股东大会决议 公告（公告编号： </w:t>
            </w:r>
            <w:r>
              <w:rPr>
                <w:rFonts w:ascii="Times New Roman" w:hAnsi="Times New Roman" w:cs="Times New Roman" w:eastAsia="Times New Roman" w:hint="default"/>
                <w:sz w:val="18"/>
                <w:szCs w:val="18"/>
              </w:rPr>
              <w:t>2018-098</w:t>
            </w:r>
            <w:r>
              <w:rPr>
                <w:rFonts w:ascii="宋体" w:hAnsi="宋体" w:cs="宋体" w:eastAsia="宋体" w:hint="default"/>
                <w:sz w:val="18"/>
                <w:szCs w:val="18"/>
              </w:rPr>
              <w:t>）</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6"/>
              <w:ind w:left="23" w:right="84"/>
              <w:jc w:val="both"/>
              <w:rPr>
                <w:rFonts w:ascii="宋体" w:hAnsi="宋体" w:cs="宋体" w:eastAsia="宋体"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 临时股东大会决议 公告（公告编号： </w:t>
            </w:r>
            <w:r>
              <w:rPr>
                <w:rFonts w:ascii="Times New Roman" w:hAnsi="Times New Roman" w:cs="Times New Roman" w:eastAsia="Times New Roman" w:hint="default"/>
                <w:sz w:val="18"/>
                <w:szCs w:val="18"/>
              </w:rPr>
              <w:t>2018-125</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6"/>
      <w:bookmarkEnd w:id="13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37"/>
      <w:bookmarkEnd w:id="137"/>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8"/>
      <w:bookmarkEnd w:id="13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于风政</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杨大贺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侯平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51"/>
        <w:ind w:right="8052"/>
        <w:jc w:val="left"/>
      </w:pPr>
      <w:r>
        <w:rPr/>
        <w:t>连续两次未亲自出席董事会的说明 不适用。</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独立董事对公司有关事项提出异议的情况" w:id="139"/>
      <w:bookmarkEnd w:id="13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40"/>
      <w:bookmarkEnd w:id="14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032" w:firstLine="360"/>
        <w:jc w:val="left"/>
      </w:pPr>
      <w:r>
        <w:rPr>
          <w:spacing w:val="-2"/>
        </w:rPr>
        <w:t>报告期内，公司独立董事严格按照中国证监会、深交所及《公司章程》的相关规定，认真履行独立董事的职责。在董事</w:t>
      </w:r>
      <w:r>
        <w:rPr/>
        <w:t> 会审议决策重大事项时，会对公司提供的资料进行认真地审核，必要时对相关部门和人员进行询问，利用自身的专业知识， 独立、客观、审慎地行使表决权，促进董事会决策的科学性和客观性，切实维护公司和全体股东的利益。</w:t>
      </w:r>
      <w:r>
        <w:rPr>
          <w:spacing w:val="-18"/>
        </w:rPr>
        <w:t> </w:t>
      </w:r>
      <w:r>
        <w:rPr/>
        <w:t>公司独立董事能</w:t>
      </w:r>
      <w:r>
        <w:rPr/>
        <w:t> </w:t>
      </w:r>
      <w:r>
        <w:rPr>
          <w:spacing w:val="-2"/>
        </w:rPr>
        <w:t>够深入了解公司经营状况、内部控制完善情况及执行董事会决议、股东大会决议的情况，并对公司的经营策略、利润分配方</w:t>
      </w:r>
      <w:r>
        <w:rPr>
          <w:spacing w:val="-66"/>
        </w:rPr>
        <w:t> </w:t>
      </w:r>
      <w:r>
        <w:rPr>
          <w:spacing w:val="-66"/>
        </w:rPr>
      </w:r>
      <w:r>
        <w:rPr>
          <w:spacing w:val="-2"/>
        </w:rPr>
        <w:t>案、委托理财、募集资金存放与使用、对外担保等事项发表了独立意见，能够基于独立判断立场，利用专业知识，为公司经</w:t>
      </w:r>
      <w:r>
        <w:rPr>
          <w:spacing w:val="-68"/>
        </w:rPr>
        <w:t> </w:t>
      </w:r>
      <w:r>
        <w:rPr>
          <w:spacing w:val="-68"/>
        </w:rPr>
      </w:r>
      <w:r>
        <w:rPr/>
        <w:t>营发展提出合理的建议。</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0" w:firstLine="360"/>
        <w:jc w:val="both"/>
      </w:pPr>
      <w:r>
        <w:rPr>
          <w:spacing w:val="-2"/>
        </w:rPr>
        <w:t>公司董事会下设四个专门委员会，分别为战略委员会、审计委员会、薪酬与考核委员会、提名委员会。报告期内，董事</w:t>
      </w:r>
      <w:r>
        <w:rPr/>
        <w:t> </w:t>
      </w:r>
      <w:r>
        <w:rPr>
          <w:spacing w:val="-2"/>
        </w:rPr>
        <w:t>会各专门委员会根据《公司章程》和各专门委员会实施细则等相关规定履行各项职责，对公司内部控制建设和完善起到了积</w:t>
      </w:r>
      <w:r>
        <w:rPr>
          <w:spacing w:val="-66"/>
        </w:rPr>
        <w:t> </w:t>
      </w:r>
      <w:r>
        <w:rPr>
          <w:spacing w:val="-66"/>
        </w:rPr>
      </w:r>
      <w:r>
        <w:rPr/>
        <w:t>极的作用。</w:t>
      </w:r>
    </w:p>
    <w:p>
      <w:pPr>
        <w:pStyle w:val="BodyText"/>
        <w:spacing w:line="300" w:lineRule="auto" w:before="17"/>
        <w:ind w:left="514" w:right="1118"/>
        <w:jc w:val="left"/>
      </w:pPr>
      <w:r>
        <w:rPr>
          <w:rFonts w:ascii="Times New Roman" w:hAnsi="Times New Roman" w:cs="Times New Roman" w:eastAsia="Times New Roman" w:hint="default"/>
        </w:rPr>
        <w:t>1</w:t>
      </w:r>
      <w:r>
        <w:rPr/>
        <w:t>、战略委员会 </w:t>
      </w:r>
      <w:r>
        <w:rPr>
          <w:spacing w:val="-2"/>
        </w:rPr>
        <w:t>报告期内，战略委员会根据公司所处的行业特点及发展阶段，结合公司经营情况，积极研究符合公司发展方向的战略规</w:t>
      </w:r>
    </w:p>
    <w:p>
      <w:pPr>
        <w:pStyle w:val="BodyText"/>
        <w:spacing w:line="316" w:lineRule="auto" w:before="31"/>
        <w:ind w:right="1118"/>
        <w:jc w:val="left"/>
      </w:pPr>
      <w:r>
        <w:rPr>
          <w:spacing w:val="-2"/>
        </w:rPr>
        <w:t>划，关注公司生产经营中可能出现的潜在风险，对公司的战略发展及业务扩展等方面提出建议，为公司的稳健发展提供了宝</w:t>
      </w:r>
      <w:r>
        <w:rPr>
          <w:spacing w:val="-66"/>
        </w:rPr>
        <w:t> </w:t>
      </w:r>
      <w:r>
        <w:rPr>
          <w:spacing w:val="-66"/>
        </w:rPr>
      </w:r>
      <w:r>
        <w:rPr/>
        <w:t>贵的意见。</w:t>
      </w:r>
    </w:p>
    <w:p>
      <w:pPr>
        <w:pStyle w:val="BodyText"/>
        <w:spacing w:line="300" w:lineRule="auto" w:before="19"/>
        <w:ind w:left="514" w:right="1118"/>
        <w:jc w:val="left"/>
      </w:pPr>
      <w:r>
        <w:rPr>
          <w:rFonts w:ascii="Times New Roman" w:hAnsi="Times New Roman" w:cs="Times New Roman" w:eastAsia="Times New Roman" w:hint="default"/>
        </w:rPr>
        <w:t>2</w:t>
      </w:r>
      <w:r>
        <w:rPr/>
        <w:t>、审计委员会 </w:t>
      </w:r>
      <w:r>
        <w:rPr>
          <w:spacing w:val="-2"/>
        </w:rPr>
        <w:t>报告期内，审计委员会认真审核公司的财务信息及其披露，对公司的内审与外审工作进行审核并提出指导意见。审计委</w:t>
      </w:r>
    </w:p>
    <w:p>
      <w:pPr>
        <w:pStyle w:val="BodyText"/>
        <w:spacing w:line="316" w:lineRule="auto" w:before="31"/>
        <w:ind w:right="1140"/>
        <w:jc w:val="left"/>
      </w:pPr>
      <w:r>
        <w:rPr/>
        <w:t>员会能够按要求召开会议，</w:t>
      </w:r>
      <w:r>
        <w:rPr>
          <w:spacing w:val="-18"/>
        </w:rPr>
        <w:t> </w:t>
      </w:r>
      <w:r>
        <w:rPr/>
        <w:t>就公司审计监察部提报的工作报告进行核查，对公司定期报告、内部控制、续聘会计机构等事</w:t>
      </w:r>
      <w:r>
        <w:rPr/>
        <w:t> 项进行讨论并发表意见。</w:t>
      </w:r>
    </w:p>
    <w:p>
      <w:pPr>
        <w:pStyle w:val="BodyText"/>
        <w:spacing w:line="300" w:lineRule="auto" w:before="19"/>
        <w:ind w:left="514" w:right="1032"/>
        <w:jc w:val="left"/>
      </w:pPr>
      <w:r>
        <w:rPr>
          <w:rFonts w:ascii="Times New Roman" w:hAnsi="Times New Roman" w:cs="Times New Roman" w:eastAsia="Times New Roman" w:hint="default"/>
        </w:rPr>
        <w:t>3</w:t>
      </w:r>
      <w:r>
        <w:rPr/>
        <w:t>、薪酬与考核委员会 报告期内，薪酬与考核委员会按照规定，认真审查董事、高级管理人员和其他人员薪酬政策与方案，提出专业的建议，</w:t>
      </w:r>
    </w:p>
    <w:p>
      <w:pPr>
        <w:pStyle w:val="BodyText"/>
        <w:spacing w:line="240" w:lineRule="auto" w:before="31"/>
        <w:ind w:right="0"/>
        <w:jc w:val="left"/>
      </w:pPr>
      <w:r>
        <w:rPr/>
        <w:t>审查公司实施股权激励的相关事项，为公司董事会作出正确决策起到了积极作用。</w:t>
      </w:r>
    </w:p>
    <w:p>
      <w:pPr>
        <w:pStyle w:val="BodyText"/>
        <w:spacing w:line="300" w:lineRule="auto" w:before="76"/>
        <w:ind w:left="514" w:right="1118"/>
        <w:jc w:val="left"/>
      </w:pPr>
      <w:r>
        <w:rPr>
          <w:rFonts w:ascii="Times New Roman" w:hAnsi="Times New Roman" w:cs="Times New Roman" w:eastAsia="Times New Roman" w:hint="default"/>
        </w:rPr>
        <w:t>4</w:t>
      </w:r>
      <w:r>
        <w:rPr/>
        <w:t>、提名委员会 </w:t>
      </w:r>
      <w:r>
        <w:rPr>
          <w:spacing w:val="-2"/>
        </w:rPr>
        <w:t>报告期内，提名委员会对公司高级管理人员的选聘及任职资格进行认真审查，对第三届董事会董事成员和高级管理人员</w:t>
      </w:r>
    </w:p>
    <w:p>
      <w:pPr>
        <w:pStyle w:val="BodyText"/>
        <w:spacing w:line="240" w:lineRule="auto" w:before="31"/>
        <w:ind w:right="0"/>
        <w:jc w:val="left"/>
      </w:pPr>
      <w:r>
        <w:rPr/>
        <w:t>进行提名审核并提交董事会审议，提出专业意见供董事会决策。</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2" w:firstLine="360"/>
        <w:jc w:val="left"/>
      </w:pPr>
      <w:r>
        <w:rPr>
          <w:spacing w:val="-2"/>
        </w:rPr>
        <w:t>公司建立了完善的员工绩效评价和激励约束机制，以及公正透明的高级管理人员的绩效评价、激励约束机制。公司董事</w:t>
      </w:r>
      <w:r>
        <w:rPr/>
        <w:t> 会下设薪酬与考核委员会，负责选聘高级管理人员的提名和对高级管理人员的工作能力、履职情况、目标完成情况等核查。 </w:t>
      </w:r>
      <w:r>
        <w:rPr>
          <w:spacing w:val="-2"/>
        </w:rPr>
        <w:t>公司依据年度经营业绩状况、高级管人员的岗位职责和年度工作目标完成等情况，进行综合考评，根据考评结果确定高级管</w:t>
      </w:r>
      <w:r>
        <w:rPr>
          <w:spacing w:val="-66"/>
        </w:rPr>
        <w:t> </w:t>
      </w:r>
      <w:r>
        <w:rPr>
          <w:spacing w:val="-66"/>
        </w:rPr>
      </w:r>
      <w:r>
        <w:rPr>
          <w:spacing w:val="-2"/>
        </w:rPr>
        <w:t>理人员的薪酬绩效，促进高级管理人员良好的履行职责。为进一步提高公司经营管理者的积极性、创造性、公司会逐步建立</w:t>
      </w:r>
      <w:r>
        <w:rPr>
          <w:spacing w:val="-66"/>
        </w:rPr>
        <w:t> </w:t>
      </w:r>
      <w:r>
        <w:rPr>
          <w:spacing w:val="-66"/>
        </w:rPr>
      </w:r>
      <w:r>
        <w:rPr/>
        <w:t>多层次考核与激励机制，吸引和稳定人才，促进公司业绩持续增长。</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5"/>
      <w:bookmarkEnd w:id="14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6"/>
      <w:bookmarkEnd w:id="14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6"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6"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6" w:lineRule="auto" w:before="52"/>
              <w:ind w:left="22" w:right="48"/>
              <w:jc w:val="both"/>
              <w:rPr>
                <w:rFonts w:ascii="宋体" w:hAnsi="宋体" w:cs="宋体" w:eastAsia="宋体" w:hint="default"/>
                <w:sz w:val="18"/>
                <w:szCs w:val="18"/>
              </w:rPr>
            </w:pPr>
            <w:r>
              <w:rPr>
                <w:rFonts w:ascii="宋体" w:hAnsi="宋体" w:cs="宋体" w:eastAsia="宋体" w:hint="default"/>
                <w:sz w:val="18"/>
                <w:szCs w:val="18"/>
              </w:rPr>
              <w:t>财务报告重大缺陷的定性标准：公司控制 环境无效；公司董事、监事和高级管理人 员的舞弊行为；公司更正已公布的财务报 告，注册会计师发现的却未被公司内部控 制识别的当期财务报告中的重大错报；审 计委员会和审计部对公司的对外财务报告 和财务报告内部监督无效。财务报告重要 缺陷的定性标准：未依照公认会计准则选 择和应用会计政策；未建立反舞弊程序和 控制措施；对于非常规或特殊交易的账务 处理没有建立相应的控制机制或没有相应 的补偿性控制；对于期末财务报告过程的 控制存在一项或多项缺陷且不能合理保证 编制的财务报表达到真实、准确的目标。 一般缺陷是指除上述重大缺陷、重大缺陷 之外的其他控制缺陷。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性作判定。如果缺陷发生的可能性高， </w:t>
            </w:r>
            <w:r>
              <w:rPr>
                <w:rFonts w:ascii="宋体" w:hAnsi="宋体" w:cs="宋体" w:eastAsia="宋体" w:hint="default"/>
                <w:spacing w:val="-4"/>
                <w:sz w:val="18"/>
                <w:szCs w:val="18"/>
              </w:rPr>
              <w:t>难以发现并更正，对工作效率或效果有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严重影响，或使之严重偏离预期目标为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重大缺陷；如果缺陷发生的可能性较 </w:t>
            </w:r>
            <w:r>
              <w:rPr>
                <w:rFonts w:ascii="宋体" w:hAnsi="宋体" w:cs="宋体" w:eastAsia="宋体" w:hint="default"/>
                <w:spacing w:val="-4"/>
                <w:sz w:val="18"/>
                <w:szCs w:val="18"/>
              </w:rPr>
              <w:t>高，较容易发现并更正，对工作效率或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效果有显著影响，或使之显著偏离预期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目标为重要缺陷；如果缺陷发生的可能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性较小，可以马上发现并更正，对工作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效率或效果只造成轻微影响，或使之偏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离预期目标为一般缺陷。</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345"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42"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13" w:space="0" w:color="D2D2D2"/>
              <w:right w:val="single" w:sz="4" w:space="0" w:color="000000"/>
            </w:tcBorders>
          </w:tcPr>
          <w:p>
            <w:pPr>
              <w:pStyle w:val="TableParagraph"/>
              <w:spacing w:line="316" w:lineRule="auto" w:before="52"/>
              <w:ind w:left="16" w:right="48"/>
              <w:jc w:val="left"/>
              <w:rPr>
                <w:rFonts w:ascii="宋体" w:hAnsi="宋体" w:cs="宋体" w:eastAsia="宋体" w:hint="default"/>
                <w:sz w:val="18"/>
                <w:szCs w:val="18"/>
              </w:rPr>
            </w:pPr>
            <w:r>
              <w:rPr>
                <w:rFonts w:ascii="宋体" w:hAnsi="宋体" w:cs="宋体" w:eastAsia="宋体" w:hint="default"/>
                <w:sz w:val="18"/>
                <w:szCs w:val="18"/>
              </w:rPr>
              <w:t>重大缺陷指考虑补偿性控制措施和实际偏 差率后，该缺陷总体影响水平高于营业收</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已经对外正式披露并对公司定期报告 </w:t>
            </w:r>
            <w:r>
              <w:rPr>
                <w:rFonts w:ascii="宋体" w:hAnsi="宋体" w:cs="宋体" w:eastAsia="宋体" w:hint="default"/>
                <w:spacing w:val="-4"/>
                <w:sz w:val="18"/>
                <w:szCs w:val="18"/>
              </w:rPr>
              <w:t>披露造成负面影响、企业关键岗位人员</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13"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40"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13"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pStyle w:val="BodyText"/>
        <w:spacing w:line="240" w:lineRule="auto" w:before="44"/>
        <w:ind w:left="0" w:right="1140"/>
        <w:jc w:val="right"/>
      </w:pPr>
      <w:r>
        <w:rPr/>
        <w:pict>
          <v:shape style="position:absolute;margin-left:56.459999pt;margin-top:-45.608307pt;width:479.2pt;height:177.0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4"/>
                    <w:gridCol w:w="3051"/>
                  </w:tblGrid>
                  <w:tr>
                    <w:trPr>
                      <w:trHeight w:val="19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3" w:right="22"/>
                          <w:jc w:val="both"/>
                          <w:rPr>
                            <w:rFonts w:ascii="宋体" w:hAnsi="宋体" w:cs="宋体" w:eastAsia="宋体" w:hint="default"/>
                            <w:sz w:val="18"/>
                            <w:szCs w:val="18"/>
                          </w:rPr>
                        </w:pPr>
                        <w:r>
                          <w:rPr>
                            <w:rFonts w:ascii="宋体" w:hAnsi="宋体" w:cs="宋体" w:eastAsia="宋体" w:hint="default"/>
                            <w:sz w:val="18"/>
                            <w:szCs w:val="18"/>
                          </w:rPr>
                          <w:t>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宋体" w:hAnsi="宋体" w:cs="宋体" w:eastAsia="宋体" w:hint="default"/>
                            <w:sz w:val="18"/>
                            <w:szCs w:val="18"/>
                          </w:rPr>
                          <w:t>重要缺陷考虑补偿性控制措 施和实际偏差率后，该缺陷总体影响水平 低于营业收入的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，但高于营业收入的</w:t>
                        </w:r>
                        <w:r>
                          <w:rPr>
                            <w:rFonts w:ascii="宋体" w:hAnsi="宋体" w:cs="宋体" w:eastAsia="宋体" w:hint="default"/>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；一般缺陷考虑补偿性控制措施和实 际偏差率后，该缺陷总体影响水平低于营 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pacing w:val="-4"/>
                            <w:sz w:val="18"/>
                            <w:szCs w:val="18"/>
                          </w:rPr>
                          <w:t>流失严重、重大决策失误、重大安全事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故、受到国家政府部门处罚等，造成直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接财产损失或潜在负面影响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2" w:lineRule="auto"/>
                          <w:ind w:left="22" w:right="91"/>
                          <w:jc w:val="both"/>
                          <w:rPr>
                            <w:rFonts w:ascii="宋体" w:hAnsi="宋体" w:cs="宋体" w:eastAsia="宋体" w:hint="default"/>
                            <w:sz w:val="18"/>
                            <w:szCs w:val="18"/>
                          </w:rPr>
                        </w:pPr>
                        <w:r>
                          <w:rPr>
                            <w:rFonts w:ascii="宋体" w:hAnsi="宋体" w:cs="宋体" w:eastAsia="宋体" w:hint="default"/>
                            <w:spacing w:val="-4"/>
                            <w:sz w:val="18"/>
                            <w:szCs w:val="18"/>
                          </w:rPr>
                          <w:t>（含）以上为重大缺陷；</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万元（含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万元为重要缺陷；</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 为一般缺陷。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2"/>
        <w:spacing w:line="240" w:lineRule="auto" w:before="26"/>
        <w:ind w:right="0"/>
        <w:jc w:val="left"/>
        <w:rPr>
          <w:b w:val="0"/>
          <w:bCs w:val="0"/>
        </w:rPr>
      </w:pPr>
      <w:bookmarkStart w:name="十、内部控制审计报告或鉴证报告" w:id="147"/>
      <w:bookmarkEnd w:id="147"/>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汇金科技于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340" w:lineRule="auto" w:before="116"/>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48"/>
      <w:bookmarkStart w:name="第十节 公司债券相关情况" w:id="149"/>
      <w:r>
        <w:rPr>
          <w:b w:val="0"/>
          <w:bCs w:val="0"/>
        </w:rPr>
      </w:r>
      <w:r>
        <w:rPr/>
        <w:t>第十节</w:t>
      </w:r>
      <w:r>
        <w:rPr>
          <w:spacing w:val="-9"/>
        </w:rPr>
        <w:t> </w:t>
      </w:r>
      <w:r>
        <w:rPr/>
        <w:t>公司债券相关情况</w:t>
      </w:r>
      <w:bookmarkEnd w:id="148"/>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_TOC_250001" w:id="150"/>
      <w:bookmarkStart w:name="第十一节 财务报告" w:id="151"/>
      <w:r>
        <w:rPr>
          <w:b w:val="0"/>
          <w:bCs w:val="0"/>
        </w:rPr>
      </w:r>
      <w:r>
        <w:rPr/>
        <w:t>第十一节</w:t>
      </w:r>
      <w:r>
        <w:rPr>
          <w:spacing w:val="-6"/>
        </w:rPr>
        <w:t> </w:t>
      </w:r>
      <w:r>
        <w:rPr/>
        <w:t>财务报告</w:t>
      </w:r>
      <w:bookmarkEnd w:id="15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2"/>
      <w:bookmarkEnd w:id="152"/>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40060005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tabs>
                <w:tab w:pos="652"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王莹</w:t>
              <w:tab/>
              <w:t>刘展强</w:t>
            </w:r>
          </w:p>
        </w:tc>
      </w:tr>
    </w:tbl>
    <w:p>
      <w:pPr>
        <w:pStyle w:val="BodyText"/>
        <w:spacing w:line="240" w:lineRule="auto" w:before="51"/>
        <w:ind w:left="2786" w:right="3762"/>
        <w:jc w:val="center"/>
      </w:pPr>
      <w:r>
        <w:rPr/>
        <w:t>审计报告正文</w:t>
      </w:r>
    </w:p>
    <w:p>
      <w:pPr>
        <w:pStyle w:val="BodyText"/>
        <w:spacing w:line="240" w:lineRule="auto" w:before="116"/>
        <w:ind w:right="0"/>
        <w:jc w:val="left"/>
      </w:pPr>
      <w:r>
        <w:rPr/>
        <w:t>珠海汇金科技股份有限公司全体股东：</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514" w:right="0"/>
        <w:jc w:val="left"/>
      </w:pPr>
      <w:r>
        <w:rPr/>
        <w:t>一、审计意见</w:t>
      </w:r>
    </w:p>
    <w:p>
      <w:pPr>
        <w:pStyle w:val="BodyText"/>
        <w:spacing w:line="302" w:lineRule="auto" w:before="115"/>
        <w:ind w:right="1146" w:firstLine="360"/>
        <w:jc w:val="left"/>
      </w:pPr>
      <w:r>
        <w:rPr/>
        <w:t>我们审计了珠海汇金科技股份有限公司（以下简称</w:t>
      </w:r>
      <w:r>
        <w:rPr>
          <w:rFonts w:ascii="Times New Roman" w:hAnsi="Times New Roman" w:cs="Times New Roman" w:eastAsia="Times New Roman" w:hint="default"/>
        </w:rPr>
        <w:t>“</w:t>
      </w:r>
      <w:r>
        <w:rPr/>
        <w:t>汇金科技</w:t>
      </w:r>
      <w:r>
        <w:rPr>
          <w:rFonts w:ascii="Times New Roman" w:hAnsi="Times New Roman" w:cs="Times New Roman" w:eastAsia="Times New Roman" w:hint="default"/>
        </w:rPr>
        <w:t>”</w:t>
      </w:r>
      <w:r>
        <w:rPr/>
        <w:t>）财务报表，包括</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日的合并及公司资产 负债表，</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年度的合并及公司利润表、合并及公司现金流量表、合并及公司股东权益变动表以及相关财务报表附注。</w:t>
      </w:r>
    </w:p>
    <w:p>
      <w:pPr>
        <w:pStyle w:val="BodyText"/>
        <w:spacing w:line="240" w:lineRule="auto" w:before="50"/>
        <w:ind w:left="514" w:right="0"/>
        <w:jc w:val="left"/>
      </w:pPr>
      <w:r>
        <w:rPr/>
        <w:t>我们认为，后附的财务报表在所有重大方面按照企业会计准则的规定编制，公允反映了汇金科技</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日合</w:t>
      </w:r>
    </w:p>
    <w:p>
      <w:pPr>
        <w:pStyle w:val="BodyText"/>
        <w:spacing w:line="240" w:lineRule="auto" w:before="64"/>
        <w:ind w:right="0"/>
        <w:jc w:val="left"/>
      </w:pPr>
      <w:r>
        <w:rPr/>
        <w:t>并及公司的财务状况以及</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年度合并及公司的经营成果和现金流量。</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357" w:lineRule="auto"/>
        <w:ind w:left="514" w:right="0"/>
        <w:jc w:val="left"/>
      </w:pPr>
      <w:r>
        <w:rPr/>
        <w:t>二、形成审计意见的基础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201" w:lineRule="exact"/>
        <w:ind w:right="0"/>
        <w:jc w:val="left"/>
      </w:pPr>
      <w:r>
        <w:rPr/>
        <w:t>阐述了我们在这些准则下的责任。按照中国注册会计师职业道德守则，我们独立于汇金科技，并履行了职业道德方面的其他</w:t>
      </w:r>
    </w:p>
    <w:p>
      <w:pPr>
        <w:pStyle w:val="BodyText"/>
        <w:spacing w:line="240" w:lineRule="auto" w:before="77"/>
        <w:ind w:right="0"/>
        <w:jc w:val="left"/>
      </w:pPr>
      <w:r>
        <w:rPr/>
        <w:t>责任。我们相信，我们获取的审计证据是充分、适当的，为发表审计意见提供了基础。</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57" w:lineRule="auto"/>
        <w:ind w:left="514" w:right="0"/>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225" w:lineRule="exact"/>
        <w:ind w:right="0"/>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pStyle w:val="BodyText"/>
        <w:spacing w:line="240" w:lineRule="auto" w:before="116"/>
        <w:ind w:left="514" w:right="0"/>
        <w:jc w:val="left"/>
      </w:pPr>
      <w:r>
        <w:rPr/>
        <w:t>（一）收入确认</w:t>
      </w:r>
    </w:p>
    <w:p>
      <w:pPr>
        <w:pStyle w:val="BodyText"/>
        <w:spacing w:line="240" w:lineRule="auto" w:before="116"/>
        <w:ind w:left="514" w:right="0"/>
        <w:jc w:val="left"/>
      </w:pPr>
      <w:r>
        <w:rPr>
          <w:rFonts w:ascii="Times New Roman" w:hAnsi="Times New Roman" w:cs="Times New Roman" w:eastAsia="Times New Roman" w:hint="default"/>
        </w:rPr>
        <w:t>1</w:t>
      </w:r>
      <w:r>
        <w:rPr/>
        <w:t>、事项描述</w:t>
      </w:r>
    </w:p>
    <w:p>
      <w:pPr>
        <w:pStyle w:val="BodyText"/>
        <w:spacing w:line="304" w:lineRule="auto" w:before="102"/>
        <w:ind w:right="1034" w:firstLine="360"/>
        <w:jc w:val="left"/>
      </w:pPr>
      <w:r>
        <w:rPr/>
        <w:t>如财务报表附注四、</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所述的会计政策和财务报表附注六、</w:t>
      </w:r>
      <w:r>
        <w:rPr>
          <w:rFonts w:ascii="Times New Roman" w:hAnsi="Times New Roman" w:cs="Times New Roman" w:eastAsia="Times New Roman" w:hint="default"/>
        </w:rPr>
        <w:t>24</w:t>
      </w:r>
      <w:r>
        <w:rPr/>
        <w:t>，公司银行自助设备现金管理系统、银行印章管理系统 </w:t>
      </w:r>
      <w:r>
        <w:rPr>
          <w:spacing w:val="-2"/>
        </w:rPr>
        <w:t>产品和人脸识别系统产品通常按照合同约定向购买方移交，并完成安装、调试工作，取得了购买方验收确认单据后确认销售</w:t>
      </w:r>
      <w:r>
        <w:rPr>
          <w:spacing w:val="-66"/>
        </w:rPr>
        <w:t> </w:t>
      </w:r>
      <w:r>
        <w:rPr>
          <w:spacing w:val="-66"/>
        </w:rPr>
      </w:r>
      <w:r>
        <w:rPr>
          <w:spacing w:val="-5"/>
        </w:rPr>
        <w:t>收入。</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8"/>
        </w:rPr>
        <w:t> </w:t>
      </w:r>
      <w:r>
        <w:rPr>
          <w:spacing w:val="-3"/>
        </w:rPr>
        <w:t>年度，汇金科技确认的银行自助设备现金管理系统、银行印章管理系统、人脸识别系统等收入为</w:t>
      </w:r>
      <w:r>
        <w:rPr>
          <w:spacing w:val="-37"/>
        </w:rPr>
        <w:t> </w:t>
      </w:r>
      <w:r>
        <w:rPr>
          <w:rFonts w:ascii="Times New Roman" w:hAnsi="Times New Roman" w:cs="Times New Roman" w:eastAsia="Times New Roman" w:hint="default"/>
        </w:rPr>
        <w:t>17,264.32</w:t>
      </w:r>
      <w:r>
        <w:rPr>
          <w:rFonts w:ascii="Times New Roman" w:hAnsi="Times New Roman" w:cs="Times New Roman" w:eastAsia="Times New Roman" w:hint="default"/>
          <w:spacing w:val="8"/>
        </w:rPr>
        <w:t> </w:t>
      </w:r>
      <w:r>
        <w:rPr/>
        <w:t>万元，</w:t>
      </w:r>
      <w:r>
        <w:rPr>
          <w:spacing w:val="-88"/>
        </w:rPr>
        <w:t> </w:t>
      </w:r>
      <w:r>
        <w:rPr/>
        <w:t>占收入总额的</w:t>
      </w:r>
      <w:r>
        <w:rPr>
          <w:spacing w:val="-47"/>
        </w:rPr>
        <w:t> </w:t>
      </w:r>
      <w:r>
        <w:rPr>
          <w:rFonts w:ascii="Times New Roman" w:hAnsi="Times New Roman" w:cs="Times New Roman" w:eastAsia="Times New Roman" w:hint="default"/>
        </w:rPr>
        <w:t>70.60%</w:t>
      </w:r>
      <w:r>
        <w:rPr/>
        <w:t>。由于营业收入是汇金科技的关键绩效指标之一，商品从发货到安装验收存在一定的期间，存在管理 层为特定目的或预期而操纵收入确认时点的风险，我们将汇金科技收入确认列为关键审计事项。</w:t>
      </w:r>
    </w:p>
    <w:p>
      <w:pPr>
        <w:pStyle w:val="BodyText"/>
        <w:spacing w:line="240" w:lineRule="auto" w:before="67"/>
        <w:ind w:left="514" w:right="0"/>
        <w:jc w:val="left"/>
      </w:pPr>
      <w:r>
        <w:rPr>
          <w:rFonts w:ascii="Times New Roman" w:hAnsi="Times New Roman" w:cs="Times New Roman" w:eastAsia="Times New Roman" w:hint="default"/>
        </w:rPr>
        <w:t>2</w:t>
      </w:r>
      <w:r>
        <w:rPr/>
        <w:t>、审计应对</w:t>
      </w:r>
    </w:p>
    <w:p>
      <w:pPr>
        <w:pStyle w:val="BodyText"/>
        <w:spacing w:line="300" w:lineRule="auto" w:before="101"/>
        <w:ind w:right="1130" w:firstLine="360"/>
        <w:jc w:val="both"/>
      </w:pPr>
      <w:r>
        <w:rPr/>
        <w:t>（</w:t>
      </w:r>
      <w:r>
        <w:rPr>
          <w:rFonts w:ascii="Times New Roman" w:hAnsi="Times New Roman" w:cs="Times New Roman" w:eastAsia="Times New Roman" w:hint="default"/>
        </w:rPr>
        <w:t>1</w:t>
      </w:r>
      <w:r>
        <w:rPr/>
        <w:t>）我们了解、评估了管理层对汇金科技与收入确认相关的相关关键内部控制的设计，并测试了关键控制执行的有效 </w:t>
      </w:r>
      <w:r>
        <w:rPr>
          <w:spacing w:val="-4"/>
        </w:rPr>
        <w:t>性；（</w:t>
      </w:r>
      <w:r>
        <w:rPr>
          <w:rFonts w:ascii="Times New Roman" w:hAnsi="Times New Roman" w:cs="Times New Roman" w:eastAsia="Times New Roman" w:hint="default"/>
          <w:spacing w:val="-4"/>
        </w:rPr>
        <w:t>2</w:t>
      </w:r>
      <w:r>
        <w:rPr>
          <w:spacing w:val="-4"/>
        </w:rPr>
        <w:t>）选取样本检查销售合同，识别与商品所有权上的风险和报酬转移相关的合同条款与条件，评价收入确认时点是否符</w:t>
      </w:r>
      <w:r>
        <w:rPr>
          <w:spacing w:val="-45"/>
        </w:rPr>
        <w:t> </w:t>
      </w:r>
      <w:r>
        <w:rPr>
          <w:spacing w:val="-45"/>
        </w:rPr>
      </w:r>
      <w:r>
        <w:rPr>
          <w:spacing w:val="-4"/>
        </w:rPr>
        <w:t>合企业会计准则的要求；（</w:t>
      </w:r>
      <w:r>
        <w:rPr>
          <w:rFonts w:ascii="Times New Roman" w:hAnsi="Times New Roman" w:cs="Times New Roman" w:eastAsia="Times New Roman" w:hint="default"/>
          <w:spacing w:val="-4"/>
        </w:rPr>
        <w:t>3</w:t>
      </w:r>
      <w:r>
        <w:rPr>
          <w:spacing w:val="-4"/>
        </w:rPr>
        <w:t>）我们抽样检查了与收入确认相关的支持性文件，包括销售订单、发货单、安装验收单等，评价</w:t>
      </w:r>
      <w:r>
        <w:rPr>
          <w:spacing w:val="-47"/>
        </w:rPr>
        <w:t> </w:t>
      </w:r>
      <w:r>
        <w:rPr>
          <w:spacing w:val="-47"/>
        </w:rPr>
      </w:r>
      <w:r>
        <w:rPr>
          <w:spacing w:val="-4"/>
        </w:rPr>
        <w:t>收入确认是否符合公司收入确认的会计政策；（</w:t>
      </w:r>
      <w:r>
        <w:rPr>
          <w:rFonts w:ascii="Times New Roman" w:hAnsi="Times New Roman" w:cs="Times New Roman" w:eastAsia="Times New Roman" w:hint="default"/>
          <w:spacing w:val="-4"/>
        </w:rPr>
        <w:t>4</w:t>
      </w:r>
      <w:r>
        <w:rPr>
          <w:spacing w:val="-4"/>
        </w:rPr>
        <w:t>）我们抽样对汇金科技的客户进行了函证，包括对客户期末应收账款的余额</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32"/>
        <w:jc w:val="both"/>
      </w:pPr>
      <w:r>
        <w:rPr>
          <w:spacing w:val="-4"/>
        </w:rPr>
        <w:t>以及本期确认的收入金额进行函证；（</w:t>
      </w:r>
      <w:r>
        <w:rPr>
          <w:rFonts w:ascii="Times New Roman" w:hAnsi="Times New Roman" w:cs="Times New Roman" w:eastAsia="Times New Roman" w:hint="default"/>
          <w:spacing w:val="-4"/>
        </w:rPr>
        <w:t>5</w:t>
      </w:r>
      <w:r>
        <w:rPr>
          <w:spacing w:val="-4"/>
        </w:rPr>
        <w:t>）我们从汇金科技资产负债表日前后确认收入的记录中选取样本核对发货单、验收单</w:t>
      </w:r>
      <w:r>
        <w:rPr>
          <w:spacing w:val="-44"/>
        </w:rPr>
        <w:t> </w:t>
      </w:r>
      <w:r>
        <w:rPr>
          <w:spacing w:val="-44"/>
        </w:rPr>
      </w:r>
      <w:r>
        <w:rPr/>
        <w:t>等支持性文件，以评估收入是否在恰当的会计期间确认。</w:t>
      </w:r>
    </w:p>
    <w:p>
      <w:pPr>
        <w:pStyle w:val="BodyText"/>
        <w:spacing w:line="240" w:lineRule="auto" w:before="69"/>
        <w:ind w:left="514" w:right="0"/>
        <w:jc w:val="left"/>
      </w:pPr>
      <w:r>
        <w:rPr/>
        <w:t>（二）应收账款可回收性</w:t>
      </w:r>
    </w:p>
    <w:p>
      <w:pPr>
        <w:pStyle w:val="BodyText"/>
        <w:spacing w:line="240" w:lineRule="auto" w:before="117"/>
        <w:ind w:left="514" w:right="0"/>
        <w:jc w:val="left"/>
      </w:pPr>
      <w:r>
        <w:rPr>
          <w:rFonts w:ascii="Times New Roman" w:hAnsi="Times New Roman" w:cs="Times New Roman" w:eastAsia="Times New Roman" w:hint="default"/>
        </w:rPr>
        <w:t>1</w:t>
      </w:r>
      <w:r>
        <w:rPr/>
        <w:t>、事项描述</w:t>
      </w:r>
    </w:p>
    <w:p>
      <w:pPr>
        <w:pStyle w:val="BodyText"/>
        <w:spacing w:line="240" w:lineRule="auto" w:before="101"/>
        <w:ind w:left="514" w:right="0"/>
        <w:jc w:val="left"/>
      </w:pPr>
      <w:r>
        <w:rPr/>
        <w:t>如财务报表附注四、</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所述的会计政策和财务报表附注六、</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spacing w:val="-5"/>
        </w:rPr>
        <w:t>所述，截至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日，汇金科技应收账款账面余</w:t>
      </w:r>
    </w:p>
    <w:p>
      <w:pPr>
        <w:pStyle w:val="BodyText"/>
        <w:spacing w:line="309" w:lineRule="auto" w:before="63"/>
        <w:ind w:right="1131"/>
        <w:jc w:val="both"/>
      </w:pPr>
      <w:r>
        <w:rPr/>
        <w:t>额</w:t>
      </w:r>
      <w:r>
        <w:rPr>
          <w:spacing w:val="-48"/>
        </w:rPr>
        <w:t> </w:t>
      </w:r>
      <w:r>
        <w:rPr>
          <w:rFonts w:ascii="Times New Roman" w:hAnsi="Times New Roman" w:cs="Times New Roman" w:eastAsia="Times New Roman" w:hint="default"/>
        </w:rPr>
        <w:t>16,119.72</w:t>
      </w:r>
      <w:r>
        <w:rPr>
          <w:rFonts w:ascii="Times New Roman" w:hAnsi="Times New Roman" w:cs="Times New Roman" w:eastAsia="Times New Roman" w:hint="default"/>
          <w:spacing w:val="-2"/>
        </w:rPr>
        <w:t> </w:t>
      </w:r>
      <w:r>
        <w:rPr/>
        <w:t>万元，坏账准备金额</w:t>
      </w:r>
      <w:r>
        <w:rPr>
          <w:spacing w:val="-48"/>
        </w:rPr>
        <w:t> </w:t>
      </w:r>
      <w:r>
        <w:rPr>
          <w:rFonts w:ascii="Times New Roman" w:hAnsi="Times New Roman" w:cs="Times New Roman" w:eastAsia="Times New Roman" w:hint="default"/>
        </w:rPr>
        <w:t>1,532.78</w:t>
      </w:r>
      <w:r>
        <w:rPr>
          <w:rFonts w:ascii="Times New Roman" w:hAnsi="Times New Roman" w:cs="Times New Roman" w:eastAsia="Times New Roman" w:hint="default"/>
          <w:spacing w:val="-3"/>
        </w:rPr>
        <w:t> </w:t>
      </w:r>
      <w:r>
        <w:rPr/>
        <w:t>万元，账面价值较高。由于汇金科技管理层在确定应收账款预计可收回金额时基 </w:t>
      </w:r>
      <w:r>
        <w:rPr>
          <w:spacing w:val="-2"/>
        </w:rPr>
        <w:t>于应收款的账龄、是否存在回款纠纷、以往收款历史或者其他影响对方信用的信息，需要运用重要会计估计和判断，且影响</w:t>
      </w:r>
      <w:r>
        <w:rPr>
          <w:spacing w:val="-66"/>
        </w:rPr>
        <w:t> </w:t>
      </w:r>
      <w:r>
        <w:rPr>
          <w:spacing w:val="-66"/>
        </w:rPr>
      </w:r>
      <w:r>
        <w:rPr/>
        <w:t>金额重大，为此我们确定应收账款的可回收性为关键审计事项。</w:t>
      </w:r>
    </w:p>
    <w:p>
      <w:pPr>
        <w:pStyle w:val="BodyText"/>
        <w:spacing w:line="240" w:lineRule="auto" w:before="64"/>
        <w:ind w:left="514" w:right="0"/>
        <w:jc w:val="left"/>
      </w:pPr>
      <w:r>
        <w:rPr>
          <w:rFonts w:ascii="Times New Roman" w:hAnsi="Times New Roman" w:cs="Times New Roman" w:eastAsia="Times New Roman" w:hint="default"/>
        </w:rPr>
        <w:t>2</w:t>
      </w:r>
      <w:r>
        <w:rPr/>
        <w:t>、审计应对</w:t>
      </w:r>
    </w:p>
    <w:p>
      <w:pPr>
        <w:pStyle w:val="BodyText"/>
        <w:spacing w:line="300" w:lineRule="auto" w:before="102"/>
        <w:ind w:right="1050" w:firstLine="360"/>
        <w:jc w:val="both"/>
      </w:pPr>
      <w:r>
        <w:rPr>
          <w:spacing w:val="-2"/>
        </w:rPr>
        <w:t>（</w:t>
      </w:r>
      <w:r>
        <w:rPr>
          <w:rFonts w:ascii="Times New Roman" w:hAnsi="Times New Roman" w:cs="Times New Roman" w:eastAsia="Times New Roman" w:hint="default"/>
          <w:spacing w:val="-2"/>
        </w:rPr>
        <w:t>1</w:t>
      </w:r>
      <w:r>
        <w:rPr>
          <w:spacing w:val="-2"/>
        </w:rPr>
        <w:t>）测试管理层对于应收账款日常管理及期末可回收性评估相关的内部控制；（</w:t>
      </w:r>
      <w:r>
        <w:rPr>
          <w:rFonts w:ascii="Times New Roman" w:hAnsi="Times New Roman" w:cs="Times New Roman" w:eastAsia="Times New Roman" w:hint="default"/>
          <w:spacing w:val="-2"/>
        </w:rPr>
        <w:t>2</w:t>
      </w:r>
      <w:r>
        <w:rPr>
          <w:spacing w:val="-2"/>
        </w:rPr>
        <w:t>）我们选择样本对期末应收账款进行</w:t>
      </w:r>
      <w:r>
        <w:rPr/>
        <w:t> </w:t>
      </w:r>
      <w:r>
        <w:rPr>
          <w:spacing w:val="-5"/>
        </w:rPr>
        <w:t>了函证；（</w:t>
      </w:r>
      <w:r>
        <w:rPr>
          <w:rFonts w:ascii="Times New Roman" w:hAnsi="Times New Roman" w:cs="Times New Roman" w:eastAsia="Times New Roman" w:hint="default"/>
          <w:spacing w:val="-5"/>
        </w:rPr>
        <w:t>3</w:t>
      </w:r>
      <w:r>
        <w:rPr>
          <w:spacing w:val="-5"/>
        </w:rPr>
        <w:t>）获取坏账准备计提表，检查计提方法是否按照坏账政策执行，重新计算坏账计提金额是否准确。（</w:t>
      </w:r>
      <w:r>
        <w:rPr>
          <w:rFonts w:ascii="Times New Roman" w:hAnsi="Times New Roman" w:cs="Times New Roman" w:eastAsia="Times New Roman" w:hint="default"/>
          <w:spacing w:val="-5"/>
        </w:rPr>
        <w:t>4</w:t>
      </w:r>
      <w:r>
        <w:rPr>
          <w:spacing w:val="-5"/>
        </w:rPr>
        <w:t>）通过分析</w:t>
      </w:r>
      <w:r>
        <w:rPr>
          <w:spacing w:val="-75"/>
        </w:rPr>
        <w:t> </w:t>
      </w:r>
      <w:r>
        <w:rPr>
          <w:spacing w:val="-75"/>
        </w:rPr>
      </w:r>
      <w:r>
        <w:rPr/>
        <w:t>应收账款的账龄和客户信誉情况，结合执行应收账款函证程序及检查期后回款情况，评价应收账款坏账准备计提的合理性。</w:t>
      </w:r>
    </w:p>
    <w:p>
      <w:pPr>
        <w:pStyle w:val="BodyText"/>
        <w:spacing w:line="240" w:lineRule="auto" w:before="71"/>
        <w:ind w:left="514" w:right="0"/>
        <w:jc w:val="left"/>
      </w:pPr>
      <w:r>
        <w:rPr/>
        <w:t>（三）存货跌价准备</w:t>
      </w:r>
    </w:p>
    <w:p>
      <w:pPr>
        <w:pStyle w:val="BodyText"/>
        <w:spacing w:line="240" w:lineRule="auto" w:before="116"/>
        <w:ind w:left="514" w:right="0"/>
        <w:jc w:val="left"/>
      </w:pPr>
      <w:r>
        <w:rPr>
          <w:rFonts w:ascii="Times New Roman" w:hAnsi="Times New Roman" w:cs="Times New Roman" w:eastAsia="Times New Roman" w:hint="default"/>
        </w:rPr>
        <w:t>1</w:t>
      </w:r>
      <w:r>
        <w:rPr/>
        <w:t>、事项描述</w:t>
      </w:r>
    </w:p>
    <w:p>
      <w:pPr>
        <w:pStyle w:val="BodyText"/>
        <w:spacing w:line="240" w:lineRule="auto" w:before="102"/>
        <w:ind w:left="514" w:right="0"/>
        <w:jc w:val="left"/>
      </w:pPr>
      <w:r>
        <w:rPr/>
        <w:t>如财务报表附注四、</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所述的会计政策和财务报表附注六、</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所述，截至</w:t>
      </w:r>
      <w:r>
        <w:rPr>
          <w:spacing w:val="-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日，汇金科技存货账面余额</w:t>
      </w:r>
    </w:p>
    <w:p>
      <w:pPr>
        <w:pStyle w:val="BodyText"/>
        <w:spacing w:line="302" w:lineRule="auto" w:before="63"/>
        <w:ind w:right="1132"/>
        <w:jc w:val="both"/>
      </w:pPr>
      <w:r>
        <w:rPr>
          <w:rFonts w:ascii="Times New Roman" w:hAnsi="Times New Roman" w:cs="Times New Roman" w:eastAsia="Times New Roman" w:hint="default"/>
        </w:rPr>
        <w:t>7,185.12</w:t>
      </w:r>
      <w:r>
        <w:rPr>
          <w:rFonts w:ascii="Times New Roman" w:hAnsi="Times New Roman" w:cs="Times New Roman" w:eastAsia="Times New Roman" w:hint="default"/>
          <w:spacing w:val="-16"/>
        </w:rPr>
        <w:t> </w:t>
      </w:r>
      <w:r>
        <w:rPr>
          <w:spacing w:val="-4"/>
        </w:rPr>
        <w:t>万元，存货跌价准备</w:t>
      </w:r>
      <w:r>
        <w:rPr>
          <w:spacing w:val="-61"/>
        </w:rPr>
        <w:t> </w:t>
      </w:r>
      <w:r>
        <w:rPr>
          <w:rFonts w:ascii="Times New Roman" w:hAnsi="Times New Roman" w:cs="Times New Roman" w:eastAsia="Times New Roman" w:hint="default"/>
        </w:rPr>
        <w:t>440.89</w:t>
      </w:r>
      <w:r>
        <w:rPr>
          <w:rFonts w:ascii="Times New Roman" w:hAnsi="Times New Roman" w:cs="Times New Roman" w:eastAsia="Times New Roman" w:hint="default"/>
          <w:spacing w:val="-16"/>
        </w:rPr>
        <w:t> </w:t>
      </w:r>
      <w:r>
        <w:rPr/>
        <w:t>万元。公司年末存货按历史成本和可变现净值孰低计量。鉴于存货金额重大且管理层在 做出存货减值时运用重大会计估计和判断，因此我们将其作为关键审计事项。</w:t>
      </w:r>
    </w:p>
    <w:p>
      <w:pPr>
        <w:pStyle w:val="BodyText"/>
        <w:spacing w:line="240" w:lineRule="auto" w:before="69"/>
        <w:ind w:left="514" w:right="0"/>
        <w:jc w:val="left"/>
      </w:pPr>
      <w:r>
        <w:rPr>
          <w:rFonts w:ascii="Times New Roman" w:hAnsi="Times New Roman" w:cs="Times New Roman" w:eastAsia="Times New Roman" w:hint="default"/>
        </w:rPr>
        <w:t>2</w:t>
      </w:r>
      <w:r>
        <w:rPr/>
        <w:t>、审计应对</w:t>
      </w:r>
    </w:p>
    <w:p>
      <w:pPr>
        <w:pStyle w:val="BodyText"/>
        <w:spacing w:line="307" w:lineRule="auto" w:before="101"/>
        <w:ind w:right="1130" w:firstLine="360"/>
        <w:jc w:val="both"/>
      </w:pPr>
      <w:r>
        <w:rPr>
          <w:spacing w:val="-2"/>
        </w:rPr>
        <w:t>（</w:t>
      </w:r>
      <w:r>
        <w:rPr>
          <w:rFonts w:ascii="Times New Roman" w:hAnsi="Times New Roman" w:cs="Times New Roman" w:eastAsia="Times New Roman" w:hint="default"/>
          <w:spacing w:val="-2"/>
        </w:rPr>
        <w:t>1</w:t>
      </w:r>
      <w:r>
        <w:rPr>
          <w:spacing w:val="-2"/>
        </w:rPr>
        <w:t>）了解和评价管理层与存货跌价准备计提的关键内部控制的设计和运行有效性；（</w:t>
      </w:r>
      <w:r>
        <w:rPr>
          <w:rFonts w:ascii="Times New Roman" w:hAnsi="Times New Roman" w:cs="Times New Roman" w:eastAsia="Times New Roman" w:hint="default"/>
          <w:spacing w:val="-2"/>
        </w:rPr>
        <w:t>2</w:t>
      </w:r>
      <w:r>
        <w:rPr>
          <w:spacing w:val="-2"/>
        </w:rPr>
        <w:t>）将管理层确定可变现净值时的</w:t>
      </w:r>
      <w:r>
        <w:rPr/>
        <w:t> </w:t>
      </w:r>
      <w:r>
        <w:rPr>
          <w:spacing w:val="-4"/>
        </w:rPr>
        <w:t>估计售价、销售费用等与实际发生额进行核对，以评价管理层在确定存货可变现净值时做出的判断是否合理；（</w:t>
      </w:r>
      <w:r>
        <w:rPr>
          <w:rFonts w:ascii="Times New Roman" w:hAnsi="Times New Roman" w:cs="Times New Roman" w:eastAsia="Times New Roman" w:hint="default"/>
          <w:spacing w:val="-4"/>
        </w:rPr>
        <w:t>3</w:t>
      </w:r>
      <w:r>
        <w:rPr>
          <w:spacing w:val="-4"/>
        </w:rPr>
        <w:t>）结合存货</w:t>
      </w:r>
      <w:r>
        <w:rPr>
          <w:spacing w:val="-43"/>
        </w:rPr>
        <w:t> </w:t>
      </w:r>
      <w:r>
        <w:rPr>
          <w:spacing w:val="-43"/>
        </w:rPr>
      </w:r>
      <w:r>
        <w:rPr>
          <w:spacing w:val="-2"/>
        </w:rPr>
        <w:t>监盘程序，检查存货的数量及状况，并对库龄较长的存货进行重点检查，对存在减值迹象的存货分析其跌价准备计提的充分</w:t>
      </w:r>
      <w:r>
        <w:rPr>
          <w:spacing w:val="-66"/>
        </w:rPr>
        <w:t> </w:t>
      </w:r>
      <w:r>
        <w:rPr>
          <w:spacing w:val="-66"/>
        </w:rPr>
      </w:r>
      <w:r>
        <w:rPr>
          <w:spacing w:val="-3"/>
        </w:rPr>
        <w:t>性；（</w:t>
      </w:r>
      <w:r>
        <w:rPr>
          <w:rFonts w:ascii="Times New Roman" w:hAnsi="Times New Roman" w:cs="Times New Roman" w:eastAsia="Times New Roman" w:hint="default"/>
          <w:spacing w:val="-3"/>
        </w:rPr>
        <w:t>4</w:t>
      </w:r>
      <w:r>
        <w:rPr>
          <w:spacing w:val="-3"/>
        </w:rPr>
        <w:t>）获取存货跌价准备计算表，重新测算存货减值，分析存货跌价准备计提是否充分。</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357" w:lineRule="auto"/>
        <w:ind w:left="514" w:right="1118"/>
        <w:jc w:val="left"/>
      </w:pPr>
      <w:r>
        <w:rPr/>
        <w:t>四、其他信息 汇金科技管理层对其他信息负责。其他信息包括年度报告中涵盖的信息，但不包括财务报表和我们的审计报告。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57" w:lineRule="auto"/>
        <w:ind w:left="514"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25" w:lineRule="exact"/>
        <w:ind w:right="0"/>
        <w:jc w:val="left"/>
      </w:pPr>
      <w:r>
        <w:rPr/>
        <w:t>报告。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57" w:lineRule="auto"/>
        <w:ind w:left="514" w:right="0"/>
        <w:jc w:val="left"/>
      </w:pPr>
      <w:r>
        <w:rPr/>
        <w:t>五、管理层和治理层对财务报表的责任 </w:t>
      </w:r>
      <w:r>
        <w:rPr>
          <w:spacing w:val="-2"/>
        </w:rPr>
        <w:t>汇金科技管理层（以下简称管理层）负责按照企业会计准则的规定编制财务报表，使其实现公允反映，并设计、执行和</w:t>
      </w:r>
    </w:p>
    <w:p>
      <w:pPr>
        <w:pStyle w:val="BodyText"/>
        <w:spacing w:line="357" w:lineRule="auto"/>
        <w:ind w:left="514" w:right="0" w:hanging="360"/>
        <w:jc w:val="left"/>
      </w:pPr>
      <w:r>
        <w:rPr/>
        <w:t>维护必要的内部控制，以使财务报表不存在由于舞弊或错误导致的重大错报。 </w:t>
      </w:r>
      <w:r>
        <w:rPr>
          <w:spacing w:val="-2"/>
        </w:rPr>
        <w:t>在编制财务报表时，管理层负责评估汇金科技的持续经营能力，披露与持续经营相关的事项，并运用持续经营假设，除</w:t>
      </w:r>
    </w:p>
    <w:p>
      <w:pPr>
        <w:pStyle w:val="BodyText"/>
        <w:spacing w:line="357" w:lineRule="auto"/>
        <w:ind w:left="514" w:right="4632" w:hanging="360"/>
        <w:jc w:val="left"/>
      </w:pPr>
      <w:r>
        <w:rPr/>
        <w:t>非管理层计划清算汇金科技、终止运营或别无其他现实的选择。 汇金科技治理层（以下简称治理层）负责监督汇金科技的财务报告过程。</w:t>
      </w:r>
    </w:p>
    <w:p>
      <w:pPr>
        <w:spacing w:line="240" w:lineRule="auto" w:before="0"/>
        <w:rPr>
          <w:rFonts w:ascii="宋体" w:hAnsi="宋体" w:cs="宋体" w:eastAsia="宋体" w:hint="default"/>
          <w:sz w:val="18"/>
          <w:szCs w:val="18"/>
        </w:rPr>
      </w:pPr>
    </w:p>
    <w:p>
      <w:pPr>
        <w:pStyle w:val="BodyText"/>
        <w:spacing w:line="357" w:lineRule="auto" w:before="145"/>
        <w:ind w:left="694" w:right="0" w:hanging="181"/>
        <w:jc w:val="left"/>
      </w:pPr>
      <w:r>
        <w:rPr/>
        <w:t>六、注册会计师对财务报表审计的责任 </w:t>
      </w:r>
      <w:r>
        <w:rPr>
          <w:spacing w:val="-2"/>
        </w:rPr>
        <w:t>我们的目标是对财务报表整体是否不存在由于舞弊或错误导致的重大错报获取合理保证，并出具包含审计意见的审计</w:t>
      </w:r>
    </w:p>
    <w:p>
      <w:pPr>
        <w:pStyle w:val="BodyText"/>
        <w:spacing w:line="224" w:lineRule="exact"/>
        <w:ind w:right="0"/>
        <w:jc w:val="left"/>
      </w:pPr>
      <w:r>
        <w:rPr/>
        <w:t>报告。合理保证是高水平的保证，但并不能保证按照审计准则执行的审计在某一重大错报存在时总能发现。错报可能由于舞</w:t>
      </w:r>
    </w:p>
    <w:p>
      <w:pPr>
        <w:spacing w:after="0" w:line="224"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18"/>
        <w:jc w:val="left"/>
      </w:pP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56"/>
        <w:ind w:left="514" w:right="0"/>
        <w:jc w:val="left"/>
      </w:pPr>
      <w:r>
        <w:rPr/>
        <w:t>在按照审计准则执行审计工作的过程中，我们运用职业判断，并保持职业怀疑。同时，我们也执行以下工作：</w:t>
      </w:r>
    </w:p>
    <w:p>
      <w:pPr>
        <w:pStyle w:val="BodyText"/>
        <w:spacing w:line="319" w:lineRule="auto" w:before="116"/>
        <w:ind w:right="1050"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56"/>
        <w:ind w:left="514" w:right="0"/>
        <w:jc w:val="left"/>
      </w:pPr>
      <w:r>
        <w:rPr/>
        <w:t>（二）了解与审计相关的内部控制，以设计恰当的审计程序，但目的并非对内部控制的有效性发表意见。</w:t>
      </w:r>
    </w:p>
    <w:p>
      <w:pPr>
        <w:pStyle w:val="BodyText"/>
        <w:spacing w:line="240" w:lineRule="auto" w:before="116"/>
        <w:ind w:left="514" w:right="0"/>
        <w:jc w:val="left"/>
      </w:pPr>
      <w:r>
        <w:rPr/>
        <w:t>（三）评价管理层选用会计政策的恰当性和作出会计估计及相关披露的合理性。</w:t>
      </w:r>
    </w:p>
    <w:p>
      <w:pPr>
        <w:pStyle w:val="BodyText"/>
        <w:spacing w:line="319" w:lineRule="auto" w:before="116"/>
        <w:ind w:right="1131" w:firstLine="360"/>
        <w:jc w:val="both"/>
      </w:pPr>
      <w:r>
        <w:rPr>
          <w:spacing w:val="-2"/>
        </w:rPr>
        <w:t>（四）对管理层使用持续经营假设的恰当性得出结论。同时，根据获取的审计证据，就可能导致对汇金科技持续经营能</w:t>
      </w:r>
      <w:r>
        <w:rPr/>
        <w:t>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于截至审计报告日可获得的信息。然而，未来的事项或情况可能导致汇金科技不能持续经营。</w:t>
      </w:r>
    </w:p>
    <w:p>
      <w:pPr>
        <w:pStyle w:val="BodyText"/>
        <w:spacing w:line="240" w:lineRule="auto" w:before="56"/>
        <w:ind w:left="514" w:right="0"/>
        <w:jc w:val="left"/>
      </w:pPr>
      <w:r>
        <w:rPr/>
        <w:t>（五）评价财务报表的总体列报、结构和内容（包括披露</w:t>
      </w:r>
      <w:r>
        <w:rPr>
          <w:spacing w:val="-90"/>
        </w:rPr>
        <w:t>）</w:t>
      </w:r>
      <w:r>
        <w:rPr/>
        <w:t>，并评价财务报表是否公允反映相关交易和事项。</w:t>
      </w:r>
    </w:p>
    <w:p>
      <w:pPr>
        <w:pStyle w:val="BodyText"/>
        <w:spacing w:line="319" w:lineRule="auto" w:before="115"/>
        <w:ind w:right="1050" w:firstLine="360"/>
        <w:jc w:val="both"/>
      </w:pPr>
      <w:r>
        <w:rPr/>
        <w:t>（六）就汇金科技中实体或业务活动的财务信息获取充分、适当的审计证据，以对财务报表发表意见。我们负责指导、 监督和执行集团审计。我们对审计意见承担全部责任。</w:t>
      </w:r>
    </w:p>
    <w:p>
      <w:pPr>
        <w:pStyle w:val="BodyText"/>
        <w:spacing w:line="319" w:lineRule="auto" w:before="56"/>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319" w:lineRule="auto"/>
        <w:ind w:right="1130" w:firstLine="360"/>
        <w:jc w:val="both"/>
      </w:pPr>
      <w:r>
        <w:rPr/>
        <w:t>我们还就已遵守与独立性相关的职业道德要求向治理层提供声明</w:t>
      </w:r>
      <w:r>
        <w:rPr>
          <w:spacing w:val="-82"/>
        </w:rPr>
        <w:t>，</w:t>
      </w:r>
      <w:r>
        <w:rPr/>
        <w:t>并与治理层沟通可能被合</w:t>
      </w:r>
      <w:r>
        <w:rPr>
          <w:spacing w:val="1"/>
        </w:rPr>
        <w:t>理</w:t>
      </w:r>
      <w:r>
        <w:rPr/>
        <w:t>认为影响我们独立性的所</w:t>
      </w:r>
      <w:r>
        <w:rPr/>
        <w:t> 有关系和其他事项，以及相关的防范措施（如适用</w:t>
      </w:r>
      <w:r>
        <w:rPr>
          <w:spacing w:val="-90"/>
        </w:rPr>
        <w:t>）</w:t>
      </w:r>
      <w:r>
        <w:rPr/>
        <w:t>。</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9" w:lineRule="auto"/>
        <w:ind w:right="113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0"/>
        <w:jc w:val="left"/>
        <w:rPr>
          <w:b w:val="0"/>
          <w:bCs w:val="0"/>
        </w:rPr>
      </w:pPr>
      <w:bookmarkStart w:name="二、财务报表" w:id="153"/>
      <w:bookmarkEnd w:id="153"/>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4"/>
      <w:bookmarkEnd w:id="15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编制单位：珠海汇金科技股份有限公司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49" w:right="0"/>
              <w:jc w:val="left"/>
              <w:rPr>
                <w:rFonts w:ascii="Times New Roman" w:hAnsi="Times New Roman" w:cs="Times New Roman" w:eastAsia="Times New Roman" w:hint="default"/>
                <w:sz w:val="18"/>
                <w:szCs w:val="18"/>
              </w:rPr>
            </w:pPr>
            <w:r>
              <w:rPr>
                <w:rFonts w:ascii="Times New Roman"/>
                <w:sz w:val="18"/>
              </w:rPr>
              <w:t>164,421,420.70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11" w:right="0"/>
              <w:jc w:val="left"/>
              <w:rPr>
                <w:rFonts w:ascii="Times New Roman" w:hAnsi="Times New Roman" w:cs="Times New Roman" w:eastAsia="Times New Roman" w:hint="default"/>
                <w:sz w:val="18"/>
                <w:szCs w:val="18"/>
              </w:rPr>
            </w:pPr>
            <w:r>
              <w:rPr>
                <w:rFonts w:ascii="Times New Roman"/>
                <w:sz w:val="18"/>
              </w:rPr>
              <w:t>514,554,542.06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36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146,806,250.61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105,711,641.83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936,892.31</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145,869,358.30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105,711,641.83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3,257,680.22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1,895,254.64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3,243,049.80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3,374,281.83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1,042,290.42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949,715.07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67,442,331.22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54,283,743.53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320,236,144.78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49,026,496.15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705,406,877.33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728,845,960.04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13,129,319.11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14,565,887.73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54,689,785.06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7,303,351.21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11,656,642.15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11,849,897.45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575,989.28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720,178.79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4,965,077.72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3,400,315.09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256,870.00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931,000.43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85,273,683.32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38,770,630.70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790,680,560.65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767,616,590.74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49,672,060.62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18,831,256.07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4,385,399.12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2,917,464.82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15,508,947.91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15,844,519.34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1,623,375.18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12,376,414.32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25,804,072.10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28,934,248.77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96,993,854.93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78,903,903.32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8,453,777.46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7,316,045.51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8,453,777.46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7,316,045.51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105,447,632.39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86,219,948.83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170,410,104.00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85,160,000.00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280,544,122.28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360,283,126.28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25,333,104.64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28,362,000.00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39,008,690.02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36,394,354.45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220,746,730.81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227,963,075.14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685,376,542.47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681,438,555.87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-143,614.21</w:t>
            </w:r>
            <w:r>
              <w:rPr>
                <w:rFonts w:ascii="Times New Roman"/>
                <w:sz w:val="18"/>
              </w:rPr>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-41,913.96</w:t>
            </w:r>
            <w:r>
              <w:rPr>
                <w:rFonts w:ascii="Times New Roman"/>
                <w:sz w:val="18"/>
              </w:rPr>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685,232,928.26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681,396,641.91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790,680,560.65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767,616,590.74</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法定代表人：陈喆</w:t>
        <w:tab/>
        <w:t>主管会计工作负责人：孙玉玲</w:t>
        <w:tab/>
        <w:t>会计机构负责人：孙玉玲</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5"/>
      <w:bookmarkEnd w:id="15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164,348,447.67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512,933,474.05</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125,388,218.56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105,711,641.83</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936,892.31</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124,451,326.25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105,711,641.83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3,257,680.22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1,895,254.64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19,201,629.80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3,363,516.96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1,042,290.42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949,715.07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67,442,331.22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54,283,743.53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320,105,551.90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699,743,859.37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727,187,631.01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13,016,240.76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14,406,281.68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54,689,785.06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7,303,351.21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11,656,642.15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11,849,897.45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465,539.28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581,528.79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4,682,716.50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3,371,938.86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256,870.00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931,000.43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86,767,793.75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40,443,998.42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786,511,653.12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767,631,629.43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46,203,827.80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18,760,756.07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4,385,399.12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2,917,464.82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15,063,199.61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15,844,519.34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1,078,978.51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12,376,414.32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25,800,452.13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28,934,248.77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92,531,857.17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78,833,403.32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8,453,777.46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7,316,045.51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8,453,777.46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7,316,045.51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100,985,634.63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86,149,448.83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170,410,104.00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85,160,000.00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280,544,122.28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360,283,126.28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25,333,104.64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28,362,000.00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39,008,690.02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36,394,354.45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0"/>
        <w:gridCol w:w="3314"/>
        <w:gridCol w:w="2966"/>
      </w:tblGrid>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220,896,206.83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228,006,699.87</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685,526,018.49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681,482,180.60</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786,511,653.12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767,631,629.43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56"/>
      <w:bookmarkEnd w:id="15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244,580,350.28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242,018,669.49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244,580,350.28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242,018,669.49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257,299,862.25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187,586,536.97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120,144,486.70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74,502,957.48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2,976,162.40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2,225,016.24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66,766,499.99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55,737,886.76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24,344,815.12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20,392,100.86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35,901,446.12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28,818,427.64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-929,782.61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-526,638.97</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54,681.06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1,041,885.76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570,099.10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8,096,234.53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6,436,786.96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20,017,461.83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16,172,292.67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15,107,543.05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14,541,383.46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-23,343.48</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22,405,492.91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85,122,465.17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2,100,027.00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127,745.66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7,049.81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22,279,808.79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87,215,442.36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-3,655,995.38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7,532,624.05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25,935,804.17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79,682,818.31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25,935,804.17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79,682,818.31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26,037,504.42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79,724,732.27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-101,700.25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-41,913.96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25,935,804.17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79,682,818.31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26,037,504.42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79,724,732.27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-101,700.25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-41,913.96</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r>
    </w:tbl>
    <w:p>
      <w:pPr>
        <w:pStyle w:val="BodyText"/>
        <w:tabs>
          <w:tab w:pos="3484" w:val="left" w:leader="none"/>
          <w:tab w:pos="771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法定代表人：陈喆</w:t>
        <w:tab/>
        <w:t>主管会计工作负责人：孙玉玲</w:t>
        <w:tab/>
        <w:t>会计机构负责人：孙玉玲 </w:t>
      </w:r>
      <w:bookmarkStart w:name="4、母公司利润表" w:id="157"/>
      <w:bookmarkEnd w:id="15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224,950,964.42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242,018,669.49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103,014,869.66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74,502,957.48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2,933,847.40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2,225,016.24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66,023,821.15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55,737,886.76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23,387,388.63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20,278,816.26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35,901,446.12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28,818,427.64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-824,990.91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-526,702.72</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54,681.06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933,348.69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569,857.85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6,967,356.25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6,436,220.39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20,017,461.83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16,172,292.67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15,107,543.05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14,541,383.46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-23,343.48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22,672,231.00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85,236,380.09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2,100,027.00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127,745.66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7,049.81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22,546,546.88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87,329,357.28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-3,596,808.83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7,561,000.28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26,143,355.71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79,768,357.00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26,143,355.71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79,768,357.00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26,143,355.71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79,768,357.00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5、合并现金流量表" w:id="158"/>
      <w:bookmarkEnd w:id="15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240,059,362.60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194,206,788.80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20,808,225.14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17,523,528.77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6,017,108.89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6,714,937.87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266,884,696.63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218,445,255.44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158,406,916.03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75,919,885.40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75,212,588.09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59,965,752.33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35,195,498.72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28,906,817.22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47,148,624.44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44,626,119.92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315,963,627.28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209,418,574.87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-49,078,930.65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9,026,680.57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1,656,500,000.00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15,014,967.70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14,298,586.20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32,478.63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1,671,515,117.70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1,491,331,064.83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20,426,440.35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5,693,577.59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1,924,500,000.00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1,944,926,440.35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1,132,693,577.59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-273,411,322.65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358,637,487.24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28,362,000.00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16,241,896.89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20,266,096.89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28,362,000.00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16,241,896.89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30,679,300.11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20,160,000.00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1,189,800.00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48,110,997.00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-27,844,900.11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8,202,000.00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2,032.05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-350,333,121.36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375,866,167.81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514,454,542.06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138,588,374.25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164,121,420.70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514,454,542.06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59"/>
      <w:bookmarkEnd w:id="15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240,059,362.60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194,206,788.80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20,808,225.14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17,523,528.77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5,903,571.82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6,714,696.62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266,771,159.56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218,445,014.19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142,784,501.03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75,919,885.40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74,326,025.48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59,965,752.33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34,442,338.41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28,906,817.22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62,824,399.31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44,501,965.75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314,377,264.23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209,294,420.70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-47,606,104.67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9,150,593.49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1,656,500,000.00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15,014,967.70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14,298,586.20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32,478.63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1,671,515,117.70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1,491,331,064.83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20,351,171.35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5,438,558.52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1,924,500,000.00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1,944,851,171.35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1,134,438,558.52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-273,336,053.65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356,892,506.31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28,362,000.00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16,241,896.89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20,266,096.89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28,362,000.00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16,241,896.89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30,679,300.11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1,189,800.00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48,110,997.00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-27,844,900.11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8,202,000.00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2,032.05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-348,785,026.38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374,245,099.80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512,833,474.05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138,588,374.25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164,048,447.67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512,833,474.05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60"/>
      <w:bookmarkEnd w:id="16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360,283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,126.28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28,362,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36,394,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354.45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227,963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,075.14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681,396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,641.91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360,283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,126.28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28,362,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36,394,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354.45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227,963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,075.14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681,396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,641.91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-79,739,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004.00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-3,028,8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95.36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2,614,3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35.57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-7,216,3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44.33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-101,70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3,836,2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86.35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26,037,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504.42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-101,70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25,935,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804.17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pacing w:val="-3"/>
                <w:sz w:val="18"/>
              </w:rPr>
              <w:t>90,111</w:t>
            </w:r>
          </w:p>
          <w:p>
            <w:pPr>
              <w:pStyle w:val="TableParagraph"/>
              <w:spacing w:line="240" w:lineRule="auto" w:before="106"/>
              <w:ind w:left="305"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5,420,9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89.00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2,834,4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2,676,7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pacing w:val="-3"/>
                <w:sz w:val="18"/>
              </w:rPr>
              <w:t>90,111</w:t>
            </w:r>
          </w:p>
          <w:p>
            <w:pPr>
              <w:pStyle w:val="TableParagraph"/>
              <w:spacing w:line="240" w:lineRule="auto" w:before="106"/>
              <w:ind w:left="305"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2,744,2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89.00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2,834,4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2,676,7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2,676,7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2,614,3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35.57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-33,253,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848.75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-30,639,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513.18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2,614,3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35.57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-2,614,3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35.57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-30,639,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513.18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-30,639,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513.18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-85,159,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993.00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-85,159,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993.00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-5,863,2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95.36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5,863,2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95.36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170,41</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0,104.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280,544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,122.28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25,333,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104.64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39,008,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690.02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220,746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,730.81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-143,61</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4.21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685,232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,928.26</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359,721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,226.28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28,417,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518.75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176,375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,178.57</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620,513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,923.60</w:t>
            </w: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359,721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,226.28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28,417,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518.75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176,375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,178.57</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620,513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,923.60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561,900</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28,362,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7,976,8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35.70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51,587,</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896.57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-41,913</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.96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60,882,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718.31</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79,724,</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732.27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-41,913</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.96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79,682,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818.31</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1,160,</w:t>
            </w:r>
          </w:p>
          <w:p>
            <w:pPr>
              <w:pStyle w:val="TableParagraph"/>
              <w:spacing w:line="240" w:lineRule="auto" w:before="106"/>
              <w:ind w:left="34"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28,561,</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28,362,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1,359,9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1,160,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2" w:right="0"/>
              <w:jc w:val="left"/>
              <w:rPr>
                <w:rFonts w:ascii="Times New Roman" w:hAnsi="Times New Roman" w:cs="Times New Roman" w:eastAsia="Times New Roman" w:hint="default"/>
                <w:sz w:val="18"/>
                <w:szCs w:val="18"/>
              </w:rPr>
            </w:pPr>
            <w:r>
              <w:rPr>
                <w:rFonts w:ascii="Times New Roman"/>
                <w:sz w:val="18"/>
              </w:rPr>
              <w:t>27,202,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28,362,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1,359,9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1,359,9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7,976,8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35.70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-28,136,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835.70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-20,160,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7,976,8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35.70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-7,976,8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35.70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-20,160,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-20,160,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85,160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360,283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,126.28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28,362,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36,394,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354.45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227,963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,075.14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-41,913</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.96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681,396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,641.91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8、母公司所有者权益变动表" w:id="161"/>
      <w:bookmarkEnd w:id="16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85,160,0</w:t>
            </w:r>
          </w:p>
          <w:p>
            <w:pPr>
              <w:pStyle w:val="TableParagraph"/>
              <w:spacing w:line="240" w:lineRule="auto" w:before="105"/>
              <w:ind w:left="245"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360,283,1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26.28</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left="45" w:right="0"/>
              <w:jc w:val="left"/>
              <w:rPr>
                <w:rFonts w:ascii="Times New Roman" w:hAnsi="Times New Roman" w:cs="Times New Roman" w:eastAsia="Times New Roman" w:hint="default"/>
                <w:sz w:val="18"/>
                <w:szCs w:val="18"/>
              </w:rPr>
            </w:pPr>
            <w:r>
              <w:rPr>
                <w:rFonts w:ascii="Times New Roman"/>
                <w:sz w:val="18"/>
              </w:rPr>
              <w:t>28,362,00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36,394,35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4.45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228,006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,699.87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681,482,1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80.60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85,160,0</w:t>
            </w:r>
          </w:p>
          <w:p>
            <w:pPr>
              <w:pStyle w:val="TableParagraph"/>
              <w:spacing w:line="240" w:lineRule="auto" w:before="105"/>
              <w:ind w:left="245"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360,283,1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26.28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28,362,00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36,394,35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4.45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228,006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,699.87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681,482,1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80.60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85,250,1</w:t>
            </w:r>
          </w:p>
          <w:p>
            <w:pPr>
              <w:pStyle w:val="TableParagraph"/>
              <w:spacing w:line="240" w:lineRule="auto" w:before="105"/>
              <w:ind w:left="241" w:right="0"/>
              <w:jc w:val="left"/>
              <w:rPr>
                <w:rFonts w:ascii="Times New Roman" w:hAnsi="Times New Roman" w:cs="Times New Roman" w:eastAsia="Times New Roman" w:hint="default"/>
                <w:sz w:val="18"/>
                <w:szCs w:val="18"/>
              </w:rPr>
            </w:pPr>
            <w:r>
              <w:rPr>
                <w:rFonts w:ascii="Times New Roman"/>
                <w:sz w:val="18"/>
              </w:rPr>
              <w:t>04.00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-79,739,0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-3,028,89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2,614,335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-7,110,4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93.04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4,043,837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26,143,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355.71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26,143,35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5.71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90,111.0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5,420,989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2,834,400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2,676,700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90,111.0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2,744,289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2,834,400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2,676,700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2,676,700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2,614,335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-33,253,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848.75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-30,639,5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13.18</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2,614,335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-2,614,3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35.57</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-30,639,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513.18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-30,639,5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13.18</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85,159,9</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93.00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-85,159,9</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85,159,9</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93.00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-85,159,9</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-5,863,29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5,863,295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170,410,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104.00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280,544,1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22.28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25,333,10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39,008,69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220,896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,206.83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685,526,0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18.49</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56,000,0</w:t>
            </w:r>
          </w:p>
          <w:p>
            <w:pPr>
              <w:pStyle w:val="TableParagraph"/>
              <w:spacing w:line="240" w:lineRule="auto" w:before="105"/>
              <w:ind w:left="257"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359,721,2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26.28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28,417,51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8.75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176,375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,178.57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620,513,9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23.60</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56,000,0</w:t>
            </w:r>
          </w:p>
          <w:p>
            <w:pPr>
              <w:pStyle w:val="TableParagraph"/>
              <w:spacing w:line="240" w:lineRule="auto" w:before="105"/>
              <w:ind w:left="257"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359,721,2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26.28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28,417,51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8.75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176,375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,178.57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620,513,9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23.60</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29,160,0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561,900.0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28,362,00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7,976,835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51,631,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521.30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60,968,25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7.00</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79,768,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357.00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79,768,35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1,160,00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28,561,90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28,362,00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1,359,900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1,160,00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27,202,00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28,362,00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1,359,900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1,359,900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7,976,835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-28,136,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835.70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-20,160,0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7,976,835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-7,976,8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35.70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-20,160,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-20,160,0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85,160,0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360,283,1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26.28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28,362,00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36,394,35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228,006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,699.87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681,482,1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80.60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62"/>
      <w:bookmarkEnd w:id="162"/>
      <w:r>
        <w:rPr>
          <w:b w:val="0"/>
          <w:bCs w:val="0"/>
        </w:rPr>
      </w:r>
      <w:r>
        <w:rPr/>
        <w:t>三、公司基本情况</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00" w:lineRule="auto" w:before="44"/>
        <w:ind w:right="1130" w:firstLine="420"/>
        <w:jc w:val="both"/>
      </w:pPr>
      <w:r>
        <w:rPr/>
        <w:t>珠海汇金科技股份有限公司（以下简称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）前身为珠海汇金科技有限公司，系由陈喆、马铮以货币投 资设立，于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日，由广东省珠海市工商行政管理局核发企业法人营业执照，注册号为</w:t>
      </w:r>
      <w:r>
        <w:rPr>
          <w:rFonts w:ascii="Times New Roman" w:hAnsi="Times New Roman" w:cs="Times New Roman" w:eastAsia="Times New Roman" w:hint="default"/>
        </w:rPr>
        <w:t>40400000211322</w:t>
      </w:r>
      <w:r>
        <w:rPr/>
        <w:t>。成立时注</w:t>
      </w:r>
      <w:r>
        <w:rPr>
          <w:spacing w:val="-83"/>
        </w:rPr>
        <w:t> </w:t>
      </w:r>
      <w:r>
        <w:rPr/>
        <w:t>册资本为人民币</w:t>
      </w:r>
      <w:r>
        <w:rPr>
          <w:rFonts w:ascii="Times New Roman" w:hAnsi="Times New Roman" w:cs="Times New Roman" w:eastAsia="Times New Roman" w:hint="default"/>
        </w:rPr>
        <w:t>300</w:t>
      </w:r>
      <w:r>
        <w:rPr/>
        <w:t>万元，其中陈喆出资</w:t>
      </w:r>
      <w:r>
        <w:rPr>
          <w:rFonts w:ascii="Times New Roman" w:hAnsi="Times New Roman" w:cs="Times New Roman" w:eastAsia="Times New Roman" w:hint="default"/>
        </w:rPr>
        <w:t>180</w:t>
      </w:r>
      <w:r>
        <w:rPr/>
        <w:t>万元，占</w:t>
      </w:r>
      <w:r>
        <w:rPr>
          <w:rFonts w:ascii="Times New Roman" w:hAnsi="Times New Roman" w:cs="Times New Roman" w:eastAsia="Times New Roman" w:hint="default"/>
        </w:rPr>
        <w:t>60%</w:t>
      </w:r>
      <w:r>
        <w:rPr/>
        <w:t>，马铮出资</w:t>
      </w:r>
      <w:r>
        <w:rPr>
          <w:rFonts w:ascii="Times New Roman" w:hAnsi="Times New Roman" w:cs="Times New Roman" w:eastAsia="Times New Roman" w:hint="default"/>
        </w:rPr>
        <w:t>120</w:t>
      </w:r>
      <w:r>
        <w:rPr/>
        <w:t>万元，占</w:t>
      </w:r>
      <w:r>
        <w:rPr>
          <w:rFonts w:ascii="Times New Roman" w:hAnsi="Times New Roman" w:cs="Times New Roman" w:eastAsia="Times New Roman" w:hint="default"/>
        </w:rPr>
        <w:t>40%</w:t>
      </w:r>
      <w:r>
        <w:rPr/>
        <w:t>；此次出资由珠海公信有限责任会计</w:t>
      </w:r>
      <w:r>
        <w:rPr>
          <w:spacing w:val="-32"/>
        </w:rPr>
        <w:t> </w:t>
      </w:r>
      <w:r>
        <w:rPr>
          <w:spacing w:val="-32"/>
        </w:rPr>
      </w:r>
      <w:r>
        <w:rPr/>
        <w:t>师事务所以珠海公信验字</w:t>
      </w:r>
      <w:r>
        <w:rPr>
          <w:rFonts w:ascii="Times New Roman" w:hAnsi="Times New Roman" w:cs="Times New Roman" w:eastAsia="Times New Roman" w:hint="default"/>
        </w:rPr>
        <w:t>[2005]</w:t>
      </w:r>
      <w:r>
        <w:rPr/>
        <w:t>第</w:t>
      </w:r>
      <w:r>
        <w:rPr>
          <w:rFonts w:ascii="Times New Roman" w:hAnsi="Times New Roman" w:cs="Times New Roman" w:eastAsia="Times New Roman" w:hint="default"/>
        </w:rPr>
        <w:t>074</w:t>
      </w:r>
      <w:r>
        <w:rPr/>
        <w:t>号验资报告验证确认。</w:t>
      </w:r>
    </w:p>
    <w:p>
      <w:pPr>
        <w:pStyle w:val="BodyText"/>
        <w:spacing w:line="240" w:lineRule="auto" w:before="13"/>
        <w:ind w:left="574" w:right="0"/>
        <w:jc w:val="left"/>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日本公司股东会作出决议，同意原股东马铮将其持有的股权转让给新股东陈宸。</w:t>
      </w:r>
    </w:p>
    <w:p>
      <w:pPr>
        <w:pStyle w:val="BodyText"/>
        <w:spacing w:line="300" w:lineRule="auto" w:before="63"/>
        <w:ind w:right="1132" w:firstLine="42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日本公司股东会作出决议，同意将注册资本由</w:t>
      </w:r>
      <w:r>
        <w:rPr>
          <w:rFonts w:ascii="Times New Roman" w:hAnsi="Times New Roman" w:cs="Times New Roman" w:eastAsia="Times New Roman" w:hint="default"/>
        </w:rPr>
        <w:t>300</w:t>
      </w:r>
      <w:r>
        <w:rPr/>
        <w:t>万元增至</w:t>
      </w:r>
      <w:r>
        <w:rPr>
          <w:rFonts w:ascii="Times New Roman" w:hAnsi="Times New Roman" w:cs="Times New Roman" w:eastAsia="Times New Roman" w:hint="default"/>
        </w:rPr>
        <w:t>1,000</w:t>
      </w:r>
      <w:r>
        <w:rPr/>
        <w:t>万元，各股东按同比例以货币增资。本次 增资由珠海国睿衡赋会计师事务所有限公司以珠海国赋内验字（</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Z068</w:t>
      </w:r>
      <w:r>
        <w:rPr/>
        <w:t>号验资报告验证确认。</w:t>
      </w:r>
    </w:p>
    <w:p>
      <w:pPr>
        <w:pStyle w:val="BodyText"/>
        <w:spacing w:line="300" w:lineRule="auto" w:before="13"/>
        <w:ind w:right="1134" w:firstLine="42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日本公司股东会作出决议，同意股东陈宸将其持有的本公司</w:t>
      </w:r>
      <w:r>
        <w:rPr>
          <w:rFonts w:ascii="Times New Roman" w:hAnsi="Times New Roman" w:cs="Times New Roman" w:eastAsia="Times New Roman" w:hint="default"/>
        </w:rPr>
        <w:t>37%</w:t>
      </w:r>
      <w:r>
        <w:rPr/>
        <w:t>股权转让给马铮；股东陈宸将其持有的 本公司</w:t>
      </w:r>
      <w:r>
        <w:rPr>
          <w:rFonts w:ascii="Times New Roman" w:hAnsi="Times New Roman" w:cs="Times New Roman" w:eastAsia="Times New Roman" w:hint="default"/>
        </w:rPr>
        <w:t>3%</w:t>
      </w:r>
      <w:r>
        <w:rPr/>
        <w:t>股权转让给梁铁民。</w:t>
      </w:r>
    </w:p>
    <w:p>
      <w:pPr>
        <w:pStyle w:val="BodyText"/>
        <w:spacing w:line="300" w:lineRule="auto" w:before="13"/>
        <w:ind w:right="1133"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日本公司股东会作出决议，同意股东陈喆将其持有的本公司</w:t>
      </w:r>
      <w:r>
        <w:rPr>
          <w:rFonts w:ascii="Times New Roman" w:hAnsi="Times New Roman" w:cs="Times New Roman" w:eastAsia="Times New Roman" w:hint="default"/>
        </w:rPr>
        <w:t>5%</w:t>
      </w:r>
      <w:r>
        <w:rPr/>
        <w:t>股权转让给珠海瑞信投资管理有限公司； 股东马铮将其持有的本公司</w:t>
      </w:r>
      <w:r>
        <w:rPr>
          <w:rFonts w:ascii="Times New Roman" w:hAnsi="Times New Roman" w:cs="Times New Roman" w:eastAsia="Times New Roman" w:hint="default"/>
        </w:rPr>
        <w:t>2.3%</w:t>
      </w:r>
      <w:r>
        <w:rPr/>
        <w:t>股权分别转让给宋昌林、王毅、宋京生、李志良和李智勇。</w:t>
      </w:r>
    </w:p>
    <w:p>
      <w:pPr>
        <w:pStyle w:val="BodyText"/>
        <w:spacing w:line="240" w:lineRule="auto" w:before="13"/>
        <w:ind w:left="574" w:right="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日本公司股东会作出决议，同意由有限责任公司整体改制变更为股份有限公司，注册资本变更为人民币</w:t>
      </w:r>
    </w:p>
    <w:p>
      <w:pPr>
        <w:pStyle w:val="BodyText"/>
        <w:spacing w:line="300" w:lineRule="auto" w:before="63"/>
        <w:ind w:right="1131"/>
        <w:jc w:val="both"/>
      </w:pPr>
      <w:r>
        <w:rPr>
          <w:rFonts w:ascii="Times New Roman" w:hAnsi="Times New Roman" w:cs="Times New Roman" w:eastAsia="Times New Roman" w:hint="default"/>
          <w:spacing w:val="-2"/>
        </w:rPr>
        <w:t>3,900.00</w:t>
      </w:r>
      <w:r>
        <w:rPr>
          <w:spacing w:val="-2"/>
        </w:rPr>
        <w:t>万元，由各发起人以其拥有的珠海汇金科技有限公司截至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日止的净资产折股投入，净资产折合股本后的</w:t>
      </w:r>
      <w:r>
        <w:rPr>
          <w:spacing w:val="-49"/>
        </w:rPr>
        <w:t> </w:t>
      </w:r>
      <w:r>
        <w:rPr>
          <w:spacing w:val="-49"/>
        </w:rPr>
      </w:r>
      <w:r>
        <w:rPr>
          <w:spacing w:val="-3"/>
        </w:rPr>
        <w:t>余额转为资本公积。本公司整体变更的注册资本实收情况业经天衡会计师事务所有限公司验证并出具天衡验字（</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00035</w:t>
      </w:r>
      <w:r>
        <w:rPr>
          <w:rFonts w:ascii="Times New Roman" w:hAnsi="Times New Roman" w:cs="Times New Roman" w:eastAsia="Times New Roman" w:hint="default"/>
          <w:spacing w:val="-41"/>
        </w:rPr>
        <w:t> </w:t>
      </w:r>
      <w:r>
        <w:rPr/>
        <w:t>号验资报告。</w:t>
      </w:r>
    </w:p>
    <w:p>
      <w:pPr>
        <w:pStyle w:val="BodyText"/>
        <w:spacing w:line="300" w:lineRule="auto" w:before="31"/>
        <w:ind w:right="1130"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日本公司股东会作出决议，同意苏州衡赢真盛创业投资中心（有限合伙）投入资金</w:t>
      </w:r>
      <w:r>
        <w:rPr>
          <w:rFonts w:ascii="Times New Roman" w:hAnsi="Times New Roman" w:cs="Times New Roman" w:eastAsia="Times New Roman" w:hint="default"/>
        </w:rPr>
        <w:t>3,000</w:t>
      </w:r>
      <w:r>
        <w:rPr/>
        <w:t>万元，其中</w:t>
      </w:r>
      <w:r>
        <w:rPr>
          <w:rFonts w:ascii="Times New Roman" w:hAnsi="Times New Roman" w:cs="Times New Roman" w:eastAsia="Times New Roman" w:hint="default"/>
        </w:rPr>
        <w:t>300 </w:t>
      </w:r>
      <w:r>
        <w:rPr/>
        <w:t>万元作为注册资本，</w:t>
      </w:r>
      <w:r>
        <w:rPr>
          <w:rFonts w:ascii="Times New Roman" w:hAnsi="Times New Roman" w:cs="Times New Roman" w:eastAsia="Times New Roman" w:hint="default"/>
        </w:rPr>
        <w:t>2,700</w:t>
      </w:r>
      <w:r>
        <w:rPr/>
        <w:t>万元作为资本公积。变更后注册资本为</w:t>
      </w:r>
      <w:r>
        <w:rPr>
          <w:rFonts w:ascii="Times New Roman" w:hAnsi="Times New Roman" w:cs="Times New Roman" w:eastAsia="Times New Roman" w:hint="default"/>
        </w:rPr>
        <w:t>4,200</w:t>
      </w:r>
      <w:r>
        <w:rPr/>
        <w:t>万元。本次出资业经瑞华会计师事务所（特殊普通合</w:t>
      </w:r>
      <w:r>
        <w:rPr>
          <w:spacing w:val="-85"/>
        </w:rPr>
        <w:t> </w:t>
      </w:r>
      <w:r>
        <w:rPr>
          <w:spacing w:val="-85"/>
        </w:rPr>
      </w:r>
      <w:r>
        <w:rPr/>
        <w:t>伙）珠海分所验证确认，并出具瑞华珠验字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846C0004</w:t>
      </w:r>
      <w:r>
        <w:rPr/>
        <w:t>号验资报告。</w:t>
      </w:r>
    </w:p>
    <w:p>
      <w:pPr>
        <w:pStyle w:val="BodyText"/>
        <w:spacing w:line="300" w:lineRule="auto" w:before="13"/>
        <w:ind w:right="1131" w:firstLine="420"/>
        <w:jc w:val="both"/>
      </w:pPr>
      <w:r>
        <w:rPr/>
        <w:t>根据本公司</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1</w:t>
      </w:r>
      <w:r>
        <w:rPr/>
        <w:t>次临时股东大会决议及中国证券监督管理委员会证监许可</w:t>
      </w:r>
      <w:r>
        <w:rPr>
          <w:rFonts w:ascii="Times New Roman" w:hAnsi="Times New Roman" w:cs="Times New Roman" w:eastAsia="Times New Roman" w:hint="default"/>
        </w:rPr>
        <w:t>[2016]2434</w:t>
      </w:r>
      <w:r>
        <w:rPr/>
        <w:t>号文《关于核准珠海汇金科 </w:t>
      </w:r>
      <w:r>
        <w:rPr>
          <w:spacing w:val="-1"/>
        </w:rPr>
        <w:t>技股份有限公司首次公开发行股票的批复》，本公司向社会公开发行新股</w:t>
      </w:r>
      <w:r>
        <w:rPr>
          <w:rFonts w:ascii="Times New Roman" w:hAnsi="Times New Roman" w:cs="Times New Roman" w:eastAsia="Times New Roman" w:hint="default"/>
          <w:spacing w:val="-1"/>
        </w:rPr>
        <w:t>1,400</w:t>
      </w:r>
      <w:r>
        <w:rPr>
          <w:spacing w:val="-1"/>
        </w:rPr>
        <w:t>万股，每股面值人民币</w:t>
      </w:r>
      <w:r>
        <w:rPr>
          <w:rFonts w:ascii="Times New Roman" w:hAnsi="Times New Roman" w:cs="Times New Roman" w:eastAsia="Times New Roman" w:hint="default"/>
          <w:spacing w:val="-1"/>
        </w:rPr>
        <w:t>1</w:t>
      </w:r>
      <w:r>
        <w:rPr>
          <w:spacing w:val="-1"/>
        </w:rPr>
        <w:t>元，每股发行价格为</w:t>
      </w:r>
      <w:r>
        <w:rPr>
          <w:spacing w:val="-74"/>
        </w:rPr>
        <w:t> </w:t>
      </w:r>
      <w:r>
        <w:rPr>
          <w:spacing w:val="-74"/>
        </w:rPr>
      </w:r>
      <w:r>
        <w:rPr>
          <w:spacing w:val="-1"/>
        </w:rPr>
        <w:t>人民币</w:t>
      </w:r>
      <w:r>
        <w:rPr>
          <w:rFonts w:ascii="Times New Roman" w:hAnsi="Times New Roman" w:cs="Times New Roman" w:eastAsia="Times New Roman" w:hint="default"/>
          <w:spacing w:val="-1"/>
        </w:rPr>
        <w:t>26.11</w:t>
      </w:r>
      <w:r>
        <w:rPr>
          <w:spacing w:val="-1"/>
        </w:rPr>
        <w:t>元，共募集资金</w:t>
      </w:r>
      <w:r>
        <w:rPr>
          <w:rFonts w:ascii="Times New Roman" w:hAnsi="Times New Roman" w:cs="Times New Roman" w:eastAsia="Times New Roman" w:hint="default"/>
          <w:spacing w:val="-1"/>
        </w:rPr>
        <w:t>365,540,000.00</w:t>
      </w:r>
      <w:r>
        <w:rPr>
          <w:spacing w:val="-1"/>
        </w:rPr>
        <w:t>元；发行后公司的注册资本为人民币</w:t>
      </w:r>
      <w:r>
        <w:rPr>
          <w:rFonts w:ascii="Times New Roman" w:hAnsi="Times New Roman" w:cs="Times New Roman" w:eastAsia="Times New Roman" w:hint="default"/>
          <w:spacing w:val="-1"/>
        </w:rPr>
        <w:t>5,600</w:t>
      </w:r>
      <w:r>
        <w:rPr>
          <w:spacing w:val="-1"/>
        </w:rPr>
        <w:t>万元，本次出资业经瑞华会计师事务所</w:t>
      </w:r>
    </w:p>
    <w:p>
      <w:pPr>
        <w:pStyle w:val="BodyText"/>
        <w:spacing w:line="240" w:lineRule="auto" w:before="13"/>
        <w:ind w:right="0"/>
        <w:jc w:val="both"/>
      </w:pPr>
      <w:r>
        <w:rPr/>
        <w:t>（特殊普通合伙）验证确认，并出具瑞华验字</w:t>
      </w:r>
      <w:r>
        <w:rPr>
          <w:rFonts w:ascii="Times New Roman" w:hAnsi="Times New Roman" w:cs="Times New Roman" w:eastAsia="Times New Roman" w:hint="default"/>
        </w:rPr>
        <w:t>[2016]40040014</w:t>
      </w:r>
      <w:r>
        <w:rPr/>
        <w:t>号验资报告。</w:t>
      </w:r>
    </w:p>
    <w:p>
      <w:pPr>
        <w:pStyle w:val="BodyText"/>
        <w:spacing w:line="300" w:lineRule="auto" w:before="63"/>
        <w:ind w:right="1132"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7</w:t>
      </w:r>
      <w:r>
        <w:rPr>
          <w:spacing w:val="-1"/>
        </w:rPr>
        <w:t>日，经</w:t>
      </w:r>
      <w:r>
        <w:rPr>
          <w:rFonts w:ascii="Times New Roman" w:hAnsi="Times New Roman" w:cs="Times New Roman" w:eastAsia="Times New Roman" w:hint="default"/>
          <w:spacing w:val="-1"/>
        </w:rPr>
        <w:t>2016</w:t>
      </w:r>
      <w:r>
        <w:rPr>
          <w:spacing w:val="-1"/>
        </w:rPr>
        <w:t>年度股东大会会议决议通过，公司以截至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5,600</w:t>
      </w:r>
      <w:r>
        <w:rPr>
          <w:spacing w:val="-1"/>
        </w:rPr>
        <w:t>万股为基数向全体股东以</w:t>
      </w:r>
      <w:r>
        <w:rPr/>
        <w:t> </w:t>
      </w:r>
      <w:r>
        <w:rPr>
          <w:spacing w:val="-5"/>
        </w:rPr>
        <w:t>资本公积每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5</w:t>
      </w:r>
      <w:r>
        <w:rPr>
          <w:spacing w:val="-5"/>
        </w:rPr>
        <w:t>股股本，增加注册资本</w:t>
      </w:r>
      <w:r>
        <w:rPr>
          <w:rFonts w:ascii="Times New Roman" w:hAnsi="Times New Roman" w:cs="Times New Roman" w:eastAsia="Times New Roman" w:hint="default"/>
          <w:spacing w:val="-5"/>
        </w:rPr>
        <w:t>2,800</w:t>
      </w:r>
      <w:r>
        <w:rPr>
          <w:spacing w:val="-5"/>
        </w:rPr>
        <w:t>万元，变更后的注册资本为</w:t>
      </w:r>
      <w:r>
        <w:rPr>
          <w:rFonts w:ascii="Times New Roman" w:hAnsi="Times New Roman" w:cs="Times New Roman" w:eastAsia="Times New Roman" w:hint="default"/>
          <w:spacing w:val="-5"/>
        </w:rPr>
        <w:t>8,400</w:t>
      </w:r>
      <w:r>
        <w:rPr>
          <w:spacing w:val="-5"/>
        </w:rPr>
        <w:t>万元，本次出资业经瑞华会计师事务所（特</w:t>
      </w:r>
      <w:r>
        <w:rPr>
          <w:spacing w:val="-49"/>
        </w:rPr>
        <w:t> </w:t>
      </w:r>
      <w:r>
        <w:rPr>
          <w:spacing w:val="-49"/>
        </w:rPr>
      </w:r>
      <w:r>
        <w:rPr/>
        <w:t>殊普通合伙）验证确认，并出具瑞华验字</w:t>
      </w:r>
      <w:r>
        <w:rPr>
          <w:rFonts w:ascii="Times New Roman" w:hAnsi="Times New Roman" w:cs="Times New Roman" w:eastAsia="Times New Roman" w:hint="default"/>
        </w:rPr>
        <w:t>[2017]40060001</w:t>
      </w:r>
      <w:r>
        <w:rPr/>
        <w:t>号验资报告。</w:t>
      </w:r>
    </w:p>
    <w:p>
      <w:pPr>
        <w:pStyle w:val="BodyText"/>
        <w:spacing w:line="240" w:lineRule="auto" w:before="13"/>
        <w:ind w:left="574" w:right="0"/>
        <w:jc w:val="left"/>
      </w:pPr>
      <w:r>
        <w:rPr>
          <w:spacing w:val="3"/>
        </w:rPr>
        <w:t>根据公司</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14</w:t>
      </w:r>
      <w:r>
        <w:rPr>
          <w:spacing w:val="3"/>
        </w:rPr>
        <w:t>日第二届董事会第十一次会议决议和</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31</w:t>
      </w:r>
      <w:r>
        <w:rPr>
          <w:spacing w:val="3"/>
        </w:rPr>
        <w:t>日的</w:t>
      </w:r>
      <w:r>
        <w:rPr>
          <w:rFonts w:ascii="Times New Roman" w:hAnsi="Times New Roman" w:cs="Times New Roman" w:eastAsia="Times New Roman" w:hint="default"/>
          <w:spacing w:val="3"/>
        </w:rPr>
        <w:t>2017</w:t>
      </w:r>
      <w:r>
        <w:rPr>
          <w:spacing w:val="3"/>
        </w:rPr>
        <w:t>年第一次临时股东大会审议通过的</w:t>
      </w:r>
    </w:p>
    <w:p>
      <w:pPr>
        <w:pStyle w:val="BodyText"/>
        <w:spacing w:line="300" w:lineRule="auto" w:before="63"/>
        <w:ind w:right="1129"/>
        <w:jc w:val="both"/>
      </w:pPr>
      <w:r>
        <w:rPr/>
        <w:t>《珠海汇金科技股份有限公司</w:t>
      </w:r>
      <w:r>
        <w:rPr>
          <w:rFonts w:ascii="Times New Roman" w:hAnsi="Times New Roman" w:cs="Times New Roman" w:eastAsia="Times New Roman" w:hint="default"/>
        </w:rPr>
        <w:t>2017</w:t>
      </w:r>
      <w:r>
        <w:rPr/>
        <w:t>年限制性股票激励计划（草案）》及其摘要，及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日第二届董事会第十四次会</w:t>
      </w:r>
      <w:r>
        <w:rPr>
          <w:spacing w:val="-83"/>
        </w:rPr>
        <w:t> </w:t>
      </w:r>
      <w:r>
        <w:rPr>
          <w:spacing w:val="-83"/>
        </w:rPr>
      </w:r>
      <w:r>
        <w:rPr>
          <w:spacing w:val="-2"/>
        </w:rPr>
        <w:t>议决议，由</w:t>
      </w:r>
      <w:r>
        <w:rPr>
          <w:rFonts w:ascii="Times New Roman" w:hAnsi="Times New Roman" w:cs="Times New Roman" w:eastAsia="Times New Roman" w:hint="default"/>
          <w:spacing w:val="-2"/>
        </w:rPr>
        <w:t>42</w:t>
      </w:r>
      <w:r>
        <w:rPr>
          <w:spacing w:val="-2"/>
        </w:rPr>
        <w:t>名限制性股票激励对象行权，实际行权数量为</w:t>
      </w:r>
      <w:r>
        <w:rPr>
          <w:rFonts w:ascii="Times New Roman" w:hAnsi="Times New Roman" w:cs="Times New Roman" w:eastAsia="Times New Roman" w:hint="default"/>
          <w:spacing w:val="-2"/>
        </w:rPr>
        <w:t>116</w:t>
      </w:r>
      <w:r>
        <w:rPr>
          <w:spacing w:val="-2"/>
        </w:rPr>
        <w:t>万份，行权价格为</w:t>
      </w:r>
      <w:r>
        <w:rPr>
          <w:rFonts w:ascii="Times New Roman" w:hAnsi="Times New Roman" w:cs="Times New Roman" w:eastAsia="Times New Roman" w:hint="default"/>
          <w:spacing w:val="-2"/>
        </w:rPr>
        <w:t>24.45</w:t>
      </w:r>
      <w:r>
        <w:rPr>
          <w:spacing w:val="-2"/>
        </w:rPr>
        <w:t>元</w:t>
      </w:r>
      <w:r>
        <w:rPr>
          <w:rFonts w:ascii="Times New Roman" w:hAnsi="Times New Roman" w:cs="Times New Roman" w:eastAsia="Times New Roman" w:hint="default"/>
          <w:spacing w:val="-2"/>
        </w:rPr>
        <w:t>/</w:t>
      </w:r>
      <w:r>
        <w:rPr>
          <w:spacing w:val="-2"/>
        </w:rPr>
        <w:t>股。变更后公司注册资本为人民币</w:t>
      </w:r>
      <w:r>
        <w:rPr>
          <w:spacing w:val="-60"/>
        </w:rPr>
        <w:t> </w:t>
      </w:r>
      <w:r>
        <w:rPr>
          <w:spacing w:val="-60"/>
        </w:rPr>
      </w:r>
      <w:r>
        <w:rPr>
          <w:rFonts w:ascii="Times New Roman" w:hAnsi="Times New Roman" w:cs="Times New Roman" w:eastAsia="Times New Roman" w:hint="default"/>
        </w:rPr>
        <w:t>8,516</w:t>
      </w:r>
      <w:r>
        <w:rPr/>
        <w:t>万元。本次出资业经瑞华会计师事务所（特殊普通合伙）验证确认，并出具瑞华验字</w:t>
      </w:r>
      <w:r>
        <w:rPr>
          <w:rFonts w:ascii="Times New Roman" w:hAnsi="Times New Roman" w:cs="Times New Roman" w:eastAsia="Times New Roman" w:hint="default"/>
        </w:rPr>
        <w:t>[2017]40060002</w:t>
      </w:r>
      <w:r>
        <w:rPr/>
        <w:t>号验资报告。</w:t>
      </w:r>
    </w:p>
    <w:p>
      <w:pPr>
        <w:pStyle w:val="BodyText"/>
        <w:spacing w:line="240" w:lineRule="auto" w:before="13"/>
        <w:ind w:left="574" w:right="0"/>
        <w:jc w:val="left"/>
      </w:pPr>
      <w:r>
        <w:rPr>
          <w:spacing w:val="3"/>
        </w:rPr>
        <w:t>根据公司</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14</w:t>
      </w:r>
      <w:r>
        <w:rPr>
          <w:spacing w:val="3"/>
        </w:rPr>
        <w:t>日第二届董事会第十一次会议决议和</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31</w:t>
      </w:r>
      <w:r>
        <w:rPr>
          <w:spacing w:val="3"/>
        </w:rPr>
        <w:t>日的</w:t>
      </w:r>
      <w:r>
        <w:rPr>
          <w:rFonts w:ascii="Times New Roman" w:hAnsi="Times New Roman" w:cs="Times New Roman" w:eastAsia="Times New Roman" w:hint="default"/>
          <w:spacing w:val="3"/>
        </w:rPr>
        <w:t>2017</w:t>
      </w:r>
      <w:r>
        <w:rPr>
          <w:spacing w:val="3"/>
        </w:rPr>
        <w:t>年第一次临时股东大会审议通过的</w:t>
      </w:r>
    </w:p>
    <w:p>
      <w:pPr>
        <w:pStyle w:val="BodyText"/>
        <w:spacing w:line="300" w:lineRule="auto" w:before="63"/>
        <w:ind w:right="1129"/>
        <w:jc w:val="both"/>
      </w:pPr>
      <w:r>
        <w:rPr/>
        <w:t>《珠海汇金科技股份有限公司</w:t>
      </w:r>
      <w:r>
        <w:rPr>
          <w:rFonts w:ascii="Times New Roman" w:hAnsi="Times New Roman" w:cs="Times New Roman" w:eastAsia="Times New Roman" w:hint="default"/>
        </w:rPr>
        <w:t>2017</w:t>
      </w:r>
      <w:r>
        <w:rPr/>
        <w:t>年限制性股票激励计划（草案）》及其摘要，及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日第二届董事会第二十一次</w:t>
      </w:r>
      <w:r>
        <w:rPr>
          <w:spacing w:val="-83"/>
        </w:rPr>
        <w:t> </w:t>
      </w:r>
      <w:r>
        <w:rPr>
          <w:spacing w:val="-83"/>
        </w:rPr>
      </w:r>
      <w:r>
        <w:rPr/>
        <w:t>会议决议，截至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日，由</w:t>
      </w:r>
      <w:r>
        <w:rPr>
          <w:rFonts w:ascii="Times New Roman" w:hAnsi="Times New Roman" w:cs="Times New Roman" w:eastAsia="Times New Roman" w:hint="default"/>
        </w:rPr>
        <w:t>6</w:t>
      </w:r>
      <w:r>
        <w:rPr/>
        <w:t>名限制性股票激励对象行权，实际行权数量为</w:t>
      </w:r>
      <w:r>
        <w:rPr>
          <w:rFonts w:ascii="Times New Roman" w:hAnsi="Times New Roman" w:cs="Times New Roman" w:eastAsia="Times New Roman" w:hint="default"/>
        </w:rPr>
        <w:t>19</w:t>
      </w:r>
      <w:r>
        <w:rPr/>
        <w:t>万份，行权价格为</w:t>
      </w:r>
      <w:r>
        <w:rPr>
          <w:rFonts w:ascii="Times New Roman" w:hAnsi="Times New Roman" w:cs="Times New Roman" w:eastAsia="Times New Roman" w:hint="default"/>
        </w:rPr>
        <w:t>21.18</w:t>
      </w:r>
      <w:r>
        <w:rPr/>
        <w:t>元</w:t>
      </w:r>
      <w:r>
        <w:rPr>
          <w:rFonts w:ascii="Times New Roman" w:hAnsi="Times New Roman" w:cs="Times New Roman" w:eastAsia="Times New Roman" w:hint="default"/>
        </w:rPr>
        <w:t>/</w:t>
      </w:r>
      <w:r>
        <w:rPr/>
        <w:t>股。变更后 </w:t>
      </w:r>
      <w:r>
        <w:rPr>
          <w:spacing w:val="14"/>
        </w:rPr>
        <w:t>公司注册资本为人民币</w:t>
      </w:r>
      <w:r>
        <w:rPr>
          <w:spacing w:val="-68"/>
        </w:rPr>
        <w:t> </w:t>
      </w:r>
      <w:r>
        <w:rPr>
          <w:rFonts w:ascii="Times New Roman" w:hAnsi="Times New Roman" w:cs="Times New Roman" w:eastAsia="Times New Roman" w:hint="default"/>
          <w:spacing w:val="5"/>
        </w:rPr>
        <w:t>8,535</w:t>
      </w:r>
      <w:r>
        <w:rPr>
          <w:spacing w:val="5"/>
        </w:rPr>
        <w:t>万元。</w:t>
      </w:r>
      <w:r>
        <w:rPr>
          <w:spacing w:val="-71"/>
        </w:rPr>
        <w:t> </w:t>
      </w:r>
      <w:r>
        <w:rPr>
          <w:spacing w:val="14"/>
        </w:rPr>
        <w:t>本次出资业经瑞华会计师事务所（</w:t>
      </w:r>
      <w:r>
        <w:rPr>
          <w:spacing w:val="-72"/>
        </w:rPr>
        <w:t> </w:t>
      </w:r>
      <w:r>
        <w:rPr>
          <w:spacing w:val="13"/>
        </w:rPr>
        <w:t>特殊普通合伙）</w:t>
      </w:r>
      <w:r>
        <w:rPr>
          <w:spacing w:val="-71"/>
        </w:rPr>
        <w:t> </w:t>
      </w:r>
      <w:r>
        <w:rPr>
          <w:spacing w:val="12"/>
        </w:rPr>
        <w:t>验证确认，</w:t>
      </w:r>
      <w:r>
        <w:rPr>
          <w:spacing w:val="-72"/>
        </w:rPr>
        <w:t> </w:t>
      </w:r>
      <w:r>
        <w:rPr>
          <w:spacing w:val="13"/>
        </w:rPr>
        <w:t>并出具瑞华验字</w:t>
      </w:r>
      <w:r>
        <w:rPr>
          <w:spacing w:val="-81"/>
        </w:rPr>
        <w:t> </w:t>
      </w:r>
      <w:r>
        <w:rPr>
          <w:spacing w:val="-81"/>
        </w:rPr>
      </w:r>
      <w:r>
        <w:rPr>
          <w:rFonts w:ascii="Times New Roman" w:hAnsi="Times New Roman" w:cs="Times New Roman" w:eastAsia="Times New Roman" w:hint="default"/>
        </w:rPr>
        <w:t>[2018]40060001</w:t>
      </w:r>
      <w:r>
        <w:rPr/>
        <w:t>号验资报告。</w:t>
      </w:r>
    </w:p>
    <w:p>
      <w:pPr>
        <w:pStyle w:val="BodyText"/>
        <w:spacing w:line="300" w:lineRule="auto" w:before="13"/>
        <w:ind w:right="1129"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日，经</w:t>
      </w:r>
      <w:r>
        <w:rPr>
          <w:rFonts w:ascii="Times New Roman" w:hAnsi="Times New Roman" w:cs="Times New Roman" w:eastAsia="Times New Roman" w:hint="default"/>
        </w:rPr>
        <w:t>2017</w:t>
      </w:r>
      <w:r>
        <w:rPr/>
        <w:t>年度股东大会会议决议通过，公司以截至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8,516</w:t>
      </w:r>
      <w:r>
        <w:rPr/>
        <w:t>万股为基数向全体股东 </w:t>
      </w:r>
      <w:r>
        <w:rPr>
          <w:spacing w:val="-2"/>
        </w:rPr>
        <w:t>以资本公积每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股股本，权益分派方案经股东大会审议通过后至实施前，公司完成了</w:t>
      </w:r>
      <w:r>
        <w:rPr>
          <w:rFonts w:ascii="Times New Roman" w:hAnsi="Times New Roman" w:cs="Times New Roman" w:eastAsia="Times New Roman" w:hint="default"/>
          <w:spacing w:val="-2"/>
        </w:rPr>
        <w:t>2017</w:t>
      </w:r>
      <w:r>
        <w:rPr>
          <w:spacing w:val="-2"/>
        </w:rPr>
        <w:t>年限制性股票激励计划限</w:t>
      </w:r>
      <w:r>
        <w:rPr>
          <w:spacing w:val="-56"/>
        </w:rPr>
        <w:t> </w:t>
      </w:r>
      <w:r>
        <w:rPr>
          <w:spacing w:val="-1"/>
        </w:rPr>
        <w:t>制性股票预留部分的授予登记工作，向</w:t>
      </w:r>
      <w:r>
        <w:rPr>
          <w:rFonts w:ascii="Times New Roman" w:hAnsi="Times New Roman" w:cs="Times New Roman" w:eastAsia="Times New Roman" w:hint="default"/>
          <w:spacing w:val="-1"/>
        </w:rPr>
        <w:t>6</w:t>
      </w:r>
      <w:r>
        <w:rPr>
          <w:spacing w:val="-1"/>
        </w:rPr>
        <w:t>名激励对象授予</w:t>
      </w:r>
      <w:r>
        <w:rPr>
          <w:rFonts w:ascii="Times New Roman" w:hAnsi="Times New Roman" w:cs="Times New Roman" w:eastAsia="Times New Roman" w:hint="default"/>
          <w:spacing w:val="-1"/>
        </w:rPr>
        <w:t>19</w:t>
      </w:r>
      <w:r>
        <w:rPr>
          <w:spacing w:val="-1"/>
        </w:rPr>
        <w:t>万股限制性股票，限制性股票授予完成后，公司股份总数由</w:t>
      </w:r>
      <w:r>
        <w:rPr>
          <w:rFonts w:ascii="Times New Roman" w:hAnsi="Times New Roman" w:cs="Times New Roman" w:eastAsia="Times New Roman" w:hint="default"/>
          <w:spacing w:val="-1"/>
        </w:rPr>
        <w:t>8,516</w:t>
      </w:r>
      <w:r>
        <w:rPr>
          <w:rFonts w:ascii="Times New Roman" w:hAnsi="Times New Roman" w:cs="Times New Roman" w:eastAsia="Times New Roman" w:hint="default"/>
          <w:spacing w:val="-26"/>
        </w:rPr>
        <w:t> </w:t>
      </w:r>
      <w:r>
        <w:rPr/>
        <w:t>万股增加至</w:t>
      </w:r>
      <w:r>
        <w:rPr>
          <w:rFonts w:ascii="Times New Roman" w:hAnsi="Times New Roman" w:cs="Times New Roman" w:eastAsia="Times New Roman" w:hint="default"/>
        </w:rPr>
        <w:t>8,535</w:t>
      </w:r>
      <w:r>
        <w:rPr/>
        <w:t>万股。根据《深圳证券交易所创业板上市公司规范运作指引》的相关规定，分配方案公布后至实施前，公</w:t>
      </w:r>
      <w:r>
        <w:rPr>
          <w:spacing w:val="-49"/>
        </w:rPr>
        <w:t> </w:t>
      </w:r>
      <w:r>
        <w:rPr>
          <w:spacing w:val="-49"/>
        </w:rPr>
      </w:r>
      <w:r>
        <w:rPr/>
        <w:t>司总股本由于增发新股、股权激励行权、可转债转股等原因发生变动的，应当按照</w:t>
      </w:r>
      <w:r>
        <w:rPr>
          <w:rFonts w:ascii="Times New Roman" w:hAnsi="Times New Roman" w:cs="Times New Roman" w:eastAsia="Times New Roman" w:hint="default"/>
        </w:rPr>
        <w:t>“</w:t>
      </w:r>
      <w:r>
        <w:rPr/>
        <w:t>现金分红总额、送红股总额、转增股本</w:t>
      </w:r>
      <w:r>
        <w:rPr>
          <w:spacing w:val="-75"/>
        </w:rPr>
        <w:t> </w:t>
      </w:r>
      <w:r>
        <w:rPr>
          <w:spacing w:val="-75"/>
        </w:rPr>
      </w:r>
      <w:r>
        <w:rPr/>
        <w:t>总额固定不变</w:t>
      </w:r>
      <w:r>
        <w:rPr>
          <w:rFonts w:ascii="Times New Roman" w:hAnsi="Times New Roman" w:cs="Times New Roman" w:eastAsia="Times New Roman" w:hint="default"/>
        </w:rPr>
        <w:t>”</w:t>
      </w:r>
      <w:r>
        <w:rPr/>
        <w:t>的原则，在权益分派实施公告中披露按公司最新总股本计算的分配比例。因此公司</w:t>
      </w:r>
      <w:r>
        <w:rPr>
          <w:rFonts w:ascii="Times New Roman" w:hAnsi="Times New Roman" w:cs="Times New Roman" w:eastAsia="Times New Roman" w:hint="default"/>
        </w:rPr>
        <w:t>2017</w:t>
      </w:r>
      <w:r>
        <w:rPr/>
        <w:t>年年度资本公积转增</w:t>
      </w:r>
      <w:r>
        <w:rPr>
          <w:spacing w:val="-75"/>
        </w:rPr>
        <w:t> </w:t>
      </w:r>
      <w:r>
        <w:rPr>
          <w:spacing w:val="-75"/>
        </w:rPr>
      </w:r>
      <w:r>
        <w:rPr>
          <w:spacing w:val="6"/>
        </w:rPr>
        <w:t>方案调整为：以公司现有总股本</w:t>
      </w:r>
      <w:r>
        <w:rPr>
          <w:rFonts w:ascii="Times New Roman" w:hAnsi="Times New Roman" w:cs="Times New Roman" w:eastAsia="Times New Roman" w:hint="default"/>
          <w:spacing w:val="6"/>
        </w:rPr>
        <w:t>85,350,000</w:t>
      </w:r>
      <w:r>
        <w:rPr>
          <w:spacing w:val="6"/>
        </w:rPr>
        <w:t>股为基数，以资本公积金向全体股东每</w:t>
      </w:r>
      <w:r>
        <w:rPr>
          <w:rFonts w:ascii="Times New Roman" w:hAnsi="Times New Roman" w:cs="Times New Roman" w:eastAsia="Times New Roman" w:hint="default"/>
          <w:spacing w:val="6"/>
        </w:rPr>
        <w:t>10</w:t>
      </w:r>
      <w:r>
        <w:rPr>
          <w:spacing w:val="6"/>
        </w:rPr>
        <w:t>股转增</w:t>
      </w:r>
      <w:r>
        <w:rPr>
          <w:rFonts w:ascii="Times New Roman" w:hAnsi="Times New Roman" w:cs="Times New Roman" w:eastAsia="Times New Roman" w:hint="default"/>
          <w:spacing w:val="6"/>
        </w:rPr>
        <w:t>9.977738</w:t>
      </w:r>
      <w:r>
        <w:rPr>
          <w:spacing w:val="6"/>
        </w:rPr>
        <w:t>股，增加注册资本</w:t>
      </w:r>
      <w:r>
        <w:rPr>
          <w:spacing w:val="-70"/>
        </w:rPr>
        <w:t> </w:t>
      </w:r>
      <w:r>
        <w:rPr>
          <w:spacing w:val="-70"/>
        </w:rPr>
      </w:r>
      <w:r>
        <w:rPr>
          <w:rFonts w:ascii="Times New Roman" w:hAnsi="Times New Roman" w:cs="Times New Roman" w:eastAsia="Times New Roman" w:hint="default"/>
        </w:rPr>
        <w:t>85,159,993</w:t>
      </w:r>
      <w:r>
        <w:rPr/>
        <w:t>元，变更后的注册资本为</w:t>
      </w:r>
      <w:r>
        <w:rPr>
          <w:rFonts w:ascii="Times New Roman" w:hAnsi="Times New Roman" w:cs="Times New Roman" w:eastAsia="Times New Roman" w:hint="default"/>
        </w:rPr>
        <w:t>170,509,993</w:t>
      </w:r>
      <w:r>
        <w:rPr/>
        <w:t>元。本次出资业经瑞华会计师事务所（特殊普通合伙）验证确认，并出具瑞</w:t>
      </w:r>
      <w:r>
        <w:rPr>
          <w:spacing w:val="-87"/>
        </w:rPr>
        <w:t> </w:t>
      </w:r>
      <w:r>
        <w:rPr>
          <w:spacing w:val="-87"/>
        </w:rPr>
      </w:r>
      <w:r>
        <w:rPr/>
        <w:t>华验字</w:t>
      </w:r>
      <w:r>
        <w:rPr>
          <w:rFonts w:ascii="Times New Roman" w:hAnsi="Times New Roman" w:cs="Times New Roman" w:eastAsia="Times New Roman" w:hint="default"/>
        </w:rPr>
        <w:t>[2018]40060002</w:t>
      </w:r>
      <w:r>
        <w:rPr/>
        <w:t>号验资报告。</w:t>
      </w:r>
    </w:p>
    <w:p>
      <w:pPr>
        <w:pStyle w:val="BodyText"/>
        <w:spacing w:line="240" w:lineRule="auto" w:before="13"/>
        <w:ind w:left="574" w:right="0"/>
        <w:jc w:val="left"/>
        <w:rPr>
          <w:rFonts w:ascii="Times New Roman" w:hAnsi="Times New Roman" w:cs="Times New Roman" w:eastAsia="Times New Roman" w:hint="default"/>
        </w:rPr>
      </w:pPr>
      <w:r>
        <w:rPr>
          <w:spacing w:val="-4"/>
        </w:rPr>
        <w:t>根据公司</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23</w:t>
      </w:r>
      <w:r>
        <w:rPr>
          <w:spacing w:val="-4"/>
        </w:rPr>
        <w:t>日第三届董事会第二次会议审议通过的《关于回购注销部分限制性股票的议案》，回购股份</w:t>
      </w:r>
      <w:r>
        <w:rPr>
          <w:rFonts w:ascii="Times New Roman" w:hAnsi="Times New Roman" w:cs="Times New Roman" w:eastAsia="Times New Roman" w:hint="default"/>
          <w:spacing w:val="-4"/>
        </w:rPr>
        <w:t>99,889</w:t>
      </w:r>
    </w:p>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before="44"/>
        <w:ind w:right="1128"/>
        <w:jc w:val="both"/>
      </w:pPr>
      <w:r>
        <w:rPr/>
        <w:t>股，其中：回购注销首次授予的尚未解除限售的限制性股票</w:t>
      </w:r>
      <w:r>
        <w:rPr>
          <w:rFonts w:ascii="Times New Roman" w:hAnsi="Times New Roman" w:cs="Times New Roman" w:eastAsia="Times New Roman" w:hint="default"/>
        </w:rPr>
        <w:t>79,911</w:t>
      </w:r>
      <w:r>
        <w:rPr/>
        <w:t>股，回购价格为</w:t>
      </w:r>
      <w:r>
        <w:rPr>
          <w:rFonts w:ascii="Times New Roman" w:hAnsi="Times New Roman" w:cs="Times New Roman" w:eastAsia="Times New Roman" w:hint="default"/>
        </w:rPr>
        <w:t>12.0588</w:t>
      </w:r>
      <w:r>
        <w:rPr/>
        <w:t>元</w:t>
      </w:r>
      <w:r>
        <w:rPr>
          <w:rFonts w:ascii="Times New Roman" w:hAnsi="Times New Roman" w:cs="Times New Roman" w:eastAsia="Times New Roman" w:hint="default"/>
        </w:rPr>
        <w:t>/</w:t>
      </w:r>
      <w:r>
        <w:rPr/>
        <w:t>股；回购注销预留授予的尚未</w:t>
      </w:r>
      <w:r>
        <w:rPr>
          <w:spacing w:val="-47"/>
        </w:rPr>
        <w:t> </w:t>
      </w:r>
      <w:r>
        <w:rPr>
          <w:spacing w:val="-47"/>
        </w:rPr>
      </w:r>
      <w:r>
        <w:rPr/>
        <w:t>解除限售的限制性股票</w:t>
      </w:r>
      <w:r>
        <w:rPr>
          <w:rFonts w:ascii="Times New Roman" w:hAnsi="Times New Roman" w:cs="Times New Roman" w:eastAsia="Times New Roman" w:hint="default"/>
        </w:rPr>
        <w:t>19,978</w:t>
      </w:r>
      <w:r>
        <w:rPr/>
        <w:t>股，回购价格为</w:t>
      </w:r>
      <w:r>
        <w:rPr>
          <w:rFonts w:ascii="Times New Roman" w:hAnsi="Times New Roman" w:cs="Times New Roman" w:eastAsia="Times New Roman" w:hint="default"/>
        </w:rPr>
        <w:t>10.4220</w:t>
      </w:r>
      <w:r>
        <w:rPr/>
        <w:t>元</w:t>
      </w:r>
      <w:r>
        <w:rPr>
          <w:rFonts w:ascii="Times New Roman" w:hAnsi="Times New Roman" w:cs="Times New Roman" w:eastAsia="Times New Roman" w:hint="default"/>
        </w:rPr>
        <w:t>/</w:t>
      </w:r>
      <w:r>
        <w:rPr/>
        <w:t>股，回购后注册资本为</w:t>
      </w:r>
      <w:r>
        <w:rPr>
          <w:rFonts w:ascii="Times New Roman" w:hAnsi="Times New Roman" w:cs="Times New Roman" w:eastAsia="Times New Roman" w:hint="default"/>
        </w:rPr>
        <w:t>170,410,104</w:t>
      </w:r>
      <w:r>
        <w:rPr/>
        <w:t>元。本次减资业经瑞华会计师事</w:t>
      </w:r>
      <w:r>
        <w:rPr>
          <w:spacing w:val="-52"/>
        </w:rPr>
        <w:t> </w:t>
      </w:r>
      <w:r>
        <w:rPr>
          <w:spacing w:val="-52"/>
        </w:rPr>
      </w:r>
      <w:r>
        <w:rPr/>
        <w:t>务所（特殊普通合伙）验证确认，并出具瑞华验字</w:t>
      </w:r>
      <w:r>
        <w:rPr>
          <w:rFonts w:ascii="Times New Roman" w:hAnsi="Times New Roman" w:cs="Times New Roman" w:eastAsia="Times New Roman" w:hint="default"/>
        </w:rPr>
        <w:t>[2018]40060008</w:t>
      </w:r>
      <w:r>
        <w:rPr/>
        <w:t>号验资报告。</w:t>
      </w:r>
    </w:p>
    <w:p>
      <w:pPr>
        <w:pStyle w:val="BodyText"/>
        <w:spacing w:line="319" w:lineRule="auto" w:before="13"/>
        <w:ind w:left="574" w:right="0"/>
        <w:jc w:val="left"/>
      </w:pPr>
      <w:r>
        <w:rPr/>
        <w:t>本公司所属行业：软件和信息技术服务业。 本公司经营范围：电子计算机软硬件、电子产品、安全防范技术产品、通信设备的设计、研发、生产、批发、零售及</w:t>
      </w:r>
    </w:p>
    <w:p>
      <w:pPr>
        <w:pStyle w:val="BodyText"/>
        <w:spacing w:line="316" w:lineRule="auto" w:before="17"/>
        <w:ind w:right="1133"/>
        <w:jc w:val="both"/>
      </w:pPr>
      <w:r>
        <w:rPr>
          <w:spacing w:val="-2"/>
        </w:rPr>
        <w:t>其他商业批发零售（不含许可经营项目）；卡封锁、卡封片、卡封箱、卡封包及其识别系统的设计、研发、生产、批发、零</w:t>
      </w:r>
      <w:r>
        <w:rPr>
          <w:spacing w:val="-71"/>
        </w:rPr>
        <w:t> </w:t>
      </w:r>
      <w:r>
        <w:rPr>
          <w:spacing w:val="-71"/>
        </w:rPr>
      </w:r>
      <w:r>
        <w:rPr/>
        <w:t>售。</w:t>
      </w:r>
    </w:p>
    <w:p>
      <w:pPr>
        <w:pStyle w:val="BodyText"/>
        <w:spacing w:line="316" w:lineRule="auto" w:before="19"/>
        <w:ind w:left="574" w:right="0"/>
        <w:jc w:val="left"/>
      </w:pPr>
      <w:r>
        <w:rPr>
          <w:spacing w:val="-2"/>
        </w:rPr>
        <w:t>本公司的主要产品：银行自助设备现金管理系统、银行现金流转内控系统、银行印章管理系统、人脸识别系统产品等。</w:t>
      </w:r>
      <w:r>
        <w:rPr>
          <w:spacing w:val="-42"/>
        </w:rPr>
        <w:t> </w:t>
      </w:r>
      <w:r>
        <w:rPr>
          <w:spacing w:val="-42"/>
        </w:rPr>
      </w:r>
      <w:r>
        <w:rPr/>
        <w:t>本财务报表业经本公司董事会于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日决议批准报出。根据本公司章程，本财务报表将提交股东大会审议。</w:t>
      </w:r>
    </w:p>
    <w:p>
      <w:pPr>
        <w:spacing w:line="240" w:lineRule="auto" w:before="10"/>
        <w:rPr>
          <w:rFonts w:ascii="宋体" w:hAnsi="宋体" w:cs="宋体" w:eastAsia="宋体" w:hint="default"/>
          <w:sz w:val="23"/>
          <w:szCs w:val="23"/>
        </w:rPr>
      </w:pPr>
    </w:p>
    <w:p>
      <w:pPr>
        <w:pStyle w:val="BodyText"/>
        <w:spacing w:line="240" w:lineRule="auto"/>
        <w:ind w:right="0"/>
        <w:jc w:val="both"/>
      </w:pPr>
      <w:r>
        <w:rPr/>
        <w:t>本公司</w:t>
      </w:r>
      <w:r>
        <w:rPr>
          <w:rFonts w:ascii="Times New Roman" w:hAnsi="Times New Roman" w:cs="Times New Roman" w:eastAsia="Times New Roman" w:hint="default"/>
        </w:rPr>
        <w:t>2018</w:t>
      </w:r>
      <w:r>
        <w:rPr/>
        <w:t>年度纳入合并范围的子公司共</w:t>
      </w:r>
      <w:r>
        <w:rPr>
          <w:rFonts w:ascii="Times New Roman" w:hAnsi="Times New Roman" w:cs="Times New Roman" w:eastAsia="Times New Roman" w:hint="default"/>
        </w:rPr>
        <w:t>1</w:t>
      </w:r>
      <w:r>
        <w:rPr/>
        <w:t>户，详见本附注九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四、财务报表的编制基础" w:id="163"/>
      <w:bookmarkEnd w:id="163"/>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64"/>
      <w:bookmarkEnd w:id="16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spacing w:val="-4"/>
        </w:rPr>
        <w:t>本公司财务报表以持续经营假设为基础，根据实际发生的交易和事项，按照财政部发布的《企业会计准则——基本准则》</w:t>
      </w:r>
    </w:p>
    <w:p>
      <w:pPr>
        <w:pStyle w:val="BodyText"/>
        <w:spacing w:line="316" w:lineRule="auto" w:before="76"/>
        <w:ind w:right="1132"/>
        <w:jc w:val="both"/>
      </w:pPr>
      <w:r>
        <w:rPr/>
        <w:t>（财政部令第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w:t>
      </w:r>
      <w:r>
        <w:rPr>
          <w:rFonts w:ascii="宋体" w:hAnsi="宋体" w:cs="宋体" w:eastAsia="宋体" w:hint="default"/>
        </w:rPr>
        <w:t>42</w:t>
      </w:r>
      <w:r>
        <w:rPr/>
        <w:t>项具体会计准则、企业会计准则 </w:t>
      </w:r>
      <w:r>
        <w:rPr>
          <w:spacing w:val="-2"/>
        </w:rPr>
        <w:t>应用指南、企业会计准则解释及其他相关规定（以下合称“企业会计准则”），以及中国证券监督管理委员会《公开发行证</w:t>
      </w:r>
      <w:r>
        <w:rPr>
          <w:spacing w:val="-70"/>
        </w:rPr>
        <w:t> </w:t>
      </w:r>
      <w:r>
        <w:rPr>
          <w:spacing w:val="-70"/>
        </w:rPr>
      </w:r>
      <w:r>
        <w:rPr/>
        <w:t>券的公司信息披露编报规则第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年修订）的披露规定编制。</w:t>
      </w:r>
    </w:p>
    <w:p>
      <w:pPr>
        <w:pStyle w:val="BodyText"/>
        <w:spacing w:line="316" w:lineRule="auto" w:before="19"/>
        <w:ind w:right="1133" w:firstLine="360"/>
        <w:jc w:val="both"/>
      </w:pPr>
      <w:r>
        <w:rPr>
          <w:spacing w:val="-2"/>
        </w:rPr>
        <w:t>根据企业会计准则的相关规定，本公司会计核算以权责发生制为基础。除某些金融工具外，本财务报表均以历史成本为</w:t>
      </w:r>
      <w:r>
        <w:rPr/>
        <w:t> 计量基础。资产如果发生减值，则按照相关规定计提相应的减值准备。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持续经营" w:id="165"/>
      <w:bookmarkEnd w:id="16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五、重要会计政策及会计估计" w:id="166"/>
      <w:bookmarkEnd w:id="166"/>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357" w:lineRule="auto" w:before="26"/>
        <w:ind w:right="8232"/>
        <w:jc w:val="left"/>
      </w:pPr>
      <w:r>
        <w:rPr/>
        <w:t>软件与信息技术服务业 具体会计政策和会计估计提示：</w:t>
      </w:r>
    </w:p>
    <w:p>
      <w:pPr>
        <w:pStyle w:val="BodyText"/>
        <w:spacing w:line="309" w:lineRule="auto" w:before="28"/>
        <w:ind w:right="1130"/>
        <w:jc w:val="both"/>
      </w:pPr>
      <w:r>
        <w:rPr>
          <w:spacing w:val="-2"/>
        </w:rPr>
        <w:t>公司主要从事基于银行内控风险管理整体解决方案的相关应用产品研发、生产和销售。本公司及各子公司根据实际生产经营</w:t>
      </w:r>
      <w:r>
        <w:rPr>
          <w:spacing w:val="-64"/>
        </w:rPr>
        <w:t> </w:t>
      </w:r>
      <w:r>
        <w:rPr>
          <w:spacing w:val="-64"/>
        </w:rPr>
      </w:r>
      <w:r>
        <w:rPr>
          <w:spacing w:val="-7"/>
        </w:rPr>
        <w:t>特点，依据相关企业会计准则的规定，对收入确认等交易和事项制定了若干项具体会计政策和会计估计，详见本附注五、</w:t>
      </w:r>
      <w:r>
        <w:rPr>
          <w:rFonts w:ascii="Times New Roman" w:hAnsi="Times New Roman" w:cs="Times New Roman" w:eastAsia="Times New Roman" w:hint="default"/>
          <w:spacing w:val="-7"/>
        </w:rPr>
        <w:t>28“</w:t>
      </w:r>
      <w:r>
        <w:rPr>
          <w:spacing w:val="-7"/>
        </w:rPr>
        <w:t>收</w:t>
      </w:r>
      <w:r>
        <w:rPr>
          <w:spacing w:val="-35"/>
        </w:rPr>
        <w:t> </w:t>
      </w:r>
      <w:r>
        <w:rPr/>
        <w:t>入</w:t>
      </w:r>
      <w:r>
        <w:rPr>
          <w:rFonts w:ascii="Times New Roman" w:hAnsi="Times New Roman" w:cs="Times New Roman" w:eastAsia="Times New Roman" w:hint="default"/>
        </w:rPr>
        <w:t>”</w:t>
      </w:r>
      <w:r>
        <w:rPr/>
        <w:t>各项描述。关于管理层所作出的重大会计判断和估计的说明，请参阅附注五、</w:t>
      </w:r>
      <w:r>
        <w:rPr>
          <w:rFonts w:ascii="Times New Roman" w:hAnsi="Times New Roman" w:cs="Times New Roman" w:eastAsia="Times New Roman" w:hint="default"/>
        </w:rPr>
        <w:t>32“</w:t>
      </w:r>
      <w:r>
        <w:rPr/>
        <w:t>其他重要的会计政策和会计估计</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21"/>
          <w:szCs w:val="21"/>
        </w:rPr>
      </w:pPr>
    </w:p>
    <w:p>
      <w:pPr>
        <w:pStyle w:val="Heading3"/>
        <w:spacing w:line="240" w:lineRule="auto"/>
        <w:ind w:right="0"/>
        <w:jc w:val="both"/>
        <w:rPr>
          <w:b w:val="0"/>
          <w:bCs w:val="0"/>
        </w:rPr>
      </w:pPr>
      <w:bookmarkStart w:name="1、遵循企业会计准则的声明" w:id="167"/>
      <w:bookmarkEnd w:id="16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360"/>
        <w:jc w:val="both"/>
      </w:pPr>
      <w:r>
        <w:rPr>
          <w:spacing w:val="-2"/>
        </w:rPr>
        <w:t>本公司编制的财务报表符合企业会计准则的要求，真实、完整地反映了本公司</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日的财务状况及</w:t>
      </w:r>
      <w:r>
        <w:rPr>
          <w:rFonts w:ascii="宋体" w:hAnsi="宋体" w:cs="宋体" w:eastAsia="宋体" w:hint="default"/>
          <w:spacing w:val="-2"/>
        </w:rPr>
        <w:t>2018</w:t>
      </w:r>
      <w:r>
        <w:rPr>
          <w:spacing w:val="-2"/>
        </w:rPr>
        <w:t>年度的</w:t>
      </w:r>
      <w:r>
        <w:rPr/>
        <w:t> </w:t>
      </w:r>
      <w:r>
        <w:rPr>
          <w:spacing w:val="-2"/>
        </w:rPr>
        <w:t>经营成果和现金流量等有关信息。此外，本公司的财务报表在所有重大方面符合中国证券监督管理委员会</w:t>
      </w:r>
      <w:r>
        <w:rPr>
          <w:rFonts w:ascii="宋体" w:hAnsi="宋体" w:cs="宋体" w:eastAsia="宋体" w:hint="default"/>
          <w:spacing w:val="-2"/>
        </w:rPr>
        <w:t>2014</w:t>
      </w:r>
      <w:r>
        <w:rPr>
          <w:spacing w:val="-2"/>
        </w:rPr>
        <w:t>年修订的《公</w:t>
      </w:r>
      <w:r>
        <w:rPr>
          <w:spacing w:val="-61"/>
        </w:rPr>
        <w:t> </w:t>
      </w:r>
      <w:r>
        <w:rPr>
          <w:spacing w:val="-61"/>
        </w:rPr>
      </w:r>
      <w:r>
        <w:rPr/>
        <w:t>开发行证券的公司信息披露编报规则第</w:t>
      </w:r>
      <w:r>
        <w:rPr>
          <w:rFonts w:ascii="宋体" w:hAnsi="宋体" w:cs="宋体" w:eastAsia="宋体" w:hint="default"/>
        </w:rPr>
        <w:t>15</w:t>
      </w:r>
      <w:r>
        <w:rPr/>
        <w:t>号－财务报告的一般规定》有关财务报表及其附注的披露要求。</w:t>
      </w:r>
    </w:p>
    <w:p>
      <w:pPr>
        <w:spacing w:after="0" w:line="31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会计期间" w:id="168"/>
      <w:bookmarkEnd w:id="16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4" w:firstLine="348"/>
        <w:jc w:val="left"/>
      </w:pPr>
      <w:r>
        <w:rPr/>
        <w:t>本公司的会计期间分为年度和中期，会计中期指短于一个完整的会计年度的报告期间。本公司会计年度采用公历年度， 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营业周期" w:id="169"/>
      <w:bookmarkEnd w:id="16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212" w:firstLine="360"/>
        <w:jc w:val="left"/>
      </w:pPr>
      <w:r>
        <w:rPr/>
        <w:t>正常营业周期是指本公司从购买用于加工的资产起至实现现金或现金等价物的期间。本公司以</w:t>
      </w:r>
      <w:r>
        <w:rPr>
          <w:rFonts w:ascii="宋体" w:hAnsi="宋体" w:cs="宋体" w:eastAsia="宋体" w:hint="default"/>
        </w:rPr>
        <w:t>12</w:t>
      </w:r>
      <w:r>
        <w:rPr/>
        <w:t>个月作为一个营业周 期，并以其作为资产和负债的流动性划分标准。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记账本位币" w:id="170"/>
      <w:bookmarkEnd w:id="17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人民币为本公司及境内子公司经营所处的主要经济环境中的货币，本公司及境内子公司以人民币为记账本位币。本公司</w:t>
      </w:r>
      <w:r>
        <w:rPr/>
        <w:t> 编制本财务报表时所采用的货币为人民币。</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5、同一控制下和非同一控制下企业合并的会计处理方法" w:id="171"/>
      <w:bookmarkEnd w:id="17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16" w:lineRule="auto" w:before="19"/>
        <w:ind w:left="514" w:right="0" w:hanging="360"/>
        <w:jc w:val="left"/>
      </w:pPr>
      <w:r>
        <w:rPr/>
        <w:t>（</w:t>
      </w:r>
      <w:r>
        <w:rPr>
          <w:rFonts w:ascii="宋体" w:hAnsi="宋体" w:cs="宋体" w:eastAsia="宋体"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9" w:lineRule="auto" w:before="19"/>
        <w:ind w:right="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7"/>
        <w:ind w:right="1032" w:firstLine="360"/>
        <w:jc w:val="left"/>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514" w:right="0"/>
        <w:jc w:val="left"/>
      </w:pPr>
      <w:r>
        <w:rPr/>
        <w:t>合并方为进行企业合并发生的各项直接费用，于发生时计入当期损益。</w:t>
      </w:r>
    </w:p>
    <w:p>
      <w:pPr>
        <w:pStyle w:val="BodyText"/>
        <w:spacing w:line="316" w:lineRule="auto" w:before="76"/>
        <w:ind w:left="514" w:right="0" w:hanging="360"/>
        <w:jc w:val="left"/>
      </w:pPr>
      <w:r>
        <w:rPr/>
        <w:t>（</w:t>
      </w:r>
      <w:r>
        <w:rPr>
          <w:rFonts w:ascii="宋体" w:hAnsi="宋体" w:cs="宋体" w:eastAsia="宋体"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19"/>
        <w:ind w:right="0"/>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6" w:lineRule="auto" w:before="19"/>
        <w:ind w:right="113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宋体" w:hAnsi="宋体" w:cs="宋体" w:eastAsia="宋体"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9" w:lineRule="auto" w:before="19"/>
        <w:ind w:right="0" w:firstLine="360"/>
        <w:jc w:val="left"/>
      </w:pPr>
      <w:r>
        <w:rPr/>
        <w:t>购买方取得被购买方的可抵扣暂时性差异，在购买日因不符合递延所得税资产确认条件而未予确认的，在购买日后</w:t>
      </w:r>
      <w:r>
        <w:rPr>
          <w:rFonts w:ascii="宋体" w:hAnsi="宋体" w:cs="宋体" w:eastAsia="宋体"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16" w:lineRule="auto" w:before="17"/>
        <w:ind w:right="0" w:firstLine="360"/>
        <w:jc w:val="left"/>
      </w:pPr>
      <w:r>
        <w:rPr>
          <w:spacing w:val="-5"/>
        </w:rPr>
        <w:t>通过多次交易分步实现的非同一控制下企业合并，根据《财政部关于印发企业会计准则解释第</w:t>
      </w:r>
      <w:r>
        <w:rPr>
          <w:rFonts w:ascii="宋体" w:hAnsi="宋体" w:cs="宋体" w:eastAsia="宋体" w:hint="default"/>
          <w:spacing w:val="-5"/>
        </w:rPr>
        <w:t>5</w:t>
      </w:r>
      <w:r>
        <w:rPr>
          <w:spacing w:val="-5"/>
        </w:rPr>
        <w:t>号的通知》（财会〔</w:t>
      </w:r>
      <w:r>
        <w:rPr>
          <w:rFonts w:ascii="宋体" w:hAnsi="宋体" w:cs="宋体" w:eastAsia="宋体" w:hint="default"/>
          <w:spacing w:val="-5"/>
        </w:rPr>
        <w:t>2012</w:t>
      </w:r>
      <w:r>
        <w:rPr>
          <w:spacing w:val="-5"/>
        </w:rPr>
        <w:t>〕</w:t>
      </w:r>
      <w:r>
        <w:rPr/>
        <w:t> </w:t>
      </w:r>
      <w:r>
        <w:rPr>
          <w:rFonts w:ascii="宋体" w:hAnsi="宋体" w:cs="宋体" w:eastAsia="宋体" w:hint="default"/>
          <w:spacing w:val="-4"/>
        </w:rPr>
        <w:t>19</w:t>
      </w:r>
      <w:r>
        <w:rPr>
          <w:spacing w:val="-4"/>
        </w:rPr>
        <w:t>号）和《企业会计准则第</w:t>
      </w:r>
      <w:r>
        <w:rPr>
          <w:rFonts w:ascii="宋体" w:hAnsi="宋体" w:cs="宋体" w:eastAsia="宋体" w:hint="default"/>
          <w:spacing w:val="-4"/>
        </w:rPr>
        <w:t>33</w:t>
      </w:r>
      <w:r>
        <w:rPr>
          <w:spacing w:val="-4"/>
        </w:rPr>
        <w:t>号——合并财务报表》第五十一条关于“一揽子交易”的判断标准（参见本附注五、</w:t>
      </w:r>
      <w:r>
        <w:rPr>
          <w:rFonts w:ascii="宋体" w:hAnsi="宋体" w:cs="宋体" w:eastAsia="宋体" w:hint="default"/>
          <w:spacing w:val="-4"/>
        </w:rPr>
        <w:t>6</w:t>
      </w:r>
      <w:r>
        <w:rPr>
          <w:spacing w:val="-4"/>
        </w:rPr>
        <w:t>（</w:t>
      </w:r>
      <w:r>
        <w:rPr>
          <w:rFonts w:ascii="宋体" w:hAnsi="宋体" w:cs="宋体" w:eastAsia="宋体" w:hint="default"/>
          <w:spacing w:val="-4"/>
        </w:rPr>
        <w:t>2</w:t>
      </w:r>
      <w:r>
        <w:rPr>
          <w:spacing w:val="-4"/>
        </w:rPr>
        <w:t>）），</w:t>
      </w:r>
      <w:r>
        <w:rPr/>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判断该多次交易是否属于“一揽子交易”。属于“一揽子交易”的，参考本部分前面各段描述及本附注五、</w:t>
      </w:r>
      <w:r>
        <w:rPr>
          <w:rFonts w:ascii="宋体" w:hAnsi="宋体" w:cs="宋体" w:eastAsia="宋体" w:hint="default"/>
          <w:spacing w:val="-2"/>
        </w:rPr>
        <w:t>14</w:t>
      </w:r>
      <w:r>
        <w:rPr>
          <w:spacing w:val="-2"/>
        </w:rPr>
        <w:t>“长期股权投</w:t>
      </w:r>
      <w:r>
        <w:rPr>
          <w:spacing w:val="-65"/>
        </w:rPr>
        <w:t> </w:t>
      </w:r>
      <w:r>
        <w:rPr>
          <w:spacing w:val="-65"/>
        </w:rPr>
      </w:r>
      <w:r>
        <w:rPr/>
        <w:t>资”进行会计处理；不属于“一揽子交易”的，区分个别财务报表和合并财务报表进行相关会计处理：</w:t>
      </w:r>
    </w:p>
    <w:p>
      <w:pPr>
        <w:pStyle w:val="BodyText"/>
        <w:spacing w:line="319" w:lineRule="auto" w:before="19"/>
        <w:ind w:right="1132"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17"/>
        <w:ind w:right="1131"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6、合并财务报表的编制方法" w:id="172"/>
      <w:bookmarkEnd w:id="17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0"/>
        <w:jc w:val="left"/>
      </w:pPr>
      <w:r>
        <w:rPr/>
        <w:t>（</w:t>
      </w:r>
      <w:r>
        <w:rPr>
          <w:rFonts w:ascii="宋体" w:hAnsi="宋体" w:cs="宋体" w:eastAsia="宋体"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19"/>
        <w:ind w:right="0"/>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9"/>
        <w:ind w:left="514" w:right="0"/>
        <w:jc w:val="left"/>
      </w:pPr>
      <w:r>
        <w:rPr/>
        <w:t>一旦相关事实和情况的变化导致上述控制定义涉及的相关要素发生了变化，本公司将进行重新评估。</w:t>
      </w:r>
    </w:p>
    <w:p>
      <w:pPr>
        <w:pStyle w:val="BodyText"/>
        <w:spacing w:line="316" w:lineRule="auto" w:before="76"/>
        <w:ind w:left="514" w:right="0"/>
        <w:jc w:val="left"/>
      </w:pPr>
      <w:r>
        <w:rPr/>
        <w:t>（</w:t>
      </w:r>
      <w:r>
        <w:rPr>
          <w:rFonts w:ascii="宋体" w:hAnsi="宋体" w:cs="宋体" w:eastAsia="宋体"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9" w:lineRule="auto" w:before="19"/>
        <w:ind w:right="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当期处置的子公司，不调整合并资产负债表的年初余额。非同一控制下企业合并增加的子公司，其购买日后的经营成果及现</w:t>
      </w:r>
      <w:r>
        <w:rPr>
          <w:spacing w:val="-66"/>
        </w:rPr>
        <w:t> </w:t>
      </w:r>
      <w:r>
        <w:rPr>
          <w:spacing w:val="-66"/>
        </w:rPr>
      </w:r>
      <w:r>
        <w:rPr>
          <w:spacing w:val="-2"/>
        </w:rPr>
        <w:t>金流量已经适当地包括在合并利润表和合并现金流量表中，且不调整合并财务报表的年初余额和对比数。同一控制下企业合</w:t>
      </w:r>
      <w:r>
        <w:rPr>
          <w:spacing w:val="-63"/>
        </w:rPr>
        <w:t> </w:t>
      </w:r>
      <w:r>
        <w:rPr>
          <w:spacing w:val="-63"/>
        </w:rPr>
      </w:r>
      <w:r>
        <w:rPr>
          <w:spacing w:val="-2"/>
        </w:rPr>
        <w:t>并增加的子公司，其自合并当期期初至合并日的经营成果和现金流量已经适当地包括在合并利润表和合并现金流量表中，并</w:t>
      </w:r>
      <w:r>
        <w:rPr>
          <w:spacing w:val="-64"/>
        </w:rPr>
        <w:t> </w:t>
      </w:r>
      <w:r>
        <w:rPr>
          <w:spacing w:val="-64"/>
        </w:rPr>
      </w:r>
      <w:r>
        <w:rPr/>
        <w:t>且同时调整合并财务报表的对比数。</w:t>
      </w:r>
    </w:p>
    <w:p>
      <w:pPr>
        <w:pStyle w:val="BodyText"/>
        <w:spacing w:line="316" w:lineRule="auto" w:before="17"/>
        <w:ind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514" w:right="1212"/>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16" w:lineRule="auto" w:before="19"/>
        <w:ind w:right="1132"/>
        <w:jc w:val="both"/>
      </w:pPr>
      <w:r>
        <w:rPr>
          <w:spacing w:val="-2"/>
        </w:rPr>
        <w:t>中股东权益及净利润项下单独列示。子公司当期净损益中属于少数股东权益的份额，在合并利润表中净利润项目下以“少数</w:t>
      </w:r>
      <w:r>
        <w:rPr>
          <w:spacing w:val="-65"/>
        </w:rPr>
        <w:t> </w:t>
      </w:r>
      <w:r>
        <w:rPr>
          <w:spacing w:val="-65"/>
        </w:rPr>
      </w:r>
      <w:r>
        <w:rPr>
          <w:spacing w:val="-2"/>
        </w:rPr>
        <w:t>股东损益”项目列示。少数股东分担的子公司的亏损超过了少数股东在该子公司期初股东权益中所享有的份额，仍冲减少数</w:t>
      </w:r>
      <w:r>
        <w:rPr>
          <w:spacing w:val="-66"/>
        </w:rPr>
        <w:t> </w:t>
      </w:r>
      <w:r>
        <w:rPr>
          <w:spacing w:val="-66"/>
        </w:rPr>
      </w:r>
      <w:r>
        <w:rPr/>
        <w:t>股东权益。</w:t>
      </w:r>
    </w:p>
    <w:p>
      <w:pPr>
        <w:pStyle w:val="BodyText"/>
        <w:spacing w:line="316" w:lineRule="auto" w:before="19"/>
        <w:ind w:right="1129"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宋体" w:hAnsi="宋体" w:cs="宋体" w:eastAsia="宋体" w:hint="default"/>
        </w:rPr>
        <w:t>2</w:t>
      </w:r>
      <w:r>
        <w:rPr/>
        <w:t>号—— </w:t>
      </w:r>
      <w:r>
        <w:rPr>
          <w:spacing w:val="-2"/>
        </w:rPr>
        <w:t>长期股权投资》或《企业会计准则第</w:t>
      </w:r>
      <w:r>
        <w:rPr>
          <w:rFonts w:ascii="宋体" w:hAnsi="宋体" w:cs="宋体" w:eastAsia="宋体" w:hint="default"/>
          <w:spacing w:val="-2"/>
        </w:rPr>
        <w:t>22</w:t>
      </w:r>
      <w:r>
        <w:rPr>
          <w:spacing w:val="-2"/>
        </w:rPr>
        <w:t>号——金融工具确认和计量》等相关规定进行后续计量，详见本附注五、</w:t>
      </w:r>
      <w:r>
        <w:rPr>
          <w:rFonts w:ascii="宋体" w:hAnsi="宋体" w:cs="宋体" w:eastAsia="宋体" w:hint="default"/>
          <w:spacing w:val="-2"/>
        </w:rPr>
        <w:t>14</w:t>
      </w:r>
      <w:r>
        <w:rPr>
          <w:spacing w:val="-2"/>
        </w:rPr>
        <w:t>“长期股</w:t>
      </w:r>
      <w:r>
        <w:rPr>
          <w:spacing w:val="-63"/>
        </w:rPr>
        <w:t> </w:t>
      </w:r>
      <w:r>
        <w:rPr/>
        <w:t>权投资”或本附注五、</w:t>
      </w:r>
      <w:r>
        <w:rPr>
          <w:rFonts w:ascii="宋体" w:hAnsi="宋体" w:cs="宋体" w:eastAsia="宋体" w:hint="default"/>
        </w:rPr>
        <w:t>10</w:t>
      </w:r>
      <w:r>
        <w:rPr/>
        <w:t>“金融工具”。</w:t>
      </w:r>
    </w:p>
    <w:p>
      <w:pPr>
        <w:pStyle w:val="BodyText"/>
        <w:spacing w:line="316" w:lineRule="auto" w:before="19"/>
        <w:ind w:right="1131" w:firstLine="360"/>
        <w:jc w:val="both"/>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2"/>
        <w:jc w:val="left"/>
      </w:pPr>
      <w:r>
        <w:rPr/>
        <w:t>易整体才能达成一项完整的商业结果；③一项交易的发生取决于其他至少一项交易的发生；④一项交易单独看是不经济的， </w:t>
      </w:r>
      <w:r>
        <w:rPr>
          <w:spacing w:val="-2"/>
        </w:rPr>
        <w:t>但是和其他交易一并考虑时是经济的。不属于一揽子交易的，对其中的每一项交易视情况分别按照“不丧失控制权的情况下</w:t>
      </w:r>
      <w:r>
        <w:rPr>
          <w:spacing w:val="-65"/>
        </w:rPr>
        <w:t> </w:t>
      </w:r>
      <w:r>
        <w:rPr>
          <w:spacing w:val="-65"/>
        </w:rPr>
      </w:r>
      <w:r>
        <w:rPr/>
        <w:t>部分处置对子公司的长期股权投资”（详见本附注五、</w:t>
      </w:r>
      <w:r>
        <w:rPr>
          <w:rFonts w:ascii="宋体" w:hAnsi="宋体" w:cs="宋体" w:eastAsia="宋体" w:hint="default"/>
        </w:rPr>
        <w:t>14</w:t>
      </w:r>
      <w:r>
        <w:rPr/>
        <w:t>、（</w:t>
      </w:r>
      <w:r>
        <w:rPr>
          <w:rFonts w:ascii="宋体" w:hAnsi="宋体" w:cs="宋体" w:eastAsia="宋体" w:hint="default"/>
        </w:rPr>
        <w:t>2</w:t>
      </w:r>
      <w:r>
        <w:rPr/>
        <w:t>）④）和“因处置部分股权投资或其他原因丧失了对原有子 </w:t>
      </w:r>
      <w:r>
        <w:rPr>
          <w:spacing w:val="-2"/>
        </w:rPr>
        <w:t>公司的控制权”（详见前段）适用的原则进行会计处理。处置对子公司股权投资直至丧失控制权的各项交易属于一揽子交易</w:t>
      </w:r>
      <w:r>
        <w:rPr>
          <w:spacing w:val="-65"/>
        </w:rPr>
        <w:t> </w:t>
      </w:r>
      <w:r>
        <w:rPr>
          <w:spacing w:val="-65"/>
        </w:rPr>
      </w:r>
      <w:r>
        <w:rPr>
          <w:spacing w:val="-2"/>
        </w:rPr>
        <w:t>的，将各项交易作为一项处置子公司并丧失控制权的交易进行会计处理；但是，在丧失控制权之前每一次处置价款与处置投</w:t>
      </w:r>
      <w:r>
        <w:rPr>
          <w:spacing w:val="-66"/>
        </w:rPr>
        <w:t> </w:t>
      </w:r>
      <w:r>
        <w:rPr>
          <w:spacing w:val="-66"/>
        </w:rPr>
      </w:r>
      <w:r>
        <w:rPr>
          <w:spacing w:val="-2"/>
        </w:rPr>
        <w:t>资对应的享有该子公司净资产份额的差额，在合并财务报表中确认为其他综合收益，在丧失控制权时一并转入丧失控制权当</w:t>
      </w:r>
      <w:r>
        <w:rPr>
          <w:spacing w:val="-64"/>
        </w:rPr>
        <w:t> </w:t>
      </w:r>
      <w:r>
        <w:rPr>
          <w:spacing w:val="-64"/>
        </w:rPr>
      </w:r>
      <w:r>
        <w:rPr/>
        <w:t>期的损益。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7、合营安排分类及共同经营会计处理方法" w:id="173"/>
      <w:bookmarkEnd w:id="17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16" w:lineRule="auto" w:before="19"/>
        <w:ind w:right="1139" w:firstLine="360"/>
        <w:jc w:val="both"/>
      </w:pPr>
      <w:r>
        <w:rPr/>
        <w:t>本公司对合营企业的投资采用权益法核算，按照本附注五、</w:t>
      </w:r>
      <w:r>
        <w:rPr>
          <w:rFonts w:ascii="宋体" w:hAnsi="宋体" w:cs="宋体" w:eastAsia="宋体" w:hint="default"/>
        </w:rPr>
        <w:t>14</w:t>
      </w:r>
      <w:r>
        <w:rPr/>
        <w:t>（</w:t>
      </w:r>
      <w:r>
        <w:rPr>
          <w:rFonts w:ascii="宋体" w:hAnsi="宋体" w:cs="宋体" w:eastAsia="宋体" w:hint="default"/>
        </w:rPr>
        <w:t>2</w:t>
      </w:r>
      <w:r>
        <w:rPr/>
        <w:t>）②“权益法核算的长期股权投资”中所述的会计政 策处理。</w:t>
      </w:r>
    </w:p>
    <w:p>
      <w:pPr>
        <w:pStyle w:val="BodyText"/>
        <w:spacing w:line="316" w:lineRule="auto" w:before="19"/>
        <w:ind w:right="1130"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3"/>
        </w:rPr>
        <w:t> </w:t>
      </w:r>
      <w:r>
        <w:rPr>
          <w:spacing w:val="-63"/>
        </w:rPr>
      </w:r>
      <w:r>
        <w:rPr/>
        <w:t>生的收入；确认本公司单独所发生的费用，以及按本公司份额确认共同经营发生的费用。</w:t>
      </w:r>
    </w:p>
    <w:p>
      <w:pPr>
        <w:pStyle w:val="BodyText"/>
        <w:spacing w:line="319" w:lineRule="auto" w:before="19"/>
        <w:ind w:right="1133" w:firstLine="360"/>
        <w:jc w:val="both"/>
      </w:pPr>
      <w:r>
        <w:rPr>
          <w:spacing w:val="-2"/>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宋体" w:hAnsi="宋体" w:cs="宋体" w:eastAsia="宋体" w:hint="default"/>
        </w:rPr>
        <w:t>8</w:t>
      </w:r>
      <w:r>
        <w:rPr/>
        <w:t>号——资产减值》等规定的资产减值损失的，对于由本公司向共同经营投出或出售资产的情况，本公司全额确认 该损失；对于本公司自共同经营购买资产的情况，本公司按承担的份额确认该损失。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left"/>
        <w:rPr>
          <w:b w:val="0"/>
          <w:bCs w:val="0"/>
        </w:rPr>
      </w:pPr>
      <w:bookmarkStart w:name="8、现金及现金等价物的确定标准" w:id="174"/>
      <w:bookmarkEnd w:id="174"/>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9、外币业务和外币报表折算" w:id="175"/>
      <w:bookmarkEnd w:id="17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0"/>
        <w:jc w:val="left"/>
      </w:pPr>
      <w:r>
        <w:rPr/>
        <w:t>（</w:t>
      </w:r>
      <w:r>
        <w:rPr>
          <w:rFonts w:ascii="宋体" w:hAnsi="宋体" w:cs="宋体" w:eastAsia="宋体" w:hint="default"/>
        </w:rPr>
        <w:t>1</w:t>
      </w:r>
      <w:r>
        <w:rPr/>
        <w:t>）外币交易的折算方法 </w:t>
      </w:r>
      <w:r>
        <w:rPr>
          <w:spacing w:val="-2"/>
        </w:rPr>
        <w:t>本公司发生的外币交易在初始确认时，按交易日的即期汇率折算为记账本位币金额，但公司发生的外币兑换业务或涉及</w:t>
      </w:r>
    </w:p>
    <w:p>
      <w:pPr>
        <w:pStyle w:val="BodyText"/>
        <w:spacing w:line="240" w:lineRule="auto" w:before="19"/>
        <w:ind w:right="0"/>
        <w:jc w:val="left"/>
      </w:pPr>
      <w:r>
        <w:rPr/>
        <w:t>外币兑换的交易事项，按照实际采用的汇率折算为记账本位币金额。</w:t>
      </w:r>
    </w:p>
    <w:p>
      <w:pPr>
        <w:pStyle w:val="BodyText"/>
        <w:spacing w:line="316" w:lineRule="auto" w:before="76"/>
        <w:ind w:left="514" w:right="0"/>
        <w:jc w:val="left"/>
      </w:pPr>
      <w:r>
        <w:rPr/>
        <w:t>（</w:t>
      </w:r>
      <w:r>
        <w:rPr>
          <w:rFonts w:ascii="宋体" w:hAnsi="宋体" w:cs="宋体" w:eastAsia="宋体"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19"/>
        <w:ind w:right="0"/>
        <w:jc w:val="left"/>
      </w:pPr>
      <w:r>
        <w:rPr>
          <w:spacing w:val="-2"/>
        </w:rPr>
        <w:t>本化条件的资产相关的外币专门借款产生的汇兑差额按照借款费用资本化的原则处理；以及②可供出售的外币货币性项目除</w:t>
      </w:r>
      <w:r>
        <w:rPr>
          <w:spacing w:val="-64"/>
        </w:rPr>
        <w:t> </w:t>
      </w:r>
      <w:r>
        <w:rPr>
          <w:spacing w:val="-64"/>
        </w:rPr>
      </w:r>
      <w:r>
        <w:rPr/>
        <w:t>摊余成本之外的其他账面余额变动产生的汇兑差额计入其他综合收益之外，均计入当期损益。</w:t>
      </w:r>
    </w:p>
    <w:p>
      <w:pPr>
        <w:pStyle w:val="BodyText"/>
        <w:spacing w:line="319" w:lineRule="auto" w:before="19"/>
        <w:ind w:right="1132"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值变动（含汇率变动）处理，计入当期损益或确认为其他综合收益并计入资本公积。</w:t>
      </w:r>
    </w:p>
    <w:p>
      <w:pPr>
        <w:spacing w:after="0" w:line="31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0、金融工具" w:id="176"/>
      <w:bookmarkEnd w:id="17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16" w:lineRule="auto" w:before="17"/>
        <w:ind w:left="514" w:right="0"/>
        <w:jc w:val="left"/>
      </w:pPr>
      <w:r>
        <w:rPr/>
        <w:t>（</w:t>
      </w:r>
      <w:r>
        <w:rPr>
          <w:rFonts w:ascii="宋体" w:hAnsi="宋体" w:cs="宋体" w:eastAsia="宋体"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19"/>
        <w:ind w:right="1032"/>
        <w:jc w:val="left"/>
      </w:pPr>
      <w:r>
        <w:rPr>
          <w:spacing w:val="-4"/>
        </w:rPr>
        <w:t>融工具存在活跃市场的，本公司采用活跃市场中的报价确定其公允价值。活跃市场中的报价是指易于定期从交易所、经纪商、</w:t>
      </w:r>
      <w:r>
        <w:rPr>
          <w:spacing w:val="-43"/>
        </w:rPr>
        <w:t> </w:t>
      </w:r>
      <w:r>
        <w:rPr>
          <w:spacing w:val="-43"/>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16" w:lineRule="auto" w:before="19"/>
        <w:ind w:left="514" w:right="0"/>
        <w:jc w:val="left"/>
      </w:pPr>
      <w:r>
        <w:rPr/>
        <w:t>（</w:t>
      </w:r>
      <w:r>
        <w:rPr>
          <w:rFonts w:ascii="宋体" w:hAnsi="宋体" w:cs="宋体" w:eastAsia="宋体"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19"/>
        <w:ind w:right="0"/>
        <w:jc w:val="left"/>
      </w:pPr>
      <w:r>
        <w:rPr/>
        <w:t>计入当期损益的金融资产、持有至到期投资、贷款和应收款项以及可供出售金融资产。</w:t>
      </w:r>
    </w:p>
    <w:p>
      <w:pPr>
        <w:pStyle w:val="BodyText"/>
        <w:spacing w:line="316" w:lineRule="auto" w:before="76"/>
        <w:ind w:left="514" w:right="0"/>
        <w:jc w:val="left"/>
      </w:pPr>
      <w:r>
        <w:rPr/>
        <w:t>①以公允价值计量且其变动计入当期损益的金融资产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宋体" w:hAnsi="宋体" w:cs="宋体" w:eastAsia="宋体" w:hint="default"/>
          <w:spacing w:val="-2"/>
        </w:rPr>
        <w:t>A.</w:t>
      </w:r>
      <w:r>
        <w:rPr>
          <w:spacing w:val="-2"/>
        </w:rPr>
        <w:t>取得该金融资产的目的，主要是为了近期内出售；</w:t>
      </w:r>
      <w:r>
        <w:rPr>
          <w:rFonts w:ascii="宋体" w:hAnsi="宋体" w:cs="宋体" w:eastAsia="宋体" w:hint="default"/>
          <w:spacing w:val="-2"/>
        </w:rPr>
        <w:t>B.</w:t>
      </w:r>
      <w:r>
        <w:rPr>
          <w:spacing w:val="-2"/>
        </w:rPr>
        <w:t>属于进行集</w:t>
      </w:r>
    </w:p>
    <w:p>
      <w:pPr>
        <w:pStyle w:val="BodyText"/>
        <w:spacing w:line="316" w:lineRule="auto" w:before="19"/>
        <w:ind w:right="1130"/>
        <w:jc w:val="both"/>
      </w:pPr>
      <w:r>
        <w:rPr>
          <w:spacing w:val="-2"/>
        </w:rPr>
        <w:t>中管理的可辨认金融工具组合的一部分，且有客观证据表明本公司近期采用短期获利方式对该组合进行管理；</w:t>
      </w:r>
      <w:r>
        <w:rPr>
          <w:rFonts w:ascii="宋体" w:hAnsi="宋体" w:cs="宋体" w:eastAsia="宋体" w:hint="default"/>
          <w:spacing w:val="-2"/>
        </w:rPr>
        <w:t>C.</w:t>
      </w:r>
      <w:r>
        <w:rPr>
          <w:spacing w:val="-2"/>
        </w:rPr>
        <w:t>属于衍生工</w:t>
      </w:r>
      <w:r>
        <w:rPr>
          <w:spacing w:val="-61"/>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19" w:lineRule="auto" w:before="19"/>
        <w:ind w:right="1130" w:firstLine="360"/>
        <w:jc w:val="both"/>
      </w:pPr>
      <w:r>
        <w:rPr>
          <w:spacing w:val="-2"/>
        </w:rPr>
        <w:t>符合下述条件之一的金融资产，在初始确认时可指定为以公允价值计量且其变动计入当期损益的金融资产：</w:t>
      </w:r>
      <w:r>
        <w:rPr>
          <w:rFonts w:ascii="宋体" w:hAnsi="宋体" w:cs="宋体" w:eastAsia="宋体"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宋体" w:hAnsi="宋体" w:cs="宋体" w:eastAsia="宋体" w:hint="default"/>
          <w:spacing w:val="-2"/>
        </w:rPr>
        <w:t>B.</w:t>
      </w:r>
      <w:r>
        <w:rPr>
          <w:spacing w:val="-2"/>
        </w:rPr>
        <w:t>本公司风险</w:t>
      </w:r>
      <w:r>
        <w:rPr>
          <w:spacing w:val="-61"/>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17"/>
        <w:ind w:right="1130"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9"/>
        <w:ind w:left="514" w:right="1118"/>
        <w:jc w:val="left"/>
      </w:pPr>
      <w:r>
        <w:rPr/>
        <w:t>②持有至到期投资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right="0"/>
        <w:jc w:val="left"/>
      </w:pPr>
      <w:r>
        <w:rPr/>
        <w:t>当期损益。</w:t>
      </w:r>
    </w:p>
    <w:p>
      <w:pPr>
        <w:pStyle w:val="BodyText"/>
        <w:spacing w:line="316" w:lineRule="auto" w:before="76"/>
        <w:ind w:right="113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9"/>
        <w:ind w:right="113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316" w:lineRule="auto" w:before="19"/>
        <w:ind w:left="514" w:right="0"/>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316" w:lineRule="auto" w:before="19"/>
        <w:ind w:left="514" w:right="0"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right="0"/>
        <w:jc w:val="left"/>
      </w:pPr>
      <w:r>
        <w:rPr/>
        <w:t>当期损益。</w:t>
      </w:r>
    </w:p>
    <w:p>
      <w:pPr>
        <w:pStyle w:val="BodyText"/>
        <w:spacing w:line="316" w:lineRule="auto" w:before="76"/>
        <w:ind w:left="514" w:right="1032"/>
        <w:jc w:val="left"/>
      </w:pPr>
      <w:r>
        <w:rPr/>
        <w:t>④可供出售金融资产 包括初始确认时即被指定为可供出售的非衍生金融资产，以及除了以公允价值计量且其变动计入当期损益的金融资产、</w:t>
      </w:r>
    </w:p>
    <w:p>
      <w:pPr>
        <w:pStyle w:val="BodyText"/>
        <w:spacing w:line="240" w:lineRule="auto" w:before="19"/>
        <w:ind w:right="0"/>
        <w:jc w:val="left"/>
      </w:pPr>
      <w:r>
        <w:rPr/>
        <w:t>贷款和应收款项、持有至到期投资以外的金融资产。</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firstLine="360"/>
        <w:jc w:val="both"/>
      </w:pPr>
      <w:r>
        <w:rPr>
          <w:spacing w:val="-2"/>
        </w:rPr>
        <w:t>可供出售债务工具投资的期末成本按照其摊余成本法确定，即初始确认金额扣除已偿还的本金，加上或减去采用实际利</w:t>
      </w:r>
      <w:r>
        <w:rPr/>
        <w:t> </w:t>
      </w: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319" w:lineRule="auto" w:before="19"/>
        <w:ind w:right="113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17"/>
        <w:ind w:left="514" w:right="0"/>
        <w:jc w:val="left"/>
      </w:pPr>
      <w:r>
        <w:rPr/>
        <w:t>可供出售金融资产持有期间取得的利息及被投资单位宣告发放的现金股利，计入投资收益。</w:t>
      </w:r>
    </w:p>
    <w:p>
      <w:pPr>
        <w:pStyle w:val="BodyText"/>
        <w:spacing w:line="316" w:lineRule="auto" w:before="76"/>
        <w:ind w:left="514" w:right="0"/>
        <w:jc w:val="left"/>
      </w:pPr>
      <w:r>
        <w:rPr/>
        <w:t>（</w:t>
      </w:r>
      <w:r>
        <w:rPr>
          <w:rFonts w:ascii="宋体" w:hAnsi="宋体" w:cs="宋体" w:eastAsia="宋体"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6" w:lineRule="auto" w:before="19"/>
        <w:ind w:left="514" w:right="0" w:hanging="360"/>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16" w:lineRule="auto" w:before="19"/>
        <w:ind w:right="1131"/>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316" w:lineRule="auto" w:before="19"/>
        <w:ind w:left="514" w:right="0"/>
        <w:jc w:val="left"/>
      </w:pPr>
      <w:r>
        <w:rPr/>
        <w:t>①持有至到期投资、贷款和应收款项减值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316" w:lineRule="auto" w:before="19"/>
        <w:ind w:right="1131"/>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514" w:right="0"/>
        <w:jc w:val="left"/>
      </w:pPr>
      <w:r>
        <w:rPr/>
        <w:t>②可供出售金融资产减值 </w:t>
      </w:r>
      <w:r>
        <w:rPr>
          <w:spacing w:val="-2"/>
        </w:rPr>
        <w:t>当综合相关因素判断可供出售权益工具投资公允价值下跌是严重或非暂时性下跌时，表明该可供出售权益工具投资发生</w:t>
      </w:r>
    </w:p>
    <w:p>
      <w:pPr>
        <w:pStyle w:val="BodyText"/>
        <w:spacing w:line="316" w:lineRule="auto" w:before="19"/>
        <w:ind w:left="514" w:right="1122" w:hanging="360"/>
        <w:jc w:val="left"/>
      </w:pPr>
      <w:r>
        <w:rPr/>
        <w:t>减值。其中“严重下跌”是指公允价值下跌幅度累计超过</w:t>
      </w:r>
      <w:r>
        <w:rPr>
          <w:rFonts w:ascii="宋体" w:hAnsi="宋体" w:cs="宋体" w:eastAsia="宋体" w:hint="default"/>
        </w:rPr>
        <w:t>20%</w:t>
      </w:r>
      <w:r>
        <w:rPr/>
        <w:t>；“非暂时性下跌”是指公允价值连续下跌时间超过</w:t>
      </w:r>
      <w:r>
        <w:rPr>
          <w:rFonts w:ascii="宋体" w:hAnsi="宋体" w:cs="宋体" w:eastAsia="宋体" w:hint="default"/>
        </w:rPr>
        <w:t>12</w:t>
      </w:r>
      <w:r>
        <w:rPr/>
        <w:t>个月。 </w:t>
      </w:r>
      <w:r>
        <w:rPr>
          <w:spacing w:val="-2"/>
        </w:rPr>
        <w:t>可供出售金融资产发生减值时，将原计入其他综合收益的因公允价值下降形成的累计损失予以转出并计入当期损益，该</w:t>
      </w:r>
    </w:p>
    <w:p>
      <w:pPr>
        <w:pStyle w:val="BodyText"/>
        <w:spacing w:line="316" w:lineRule="auto" w:before="19"/>
        <w:ind w:left="514" w:right="1032" w:hanging="360"/>
        <w:jc w:val="left"/>
      </w:pPr>
      <w:r>
        <w:rPr/>
        <w:t>转出的累计损失为该资产初始取得成本扣除已收回本金和已摊销金额、当前公允价值和原已计入损益的减值损失后的余额。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w:t>
      </w:r>
    </w:p>
    <w:p>
      <w:pPr>
        <w:pStyle w:val="BodyText"/>
        <w:spacing w:line="316" w:lineRule="auto" w:before="19"/>
        <w:ind w:right="1132"/>
        <w:jc w:val="both"/>
      </w:pP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right="1130"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316" w:lineRule="auto" w:before="19"/>
        <w:ind w:left="514" w:right="0"/>
        <w:jc w:val="left"/>
      </w:pPr>
      <w:r>
        <w:rPr/>
        <w:t>（</w:t>
      </w:r>
      <w:r>
        <w:rPr>
          <w:rFonts w:ascii="宋体" w:hAnsi="宋体" w:cs="宋体" w:eastAsia="宋体"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6" w:lineRule="auto" w:before="19"/>
        <w:ind w:right="1132"/>
        <w:jc w:val="both"/>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所有权上几乎所有的风险和报酬，但是放弃了对该金融资产控制。</w:t>
      </w:r>
    </w:p>
    <w:p>
      <w:pPr>
        <w:pStyle w:val="BodyText"/>
        <w:spacing w:line="316" w:lineRule="auto" w:before="19"/>
        <w:ind w:right="113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9"/>
        <w:ind w:right="113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9" w:lineRule="auto" w:before="19"/>
        <w:ind w:right="113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7"/>
        <w:ind w:right="1131"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16" w:lineRule="auto" w:before="19"/>
        <w:ind w:left="514" w:right="1032"/>
        <w:jc w:val="left"/>
      </w:pPr>
      <w:r>
        <w:rPr/>
        <w:t>（</w:t>
      </w:r>
      <w:r>
        <w:rPr>
          <w:rFonts w:ascii="宋体" w:hAnsi="宋体" w:cs="宋体" w:eastAsia="宋体"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19"/>
        <w:ind w:right="0"/>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6" w:lineRule="auto" w:before="19"/>
        <w:ind w:left="514" w:right="1212"/>
        <w:jc w:val="left"/>
      </w:pPr>
      <w:r>
        <w:rPr/>
        <w:t>①以公允价值计量且其变动计入当期损益的金融负债 分类为交易性金融负债和在初始确认时指定为以公允价值计量且其变动计入当期损益的金融负债的条件与分类为交易</w:t>
      </w:r>
    </w:p>
    <w:p>
      <w:pPr>
        <w:pStyle w:val="BodyText"/>
        <w:spacing w:line="316" w:lineRule="auto" w:before="19"/>
        <w:ind w:left="514" w:right="0"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9"/>
        <w:ind w:right="0"/>
        <w:jc w:val="left"/>
      </w:pPr>
      <w:r>
        <w:rPr/>
        <w:t>与该等金融负债相关的股利和利息支出计入当期损益。</w:t>
      </w:r>
    </w:p>
    <w:p>
      <w:pPr>
        <w:pStyle w:val="BodyText"/>
        <w:spacing w:line="316" w:lineRule="auto" w:before="76"/>
        <w:ind w:left="514" w:right="0"/>
        <w:jc w:val="left"/>
      </w:pPr>
      <w:r>
        <w:rPr/>
        <w:t>②其他金融负债 </w:t>
      </w:r>
      <w:r>
        <w:rPr>
          <w:spacing w:val="-2"/>
        </w:rPr>
        <w:t>与在活跃市场中没有报价、公允价值不能可靠计量的权益工具挂钩并须通过交付该权益工具结算的衍生金融负债，按照</w:t>
      </w:r>
    </w:p>
    <w:p>
      <w:pPr>
        <w:pStyle w:val="BodyText"/>
        <w:spacing w:line="316" w:lineRule="auto" w:before="19"/>
        <w:ind w:right="1118"/>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316" w:lineRule="auto" w:before="19"/>
        <w:ind w:left="514" w:right="0"/>
        <w:jc w:val="left"/>
      </w:pPr>
      <w:r>
        <w:rPr/>
        <w:t>③财务担保合同 </w:t>
      </w:r>
      <w:r>
        <w:rPr>
          <w:spacing w:val="-2"/>
        </w:rPr>
        <w:t>不属于指定为以公允价值计量且其变动计入当期损益的金融负债的财务担保合同，以公允价值进行初始确认，在初始确</w:t>
      </w:r>
    </w:p>
    <w:p>
      <w:pPr>
        <w:pStyle w:val="BodyText"/>
        <w:spacing w:line="316" w:lineRule="auto" w:before="19"/>
        <w:ind w:right="0"/>
        <w:jc w:val="left"/>
      </w:pPr>
      <w:r>
        <w:rPr>
          <w:spacing w:val="-2"/>
        </w:rPr>
        <w:t>认后按照《企业会计准则第</w:t>
      </w:r>
      <w:r>
        <w:rPr>
          <w:rFonts w:ascii="宋体" w:hAnsi="宋体" w:cs="宋体" w:eastAsia="宋体" w:hint="default"/>
          <w:spacing w:val="-2"/>
        </w:rPr>
        <w:t>13</w:t>
      </w:r>
      <w:r>
        <w:rPr>
          <w:spacing w:val="-2"/>
        </w:rPr>
        <w:t>号—或有事项》确定的金额和初始确认金额扣除按照《企业会计准则第</w:t>
      </w:r>
      <w:r>
        <w:rPr>
          <w:rFonts w:ascii="宋体" w:hAnsi="宋体" w:cs="宋体" w:eastAsia="宋体" w:hint="default"/>
          <w:spacing w:val="-2"/>
        </w:rPr>
        <w:t>14</w:t>
      </w:r>
      <w:r>
        <w:rPr>
          <w:spacing w:val="-2"/>
        </w:rPr>
        <w:t>号—收入》的原则确</w:t>
      </w:r>
      <w:r>
        <w:rPr>
          <w:spacing w:val="-63"/>
        </w:rPr>
        <w:t> </w:t>
      </w:r>
      <w:r>
        <w:rPr>
          <w:spacing w:val="-63"/>
        </w:rPr>
      </w:r>
      <w:r>
        <w:rPr/>
        <w:t>定的累计摊销额后的余额之中的较高者进行后续计量。</w:t>
      </w:r>
    </w:p>
    <w:p>
      <w:pPr>
        <w:pStyle w:val="BodyText"/>
        <w:spacing w:line="316" w:lineRule="auto" w:before="19"/>
        <w:ind w:left="514" w:right="0"/>
        <w:jc w:val="left"/>
      </w:pPr>
      <w:r>
        <w:rPr/>
        <w:t>（</w:t>
      </w:r>
      <w:r>
        <w:rPr>
          <w:rFonts w:ascii="宋体" w:hAnsi="宋体" w:cs="宋体" w:eastAsia="宋体"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9" w:lineRule="auto" w:before="19"/>
        <w:ind w:right="0"/>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6" w:lineRule="auto" w:before="17"/>
        <w:ind w:right="0" w:firstLine="360"/>
        <w:jc w:val="left"/>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16" w:lineRule="auto" w:before="19"/>
        <w:ind w:left="514" w:right="0"/>
        <w:jc w:val="left"/>
      </w:pPr>
      <w:r>
        <w:rPr/>
        <w:t>（</w:t>
      </w:r>
      <w:r>
        <w:rPr>
          <w:rFonts w:ascii="宋体" w:hAnsi="宋体" w:cs="宋体" w:eastAsia="宋体" w:hint="default"/>
        </w:rPr>
        <w:t>7</w:t>
      </w:r>
      <w:r>
        <w:rPr/>
        <w:t>）衍生工具及嵌入衍生工具 </w:t>
      </w:r>
      <w:r>
        <w:rPr>
          <w:spacing w:val="-2"/>
        </w:rPr>
        <w:t>衍生工具于相关合同签署日以公允价值进行初始计量，并以公允价值进行后续计量。除指定为套期工具且套期高度有效</w:t>
      </w:r>
    </w:p>
    <w:p>
      <w:pPr>
        <w:pStyle w:val="BodyText"/>
        <w:spacing w:line="316" w:lineRule="auto" w:before="19"/>
        <w:ind w:right="0"/>
        <w:jc w:val="left"/>
      </w:pPr>
      <w:r>
        <w:rPr>
          <w:spacing w:val="-2"/>
        </w:rPr>
        <w:t>的衍生工具，其公允价值变动形成的利得或损失将根据套期关系的性质按照套期会计的要求确定计入损益的期间外，其余衍</w:t>
      </w:r>
      <w:r>
        <w:rPr>
          <w:spacing w:val="-64"/>
        </w:rPr>
        <w:t> </w:t>
      </w:r>
      <w:r>
        <w:rPr>
          <w:spacing w:val="-64"/>
        </w:rPr>
      </w:r>
      <w:r>
        <w:rPr/>
        <w:t>生工具的公允价值变动计入当期损益。</w:t>
      </w:r>
    </w:p>
    <w:p>
      <w:pPr>
        <w:pStyle w:val="BodyText"/>
        <w:spacing w:line="316" w:lineRule="auto" w:before="19"/>
        <w:ind w:right="0"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4"/>
        </w:rPr>
        <w:t> </w:t>
      </w:r>
      <w:r>
        <w:rPr>
          <w:spacing w:val="-44"/>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16" w:lineRule="auto" w:before="19"/>
        <w:ind w:left="514" w:right="0"/>
        <w:jc w:val="left"/>
      </w:pPr>
      <w:r>
        <w:rPr/>
        <w:t>（</w:t>
      </w:r>
      <w:r>
        <w:rPr>
          <w:rFonts w:ascii="宋体" w:hAnsi="宋体" w:cs="宋体" w:eastAsia="宋体"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19"/>
        <w:ind w:right="0"/>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16" w:lineRule="auto" w:before="19"/>
        <w:ind w:left="514" w:right="1118"/>
        <w:jc w:val="left"/>
      </w:pPr>
      <w:r>
        <w:rPr/>
        <w:t>（</w:t>
      </w:r>
      <w:r>
        <w:rPr>
          <w:rFonts w:ascii="宋体" w:hAnsi="宋体" w:cs="宋体" w:eastAsia="宋体" w:hint="default"/>
        </w:rPr>
        <w:t>9</w:t>
      </w:r>
      <w:r>
        <w:rPr/>
        <w:t>）权益工具 </w:t>
      </w:r>
      <w:r>
        <w:rPr>
          <w:spacing w:val="-2"/>
        </w:rPr>
        <w:t>权益工具是指能证明拥有本公司在扣除所有负债后的资产中的剩余权益的合同。本公司发行（含再融资）、回购、出售</w:t>
      </w:r>
    </w:p>
    <w:p>
      <w:pPr>
        <w:pStyle w:val="BodyText"/>
        <w:spacing w:line="319" w:lineRule="auto" w:before="19"/>
        <w:ind w:left="514" w:right="1032" w:hanging="360"/>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after="0" w:line="31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1、应收票据及应收账款" w:id="177"/>
      <w:bookmarkEnd w:id="177"/>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78"/>
      <w:bookmarkEnd w:id="17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w:t>
            </w:r>
          </w:p>
          <w:p>
            <w:pPr>
              <w:pStyle w:val="TableParagraph"/>
              <w:spacing w:line="302" w:lineRule="auto" w:before="63"/>
              <w:ind w:left="23" w:right="68"/>
              <w:jc w:val="left"/>
              <w:rPr>
                <w:rFonts w:ascii="宋体" w:hAnsi="宋体" w:cs="宋体" w:eastAsia="宋体" w:hint="default"/>
                <w:sz w:val="18"/>
                <w:szCs w:val="18"/>
              </w:rPr>
            </w:pPr>
            <w:r>
              <w:rPr>
                <w:rFonts w:ascii="宋体" w:hAnsi="宋体" w:cs="宋体" w:eastAsia="宋体" w:hint="default"/>
                <w:sz w:val="18"/>
                <w:szCs w:val="18"/>
              </w:rPr>
              <w:t>账款、金额为人民币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万元）以上的其他应收 款确认为单项金额重大的应收款项。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测试未发生减值的应收款项在账龄组合中进行减值测试。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79"/>
      <w:bookmarkEnd w:id="17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80"/>
      <w:bookmarkEnd w:id="18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本公司对单项金额不重大但个别信用风险特征明显不同，已 有客观证据表明其发生了减值的应收款项。</w:t>
            </w:r>
          </w:p>
        </w:tc>
      </w:tr>
      <w:tr>
        <w:trPr>
          <w:trHeight w:val="133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本公司对单项金额不重大但个别信用风险特征明显不同，已 有客观证据表明其发生了减值的应收款项，根据其未来现金 流量现值低于其账面价值的差额，确认减值损失，并据此计 提相应的坏账准备。</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12、存货" w:id="181"/>
      <w:bookmarkEnd w:id="181"/>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left"/>
      </w:pPr>
      <w:r>
        <w:rPr/>
        <w:t>软件与信息技术服务业</w:t>
      </w:r>
    </w:p>
    <w:p>
      <w:pPr>
        <w:pStyle w:val="BodyText"/>
        <w:spacing w:line="338" w:lineRule="auto" w:before="116"/>
        <w:ind w:right="4452"/>
        <w:jc w:val="left"/>
      </w:pPr>
      <w:r>
        <w:rPr/>
        <w:t>（</w:t>
      </w:r>
      <w:r>
        <w:rPr>
          <w:rFonts w:ascii="Times New Roman" w:hAnsi="Times New Roman" w:cs="Times New Roman" w:eastAsia="Times New Roman" w:hint="default"/>
        </w:rPr>
        <w:t>1</w:t>
      </w:r>
      <w:r>
        <w:rPr/>
        <w:t>）存货的分类 存货主要包括原材料、委托加工材料、包装物、低值易耗品、在产品及产成品；</w:t>
      </w:r>
    </w:p>
    <w:p>
      <w:pPr>
        <w:pStyle w:val="BodyText"/>
        <w:spacing w:line="338" w:lineRule="auto" w:before="43"/>
        <w:ind w:right="1752"/>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336" w:lineRule="auto" w:before="42"/>
        <w:ind w:right="0"/>
        <w:jc w:val="left"/>
      </w:pPr>
      <w:r>
        <w:rPr/>
        <w:t>（</w:t>
      </w:r>
      <w:r>
        <w:rPr>
          <w:rFonts w:ascii="Times New Roman" w:hAnsi="Times New Roman" w:cs="Times New Roman" w:eastAsia="Times New Roman" w:hint="default"/>
        </w:rPr>
        <w:t>3</w:t>
      </w:r>
      <w:r>
        <w:rPr/>
        <w:t>）存货可变现净值的确认和跌价准备的计提方法 </w:t>
      </w:r>
      <w:r>
        <w:rPr>
          <w:spacing w:val="-4"/>
        </w:rPr>
        <w:t>可变现净值是指在日常活动中，存货的估计售价减去至完工时估计将要发生的成本、估计的销售费用以及相关税费后的金额。</w:t>
      </w:r>
      <w:r>
        <w:rPr>
          <w:spacing w:val="-44"/>
        </w:rPr>
        <w:t> </w:t>
      </w:r>
      <w:r>
        <w:rPr>
          <w:spacing w:val="-44"/>
        </w:rPr>
      </w:r>
      <w:r>
        <w:rPr/>
        <w:t>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在资产负债表日，存货按照成本与可变现净值孰低计量。当其可变现净值低于成本时，提取存货跌价准备。存货跌价准备按</w:t>
      </w:r>
      <w:r>
        <w:rPr>
          <w:spacing w:val="-66"/>
        </w:rPr>
        <w:t> </w:t>
      </w:r>
      <w:r>
        <w:rPr>
          <w:spacing w:val="-66"/>
        </w:rPr>
      </w:r>
      <w:r>
        <w:rPr/>
        <w:t>单个存货项目的成本高于其可变现净值的差额提取。 </w:t>
      </w:r>
      <w:r>
        <w:rPr>
          <w:spacing w:val="-2"/>
        </w:rPr>
        <w:t>计提存货跌价准备后，如果以前减记存货价值的影响因素已经消失，导致存货的可变现净值高于其账面价值的，在原已计提</w:t>
      </w:r>
      <w:r>
        <w:rPr>
          <w:spacing w:val="-66"/>
        </w:rPr>
        <w:t> </w:t>
      </w:r>
      <w:r>
        <w:rPr>
          <w:spacing w:val="-66"/>
        </w:rPr>
      </w:r>
      <w:r>
        <w:rPr/>
        <w:t>的存货跌价准备金额内予以转回，转回的金额计入当期损益。</w:t>
      </w:r>
    </w:p>
    <w:p>
      <w:pPr>
        <w:pStyle w:val="BodyText"/>
        <w:spacing w:line="240" w:lineRule="auto" w:before="45"/>
        <w:ind w:right="0"/>
        <w:jc w:val="left"/>
      </w:pPr>
      <w:r>
        <w:rPr/>
        <w:t>（</w:t>
      </w:r>
      <w:r>
        <w:rPr>
          <w:rFonts w:ascii="Times New Roman" w:hAnsi="Times New Roman" w:cs="Times New Roman" w:eastAsia="Times New Roman" w:hint="default"/>
        </w:rPr>
        <w:t>4</w:t>
      </w:r>
      <w:r>
        <w:rPr/>
        <w:t>）存货的盘存制度为永续盘存制。</w:t>
      </w:r>
    </w:p>
    <w:p>
      <w:pPr>
        <w:pStyle w:val="BodyText"/>
        <w:spacing w:line="338" w:lineRule="auto" w:before="102"/>
        <w:ind w:right="4632"/>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13、持有待售资产" w:id="182"/>
      <w:bookmarkEnd w:id="182"/>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4、长期股权投资" w:id="183"/>
      <w:bookmarkEnd w:id="183"/>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9" w:lineRule="auto" w:before="35"/>
        <w:ind w:right="1131"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338" w:lineRule="auto" w:before="56"/>
        <w:ind w:left="514" w:right="0" w:hanging="360"/>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对于同一控制下的企业合并取得的长期股权投资，在合并日按照被合并方所有者权益在最终控制方合并财务报表中的账</w:t>
      </w:r>
    </w:p>
    <w:p>
      <w:pPr>
        <w:pStyle w:val="BodyText"/>
        <w:spacing w:line="314" w:lineRule="auto" w:before="2"/>
        <w:ind w:right="1131"/>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并日按照被合并方所有者权益在最终控制方合并财务报表中的账面价值的份额作为长期股权投资的初始投资成本，按照发行</w:t>
      </w:r>
      <w:r>
        <w:rPr>
          <w:spacing w:val="-64"/>
        </w:rPr>
        <w:t> </w:t>
      </w:r>
      <w:r>
        <w:rPr>
          <w:spacing w:val="-64"/>
        </w:rPr>
      </w:r>
      <w:r>
        <w:rPr>
          <w:spacing w:val="-2"/>
        </w:rPr>
        <w:t>股份的面值总额作为股本，长期股权投资初始投资成本与所发行股份面值总额之间的差额，调整资本公积；资本公积不足冲</w:t>
      </w:r>
      <w:r>
        <w:rPr>
          <w:spacing w:val="-66"/>
        </w:rPr>
        <w:t> </w:t>
      </w:r>
      <w:r>
        <w:rPr>
          <w:spacing w:val="-66"/>
        </w:rPr>
      </w:r>
      <w:r>
        <w:rPr>
          <w:spacing w:val="-2"/>
        </w:rPr>
        <w:t>减的，调整留存收益。通过多次交易分步取得同一控制下被合并方的股权，最终形成同一控制下企业合并的，应分别是否属</w:t>
      </w:r>
      <w:r>
        <w:rPr>
          <w:spacing w:val="-66"/>
        </w:rPr>
        <w:t> </w:t>
      </w:r>
      <w:r>
        <w:rPr>
          <w:spacing w:val="-66"/>
        </w:rPr>
      </w:r>
      <w:r>
        <w:rPr/>
        <w:t>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 易</w:t>
      </w:r>
      <w:r>
        <w:rPr>
          <w:rFonts w:ascii="Times New Roman" w:hAnsi="Times New Roman" w:cs="Times New Roman" w:eastAsia="Times New Roman" w:hint="default"/>
        </w:rPr>
        <w:t>”</w:t>
      </w:r>
      <w:r>
        <w:rPr/>
        <w:t>的，在合并日按照应享有被合并方所有者权益在最终控制方合并财务报表中的账面价值的份额作为长期股权投资的初始 </w:t>
      </w:r>
      <w:r>
        <w:rPr>
          <w:spacing w:val="-2"/>
        </w:rPr>
        <w:t>投资成本，长期股权投资初始投资成本与达到合并前的长期股权投资账面价值加上合并日进一步取得股份新支付对价的账面</w:t>
      </w:r>
      <w:r>
        <w:rPr>
          <w:spacing w:val="-64"/>
        </w:rPr>
        <w:t> </w:t>
      </w:r>
      <w:r>
        <w:rPr>
          <w:spacing w:val="-64"/>
        </w:rPr>
      </w:r>
      <w:r>
        <w:rPr>
          <w:spacing w:val="-2"/>
        </w:rPr>
        <w:t>价值之和的差额，调整资本公积；资本公积不足冲减的，调整留存收益。合并日之前持有的股权投资因采用权益法核算或为</w:t>
      </w:r>
      <w:r>
        <w:rPr>
          <w:spacing w:val="-66"/>
        </w:rPr>
        <w:t> </w:t>
      </w:r>
      <w:r>
        <w:rPr>
          <w:spacing w:val="-66"/>
        </w:rPr>
      </w:r>
      <w:r>
        <w:rPr/>
        <w:t>可供出售金融资产而确认的其他综合收益，暂不进行会计处理。</w:t>
      </w:r>
    </w:p>
    <w:p>
      <w:pPr>
        <w:spacing w:after="0" w:line="314"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130"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r>
        <w:rPr>
          <w:spacing w:val="-65"/>
        </w:rPr>
        <w:t> </w:t>
      </w:r>
      <w:r>
        <w:rPr>
          <w:spacing w:val="-65"/>
        </w:rPr>
      </w:r>
      <w:r>
        <w:rPr>
          <w:spacing w:val="-1"/>
        </w:rPr>
        <w:t>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w:t>
      </w:r>
      <w:r>
        <w:rPr>
          <w:spacing w:val="-78"/>
        </w:rPr>
        <w:t> </w:t>
      </w:r>
      <w:r>
        <w:rPr>
          <w:spacing w:val="-78"/>
        </w:rPr>
      </w:r>
      <w:r>
        <w:rPr>
          <w:spacing w:val="-2"/>
        </w:rPr>
        <w:t>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w:t>
      </w:r>
      <w:r>
        <w:rPr>
          <w:spacing w:val="-44"/>
        </w:rPr>
        <w:t> </w:t>
      </w:r>
      <w:r>
        <w:rPr>
          <w:spacing w:val="-44"/>
        </w:rPr>
      </w:r>
      <w:r>
        <w:rPr>
          <w:spacing w:val="-2"/>
        </w:rPr>
        <w:t>本之和，作为改按成本法核算的长期股权投资的初始投资成本。原持有的股权采用权益法核算的，相关其他综合收益暂不进</w:t>
      </w:r>
      <w:r>
        <w:rPr>
          <w:spacing w:val="-66"/>
        </w:rPr>
        <w:t> </w:t>
      </w:r>
      <w:r>
        <w:rPr>
          <w:spacing w:val="-66"/>
        </w:rPr>
      </w:r>
      <w:r>
        <w:rPr>
          <w:spacing w:val="-2"/>
        </w:rPr>
        <w:t>行会计处理。原持有股权投资为可供出售金融资产的，其公允价值与账面价值之间的差额，以及原计入其他综合收益的累计</w:t>
      </w:r>
      <w:r>
        <w:rPr>
          <w:spacing w:val="-66"/>
        </w:rPr>
        <w:t> </w:t>
      </w:r>
      <w:r>
        <w:rPr>
          <w:spacing w:val="-66"/>
        </w:rPr>
      </w:r>
      <w:r>
        <w:rPr/>
        <w:t>公允价值变动转入当期损益。</w:t>
      </w:r>
    </w:p>
    <w:p>
      <w:pPr>
        <w:pStyle w:val="BodyText"/>
        <w:spacing w:line="319" w:lineRule="auto" w:before="61"/>
        <w:ind w:right="1133" w:firstLine="360"/>
        <w:jc w:val="both"/>
      </w:pPr>
      <w:r>
        <w:rPr>
          <w:spacing w:val="-2"/>
        </w:rPr>
        <w:t>合并方或购买方为企业合并发生的审计、法律服务、评估咨询等中介费用以及其他相关管理费用，于发生时计入当期损</w:t>
      </w:r>
      <w:r>
        <w:rPr/>
        <w:t> 益。</w:t>
      </w:r>
    </w:p>
    <w:p>
      <w:pPr>
        <w:pStyle w:val="BodyText"/>
        <w:spacing w:line="314" w:lineRule="auto" w:before="56"/>
        <w:ind w:right="1131"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t>控制的，长期股权投资成本为按照《企业会计准则第</w:t>
      </w:r>
      <w:r>
        <w:rPr>
          <w:spacing w:val="-45"/>
        </w:rPr>
        <w:t>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金融工具确认和计量》确定的原持有股权投资的公允价值加 上新增投资成本之和。</w:t>
      </w:r>
    </w:p>
    <w:p>
      <w:pPr>
        <w:pStyle w:val="BodyText"/>
        <w:spacing w:line="338" w:lineRule="auto" w:before="60"/>
        <w:ind w:left="514" w:right="0" w:hanging="360"/>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4"/>
        <w:ind w:right="0"/>
        <w:jc w:val="left"/>
      </w:pPr>
      <w:r>
        <w:rPr/>
        <w:t>表采用成本法核算能够对被投资单位实施控制的长期股权投资。</w:t>
      </w:r>
    </w:p>
    <w:p>
      <w:pPr>
        <w:pStyle w:val="BodyText"/>
        <w:spacing w:line="338" w:lineRule="auto" w:before="117"/>
        <w:ind w:right="0"/>
        <w:jc w:val="left"/>
      </w:pPr>
      <w:r>
        <w:rPr/>
        <w:t>①成本法核算的长期股权投资 </w:t>
      </w:r>
      <w:r>
        <w:rPr>
          <w:spacing w:val="-2"/>
        </w:rPr>
        <w:t>采用成本法核算时，长期股权投资按初始投资成本计价，追加或收回投资调整长期股权投资的成本。除取得投资时实际支付</w:t>
      </w:r>
      <w:r>
        <w:rPr>
          <w:spacing w:val="-66"/>
        </w:rPr>
        <w:t> </w:t>
      </w:r>
      <w:r>
        <w:rPr>
          <w:spacing w:val="-66"/>
        </w:rPr>
      </w:r>
      <w:r>
        <w:rPr>
          <w:spacing w:val="-2"/>
        </w:rPr>
        <w:t>的价款或者对价中包含的已宣告但尚未发放的现金股利或者利润外，当期投资收益按照享有被投资单位宣告发放的现金股利</w:t>
      </w:r>
    </w:p>
    <w:p>
      <w:pPr>
        <w:pStyle w:val="BodyText"/>
        <w:spacing w:line="240" w:lineRule="auto" w:before="4"/>
        <w:ind w:right="0"/>
        <w:jc w:val="left"/>
      </w:pPr>
      <w:r>
        <w:rPr/>
        <w:t>或利润确认。</w:t>
      </w:r>
    </w:p>
    <w:p>
      <w:pPr>
        <w:pStyle w:val="BodyText"/>
        <w:spacing w:line="338" w:lineRule="auto" w:before="116"/>
        <w:ind w:right="0"/>
        <w:jc w:val="left"/>
      </w:pPr>
      <w:r>
        <w:rPr/>
        <w:t>②权益法核算的长期股权投资 </w:t>
      </w:r>
      <w:r>
        <w:rPr>
          <w:spacing w:val="-2"/>
        </w:rPr>
        <w:t>采用权益法核算时，长期股权投资的初始投资成本大于投资时应享有被投资单位可辨认净资产公允价值份额的，不调整长期</w:t>
      </w:r>
      <w:r>
        <w:rPr>
          <w:spacing w:val="-64"/>
        </w:rPr>
        <w:t> </w:t>
      </w:r>
      <w:r>
        <w:rPr>
          <w:spacing w:val="-64"/>
        </w:rPr>
      </w:r>
      <w:r>
        <w:rPr>
          <w:spacing w:val="-4"/>
        </w:rPr>
        <w:t>股权投资的初始投资成本；初始投资成本小于投资时应享有被投资单位可辨认净资产公允价值份额的，其差额计入当期损益，</w:t>
      </w:r>
    </w:p>
    <w:p>
      <w:pPr>
        <w:pStyle w:val="BodyText"/>
        <w:spacing w:line="338" w:lineRule="auto" w:before="4"/>
        <w:ind w:right="0"/>
        <w:jc w:val="left"/>
      </w:pPr>
      <w:r>
        <w:rPr/>
        <w:t>同时调整长期股权投资的成本。 </w:t>
      </w: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p>
    <w:p>
      <w:pPr>
        <w:pStyle w:val="BodyText"/>
        <w:spacing w:line="316" w:lineRule="auto" w:before="2"/>
        <w:ind w:right="1130"/>
        <w:jc w:val="both"/>
      </w:pPr>
      <w:r>
        <w:rPr>
          <w:spacing w:val="-2"/>
        </w:rPr>
        <w:t>权投资的账面价值；对于被投资单位除净损益、其他综合收益和利润分配以外所有者权益的其他变动，调整长期股权投资的</w:t>
      </w:r>
      <w:r>
        <w:rPr>
          <w:spacing w:val="-66"/>
        </w:rPr>
        <w:t> </w:t>
      </w:r>
      <w:r>
        <w:rPr>
          <w:spacing w:val="-66"/>
        </w:rPr>
      </w:r>
      <w:r>
        <w:rPr>
          <w:spacing w:val="-2"/>
        </w:rPr>
        <w:t>账面价值并计入资本公积。在确认应享有被投资单位净损益的份额时，以取得投资时被投资单位各项可辨认资产等的公允价</w:t>
      </w:r>
      <w:r>
        <w:rPr>
          <w:spacing w:val="-64"/>
        </w:rPr>
        <w:t> </w:t>
      </w:r>
      <w:r>
        <w:rPr>
          <w:spacing w:val="-64"/>
        </w:rPr>
      </w:r>
      <w:r>
        <w:rPr>
          <w:spacing w:val="-2"/>
        </w:rPr>
        <w:t>值为基础，对被投资单位的净利润进行调整后确认。被投资单位采用的会计政策及会计期间与本公司不一致的，按照本公司</w:t>
      </w:r>
      <w:r>
        <w:rPr>
          <w:spacing w:val="-66"/>
        </w:rPr>
        <w:t> </w:t>
      </w:r>
      <w:r>
        <w:rPr>
          <w:spacing w:val="-66"/>
        </w:rPr>
      </w:r>
      <w:r>
        <w:rPr>
          <w:spacing w:val="-2"/>
        </w:rPr>
        <w:t>的会计政策及会计期间对被投资单位的财务报表进行调整，并据以确认投资收益和其他综合收益。对于本公司与联营企业及</w:t>
      </w:r>
      <w:r>
        <w:rPr>
          <w:spacing w:val="-63"/>
        </w:rPr>
        <w:t> </w:t>
      </w:r>
      <w:r>
        <w:rPr>
          <w:spacing w:val="-63"/>
        </w:rPr>
      </w:r>
      <w:r>
        <w:rPr>
          <w:spacing w:val="-2"/>
        </w:rPr>
        <w:t>合营企业之间发生的交易，投出或出售的资产不构成业务的，未实现内部交易损益按照享有的比例计算归属于本公司的部分</w:t>
      </w:r>
      <w:r>
        <w:rPr>
          <w:spacing w:val="-64"/>
        </w:rPr>
        <w:t> </w:t>
      </w:r>
      <w:r>
        <w:rPr>
          <w:spacing w:val="-64"/>
        </w:rPr>
      </w:r>
      <w:r>
        <w:rPr>
          <w:spacing w:val="-2"/>
        </w:rPr>
        <w:t>予以抵销，在此基础上确认投资损益。但本公司与被投资单位发生的未实现内部交易损失，属于所转让资产减值损失的，不</w:t>
      </w:r>
      <w:r>
        <w:rPr>
          <w:spacing w:val="-66"/>
        </w:rPr>
        <w:t> </w:t>
      </w:r>
      <w:r>
        <w:rPr>
          <w:spacing w:val="-66"/>
        </w:rPr>
      </w:r>
      <w:r>
        <w:rPr>
          <w:spacing w:val="-2"/>
        </w:rPr>
        <w:t>予以抵销。本公司向合营企业或联营企业投出的资产构成业务的，投资方因此取得长期股权投资但未取得控制权的，以投出</w:t>
      </w:r>
      <w:r>
        <w:rPr>
          <w:spacing w:val="-66"/>
        </w:rPr>
        <w:t> </w:t>
      </w:r>
      <w:r>
        <w:rPr>
          <w:spacing w:val="-66"/>
        </w:rPr>
      </w:r>
      <w:r>
        <w:rPr>
          <w:spacing w:val="-2"/>
        </w:rPr>
        <w:t>业务的公允价值作为新增长期股权投资的初始投资成本，初始投资成本与投出业务的账面价值之差，全额计入当期损益。本</w:t>
      </w:r>
      <w:r>
        <w:rPr>
          <w:spacing w:val="-66"/>
        </w:rPr>
        <w:t> </w:t>
      </w:r>
      <w:r>
        <w:rPr>
          <w:spacing w:val="-66"/>
        </w:rPr>
      </w:r>
      <w:r>
        <w:rPr>
          <w:spacing w:val="-2"/>
        </w:rPr>
        <w:t>公司向合营企业或联营企业出售的资产构成业务的，取得的对价与业务的账面价值之差，全额计入当期损益。本公司自联营</w:t>
      </w:r>
      <w:r>
        <w:rPr>
          <w:spacing w:val="-66"/>
        </w:rPr>
        <w:t> </w:t>
      </w:r>
      <w:r>
        <w:rPr>
          <w:spacing w:val="-66"/>
        </w:rPr>
      </w:r>
      <w:r>
        <w:rPr/>
        <w:t>企业及合营企业购入的资产构成业务的，按《企业会计准则第</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企业合并》的规定进行会计处理，全额确认与交易 相关的利得或损失。</w:t>
      </w:r>
    </w:p>
    <w:p>
      <w:pPr>
        <w:pStyle w:val="BodyText"/>
        <w:spacing w:line="319" w:lineRule="auto" w:before="57"/>
        <w:ind w:right="1131"/>
        <w:jc w:val="both"/>
      </w:pPr>
      <w:r>
        <w:rPr>
          <w:spacing w:val="-2"/>
        </w:rPr>
        <w:t>在确认应分担被投资单位发生的净亏损时，以长期股权投资的账面价值和其他实质上构成对被投资单位净投资的长期权益减</w:t>
      </w:r>
      <w:r>
        <w:rPr>
          <w:spacing w:val="-64"/>
        </w:rPr>
        <w:t> </w:t>
      </w:r>
      <w:r>
        <w:rPr>
          <w:spacing w:val="-64"/>
        </w:rPr>
      </w:r>
      <w:r>
        <w:rPr>
          <w:spacing w:val="-2"/>
        </w:rPr>
        <w:t>记至零为限。此外，如本公司对被投资单位负有承担额外损失的义务，则按预计承担的义务确认预计负债，计入当期投资损</w:t>
      </w:r>
      <w:r>
        <w:rPr>
          <w:spacing w:val="-66"/>
        </w:rPr>
        <w:t> </w:t>
      </w:r>
      <w:r>
        <w:rPr>
          <w:spacing w:val="-66"/>
        </w:rPr>
      </w:r>
      <w:r>
        <w:rPr/>
        <w:t>失。被投资单位以后期间实现净利润的，本公司在收益分享额弥补未确认的亏损分担额后，恢复确认收益分享额。</w:t>
      </w:r>
    </w:p>
    <w:p>
      <w:pPr>
        <w:pStyle w:val="BodyText"/>
        <w:spacing w:line="240" w:lineRule="auto" w:before="58"/>
        <w:ind w:right="0"/>
        <w:jc w:val="left"/>
      </w:pPr>
      <w:r>
        <w:rPr/>
        <w:t>③收购少数股权</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032"/>
        <w:jc w:val="left"/>
      </w:pPr>
      <w:r>
        <w:rPr/>
        <w:t>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BodyText"/>
        <w:spacing w:line="357" w:lineRule="auto" w:before="56"/>
        <w:ind w:left="514" w:right="0" w:hanging="360"/>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224" w:lineRule="exact"/>
        <w:ind w:right="0"/>
        <w:jc w:val="left"/>
      </w:pPr>
      <w:r>
        <w:rPr/>
        <w:t>相对应享有子公司净资产的差额计入股东权益；母公司部分处置对子公司的长期股权投资导致丧失对子公司控制权的，按本</w:t>
      </w:r>
    </w:p>
    <w:p>
      <w:pPr>
        <w:pStyle w:val="BodyText"/>
        <w:spacing w:line="348" w:lineRule="auto" w:before="77"/>
        <w:ind w:left="514" w:right="0" w:hanging="360"/>
        <w:jc w:val="left"/>
      </w:pPr>
      <w:r>
        <w:rPr>
          <w:spacing w:val="-3"/>
          <w:w w:val="100"/>
        </w:rPr>
        <w:t>附注五、</w:t>
      </w:r>
      <w:r>
        <w:rPr>
          <w:rFonts w:ascii="Times New Roman" w:hAnsi="Times New Roman" w:cs="Times New Roman" w:eastAsia="Times New Roman" w:hint="default"/>
          <w:spacing w:val="-3"/>
          <w:w w:val="100"/>
        </w:rPr>
        <w:t>6</w:t>
      </w:r>
      <w:r>
        <w:rPr>
          <w:spacing w:val="-3"/>
          <w:w w:val="100"/>
        </w:rPr>
        <w:t>、（</w:t>
      </w:r>
      <w:r>
        <w:rPr>
          <w:rFonts w:ascii="Times New Roman" w:hAnsi="Times New Roman" w:cs="Times New Roman" w:eastAsia="Times New Roman" w:hint="default"/>
          <w:spacing w:val="-3"/>
          <w:w w:val="100"/>
        </w:rPr>
        <w:t>2</w:t>
      </w:r>
      <w:r>
        <w:rPr>
          <w:spacing w:val="-3"/>
          <w:w w:val="100"/>
        </w:rPr>
        <w:t>）</w:t>
      </w:r>
      <w:r>
        <w:rPr>
          <w:rFonts w:ascii="Times New Roman" w:hAnsi="Times New Roman" w:cs="Times New Roman" w:eastAsia="Times New Roman" w:hint="default"/>
          <w:spacing w:val="-3"/>
          <w:w w:val="100"/>
        </w:rPr>
        <w:t>“</w:t>
      </w:r>
      <w:r>
        <w:rPr>
          <w:spacing w:val="-3"/>
          <w:w w:val="100"/>
        </w:rPr>
        <w:t>合并财务报表编制的方法</w:t>
      </w:r>
      <w:r>
        <w:rPr>
          <w:rFonts w:ascii="Times New Roman" w:hAnsi="Times New Roman" w:cs="Times New Roman" w:eastAsia="Times New Roman" w:hint="default"/>
          <w:spacing w:val="-3"/>
          <w:w w:val="100"/>
        </w:rPr>
        <w:t>”</w:t>
      </w:r>
      <w:r>
        <w:rPr>
          <w:spacing w:val="-3"/>
          <w:w w:val="100"/>
        </w:rPr>
        <w:t>中所述的相关会计政策处理。</w:t>
      </w:r>
      <w:r>
        <w:rPr>
          <w:spacing w:val="-76"/>
          <w:w w:val="100"/>
        </w:rPr>
        <w:t> </w:t>
      </w: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9" w:lineRule="auto"/>
        <w:ind w:right="0"/>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9" w:lineRule="auto" w:before="56"/>
        <w:ind w:right="1131"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pStyle w:val="BodyText"/>
        <w:spacing w:line="319" w:lineRule="auto" w:before="55"/>
        <w:ind w:right="1130"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3"/>
        </w:rPr>
        <w:t> </w:t>
      </w:r>
      <w:r>
        <w:rPr>
          <w:spacing w:val="-63"/>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319" w:lineRule="auto" w:before="55"/>
        <w:ind w:right="1032"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9" w:lineRule="auto" w:before="56"/>
        <w:ind w:right="1131"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15、投资性房地产" w:id="184"/>
      <w:bookmarkEnd w:id="18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952"/>
        <w:jc w:val="left"/>
      </w:pPr>
      <w:r>
        <w:rPr/>
        <w:t>投资性房地产计量模式 不适用</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16、固定资产" w:id="185"/>
      <w:bookmarkEnd w:id="18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6"/>
      <w:bookmarkEnd w:id="18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84" w:right="0"/>
        <w:jc w:val="left"/>
      </w:pPr>
      <w:r>
        <w:rPr/>
        <w:t>固定资产是指为生产商品、提供劳务、出租或经营管理而持有的，使用寿命超过一个会计年度的有形资产。</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折旧方法" w:id="187"/>
      <w:bookmarkEnd w:id="18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6.33%-31.67%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88"/>
      <w:bookmarkEnd w:id="18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630"/>
        <w:jc w:val="both"/>
      </w:pPr>
      <w:r>
        <w:rPr/>
        <w:t>融资租赁为实质上转移了与资产所有权有关的全部风险和报酬的租赁，其所有权最终可能转移，也可能不转移。以 </w:t>
      </w:r>
      <w:r>
        <w:rPr>
          <w:spacing w:val="-2"/>
        </w:rPr>
        <w:t>融资租赁方式租入的固定资产采用与自有固定资产一致的政策计提租赁资产折旧。能够合理确定租赁期届满时取得租赁资产</w:t>
      </w:r>
      <w:r>
        <w:rPr>
          <w:spacing w:val="-64"/>
        </w:rPr>
        <w:t> </w:t>
      </w:r>
      <w:r>
        <w:rPr>
          <w:spacing w:val="-64"/>
        </w:rPr>
      </w:r>
      <w:r>
        <w:rPr>
          <w:spacing w:val="-2"/>
        </w:rPr>
        <w:t>所有权的在租赁资产使用寿命内计提折旧，无法合理确定租赁期届满能够取得租赁资产所有权的，在租赁期与租赁资产使用</w:t>
      </w:r>
      <w:r>
        <w:rPr>
          <w:spacing w:val="-64"/>
        </w:rPr>
        <w:t> </w:t>
      </w:r>
      <w:r>
        <w:rPr>
          <w:spacing w:val="-64"/>
        </w:rPr>
      </w:r>
      <w:r>
        <w:rPr/>
        <w:t>寿命两者中较短的期间内计提折旧。</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17、在建工程" w:id="189"/>
      <w:bookmarkEnd w:id="18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357" w:lineRule="auto" w:before="28"/>
        <w:ind w:left="514" w:right="0" w:hanging="360"/>
        <w:jc w:val="left"/>
      </w:pPr>
      <w:r>
        <w:rPr/>
        <w:t>软件与信息技术服务业 </w:t>
      </w:r>
      <w:r>
        <w:rPr>
          <w:spacing w:val="-2"/>
        </w:rPr>
        <w:t>在建工程成本按实际工程支出确定，包括在建期间发生的各项工程支出（包括工程达到预定可使用状态前的资本化的借</w:t>
      </w:r>
    </w:p>
    <w:p>
      <w:pPr>
        <w:pStyle w:val="BodyText"/>
        <w:spacing w:line="225" w:lineRule="exact"/>
        <w:ind w:right="0"/>
        <w:jc w:val="left"/>
      </w:pPr>
      <w:r>
        <w:rPr/>
        <w:t>款费用）以及其他相关费用等。在建工程在达到预定可使用状态后结转为固定资产。</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8、借款费用" w:id="190"/>
      <w:bookmarkEnd w:id="190"/>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2"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9" w:lineRule="auto" w:before="55"/>
        <w:ind w:right="113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57" w:lineRule="auto" w:before="56"/>
        <w:ind w:left="514" w:right="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225" w:lineRule="exact"/>
        <w:ind w:right="0"/>
        <w:jc w:val="left"/>
      </w:pPr>
      <w:r>
        <w:rPr/>
        <w:t>性房地产和存货等资产。</w:t>
      </w:r>
    </w:p>
    <w:p>
      <w:pPr>
        <w:pStyle w:val="BodyText"/>
        <w:spacing w:line="302" w:lineRule="auto" w:before="115"/>
        <w:ind w:right="1130" w:firstLine="360"/>
        <w:jc w:val="both"/>
      </w:pPr>
      <w:r>
        <w:rPr/>
        <w:t>如果符合资本化条件的资产在购建或生产过程中发生非正常中断、并且中断时间连续超过</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spacing w:val="-4"/>
        </w:rPr>
        <w:t>个月的，暂停借款费用的资</w:t>
      </w:r>
      <w:r>
        <w:rPr/>
        <w:t> 本化，直至资产的购建或生产活动重新开始。</w:t>
      </w:r>
    </w:p>
    <w:p>
      <w:pPr>
        <w:spacing w:after="0" w:line="302"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9、生物资产" w:id="191"/>
      <w:bookmarkEnd w:id="191"/>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0、油气资产" w:id="192"/>
      <w:bookmarkEnd w:id="192"/>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1、无形资产" w:id="193"/>
      <w:bookmarkEnd w:id="193"/>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4"/>
      <w:bookmarkEnd w:id="19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357" w:lineRule="auto" w:before="26"/>
        <w:ind w:left="574" w:right="4392" w:hanging="420"/>
        <w:jc w:val="left"/>
      </w:pPr>
      <w:r>
        <w:rPr/>
        <w:t>软件与信息技术服务业 无形资产是指本公司拥有或者控制的没有实物形态的可辨认非货币性资产。</w:t>
      </w:r>
    </w:p>
    <w:p>
      <w:pPr>
        <w:pStyle w:val="BodyText"/>
        <w:spacing w:line="224" w:lineRule="exact"/>
        <w:ind w:left="574" w:right="0"/>
        <w:jc w:val="left"/>
      </w:pPr>
      <w:r>
        <w:rPr/>
        <w:t>无形资产按成本进行初始计量。与无形资产有关的支出，如果相关的经济利益很可能流入本公司且其成本能可靠地计</w:t>
      </w:r>
    </w:p>
    <w:p>
      <w:pPr>
        <w:pStyle w:val="BodyText"/>
        <w:spacing w:line="316" w:lineRule="auto" w:before="76"/>
        <w:ind w:left="574" w:right="0" w:hanging="420"/>
        <w:jc w:val="left"/>
      </w:pPr>
      <w:r>
        <w:rPr/>
        <w:t>量，则计入无形资产成本。除此以外的其他项目的支出，在发生时计入当期损益。 取得的土地使用权通常作为无形资产核算。自行开发建造厂房等建筑物，相关的土地使用权支出和建筑物建造成本则</w:t>
      </w:r>
    </w:p>
    <w:p>
      <w:pPr>
        <w:pStyle w:val="BodyText"/>
        <w:spacing w:line="316" w:lineRule="auto" w:before="19"/>
        <w:ind w:right="0"/>
        <w:jc w:val="left"/>
      </w:pPr>
      <w:r>
        <w:rPr>
          <w:spacing w:val="-2"/>
        </w:rPr>
        <w:t>分别作为无形资产和固定资产核算。如为外购的房屋及建筑物，则将有关价款在土地使用权和建筑物之间进行分配，难以合</w:t>
      </w:r>
      <w:r>
        <w:rPr>
          <w:spacing w:val="-66"/>
        </w:rPr>
        <w:t> </w:t>
      </w:r>
      <w:r>
        <w:rPr>
          <w:spacing w:val="-66"/>
        </w:rPr>
      </w:r>
      <w:r>
        <w:rPr/>
        <w:t>理分配的，全部作为固定资产处理。</w:t>
      </w:r>
    </w:p>
    <w:p>
      <w:pPr>
        <w:pStyle w:val="BodyText"/>
        <w:spacing w:line="316" w:lineRule="auto" w:before="19"/>
        <w:ind w:right="0" w:firstLine="420"/>
        <w:jc w:val="left"/>
      </w:pPr>
      <w:r>
        <w:rPr/>
        <w:t>使用寿命有限的无形资产自可供使用时起，对其原值减去预计净残值和已计提的减值准备累计金额在其预计使用寿命 内采用直线法分期平均摊销。使用寿命不确定的无形资产不予摊销。</w:t>
      </w:r>
    </w:p>
    <w:p>
      <w:pPr>
        <w:pStyle w:val="BodyText"/>
        <w:spacing w:line="316" w:lineRule="auto" w:before="19"/>
        <w:ind w:right="1040" w:firstLine="870"/>
        <w:jc w:val="both"/>
      </w:pPr>
      <w:r>
        <w:rPr>
          <w:spacing w:val="-3"/>
        </w:rPr>
        <w:t>期末，对使用寿命有限的无形资产的使用寿命和摊销方法进行复核，如发生变更则作为会计估计变更处理。此外，</w:t>
      </w:r>
      <w:r>
        <w:rPr/>
        <w:t> 还对使用寿命不确定的无形资产的使用寿命进行复核，如果有证据表明该无形资产为企业带来经济利益的期限是可预见的， 则估计其使用寿命并按照使用寿命有限的无形资产的摊销政策进行摊销。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内部研究开发支出会计政策" w:id="195"/>
      <w:bookmarkEnd w:id="19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4" w:right="1692"/>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574" w:right="0"/>
        <w:jc w:val="left"/>
      </w:pPr>
      <w:r>
        <w:rPr/>
        <w:t>①完成该无形资产以使其能够使用或出售在技术上具有可行性；</w:t>
      </w:r>
    </w:p>
    <w:p>
      <w:pPr>
        <w:pStyle w:val="BodyText"/>
        <w:spacing w:line="240" w:lineRule="auto" w:before="76"/>
        <w:ind w:left="574" w:right="0"/>
        <w:jc w:val="left"/>
      </w:pPr>
      <w:r>
        <w:rPr/>
        <w:t>②具有完成该无形资产并使用或出售的意图；</w:t>
      </w:r>
    </w:p>
    <w:p>
      <w:pPr>
        <w:pStyle w:val="BodyText"/>
        <w:spacing w:line="316" w:lineRule="auto" w:before="76"/>
        <w:ind w:right="0" w:firstLine="420"/>
        <w:jc w:val="left"/>
      </w:pPr>
      <w:r>
        <w:rPr/>
        <w:t>③无形资产产生经济利益的方式，包括能够证明运用该无形资产生产的产品存在市场或无形资产自身存在市场，无形 资产将在内部使用的，能够证明其有用性；</w:t>
      </w:r>
    </w:p>
    <w:p>
      <w:pPr>
        <w:pStyle w:val="BodyText"/>
        <w:spacing w:line="240" w:lineRule="auto" w:before="19"/>
        <w:ind w:left="574" w:right="0"/>
        <w:jc w:val="left"/>
      </w:pPr>
      <w:r>
        <w:rPr/>
        <w:t>④有足够的技术、财务资源和其他资源支持，以完成该无形资产的开发，并有能力使用或出售该无形资产；</w:t>
      </w:r>
    </w:p>
    <w:p>
      <w:pPr>
        <w:pStyle w:val="BodyText"/>
        <w:spacing w:line="316" w:lineRule="auto" w:before="76"/>
        <w:ind w:left="574" w:right="3852"/>
        <w:jc w:val="left"/>
      </w:pPr>
      <w:r>
        <w:rPr/>
        <w:t>⑤归属于该无形资产开发阶段的支出能够可靠地计量。 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22、长期资产减值" w:id="196"/>
      <w:bookmarkEnd w:id="196"/>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3、长期待摊费用" w:id="197"/>
      <w:bookmarkEnd w:id="197"/>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长期待摊费用为已经发生但应由报告期和以后各期负担的分摊期限在一年以上的各项费用。长期待摊费用在预计受益期</w:t>
      </w:r>
      <w:r>
        <w:rPr/>
        <w:t> 间按直线法摊销。</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4、职工薪酬" w:id="198"/>
      <w:bookmarkEnd w:id="198"/>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99"/>
      <w:bookmarkEnd w:id="19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200"/>
      <w:bookmarkEnd w:id="20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离职后福利主要包括设定提存计划。设定提存计划主要包括基本养老保险、失业保险等，相应的应缴存金额于发生时计</w:t>
      </w:r>
      <w:r>
        <w:rPr/>
        <w:t> 入相关资产成本或当期损益。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201"/>
      <w:bookmarkEnd w:id="20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pStyle w:val="BodyText"/>
        <w:spacing w:line="316" w:lineRule="auto" w:before="19"/>
        <w:ind w:right="0" w:firstLine="360"/>
        <w:jc w:val="left"/>
      </w:pPr>
      <w:r>
        <w:rPr>
          <w:spacing w:val="-2"/>
        </w:rPr>
        <w:t>职工内部退休计划采用上述辞退福利相同的原则处理。本公司将自职工停止提供服务日至正常退休日的期间拟支付的内</w:t>
      </w:r>
      <w:r>
        <w:rPr/>
        <w:t> 退人员工资和缴纳的社会保险费等，在符合预计负债确认条件时，计入当期损益（辞退福利）。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4）其他长期职工福利的会计处理方法" w:id="202"/>
      <w:bookmarkEnd w:id="20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本公司向职工提供的其他长期职工福利，符合设定提存计划的，按照设定提存计划进行会计处理，除此之外按照设定收</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5、预计负债" w:id="203"/>
      <w:bookmarkEnd w:id="203"/>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52" w:firstLine="420"/>
        <w:jc w:val="left"/>
      </w:pPr>
      <w:r>
        <w:rPr/>
        <w:t>当与或有事项相关的义务同时符合以下条件，确认为预计负债：（</w:t>
      </w:r>
      <w:r>
        <w:rPr>
          <w:rFonts w:ascii="Times New Roman" w:hAnsi="Times New Roman" w:cs="Times New Roman" w:eastAsia="Times New Roman" w:hint="default"/>
        </w:rPr>
        <w:t>1</w:t>
      </w:r>
      <w:r>
        <w:rPr/>
        <w:t>）该义务是本公司承担的现时义务；（</w:t>
      </w:r>
      <w:r>
        <w:rPr>
          <w:rFonts w:ascii="Times New Roman" w:hAnsi="Times New Roman" w:cs="Times New Roman" w:eastAsia="Times New Roman" w:hint="default"/>
        </w:rPr>
        <w:t>2</w:t>
      </w:r>
      <w:r>
        <w:rPr/>
        <w:t>）履行该 义务很可能导致经济利益流出；（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right="0" w:firstLine="420"/>
        <w:jc w:val="left"/>
      </w:pPr>
      <w:r>
        <w:rPr/>
        <w:t>在资产负债表日，考虑与或有事项有关的风险、不确定性和货币时间价值等因素，按照履行相关现时义务所需支出的 最佳估计数对预计负债进行计量。 </w:t>
      </w:r>
      <w:r>
        <w:rPr>
          <w:spacing w:val="-2"/>
        </w:rPr>
        <w:t>如果清偿预计负债所需支出全部或部分预期由第三方补偿的，补偿金额在基本确定能够收到时，作为资产单独确认，且确认</w:t>
      </w:r>
      <w:r>
        <w:rPr>
          <w:spacing w:val="-66"/>
        </w:rPr>
        <w:t> </w:t>
      </w:r>
      <w:r>
        <w:rPr>
          <w:spacing w:val="-66"/>
        </w:rPr>
      </w:r>
      <w:r>
        <w:rPr/>
        <w:t>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26、股份支付" w:id="204"/>
      <w:bookmarkEnd w:id="204"/>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574" w:right="1152"/>
        <w:jc w:val="left"/>
      </w:pPr>
      <w:r>
        <w:rPr/>
        <w:t>（</w:t>
      </w:r>
      <w:r>
        <w:rPr>
          <w:rFonts w:ascii="Times New Roman" w:hAnsi="Times New Roman" w:cs="Times New Roman" w:eastAsia="Times New Roman" w:hint="default"/>
        </w:rPr>
        <w:t>1</w:t>
      </w:r>
      <w:r>
        <w:rPr/>
        <w:t>）股份支付的会计处理方法 股份支付是为了获取职工或其他方提供服务而授予权益工具或者承担以权益工具为基础确定的负债的交易。股份支付</w:t>
      </w:r>
    </w:p>
    <w:p>
      <w:pPr>
        <w:pStyle w:val="BodyText"/>
        <w:spacing w:line="240" w:lineRule="auto" w:before="31"/>
        <w:ind w:right="0"/>
        <w:jc w:val="left"/>
      </w:pPr>
      <w:r>
        <w:rPr/>
        <w:t>分为以权益结算的股份支付和以现金结算的股份支付。</w:t>
      </w:r>
    </w:p>
    <w:p>
      <w:pPr>
        <w:pStyle w:val="BodyText"/>
        <w:spacing w:line="316" w:lineRule="auto" w:before="76"/>
        <w:ind w:left="574" w:right="1152"/>
        <w:jc w:val="left"/>
      </w:pPr>
      <w:r>
        <w:rPr/>
        <w:t>①以权益结算的股份支付 用以换取职工提供的服务的权益结算的股份支付，以授予职工权益工具在授予日的公允价值计量。该公允价值的金额</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在完成等待期内的服务或达到规定业绩条件才可行权的情况下，在等待期内以对可行权权益工具数量的最佳估计为基础，按</w:t>
      </w:r>
      <w:r>
        <w:rPr>
          <w:spacing w:val="-64"/>
        </w:rPr>
        <w:t> </w:t>
      </w:r>
      <w:r>
        <w:rPr>
          <w:spacing w:val="-64"/>
        </w:rPr>
      </w:r>
      <w:r>
        <w:rPr/>
        <w:t>直线法计算计入相关成本或费用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pStyle w:val="BodyText"/>
        <w:spacing w:line="316" w:lineRule="auto"/>
        <w:ind w:right="1170" w:firstLine="420"/>
        <w:jc w:val="both"/>
      </w:pPr>
      <w:r>
        <w:rPr/>
        <w:t>在等待期内每个资产负债表日，本公司根据最新取得的可行权职工人数变动等后续信息做出最佳估计，修正预计可行 权的权益工具数量。上述估计的影响计入当期相关成本或费用，并相应调整资本公积。</w:t>
      </w:r>
    </w:p>
    <w:p>
      <w:pPr>
        <w:pStyle w:val="BodyText"/>
        <w:spacing w:line="316" w:lineRule="auto" w:before="19"/>
        <w:ind w:right="1133" w:firstLine="420"/>
        <w:jc w:val="both"/>
      </w:pPr>
      <w:r>
        <w:rPr/>
        <w:t>用以换取其他方服务的权益结算的股份支付，如果其他方服务的公允价值能够可靠计量，按照其他方服务在取得日的 </w:t>
      </w:r>
      <w:r>
        <w:rPr>
          <w:spacing w:val="-2"/>
        </w:rPr>
        <w:t>公允价值计量，如果其他方服务的公允价值不能可靠计量，但权益工具的公允价值能够可靠计量的，按照权益工具在服务取</w:t>
      </w:r>
      <w:r>
        <w:rPr>
          <w:spacing w:val="-66"/>
        </w:rPr>
        <w:t> </w:t>
      </w:r>
      <w:r>
        <w:rPr>
          <w:spacing w:val="-66"/>
        </w:rPr>
      </w:r>
      <w:r>
        <w:rPr/>
        <w:t>得日的公允价值计量，计入相关成本或费用，相应增加股东权益。</w:t>
      </w:r>
    </w:p>
    <w:p>
      <w:pPr>
        <w:pStyle w:val="BodyText"/>
        <w:spacing w:line="316" w:lineRule="auto" w:before="19"/>
        <w:ind w:left="574" w:right="1152"/>
        <w:jc w:val="left"/>
      </w:pPr>
      <w:r>
        <w:rPr/>
        <w:t>②以现金结算的股份支付 以现金结算的股份支付，按照本公司承担的以股份或其他权益工具为基础确定的负债的公允价值计量。如授予后立即</w:t>
      </w:r>
    </w:p>
    <w:p>
      <w:pPr>
        <w:pStyle w:val="BodyText"/>
        <w:spacing w:line="316" w:lineRule="auto" w:before="19"/>
        <w:ind w:right="1131"/>
        <w:jc w:val="both"/>
      </w:pPr>
      <w:r>
        <w:rPr>
          <w:spacing w:val="-2"/>
        </w:rPr>
        <w:t>可行权，在授予日计入相关成本或费用，相应增加负债；如须完成等待期内的服务或达到规定业绩条件以后才可行权，在等</w:t>
      </w:r>
      <w:r>
        <w:rPr>
          <w:spacing w:val="-66"/>
        </w:rPr>
        <w:t> </w:t>
      </w:r>
      <w:r>
        <w:rPr>
          <w:spacing w:val="-66"/>
        </w:rPr>
      </w:r>
      <w:r>
        <w:rPr>
          <w:spacing w:val="-2"/>
        </w:rPr>
        <w:t>待期的每个资产负债表日，以对可行权情况的最佳估计为基础，按照本公司承担负债的公允价值金额，将当期取得的服务计</w:t>
      </w:r>
      <w:r>
        <w:rPr>
          <w:spacing w:val="-66"/>
        </w:rPr>
        <w:t> </w:t>
      </w:r>
      <w:r>
        <w:rPr>
          <w:spacing w:val="-66"/>
        </w:rPr>
      </w:r>
      <w:r>
        <w:rPr/>
        <w:t>入成本或费用，相应增加负债。</w:t>
      </w:r>
    </w:p>
    <w:p>
      <w:pPr>
        <w:pStyle w:val="BodyText"/>
        <w:spacing w:line="240" w:lineRule="auto" w:before="19"/>
        <w:ind w:left="574" w:right="0"/>
        <w:jc w:val="left"/>
      </w:pPr>
      <w:r>
        <w:rPr/>
        <w:t>在相关负债结算前的每个资产负债表日以及结算日，对负债的公允价值重新计量，其变动计入当期损益。</w:t>
      </w:r>
    </w:p>
    <w:p>
      <w:pPr>
        <w:pStyle w:val="BodyText"/>
        <w:spacing w:line="300" w:lineRule="auto" w:before="76"/>
        <w:ind w:left="574" w:right="1152"/>
        <w:jc w:val="left"/>
      </w:pPr>
      <w:r>
        <w:rPr/>
        <w:t>（</w:t>
      </w:r>
      <w:r>
        <w:rPr>
          <w:rFonts w:ascii="Times New Roman" w:hAnsi="Times New Roman" w:cs="Times New Roman" w:eastAsia="Times New Roman" w:hint="default"/>
        </w:rPr>
        <w:t>2</w:t>
      </w:r>
      <w:r>
        <w:rPr/>
        <w:t>）修改、终止股份支付计划的相关会计处理 本公司对股份支付计划进行修改时，若修改增加了所授予权益工具的公允价值，按照权益工具公允价值的增加相应确</w:t>
      </w:r>
    </w:p>
    <w:p>
      <w:pPr>
        <w:pStyle w:val="BodyText"/>
        <w:spacing w:line="316" w:lineRule="auto" w:before="31"/>
        <w:ind w:right="1132"/>
        <w:jc w:val="both"/>
      </w:pPr>
      <w:r>
        <w:rPr>
          <w:spacing w:val="-2"/>
        </w:rPr>
        <w:t>认取得服务的增加。权益工具公允价值的增加是指修改前后的权益工具在修改日的公允价值之间的差额。若修改减少了股份</w:t>
      </w:r>
      <w:r>
        <w:rPr>
          <w:spacing w:val="-64"/>
        </w:rPr>
        <w:t> </w:t>
      </w:r>
      <w:r>
        <w:rPr>
          <w:spacing w:val="-64"/>
        </w:rPr>
      </w:r>
      <w:r>
        <w:rPr>
          <w:spacing w:val="-2"/>
        </w:rPr>
        <w:t>支付公允价值总额或采用了其他不利于职工的方式，则仍继续对取得的服务进行会计处理，视同该变更从未发生，除非本公</w:t>
      </w:r>
      <w:r>
        <w:rPr>
          <w:spacing w:val="-66"/>
        </w:rPr>
        <w:t> </w:t>
      </w:r>
      <w:r>
        <w:rPr>
          <w:spacing w:val="-66"/>
        </w:rPr>
      </w:r>
      <w:r>
        <w:rPr/>
        <w:t>司取消了部分或全部已授予的权益工具。</w:t>
      </w:r>
    </w:p>
    <w:p>
      <w:pPr>
        <w:pStyle w:val="BodyText"/>
        <w:spacing w:line="316" w:lineRule="auto" w:before="19"/>
        <w:ind w:right="1131" w:firstLine="420"/>
        <w:jc w:val="both"/>
      </w:pPr>
      <w:r>
        <w:rPr/>
        <w:t>在等待期内，如果取消了授予的权益工具，本公司对取消所授予的权益性工具作为加速行权处理，将剩余等待期内应 </w:t>
      </w:r>
      <w:r>
        <w:rPr>
          <w:spacing w:val="-2"/>
        </w:rPr>
        <w:t>确认的金额立即计入当期损益，同时确认资本公积。职工或其他方能够选择满足非可行权条件但在等待期内未满足的，本公</w:t>
      </w:r>
      <w:r>
        <w:rPr>
          <w:spacing w:val="-65"/>
        </w:rPr>
        <w:t> </w:t>
      </w:r>
      <w:r>
        <w:rPr>
          <w:spacing w:val="-65"/>
        </w:rPr>
      </w:r>
      <w:r>
        <w:rPr/>
        <w:t>司将其作为授予权益工具的取消处理。</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7、优先股、永续债等其他金融工具" w:id="205"/>
      <w:bookmarkEnd w:id="205"/>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8、收入" w:id="206"/>
      <w:bookmarkEnd w:id="206"/>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both"/>
      </w:pPr>
      <w:r>
        <w:rPr/>
        <w:t>软件与信息技术服务业</w:t>
      </w:r>
    </w:p>
    <w:p>
      <w:pPr>
        <w:pStyle w:val="BodyText"/>
        <w:spacing w:line="240" w:lineRule="auto" w:before="116"/>
        <w:ind w:right="0"/>
        <w:jc w:val="both"/>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right="0"/>
        <w:jc w:val="both"/>
      </w:pPr>
      <w:r>
        <w:rPr>
          <w:rFonts w:ascii="Times New Roman" w:hAnsi="Times New Roman" w:cs="Times New Roman" w:eastAsia="Times New Roman" w:hint="default"/>
        </w:rPr>
        <w:t>1</w:t>
      </w:r>
      <w:r>
        <w:rPr/>
        <w:t>、商品销售收入</w:t>
      </w:r>
    </w:p>
    <w:p>
      <w:pPr>
        <w:pStyle w:val="BodyText"/>
        <w:spacing w:line="316" w:lineRule="auto" w:before="63"/>
        <w:ind w:right="1133" w:firstLine="420"/>
        <w:jc w:val="both"/>
      </w:pPr>
      <w:r>
        <w:rPr/>
        <w:t>在已将商品所有权上的主要风险和报酬转移给买方，既没有保留通常与所有权相联系的继续管理权，也没有对已售商 </w:t>
      </w:r>
      <w:r>
        <w:rPr>
          <w:spacing w:val="-2"/>
        </w:rPr>
        <w:t>品实施有效控制，收入的金额能够可靠地计量，相关的经济利益很可能流入企业，相关的已发生或将发生的成本能够可靠地</w:t>
      </w:r>
      <w:r>
        <w:rPr>
          <w:spacing w:val="-66"/>
        </w:rPr>
        <w:t> </w:t>
      </w:r>
      <w:r>
        <w:rPr>
          <w:spacing w:val="-66"/>
        </w:rPr>
      </w:r>
      <w:r>
        <w:rPr/>
        <w:t>计量时，确认商品销售收入的实现。</w:t>
      </w:r>
    </w:p>
    <w:p>
      <w:pPr>
        <w:pStyle w:val="BodyText"/>
        <w:spacing w:line="316" w:lineRule="auto" w:before="19"/>
        <w:ind w:right="1133" w:firstLine="420"/>
        <w:jc w:val="both"/>
      </w:pPr>
      <w:r>
        <w:rPr/>
        <w:t>本公司商品销售主要有银行现金流转内控系统产品、银行自助设备现金管理系统产品、银行印章管理系统产品和银行 支付系统人脸、语音识别及安全解决方案，其收入的具体确认原则：</w:t>
      </w:r>
    </w:p>
    <w:p>
      <w:pPr>
        <w:pStyle w:val="BodyText"/>
        <w:spacing w:line="300" w:lineRule="auto" w:before="19"/>
        <w:ind w:left="574" w:right="0"/>
        <w:jc w:val="left"/>
      </w:pPr>
      <w:r>
        <w:rPr>
          <w:rFonts w:ascii="Times New Roman" w:hAnsi="Times New Roman" w:cs="Times New Roman" w:eastAsia="Times New Roman" w:hint="default"/>
        </w:rPr>
        <w:t>A</w:t>
      </w:r>
      <w:r>
        <w:rPr/>
        <w:t>银行现金流转内控系统产品无需进行专门安装，在将产品交付给购买方后确认销售收入的实现。 </w:t>
      </w:r>
      <w:r>
        <w:rPr>
          <w:rFonts w:ascii="Times New Roman" w:hAnsi="Times New Roman" w:cs="Times New Roman" w:eastAsia="Times New Roman" w:hint="default"/>
          <w:spacing w:val="-2"/>
        </w:rPr>
        <w:t>B</w:t>
      </w:r>
      <w:r>
        <w:rPr>
          <w:spacing w:val="-2"/>
        </w:rPr>
        <w:t>银行自助设备现金管理系统产品、银行印章管理系统产品和银行支付系统人脸、语音识别及安全解决方案通常按照合</w:t>
      </w:r>
    </w:p>
    <w:p>
      <w:pPr>
        <w:pStyle w:val="BodyText"/>
        <w:spacing w:line="240" w:lineRule="auto" w:before="13"/>
        <w:ind w:right="0"/>
        <w:jc w:val="both"/>
      </w:pPr>
      <w:r>
        <w:rPr/>
        <w:t>同约定向购买方移交，并完成安装、调试工作，取得了购买方验收确认单据后确认销售收入的实现。</w:t>
      </w:r>
    </w:p>
    <w:p>
      <w:pPr>
        <w:pStyle w:val="BodyText"/>
        <w:spacing w:line="240" w:lineRule="auto" w:before="76"/>
        <w:ind w:right="0"/>
        <w:jc w:val="both"/>
      </w:pPr>
      <w:r>
        <w:rPr>
          <w:rFonts w:ascii="Times New Roman" w:hAnsi="Times New Roman" w:cs="Times New Roman" w:eastAsia="Times New Roman" w:hint="default"/>
        </w:rPr>
        <w:t>2</w:t>
      </w:r>
      <w:r>
        <w:rPr/>
        <w:t>、提供劳务收入</w:t>
      </w:r>
    </w:p>
    <w:p>
      <w:pPr>
        <w:pStyle w:val="BodyText"/>
        <w:spacing w:line="316" w:lineRule="auto" w:before="63"/>
        <w:ind w:left="574" w:right="0"/>
        <w:jc w:val="left"/>
      </w:pPr>
      <w:r>
        <w:rPr/>
        <w:t>在提供劳务交易的结果能够可靠估计的情况下，于资产负债表日按照完工百分比法确认提供的劳务收入。 </w:t>
      </w:r>
      <w:r>
        <w:rPr>
          <w:spacing w:val="-2"/>
        </w:rPr>
        <w:t>提供劳务交易的结果能够可靠估计是指同时满足：①收入的金额能够可靠地计量；②相关的经济利益很可能流入企业；</w:t>
      </w:r>
    </w:p>
    <w:p>
      <w:pPr>
        <w:pStyle w:val="BodyText"/>
        <w:spacing w:line="316" w:lineRule="auto" w:before="19"/>
        <w:ind w:left="574" w:right="0" w:hanging="420"/>
        <w:jc w:val="left"/>
      </w:pPr>
      <w:r>
        <w:rPr/>
        <w:t>③交易的完工程度能够可靠地确定；④交易中已发生和将发生的成本能够可靠地计量。 如果提供劳务交易的结果不能够可靠估计，则按已经发生并预计能够得到补偿的劳务成本金额确认提供的劳务收入，</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74" w:right="0" w:hanging="420"/>
        <w:jc w:val="left"/>
      </w:pPr>
      <w:r>
        <w:rPr/>
        <w:t>并将已发生的劳务成本作为当期费用。已经发生的劳务成本如预计不能得到补偿的，则不确认收入。 本公司与其他企业签订的合同或协议包括销售商品和提供劳务时，如销售商品部分和提供劳务部分能够区分并单独计</w:t>
      </w:r>
    </w:p>
    <w:p>
      <w:pPr>
        <w:pStyle w:val="BodyText"/>
        <w:spacing w:line="316" w:lineRule="auto" w:before="19"/>
        <w:ind w:right="0"/>
        <w:jc w:val="left"/>
      </w:pPr>
      <w:r>
        <w:rPr>
          <w:spacing w:val="-2"/>
        </w:rPr>
        <w:t>量的，将销售商品部分和提供劳务部分分别处理；如销售商品部分和提供劳务部分不能够区分，或虽能区分但不能够单独计</w:t>
      </w:r>
      <w:r>
        <w:rPr>
          <w:spacing w:val="-66"/>
        </w:rPr>
        <w:t> </w:t>
      </w:r>
      <w:r>
        <w:rPr>
          <w:spacing w:val="-66"/>
        </w:rPr>
      </w:r>
      <w:r>
        <w:rPr/>
        <w:t>量的，将该合同全部作为销售商品处理。</w:t>
      </w:r>
    </w:p>
    <w:p>
      <w:pPr>
        <w:pStyle w:val="BodyText"/>
        <w:spacing w:line="240" w:lineRule="auto" w:before="19"/>
        <w:ind w:right="0"/>
        <w:jc w:val="left"/>
      </w:pPr>
      <w:r>
        <w:rPr>
          <w:rFonts w:ascii="Times New Roman" w:hAnsi="Times New Roman" w:cs="Times New Roman" w:eastAsia="Times New Roman" w:hint="default"/>
        </w:rPr>
        <w:t>3</w:t>
      </w:r>
      <w:r>
        <w:rPr/>
        <w:t>、使用费收入</w:t>
      </w:r>
    </w:p>
    <w:p>
      <w:pPr>
        <w:pStyle w:val="BodyText"/>
        <w:spacing w:line="240" w:lineRule="auto" w:before="63"/>
        <w:ind w:left="574" w:right="0"/>
        <w:jc w:val="left"/>
      </w:pPr>
      <w:r>
        <w:rPr/>
        <w:t>根据有关合同或协议，按权责发生制确认收入。</w:t>
      </w:r>
    </w:p>
    <w:p>
      <w:pPr>
        <w:pStyle w:val="BodyText"/>
        <w:spacing w:line="240" w:lineRule="auto" w:before="76"/>
        <w:ind w:right="0"/>
        <w:jc w:val="left"/>
      </w:pPr>
      <w:r>
        <w:rPr>
          <w:rFonts w:ascii="Times New Roman" w:hAnsi="Times New Roman" w:cs="Times New Roman" w:eastAsia="Times New Roman" w:hint="default"/>
        </w:rPr>
        <w:t>4</w:t>
      </w:r>
      <w:r>
        <w:rPr/>
        <w:t>、利息收入</w:t>
      </w:r>
    </w:p>
    <w:p>
      <w:pPr>
        <w:pStyle w:val="BodyText"/>
        <w:spacing w:line="240" w:lineRule="auto" w:before="63"/>
        <w:ind w:left="574" w:right="0"/>
        <w:jc w:val="left"/>
      </w:pPr>
      <w:r>
        <w:rPr/>
        <w:t>按照他人使用本公司货币资金的时间和实际利率计算确定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9、政府补助" w:id="207"/>
      <w:bookmarkEnd w:id="207"/>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30" w:firstLine="420"/>
        <w:jc w:val="both"/>
      </w:pPr>
      <w:r>
        <w:rPr/>
        <w:t>政府补助是指本公司从政府无偿取得货币性资产和非货币性资产，不包括政府以投资者身份并享有相应所有者权益而 </w:t>
      </w:r>
      <w:r>
        <w:rPr>
          <w:spacing w:val="-2"/>
        </w:rPr>
        <w:t>投入的资本。政府补助分为与资产相关的政府补助和与收益相关的政府补助。本公司将所取得的用于购建或以其他方式形成</w:t>
      </w:r>
      <w:r>
        <w:rPr>
          <w:spacing w:val="-63"/>
        </w:rPr>
        <w:t> </w:t>
      </w:r>
      <w:r>
        <w:rPr>
          <w:spacing w:val="-63"/>
        </w:rPr>
      </w:r>
      <w:r>
        <w:rPr>
          <w:spacing w:val="-2"/>
        </w:rPr>
        <w:t>长期资产的政府补助界定为与资产相关的政府补助；其余政府补助界定为与收益相关的政府补助。若政府文件未明确规定补</w:t>
      </w:r>
      <w:r>
        <w:rPr>
          <w:spacing w:val="-64"/>
        </w:rPr>
        <w:t> </w:t>
      </w:r>
      <w:r>
        <w:rPr>
          <w:spacing w:val="-64"/>
        </w:rPr>
      </w:r>
      <w:r>
        <w:rPr/>
        <w:t>助对象，则采用以下方式将补助款划分为与收益相关的政府补助和与资产相关的政府补助：（</w:t>
      </w:r>
      <w:r>
        <w:rPr>
          <w:rFonts w:ascii="Times New Roman" w:hAnsi="Times New Roman" w:cs="Times New Roman" w:eastAsia="Times New Roman" w:hint="default"/>
        </w:rPr>
        <w:t>1</w:t>
      </w:r>
      <w:r>
        <w:rPr/>
        <w:t>）政府文件明确了补助所针 </w:t>
      </w:r>
      <w:r>
        <w:rPr>
          <w:spacing w:val="-2"/>
        </w:rPr>
        <w:t>对的特定项目的，根据该特定项目的预算中将形成资产的支出金额和计入费用的支出金额的相对比例进行划分，对该划分比</w:t>
      </w:r>
      <w:r>
        <w:rPr>
          <w:spacing w:val="-64"/>
        </w:rPr>
        <w:t> </w:t>
      </w:r>
      <w:r>
        <w:rPr>
          <w:spacing w:val="-64"/>
        </w:rPr>
      </w:r>
      <w:r>
        <w:rPr/>
        <w:t>例需在每个资产负债表日进行复核，必要时进行变更；（</w:t>
      </w:r>
      <w:r>
        <w:rPr>
          <w:rFonts w:ascii="Times New Roman" w:hAnsi="Times New Roman" w:cs="Times New Roman" w:eastAsia="Times New Roman" w:hint="default"/>
        </w:rPr>
        <w:t>2</w:t>
      </w:r>
      <w:r>
        <w:rPr/>
        <w:t>）政府文件中对用途仅作一般性表述，没有指明特定项目的，作 为与收益相关的政府补助。</w:t>
      </w:r>
    </w:p>
    <w:p>
      <w:pPr>
        <w:pStyle w:val="BodyText"/>
        <w:spacing w:line="316" w:lineRule="auto" w:before="22"/>
        <w:ind w:right="1169" w:firstLine="420"/>
        <w:jc w:val="both"/>
      </w:pPr>
      <w:r>
        <w:rPr/>
        <w:t>政府补助为货币性资产的，按照收到或应收的金额计量。政府补助为非货币性资产的，按照公允价值计量；公允价值 不能够可靠取得的，按照名义金额计量。按照名义金额计量的政府补助，直接计入当期损益。</w:t>
      </w:r>
    </w:p>
    <w:p>
      <w:pPr>
        <w:pStyle w:val="BodyText"/>
        <w:spacing w:line="309" w:lineRule="auto" w:before="19"/>
        <w:ind w:right="1032" w:firstLine="420"/>
        <w:jc w:val="left"/>
      </w:pPr>
      <w:r>
        <w:rPr/>
        <w:t>本公司对于政府补助通常在实际收到时，按照实收金额予以确认和计量。但对于期末有确凿证据表明能够符合财政扶 </w:t>
      </w:r>
      <w:r>
        <w:rPr>
          <w:spacing w:val="-2"/>
        </w:rPr>
        <w:t>持政策规定的相关条件预计能够收到财政扶持资金，按照应收的金额计量。按照应收金额计量的政府补助应同时符合以下条</w:t>
      </w:r>
      <w:r>
        <w:rPr>
          <w:spacing w:val="-64"/>
        </w:rPr>
        <w:t> </w:t>
      </w:r>
      <w:r>
        <w:rPr>
          <w:spacing w:val="-64"/>
        </w:rPr>
      </w:r>
      <w:r>
        <w:rPr/>
        <w:t>件：（</w:t>
      </w:r>
      <w:r>
        <w:rPr>
          <w:rFonts w:ascii="Times New Roman" w:hAnsi="Times New Roman" w:cs="Times New Roman" w:eastAsia="Times New Roman" w:hint="default"/>
        </w:rPr>
        <w:t>1</w:t>
      </w:r>
      <w:r>
        <w:rPr/>
        <w:t>）应收补助款的金额已经过有权政府部门发文确认，或者可根据正式发布的财政资金管理办法的有关规定自行合理 测算，且预计其金额不存在重大不确定性；（</w:t>
      </w:r>
      <w:r>
        <w:rPr>
          <w:rFonts w:ascii="Times New Roman" w:hAnsi="Times New Roman" w:cs="Times New Roman" w:eastAsia="Times New Roman" w:hint="default"/>
        </w:rPr>
        <w:t>2</w:t>
      </w:r>
      <w:r>
        <w:rPr/>
        <w:t>）所依据的是当地财政部门正式发布并按照《政府信息公开条例》的规定予 以主动公开的财政扶持项目及其财政资金管理办法，且该管理办法应当是普惠性的（任何符合规定条件的企业均可申请）， 而不是专门针对特定企业制定的；（</w:t>
      </w:r>
      <w:r>
        <w:rPr>
          <w:rFonts w:ascii="Times New Roman" w:hAnsi="Times New Roman" w:cs="Times New Roman" w:eastAsia="Times New Roman" w:hint="default"/>
        </w:rPr>
        <w:t>3</w:t>
      </w:r>
      <w:r>
        <w:rPr/>
        <w:t>）相关的补助款批文中已明确承诺了拨付期限，且该款项的拨付是有相应财政预算作 为保障的，因而可以合理保证其可在规定期限内收到；（</w:t>
      </w:r>
      <w:r>
        <w:rPr>
          <w:rFonts w:ascii="Times New Roman" w:hAnsi="Times New Roman" w:cs="Times New Roman" w:eastAsia="Times New Roman" w:hint="default"/>
        </w:rPr>
        <w:t>4</w:t>
      </w:r>
      <w:r>
        <w:rPr/>
        <w:t>）根据本公司和该补助事项的具体情况，应满足的其他相关条件</w:t>
      </w:r>
    </w:p>
    <w:p>
      <w:pPr>
        <w:pStyle w:val="BodyText"/>
        <w:spacing w:line="240" w:lineRule="auto" w:before="5"/>
        <w:ind w:right="0"/>
        <w:jc w:val="left"/>
      </w:pPr>
      <w:r>
        <w:rPr/>
        <w:t>（如有）。</w:t>
      </w:r>
    </w:p>
    <w:p>
      <w:pPr>
        <w:pStyle w:val="BodyText"/>
        <w:spacing w:line="316" w:lineRule="auto" w:before="76"/>
        <w:ind w:right="1132" w:firstLine="420"/>
        <w:jc w:val="both"/>
      </w:pPr>
      <w:r>
        <w:rPr/>
        <w:t>与资产相关的政府补助，确认为递延收益，并在相关资产的使用寿命内按照合理、系统的方法分期计入当期损益。与 </w:t>
      </w:r>
      <w:r>
        <w:rPr>
          <w:spacing w:val="-2"/>
        </w:rPr>
        <w:t>收益相关的政府补助，用于补偿以后期间的相关成本费用或损失的，确认为递延收益，并在确认相关成本费用或损失的期间</w:t>
      </w:r>
      <w:r>
        <w:rPr>
          <w:spacing w:val="-66"/>
        </w:rPr>
        <w:t> </w:t>
      </w:r>
      <w:r>
        <w:rPr>
          <w:spacing w:val="-66"/>
        </w:rPr>
      </w:r>
      <w:r>
        <w:rPr/>
        <w:t>计入当期损益；用于补偿已经发生的相关成本费用或损失的，直接计入当期损益。</w:t>
      </w:r>
    </w:p>
    <w:p>
      <w:pPr>
        <w:pStyle w:val="BodyText"/>
        <w:spacing w:line="316" w:lineRule="auto" w:before="19"/>
        <w:ind w:right="1170" w:firstLine="420"/>
        <w:jc w:val="both"/>
      </w:pPr>
      <w:r>
        <w:rPr/>
        <w:t>同时包含与资产相关部分和与收益相关部分的政府补助，区分不同部分分别进行会计处理；难以区分的，将其整体归 类为与收益相关的政府补助。</w:t>
      </w:r>
    </w:p>
    <w:p>
      <w:pPr>
        <w:pStyle w:val="BodyText"/>
        <w:spacing w:line="316" w:lineRule="auto" w:before="19"/>
        <w:ind w:right="1170" w:firstLine="420"/>
        <w:jc w:val="both"/>
      </w:pPr>
      <w:r>
        <w:rPr/>
        <w:t>与本公司日常活动相关的政府补助，按照经济业务的实质，计入其他收益或冲减相关成本费用；与日常活动无关的政 府补助，计入营业外收支。</w:t>
      </w:r>
    </w:p>
    <w:p>
      <w:pPr>
        <w:pStyle w:val="BodyText"/>
        <w:spacing w:line="316" w:lineRule="auto" w:before="19"/>
        <w:ind w:right="1169" w:firstLine="420"/>
        <w:jc w:val="both"/>
      </w:pPr>
      <w:r>
        <w:rPr/>
        <w:t>已确认的政府补助需要退回时，存在相关递延收益余额的，冲减相关递延收益账面余额，超出部分计入当期损益；属 于其他情况的，直接计入当期损益。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0、递延所得税资产/递延所得税负债" w:id="208"/>
      <w:bookmarkEnd w:id="208"/>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0"/>
        <w:jc w:val="left"/>
      </w:pPr>
      <w:r>
        <w:rPr/>
        <w:t>（</w:t>
      </w:r>
      <w:r>
        <w:rPr>
          <w:rFonts w:ascii="Times New Roman" w:hAnsi="Times New Roman" w:cs="Times New Roman" w:eastAsia="Times New Roman" w:hint="default"/>
        </w:rPr>
        <w:t>1</w:t>
      </w:r>
      <w:r>
        <w:rPr/>
        <w:t>）当期所得税 </w:t>
      </w:r>
      <w:r>
        <w:rPr>
          <w:spacing w:val="-2"/>
        </w:rPr>
        <w:t>资产负债表日，对于当期和以前期间形成的当期所得税负债（或资产），以按照税法规定计算的预期应交纳（或返还）</w:t>
      </w:r>
    </w:p>
    <w:p>
      <w:pPr>
        <w:pStyle w:val="BodyText"/>
        <w:spacing w:line="316" w:lineRule="auto" w:before="31"/>
        <w:ind w:right="1118"/>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74" w:right="0"/>
        <w:jc w:val="left"/>
      </w:pPr>
      <w:r>
        <w:rPr/>
        <w:t>（</w:t>
      </w:r>
      <w:r>
        <w:rPr>
          <w:rFonts w:ascii="Times New Roman" w:hAnsi="Times New Roman" w:cs="Times New Roman" w:eastAsia="Times New Roman" w:hint="default"/>
        </w:rPr>
        <w:t>2</w:t>
      </w:r>
      <w:r>
        <w:rPr/>
        <w:t>）递延所得税资产及递延所得税负债 某些资产、负债项目的账面价值与其计税基础之间的差额，以及未作为资产和负债确认但按照税法规定可以确定其计</w:t>
      </w:r>
    </w:p>
    <w:p>
      <w:pPr>
        <w:pStyle w:val="BodyText"/>
        <w:spacing w:line="316" w:lineRule="auto" w:before="31"/>
        <w:ind w:right="1118"/>
        <w:jc w:val="left"/>
      </w:pPr>
      <w:r>
        <w:rPr>
          <w:spacing w:val="-2"/>
        </w:rPr>
        <w:t>税基础的项目的账面价值与计税基础之间的差额产生的暂时性差异，采用资产负债表债务法确认递延所得税资产及递延所得</w:t>
      </w:r>
      <w:r>
        <w:rPr>
          <w:spacing w:val="-64"/>
        </w:rPr>
        <w:t> </w:t>
      </w:r>
      <w:r>
        <w:rPr>
          <w:spacing w:val="-64"/>
        </w:rPr>
      </w:r>
      <w:r>
        <w:rPr/>
        <w:t>税负债。</w:t>
      </w:r>
    </w:p>
    <w:p>
      <w:pPr>
        <w:pStyle w:val="BodyText"/>
        <w:spacing w:line="316" w:lineRule="auto" w:before="19"/>
        <w:ind w:right="1131" w:firstLine="420"/>
        <w:jc w:val="both"/>
      </w:pPr>
      <w:r>
        <w:rPr/>
        <w:t>与商誉的初始确认有关，以及与既不是企业合并、发生时也不影响会计利润和应纳税所得额（或可抵扣亏损）的交易 </w:t>
      </w:r>
      <w:r>
        <w:rPr>
          <w:spacing w:val="-2"/>
        </w:rPr>
        <w:t>中产生的资产或负债的初始确认有关的应纳税暂时性差异，不予确认有关的递延所得税负债。此外，对与子公司、联营企业</w:t>
      </w:r>
      <w:r>
        <w:rPr>
          <w:spacing w:val="-66"/>
        </w:rPr>
        <w:t> </w:t>
      </w:r>
      <w:r>
        <w:rPr>
          <w:spacing w:val="-66"/>
        </w:rPr>
      </w:r>
      <w:r>
        <w:rPr>
          <w:spacing w:val="-2"/>
        </w:rPr>
        <w:t>及合营企业投资相关的应纳税暂时性差异，如果本公司能够控制暂时性差异转回的时间，而且该暂时性差异在可预见的未来</w:t>
      </w:r>
      <w:r>
        <w:rPr>
          <w:spacing w:val="-64"/>
        </w:rPr>
        <w:t> </w:t>
      </w:r>
      <w:r>
        <w:rPr>
          <w:spacing w:val="-64"/>
        </w:rPr>
      </w:r>
      <w:r>
        <w:rPr>
          <w:spacing w:val="-2"/>
        </w:rPr>
        <w:t>很可能不会转回，也不予确认有关的递延所得税负债。除上述例外情况，本公司确认其他所有应纳税暂时性差异产生的递延</w:t>
      </w:r>
      <w:r>
        <w:rPr>
          <w:spacing w:val="-66"/>
        </w:rPr>
        <w:t> </w:t>
      </w:r>
      <w:r>
        <w:rPr>
          <w:spacing w:val="-66"/>
        </w:rPr>
      </w:r>
      <w:r>
        <w:rPr/>
        <w:t>所得税负债。</w:t>
      </w:r>
    </w:p>
    <w:p>
      <w:pPr>
        <w:pStyle w:val="BodyText"/>
        <w:spacing w:line="316" w:lineRule="auto" w:before="19"/>
        <w:ind w:right="1131" w:firstLine="420"/>
        <w:jc w:val="both"/>
      </w:pPr>
      <w:r>
        <w:rPr/>
        <w:t>与既不是企业合并、发生时也不影响会计利润和应纳税所得额（或可抵扣亏损）的交易中产生的资产或负债的初始确 </w:t>
      </w:r>
      <w:r>
        <w:rPr>
          <w:spacing w:val="-2"/>
        </w:rPr>
        <w:t>认有关的可抵扣暂时性差异，不予确认有关的递延所得税资产。此外，对与子公司、联营企业及合营企业投资相关的可抵扣</w:t>
      </w:r>
      <w:r>
        <w:rPr>
          <w:spacing w:val="-66"/>
        </w:rPr>
        <w:t> </w:t>
      </w:r>
      <w:r>
        <w:rPr>
          <w:spacing w:val="-66"/>
        </w:rPr>
      </w:r>
      <w:r>
        <w:rPr>
          <w:spacing w:val="-2"/>
        </w:rPr>
        <w:t>暂时性差异，如果暂时性差异在可预见的未来不是很可能转回，或者未来不是很可能获得用来抵扣可抵扣暂时性差异的应纳</w:t>
      </w:r>
      <w:r>
        <w:rPr>
          <w:spacing w:val="-64"/>
        </w:rPr>
        <w:t> </w:t>
      </w:r>
      <w:r>
        <w:rPr>
          <w:spacing w:val="-64"/>
        </w:rPr>
      </w:r>
      <w:r>
        <w:rPr>
          <w:spacing w:val="-2"/>
        </w:rPr>
        <w:t>税所得额，不予确认有关的递延所得税资产。除上述例外情况，本公司以很可能取得用来抵扣可抵扣暂时性差异的应纳税所</w:t>
      </w:r>
      <w:r>
        <w:rPr>
          <w:spacing w:val="-66"/>
        </w:rPr>
        <w:t> </w:t>
      </w:r>
      <w:r>
        <w:rPr>
          <w:spacing w:val="-66"/>
        </w:rPr>
      </w:r>
      <w:r>
        <w:rPr/>
        <w:t>得额为限，确认其他可抵扣暂时性差异产生的递延所得税资产。</w:t>
      </w:r>
    </w:p>
    <w:p>
      <w:pPr>
        <w:pStyle w:val="BodyText"/>
        <w:spacing w:line="316" w:lineRule="auto" w:before="19"/>
        <w:ind w:right="1132" w:firstLine="420"/>
        <w:jc w:val="both"/>
      </w:pPr>
      <w:r>
        <w:rPr/>
        <w:t>对于能够结转以后年度的可抵扣亏损和税款抵减，以很可能获得用来抵扣可抵扣亏损和税款抵减的未来应纳税所得额 为限，确认相应的递延所得税资产。</w:t>
      </w:r>
    </w:p>
    <w:p>
      <w:pPr>
        <w:pStyle w:val="BodyText"/>
        <w:spacing w:line="316" w:lineRule="auto" w:before="19"/>
        <w:ind w:right="1133" w:firstLine="420"/>
        <w:jc w:val="both"/>
      </w:pPr>
      <w:r>
        <w:rPr/>
        <w:t>资产负债表日，对于递延所得税资产和递延所得税负债，根据税法规定，按照预期收回相关资产或清偿相关负债期间 的适用税率计量。</w:t>
      </w:r>
    </w:p>
    <w:p>
      <w:pPr>
        <w:pStyle w:val="BodyText"/>
        <w:spacing w:line="316" w:lineRule="auto" w:before="19"/>
        <w:ind w:right="1133" w:firstLine="420"/>
        <w:jc w:val="both"/>
      </w:pPr>
      <w:r>
        <w:rPr/>
        <w:t>于资产负债表日，对递延所得税资产的账面价值进行复核，如果未来很可能无法获得足够的应纳税所得额用以抵扣递 延所得税资产的利益，则减记递延所得税资产的账面价值。在很可能获得足够的应纳税所得额时，减记的金额予以转回。</w:t>
      </w:r>
    </w:p>
    <w:p>
      <w:pPr>
        <w:pStyle w:val="BodyText"/>
        <w:spacing w:line="300" w:lineRule="auto" w:before="19"/>
        <w:ind w:left="574" w:right="691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2"/>
        <w:ind w:right="1132" w:firstLine="42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00" w:lineRule="auto" w:before="19"/>
        <w:ind w:left="574" w:right="0"/>
        <w:jc w:val="left"/>
      </w:pPr>
      <w:r>
        <w:rPr/>
        <w:t>（</w:t>
      </w:r>
      <w:r>
        <w:rPr>
          <w:rFonts w:ascii="Times New Roman" w:hAnsi="Times New Roman" w:cs="Times New Roman" w:eastAsia="Times New Roman" w:hint="default"/>
        </w:rPr>
        <w:t>4</w:t>
      </w:r>
      <w:r>
        <w:rPr/>
        <w:t>）所得税的抵销 当拥有以净额结算的法定权利，且意图以净额结算或取得资产、清偿负债同时进行时，本公司当期所得税资产及当期</w:t>
      </w:r>
    </w:p>
    <w:p>
      <w:pPr>
        <w:pStyle w:val="BodyText"/>
        <w:spacing w:line="316" w:lineRule="auto" w:before="31"/>
        <w:ind w:right="0"/>
        <w:jc w:val="left"/>
      </w:pPr>
      <w:r>
        <w:rPr/>
        <w:t>所得税负债以抵销后的净额列报。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的期间内，涉及的纳税主体意图以净额结算当期所得税资产和负债或是同时取得资产、清偿负债时，本公司递延所得税资产</w:t>
      </w:r>
      <w:r>
        <w:rPr>
          <w:spacing w:val="-66"/>
        </w:rPr>
        <w:t> </w:t>
      </w:r>
      <w:r>
        <w:rPr>
          <w:spacing w:val="-66"/>
        </w:rPr>
      </w:r>
      <w:r>
        <w:rPr/>
        <w:t>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1、租赁" w:id="209"/>
      <w:bookmarkEnd w:id="209"/>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10"/>
      <w:bookmarkEnd w:id="21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0"/>
        <w:jc w:val="left"/>
      </w:pPr>
      <w:r>
        <w:rPr/>
        <w:t>（</w:t>
      </w:r>
      <w:r>
        <w:rPr>
          <w:rFonts w:ascii="Times New Roman" w:hAnsi="Times New Roman" w:cs="Times New Roman" w:eastAsia="Times New Roman" w:hint="default"/>
        </w:rPr>
        <w:t>1</w:t>
      </w:r>
      <w:r>
        <w:rPr/>
        <w:t>）本公司作为承租人记录经营租赁业务 经营租赁的租金支出在租赁期内的各个期间按直线法计入相关资产成本或当期损益。初始直接费用计入当期损益。或</w:t>
      </w:r>
    </w:p>
    <w:p>
      <w:pPr>
        <w:pStyle w:val="BodyText"/>
        <w:spacing w:line="240" w:lineRule="auto" w:before="31"/>
        <w:ind w:right="0"/>
        <w:jc w:val="left"/>
      </w:pPr>
      <w:r>
        <w:rPr/>
        <w:t>有租金于实际发生时计入当期损益。</w:t>
      </w:r>
    </w:p>
    <w:p>
      <w:pPr>
        <w:pStyle w:val="BodyText"/>
        <w:spacing w:line="312" w:lineRule="auto" w:before="76"/>
        <w:ind w:right="1032" w:firstLine="420"/>
        <w:jc w:val="left"/>
      </w:pPr>
      <w:r>
        <w:rPr/>
        <w:t>（</w:t>
      </w:r>
      <w:r>
        <w:rPr>
          <w:rFonts w:ascii="Times New Roman" w:hAnsi="Times New Roman" w:cs="Times New Roman" w:eastAsia="Times New Roman" w:hint="default"/>
        </w:rPr>
        <w:t>2</w:t>
      </w:r>
      <w:r>
        <w:rPr/>
        <w:t>）本公司作为出租人记录经营租赁业务 </w:t>
      </w:r>
      <w:r>
        <w:rPr>
          <w:spacing w:val="-2"/>
        </w:rPr>
        <w:t>经营租赁的租金收入在租赁期内的各个期间按直线法确认为当期损益。对金额较大的初始直接费用于发生时予以资本化，在</w:t>
      </w:r>
      <w:r>
        <w:rPr>
          <w:spacing w:val="-64"/>
        </w:rPr>
        <w:t> </w:t>
      </w:r>
      <w:r>
        <w:rPr>
          <w:spacing w:val="-64"/>
        </w:rPr>
      </w:r>
      <w:r>
        <w:rPr/>
        <w:t>整个租赁期间内按照与确认租金收入相同的基础分期计入当期损益；其他金额较小的初始直接费用于发生时计入当期损益。 或有租金于实际发生时计入当期损益。</w:t>
      </w:r>
    </w:p>
    <w:p>
      <w:pPr>
        <w:spacing w:after="0" w:line="312"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融资租赁的会计处理方法" w:id="211"/>
      <w:bookmarkEnd w:id="21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0"/>
        <w:jc w:val="left"/>
      </w:pPr>
      <w:r>
        <w:rPr/>
        <w:t>（</w:t>
      </w:r>
      <w:r>
        <w:rPr>
          <w:rFonts w:ascii="Times New Roman" w:hAnsi="Times New Roman" w:cs="Times New Roman" w:eastAsia="Times New Roman" w:hint="default"/>
        </w:rPr>
        <w:t>1</w:t>
      </w:r>
      <w:r>
        <w:rPr/>
        <w:t>）本公司作为承租人记录融资租赁业务 于租赁期开始日，将租赁开始日租赁资产的公允价值与最低租赁付款额现值两者中较低者作为租入资产的入账价值，</w:t>
      </w:r>
    </w:p>
    <w:p>
      <w:pPr>
        <w:pStyle w:val="BodyText"/>
        <w:spacing w:line="316" w:lineRule="auto" w:before="32"/>
        <w:ind w:right="1131"/>
        <w:jc w:val="both"/>
      </w:pPr>
      <w:r>
        <w:rPr>
          <w:spacing w:val="-2"/>
        </w:rPr>
        <w:t>将最低租赁付款额作为长期应付款的入账价值，其差额作为未确认融资费用。此外，在租赁谈判和签订租赁合同过程中发生</w:t>
      </w:r>
      <w:r>
        <w:rPr>
          <w:spacing w:val="-66"/>
        </w:rPr>
        <w:t> </w:t>
      </w:r>
      <w:r>
        <w:rPr>
          <w:spacing w:val="-66"/>
        </w:rPr>
      </w:r>
      <w:r>
        <w:rPr>
          <w:spacing w:val="-2"/>
        </w:rPr>
        <w:t>的，可归属于租赁项目的初始直接费用也计入租入资产价值。最低租赁付款额扣除未确认融资费用后的余额分别长期负债和</w:t>
      </w:r>
      <w:r>
        <w:rPr>
          <w:spacing w:val="-64"/>
        </w:rPr>
        <w:t> </w:t>
      </w:r>
      <w:r>
        <w:rPr>
          <w:spacing w:val="-64"/>
        </w:rPr>
      </w:r>
      <w:r>
        <w:rPr/>
        <w:t>一年内到期的长期负债列示。</w:t>
      </w:r>
    </w:p>
    <w:p>
      <w:pPr>
        <w:pStyle w:val="BodyText"/>
        <w:spacing w:line="240" w:lineRule="auto" w:before="19"/>
        <w:ind w:left="574" w:right="0"/>
        <w:jc w:val="left"/>
      </w:pPr>
      <w:r>
        <w:rPr/>
        <w:t>未确认融资费用在租赁期内采用实际利率法计算确认当期的融资费用。或有租金于实际发生时计入当期损益。</w:t>
      </w:r>
    </w:p>
    <w:p>
      <w:pPr>
        <w:pStyle w:val="BodyText"/>
        <w:spacing w:line="300" w:lineRule="auto" w:before="76"/>
        <w:ind w:left="574" w:right="0"/>
        <w:jc w:val="left"/>
      </w:pPr>
      <w:r>
        <w:rPr/>
        <w:t>（</w:t>
      </w:r>
      <w:r>
        <w:rPr>
          <w:rFonts w:ascii="Times New Roman" w:hAnsi="Times New Roman" w:cs="Times New Roman" w:eastAsia="Times New Roman" w:hint="default"/>
        </w:rPr>
        <w:t>2</w:t>
      </w:r>
      <w:r>
        <w:rPr/>
        <w:t>）本公司作为出租人记录融资租赁业务 于租赁期开始日，将租赁开始日最低租赁收款额与初始直接费用之和作为应收融资租赁款的入账价值，同时记录未担</w:t>
      </w:r>
    </w:p>
    <w:p>
      <w:pPr>
        <w:pStyle w:val="BodyText"/>
        <w:spacing w:line="316" w:lineRule="auto" w:before="31"/>
        <w:ind w:right="0"/>
        <w:jc w:val="left"/>
      </w:pPr>
      <w:r>
        <w:rPr>
          <w:spacing w:val="-2"/>
        </w:rPr>
        <w:t>保余值；将最低租赁收款额、初始直接费用及未担保余值之和与其现值之和的差额确认为未实现融资收益。应收融资租赁款</w:t>
      </w:r>
      <w:r>
        <w:rPr>
          <w:spacing w:val="-66"/>
        </w:rPr>
        <w:t> </w:t>
      </w:r>
      <w:r>
        <w:rPr>
          <w:spacing w:val="-66"/>
        </w:rPr>
      </w:r>
      <w:r>
        <w:rPr/>
        <w:t>扣除未实现融资收益后的余额分别长期债权和一年内到期的长期债权列示。 未实现融资收益在租赁期内采用实际利率法计算确认当期的融资收入。或有租金于实际发生时计入当期损益。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2、其他重要的会计政策和会计估计" w:id="212"/>
      <w:bookmarkEnd w:id="212"/>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420"/>
        <w:jc w:val="left"/>
      </w:pPr>
      <w:r>
        <w:rPr/>
        <w:t>本公司在运用会计政策过程中，由于经营活动内在的不确定性，本公司需要对无法准确计量的报表项目的账面价值进 </w:t>
      </w:r>
      <w:r>
        <w:rPr>
          <w:spacing w:val="-4"/>
        </w:rPr>
        <w:t>行判断、估计和假设。这些判断、估计和假设是基于本公司管理层过去的历史经验，并在考虑其他相关因素的基础上做出的。</w:t>
      </w:r>
      <w:r>
        <w:rPr>
          <w:spacing w:val="-46"/>
        </w:rPr>
        <w:t> </w:t>
      </w:r>
      <w:r>
        <w:rPr>
          <w:spacing w:val="-46"/>
        </w:rPr>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9" w:lineRule="auto" w:before="19"/>
        <w:ind w:right="1133" w:firstLine="420"/>
        <w:jc w:val="both"/>
      </w:pPr>
      <w:r>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BodyText"/>
        <w:spacing w:line="240" w:lineRule="auto" w:before="17"/>
        <w:ind w:left="574" w:right="0"/>
        <w:jc w:val="left"/>
      </w:pPr>
      <w:r>
        <w:rPr/>
        <w:t>于资产负债表日，本公司需对财务报表项目金额进行判断、估计和假设的重要领域如下：</w:t>
      </w:r>
    </w:p>
    <w:p>
      <w:pPr>
        <w:pStyle w:val="BodyText"/>
        <w:spacing w:line="240" w:lineRule="auto" w:before="76"/>
        <w:ind w:right="0"/>
        <w:jc w:val="left"/>
      </w:pPr>
      <w:r>
        <w:rPr>
          <w:rFonts w:ascii="Times New Roman" w:hAnsi="Times New Roman" w:cs="Times New Roman" w:eastAsia="Times New Roman" w:hint="default"/>
        </w:rPr>
        <w:t>1</w:t>
      </w:r>
      <w:r>
        <w:rPr/>
        <w:t>、坏账准备计提</w:t>
      </w:r>
    </w:p>
    <w:p>
      <w:pPr>
        <w:pStyle w:val="BodyText"/>
        <w:spacing w:line="316" w:lineRule="auto" w:before="63"/>
        <w:ind w:right="1131" w:firstLine="420"/>
        <w:jc w:val="both"/>
      </w:pPr>
      <w:r>
        <w:rPr/>
        <w:t>本公司根据应收款项的会计政策，采用备抵法核算坏账损失。应收账款减值是基于评估应收账款的可收回性。鉴定应 </w:t>
      </w:r>
      <w:r>
        <w:rPr>
          <w:spacing w:val="-2"/>
        </w:rPr>
        <w:t>收账款减值要求管理层的判断和估计。实际的结果与原先估计的差异将在估计被改变的期间影响应收账款的账面价值及应收</w:t>
      </w:r>
      <w:r>
        <w:rPr>
          <w:spacing w:val="-64"/>
        </w:rPr>
        <w:t> </w:t>
      </w:r>
      <w:r>
        <w:rPr>
          <w:spacing w:val="-64"/>
        </w:rPr>
      </w:r>
      <w:r>
        <w:rPr/>
        <w:t>账款坏账准备的计提或转回。</w:t>
      </w:r>
    </w:p>
    <w:p>
      <w:pPr>
        <w:pStyle w:val="BodyText"/>
        <w:spacing w:line="240" w:lineRule="auto" w:before="19"/>
        <w:ind w:right="0"/>
        <w:jc w:val="left"/>
      </w:pPr>
      <w:r>
        <w:rPr>
          <w:rFonts w:ascii="Times New Roman" w:hAnsi="Times New Roman" w:cs="Times New Roman" w:eastAsia="Times New Roman" w:hint="default"/>
        </w:rPr>
        <w:t>2</w:t>
      </w:r>
      <w:r>
        <w:rPr/>
        <w:t>、存货跌价准备</w:t>
      </w:r>
    </w:p>
    <w:p>
      <w:pPr>
        <w:pStyle w:val="BodyText"/>
        <w:spacing w:line="316" w:lineRule="auto" w:before="63"/>
        <w:ind w:right="1132" w:firstLine="420"/>
        <w:jc w:val="both"/>
      </w:pPr>
      <w:r>
        <w:rPr/>
        <w:t>本公司根据存货会计政策，按照成本与可变现净值孰低计量，对成本高于可变现净值及陈旧和滞销的存货，计提存货 </w:t>
      </w:r>
      <w:r>
        <w:rPr>
          <w:spacing w:val="-2"/>
        </w:rPr>
        <w:t>跌价准备。存货减值至可变现净值是基于评估存货的可售性及其可变现净值。鉴定存货减值要求管理层在取得确凿证据，并</w:t>
      </w:r>
      <w:r>
        <w:rPr>
          <w:spacing w:val="-66"/>
        </w:rPr>
        <w:t> </w:t>
      </w:r>
      <w:r>
        <w:rPr>
          <w:spacing w:val="-66"/>
        </w:rPr>
      </w:r>
      <w:r>
        <w:rPr>
          <w:spacing w:val="-2"/>
        </w:rPr>
        <w:t>且考虑持有存货的目的、资产负债表日后事项的影响等因素的基础上作出判断和估计。实际的结果与原先估计的差异将在估</w:t>
      </w:r>
      <w:r>
        <w:rPr>
          <w:spacing w:val="-64"/>
        </w:rPr>
        <w:t> </w:t>
      </w:r>
      <w:r>
        <w:rPr>
          <w:spacing w:val="-64"/>
        </w:rPr>
      </w:r>
      <w:r>
        <w:rPr/>
        <w:t>计被改变的期间影响存货的账面价值及存货跌价准备的计提或转回。</w:t>
      </w:r>
    </w:p>
    <w:p>
      <w:pPr>
        <w:pStyle w:val="BodyText"/>
        <w:spacing w:line="240" w:lineRule="auto" w:before="19"/>
        <w:ind w:right="0"/>
        <w:jc w:val="left"/>
      </w:pPr>
      <w:r>
        <w:rPr>
          <w:rFonts w:ascii="Times New Roman" w:hAnsi="Times New Roman" w:cs="Times New Roman" w:eastAsia="Times New Roman" w:hint="default"/>
        </w:rPr>
        <w:t>3</w:t>
      </w:r>
      <w:r>
        <w:rPr/>
        <w:t>、折旧和摊销</w:t>
      </w:r>
    </w:p>
    <w:p>
      <w:pPr>
        <w:pStyle w:val="BodyText"/>
        <w:spacing w:line="316" w:lineRule="auto" w:before="63"/>
        <w:ind w:right="1132" w:firstLine="420"/>
        <w:jc w:val="both"/>
      </w:pPr>
      <w:r>
        <w:rPr/>
        <w:t>本公司对投资性房地产、固定资产和无形资产在考虑其残值后，在使用寿命内按直线法计提折旧和摊销。本公司定期 </w:t>
      </w:r>
      <w:r>
        <w:rPr>
          <w:spacing w:val="-2"/>
        </w:rPr>
        <w:t>复核使用寿命，以决定将计入每个报告期的折旧和摊销费用数额。使用寿命是本公司根据对同类资产的以往经验并结合预期</w:t>
      </w:r>
      <w:r>
        <w:rPr>
          <w:spacing w:val="-64"/>
        </w:rPr>
        <w:t> </w:t>
      </w:r>
      <w:r>
        <w:rPr>
          <w:spacing w:val="-64"/>
        </w:rPr>
      </w:r>
      <w:r>
        <w:rPr/>
        <w:t>的技术更新而确定的。如果以前的估计发生重大变化，则会在未来期间对折旧和摊销费用进行调整。</w:t>
      </w:r>
    </w:p>
    <w:p>
      <w:pPr>
        <w:pStyle w:val="BodyText"/>
        <w:spacing w:line="300" w:lineRule="auto" w:before="19"/>
        <w:ind w:left="574" w:right="1118" w:hanging="420"/>
        <w:jc w:val="left"/>
      </w:pPr>
      <w:r>
        <w:rPr>
          <w:rFonts w:ascii="Times New Roman" w:hAnsi="Times New Roman" w:cs="Times New Roman" w:eastAsia="Times New Roman" w:hint="default"/>
        </w:rPr>
        <w:t>4</w:t>
      </w:r>
      <w:r>
        <w:rPr/>
        <w:t>、递延所得税资产 在很有可能有足够的应纳税利润来抵扣亏损的限度内，本公司就所有未利用的税务亏损确认递延所得税资产。这需要</w:t>
      </w:r>
    </w:p>
    <w:p>
      <w:pPr>
        <w:pStyle w:val="BodyText"/>
        <w:spacing w:line="319" w:lineRule="auto" w:before="31"/>
        <w:ind w:right="1118"/>
        <w:jc w:val="left"/>
      </w:pPr>
      <w:r>
        <w:rPr>
          <w:spacing w:val="-2"/>
        </w:rPr>
        <w:t>本公司管理层运用大量的判断来估计未来应纳税利润发生的时间和金额，结合纳税筹划策略，以决定应确认的递延所得税资</w:t>
      </w:r>
      <w:r>
        <w:rPr>
          <w:spacing w:val="-64"/>
        </w:rPr>
        <w:t> </w:t>
      </w:r>
      <w:r>
        <w:rPr>
          <w:spacing w:val="-64"/>
        </w:rPr>
      </w:r>
      <w:r>
        <w:rPr/>
        <w:t>产的金额。</w:t>
      </w:r>
    </w:p>
    <w:p>
      <w:pPr>
        <w:pStyle w:val="BodyText"/>
        <w:spacing w:line="240" w:lineRule="auto" w:before="17"/>
        <w:ind w:right="0"/>
        <w:jc w:val="left"/>
      </w:pPr>
      <w:r>
        <w:rPr>
          <w:rFonts w:ascii="Times New Roman" w:hAnsi="Times New Roman" w:cs="Times New Roman" w:eastAsia="Times New Roman" w:hint="default"/>
        </w:rPr>
        <w:t>5</w:t>
      </w:r>
      <w:r>
        <w:rPr/>
        <w:t>、所得税</w:t>
      </w:r>
    </w:p>
    <w:p>
      <w:pPr>
        <w:pStyle w:val="BodyText"/>
        <w:spacing w:line="316" w:lineRule="auto" w:before="63"/>
        <w:ind w:right="1132" w:firstLine="420"/>
        <w:jc w:val="both"/>
      </w:pPr>
      <w:r>
        <w:rPr/>
        <w:t>本公司在正常的经营活动中，有部分交易其最终的税务处理和计算存在一定的不确定性。部分项目是否能够在税前列 </w:t>
      </w:r>
      <w:r>
        <w:rPr>
          <w:spacing w:val="-2"/>
        </w:rPr>
        <w:t>支需要税收主管机关的审批。如果这些税务事项的最终认定结果同最初估计的金额存在差异，则该差异将对其最终认定期间</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的当期所得税和递延所得税产生影响。</w:t>
      </w:r>
    </w:p>
    <w:p>
      <w:pPr>
        <w:pStyle w:val="BodyText"/>
        <w:spacing w:line="240" w:lineRule="auto" w:before="76"/>
        <w:ind w:right="0"/>
        <w:jc w:val="left"/>
      </w:pPr>
      <w:r>
        <w:rPr>
          <w:rFonts w:ascii="Times New Roman" w:hAnsi="Times New Roman" w:cs="Times New Roman" w:eastAsia="Times New Roman" w:hint="default"/>
        </w:rPr>
        <w:t>6</w:t>
      </w:r>
      <w:r>
        <w:rPr/>
        <w:t>、预计负债</w:t>
      </w:r>
    </w:p>
    <w:p>
      <w:pPr>
        <w:pStyle w:val="BodyText"/>
        <w:spacing w:line="319" w:lineRule="auto" w:before="63"/>
        <w:ind w:right="1133" w:firstLine="420"/>
        <w:jc w:val="both"/>
      </w:pPr>
      <w:r>
        <w:rPr/>
        <w:t>本公司根据合约条款、现有知识及历史经验，对产品质量保证、预计合同亏损、延迟交货违约金等估计并计提相应准 </w:t>
      </w:r>
      <w:r>
        <w:rPr>
          <w:spacing w:val="-2"/>
        </w:rPr>
        <w:t>备。在该等或有事项已经形成一项现时义务，且履行该等现时义务很可能导致经济利益流出本公司的情况下，本公司对或有</w:t>
      </w:r>
      <w:r>
        <w:rPr>
          <w:spacing w:val="-66"/>
        </w:rPr>
        <w:t> </w:t>
      </w:r>
      <w:r>
        <w:rPr>
          <w:spacing w:val="-66"/>
        </w:rPr>
      </w:r>
      <w:r>
        <w:rPr/>
        <w:t>事项按履行相关现时义务所需支出的最佳估计数确认为预计负债。预计负债的确认和计量在很大程度上依赖于管理层的判</w:t>
      </w:r>
      <w:r>
        <w:rPr>
          <w:spacing w:val="-7"/>
        </w:rPr>
        <w:t> </w:t>
      </w:r>
      <w:r>
        <w:rPr>
          <w:spacing w:val="-7"/>
        </w:rPr>
      </w:r>
      <w:r>
        <w:rPr/>
        <w:t>断。在进行判断过程中本公司需评估该等或有事项相关的风险、不确定性及货币时间价值等因素。</w:t>
      </w:r>
    </w:p>
    <w:p>
      <w:pPr>
        <w:pStyle w:val="BodyText"/>
        <w:spacing w:line="316" w:lineRule="auto" w:before="17"/>
        <w:ind w:right="1133" w:firstLine="420"/>
        <w:jc w:val="both"/>
      </w:pPr>
      <w:r>
        <w:rPr/>
        <w:t>其中，本公司会就出售、维修及改造所售商品向客户提供的售后质量维修承诺预计负债。预计负债时已考虑本公司近 </w:t>
      </w:r>
      <w:r>
        <w:rPr>
          <w:spacing w:val="-2"/>
        </w:rPr>
        <w:t>期的维修经验数据，但近期的维修经验可能无法反映将来的维修情况。这项准备的任何增加或减少，均可能影响未来年度的</w:t>
      </w:r>
      <w:r>
        <w:rPr>
          <w:spacing w:val="-66"/>
        </w:rPr>
        <w:t> </w:t>
      </w:r>
      <w:r>
        <w:rPr>
          <w:spacing w:val="-66"/>
        </w:rPr>
      </w:r>
      <w:r>
        <w:rPr/>
        <w:t>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33、重要会计政策和会计估计变更" w:id="213"/>
      <w:bookmarkEnd w:id="213"/>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4"/>
      <w:bookmarkEnd w:id="21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5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日财政</w:t>
            </w:r>
            <w:r>
              <w:rPr>
                <w:rFonts w:ascii="宋体" w:hAnsi="宋体" w:cs="宋体" w:eastAsia="宋体" w:hint="default"/>
                <w:spacing w:val="1"/>
                <w:sz w:val="18"/>
                <w:szCs w:val="18"/>
              </w:rPr>
              <w:t>部</w:t>
            </w:r>
            <w:r>
              <w:rPr>
                <w:rFonts w:ascii="宋体" w:hAnsi="宋体" w:cs="宋体" w:eastAsia="宋体" w:hint="default"/>
                <w:sz w:val="18"/>
                <w:szCs w:val="18"/>
              </w:rPr>
              <w:t>发布</w:t>
            </w:r>
            <w:r>
              <w:rPr>
                <w:rFonts w:ascii="宋体" w:hAnsi="宋体" w:cs="宋体" w:eastAsia="宋体" w:hint="default"/>
                <w:spacing w:val="-90"/>
                <w:sz w:val="18"/>
                <w:szCs w:val="18"/>
              </w:rPr>
              <w:t>的</w:t>
            </w:r>
            <w:r>
              <w:rPr>
                <w:rFonts w:ascii="宋体" w:hAnsi="宋体" w:cs="宋体" w:eastAsia="宋体" w:hint="default"/>
                <w:sz w:val="18"/>
                <w:szCs w:val="18"/>
              </w:rPr>
              <w:t>《关</w:t>
            </w:r>
          </w:p>
          <w:p>
            <w:pPr>
              <w:pStyle w:val="TableParagraph"/>
              <w:spacing w:line="307" w:lineRule="auto" w:before="61"/>
              <w:ind w:left="22" w:right="-33"/>
              <w:jc w:val="left"/>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年度一般企业财务报表 </w:t>
            </w:r>
            <w:r>
              <w:rPr>
                <w:rFonts w:ascii="宋体" w:hAnsi="宋体" w:cs="宋体" w:eastAsia="宋体" w:hint="default"/>
                <w:spacing w:val="-9"/>
                <w:sz w:val="18"/>
                <w:szCs w:val="18"/>
              </w:rPr>
              <w:t>格式的通知》（财会</w:t>
            </w:r>
            <w:r>
              <w:rPr>
                <w:rFonts w:ascii="Times New Roman" w:hAnsi="Times New Roman" w:cs="Times New Roman" w:eastAsia="Times New Roman" w:hint="default"/>
                <w:spacing w:val="-9"/>
                <w:sz w:val="18"/>
                <w:szCs w:val="18"/>
              </w:rPr>
              <w:t>[2018]15</w:t>
            </w:r>
            <w:r>
              <w:rPr>
                <w:rFonts w:ascii="Times New Roman" w:hAnsi="Times New Roman" w:cs="Times New Roman" w:eastAsia="Times New Roman" w:hint="default"/>
                <w:spacing w:val="15"/>
                <w:sz w:val="18"/>
                <w:szCs w:val="18"/>
              </w:rPr>
              <w:t> </w:t>
            </w:r>
            <w:r>
              <w:rPr>
                <w:rFonts w:ascii="宋体" w:hAnsi="宋体" w:cs="宋体" w:eastAsia="宋体" w:hint="default"/>
                <w:spacing w:val="-14"/>
                <w:sz w:val="18"/>
                <w:szCs w:val="18"/>
              </w:rPr>
              <w:t>号）的要求，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将规定和要求对财务报表格式进行相应</w:t>
            </w:r>
            <w:r>
              <w:rPr>
                <w:rFonts w:ascii="宋体" w:hAnsi="宋体" w:cs="宋体" w:eastAsia="宋体" w:hint="default"/>
                <w:sz w:val="18"/>
                <w:szCs w:val="18"/>
              </w:rPr>
              <w:t> 变更。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董事会审批</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414" w:lineRule="exact"/>
              <w:ind w:right="-14"/>
              <w:jc w:val="left"/>
              <w:rPr>
                <w:rFonts w:ascii="宋体" w:hAnsi="宋体" w:cs="宋体" w:eastAsia="宋体" w:hint="default"/>
                <w:sz w:val="20"/>
                <w:szCs w:val="20"/>
              </w:rPr>
            </w:pPr>
            <w:r>
              <w:rPr>
                <w:rFonts w:ascii="宋体" w:hAnsi="宋体" w:cs="宋体" w:eastAsia="宋体" w:hint="default"/>
                <w:position w:val="-7"/>
                <w:sz w:val="20"/>
                <w:szCs w:val="20"/>
              </w:rPr>
              <w:pict>
                <v:group style="width:157.85pt;height:20.7pt;mso-position-horizontal-relative:char;mso-position-vertical-relative:line" coordorigin="0,0" coordsize="3157,414">
                  <v:group style="position:absolute;left:11;top:11;width:2;height:392" coordorigin="11,11" coordsize="2,392">
                    <v:shape style="position:absolute;left:11;top:11;width:2;height:392" coordorigin="11,11" coordsize="0,392" path="m11,11l11,403e" filled="false" stroked="true" strokeweight="1.140pt" strokecolor="#ffffff">
                      <v:path arrowok="t"/>
                    </v:shape>
                  </v:group>
                  <v:group style="position:absolute;left:23;top:11;width:3134;height:392" coordorigin="23,11" coordsize="3134,392">
                    <v:shape style="position:absolute;left:23;top:11;width:3134;height:392" coordorigin="23,11" coordsize="3134,392" path="m23,403l3156,403,3156,11,23,11,23,403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10"/>
        <w:ind w:right="1128" w:firstLine="325"/>
        <w:jc w:val="both"/>
      </w:pPr>
      <w:r>
        <w:rPr/>
        <w:t>财政部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月发布《关于修订印发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号），对企业财务报 表格式进行相应调整，将原</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项目整合为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项目；将原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项目归并至</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项目；将原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项目；将原</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项</w:t>
      </w:r>
      <w:r>
        <w:rPr>
          <w:spacing w:val="-79"/>
        </w:rPr>
        <w:t> </w:t>
      </w:r>
      <w:r>
        <w:rPr>
          <w:spacing w:val="-2"/>
        </w:rPr>
        <w:t>目；将原</w:t>
      </w:r>
      <w:r>
        <w:rPr>
          <w:rFonts w:ascii="Times New Roman" w:hAnsi="Times New Roman" w:cs="Times New Roman" w:eastAsia="Times New Roman" w:hint="default"/>
          <w:spacing w:val="-2"/>
        </w:rPr>
        <w:t>“</w:t>
      </w:r>
      <w:r>
        <w:rPr>
          <w:spacing w:val="-2"/>
        </w:rPr>
        <w:t>应付票据</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应付账款</w:t>
      </w:r>
      <w:r>
        <w:rPr>
          <w:rFonts w:ascii="Times New Roman" w:hAnsi="Times New Roman" w:cs="Times New Roman" w:eastAsia="Times New Roman" w:hint="default"/>
          <w:spacing w:val="-2"/>
        </w:rPr>
        <w:t>”</w:t>
      </w:r>
      <w:r>
        <w:rPr>
          <w:spacing w:val="-2"/>
        </w:rPr>
        <w:t>项目整合为</w:t>
      </w:r>
      <w:r>
        <w:rPr>
          <w:rFonts w:ascii="Times New Roman" w:hAnsi="Times New Roman" w:cs="Times New Roman" w:eastAsia="Times New Roman" w:hint="default"/>
          <w:spacing w:val="-2"/>
        </w:rPr>
        <w:t>“</w:t>
      </w:r>
      <w:r>
        <w:rPr>
          <w:spacing w:val="-2"/>
        </w:rPr>
        <w:t>应付票据及应付账款</w:t>
      </w:r>
      <w:r>
        <w:rPr>
          <w:rFonts w:ascii="Times New Roman" w:hAnsi="Times New Roman" w:cs="Times New Roman" w:eastAsia="Times New Roman" w:hint="default"/>
          <w:spacing w:val="-2"/>
        </w:rPr>
        <w:t>”</w:t>
      </w:r>
      <w:r>
        <w:rPr>
          <w:spacing w:val="-2"/>
        </w:rPr>
        <w:t>项目；将原</w:t>
      </w:r>
      <w:r>
        <w:rPr>
          <w:rFonts w:ascii="Times New Roman" w:hAnsi="Times New Roman" w:cs="Times New Roman" w:eastAsia="Times New Roman" w:hint="default"/>
          <w:spacing w:val="-2"/>
        </w:rPr>
        <w:t>“</w:t>
      </w:r>
      <w:r>
        <w:rPr>
          <w:spacing w:val="-2"/>
        </w:rPr>
        <w:t>应付利息</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应付股利</w:t>
      </w:r>
      <w:r>
        <w:rPr>
          <w:rFonts w:ascii="Times New Roman" w:hAnsi="Times New Roman" w:cs="Times New Roman" w:eastAsia="Times New Roman" w:hint="default"/>
          <w:spacing w:val="-2"/>
        </w:rPr>
        <w:t>”</w:t>
      </w:r>
      <w:r>
        <w:rPr>
          <w:spacing w:val="-2"/>
        </w:rPr>
        <w:t>项目归并至</w:t>
      </w:r>
      <w:r>
        <w:rPr>
          <w:rFonts w:ascii="Times New Roman" w:hAnsi="Times New Roman" w:cs="Times New Roman" w:eastAsia="Times New Roman" w:hint="default"/>
          <w:spacing w:val="-2"/>
        </w:rPr>
        <w:t>“</w:t>
      </w:r>
      <w:r>
        <w:rPr>
          <w:spacing w:val="-2"/>
        </w:rPr>
        <w:t>其他应</w:t>
      </w:r>
      <w:r>
        <w:rPr>
          <w:spacing w:val="-37"/>
        </w:rPr>
        <w:t> </w:t>
      </w:r>
      <w:r>
        <w:rPr/>
        <w:t>付款</w:t>
      </w:r>
      <w:r>
        <w:rPr>
          <w:rFonts w:ascii="Times New Roman" w:hAnsi="Times New Roman" w:cs="Times New Roman" w:eastAsia="Times New Roman" w:hint="default"/>
        </w:rPr>
        <w:t>”</w:t>
      </w:r>
      <w:r>
        <w:rPr/>
        <w:t>项目；将原</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项目；新增</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项目，从</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项目中分拆</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项目；在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项目下增加</w:t>
      </w:r>
      <w:r>
        <w:rPr>
          <w:rFonts w:ascii="Times New Roman" w:hAnsi="Times New Roman" w:cs="Times New Roman" w:eastAsia="Times New Roman" w:hint="default"/>
        </w:rPr>
        <w:t>“</w:t>
      </w:r>
      <w:r>
        <w:rPr/>
        <w:t>其中：利息费用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项目；所有者权益变动表新增</w:t>
      </w:r>
      <w:r>
        <w:rPr>
          <w:rFonts w:ascii="Times New Roman" w:hAnsi="Times New Roman" w:cs="Times New Roman" w:eastAsia="Times New Roman" w:hint="default"/>
        </w:rPr>
        <w:t>“</w:t>
      </w:r>
      <w:r>
        <w:rPr/>
        <w:t>设定受益计划变动额结转留</w:t>
      </w:r>
      <w:r>
        <w:rPr>
          <w:spacing w:val="-25"/>
        </w:rPr>
        <w:t> </w:t>
      </w:r>
      <w:r>
        <w:rPr>
          <w:spacing w:val="-25"/>
        </w:rPr>
      </w:r>
      <w:r>
        <w:rPr/>
        <w:t>存收益</w:t>
      </w:r>
      <w:r>
        <w:rPr>
          <w:rFonts w:ascii="Times New Roman" w:hAnsi="Times New Roman" w:cs="Times New Roman" w:eastAsia="Times New Roman" w:hint="default"/>
        </w:rPr>
        <w:t>”</w:t>
      </w:r>
      <w:r>
        <w:rPr/>
        <w:t>项目。公司对该项会计政策变更采用追溯调整法，对</w:t>
      </w:r>
      <w:r>
        <w:rPr>
          <w:rFonts w:ascii="Times New Roman" w:hAnsi="Times New Roman" w:cs="Times New Roman" w:eastAsia="Times New Roman" w:hint="default"/>
        </w:rPr>
        <w:t>2017</w:t>
      </w:r>
      <w:r>
        <w:rPr/>
        <w:t>年度合并财务报表列报项目进行追溯调整具体如下：</w:t>
      </w:r>
    </w:p>
    <w:tbl>
      <w:tblPr>
        <w:tblW w:w="0" w:type="auto"/>
        <w:jc w:val="left"/>
        <w:tblInd w:w="357" w:type="dxa"/>
        <w:tblLayout w:type="fixed"/>
        <w:tblCellMar>
          <w:top w:w="0" w:type="dxa"/>
          <w:left w:w="0" w:type="dxa"/>
          <w:bottom w:w="0" w:type="dxa"/>
          <w:right w:w="0" w:type="dxa"/>
        </w:tblCellMar>
        <w:tblLook w:val="01E0"/>
      </w:tblPr>
      <w:tblGrid>
        <w:gridCol w:w="2304"/>
        <w:gridCol w:w="2304"/>
        <w:gridCol w:w="2304"/>
        <w:gridCol w:w="2304"/>
      </w:tblGrid>
      <w:tr>
        <w:trPr>
          <w:trHeight w:val="347" w:hRule="exact"/>
        </w:trPr>
        <w:tc>
          <w:tcPr>
            <w:tcW w:w="46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86" w:right="0"/>
              <w:jc w:val="left"/>
              <w:rPr>
                <w:rFonts w:ascii="宋体" w:hAnsi="宋体" w:cs="宋体" w:eastAsia="宋体" w:hint="default"/>
                <w:sz w:val="18"/>
                <w:szCs w:val="18"/>
              </w:rPr>
            </w:pPr>
            <w:r>
              <w:rPr>
                <w:rFonts w:ascii="宋体" w:hAnsi="宋体" w:cs="宋体" w:eastAsia="宋体" w:hint="default"/>
                <w:sz w:val="18"/>
                <w:szCs w:val="18"/>
              </w:rPr>
              <w:t>原列报表项目及金额</w:t>
            </w:r>
          </w:p>
        </w:tc>
        <w:tc>
          <w:tcPr>
            <w:tcW w:w="46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85" w:right="0"/>
              <w:jc w:val="left"/>
              <w:rPr>
                <w:rFonts w:ascii="宋体" w:hAnsi="宋体" w:cs="宋体" w:eastAsia="宋体" w:hint="default"/>
                <w:sz w:val="18"/>
                <w:szCs w:val="18"/>
              </w:rPr>
            </w:pPr>
            <w:r>
              <w:rPr>
                <w:rFonts w:ascii="宋体" w:hAnsi="宋体" w:cs="宋体" w:eastAsia="宋体" w:hint="default"/>
                <w:sz w:val="18"/>
                <w:szCs w:val="18"/>
              </w:rPr>
              <w:t>新列报表项目及金额</w:t>
            </w: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04" w:type="dxa"/>
            <w:tcBorders>
              <w:top w:val="single" w:sz="6" w:space="0" w:color="000000"/>
              <w:left w:val="single" w:sz="6" w:space="0" w:color="000000"/>
              <w:bottom w:val="single" w:sz="6" w:space="0" w:color="000000"/>
              <w:right w:val="single" w:sz="6" w:space="0" w:color="000000"/>
            </w:tcBorders>
          </w:tcPr>
          <w:p>
            <w:pP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61"/>
              <w:ind w:left="1161" w:right="0"/>
              <w:jc w:val="left"/>
              <w:rPr>
                <w:rFonts w:ascii="Times New Roman" w:hAnsi="Times New Roman" w:cs="Times New Roman" w:eastAsia="Times New Roman" w:hint="default"/>
                <w:sz w:val="18"/>
                <w:szCs w:val="18"/>
              </w:rPr>
            </w:pPr>
            <w:r>
              <w:rPr>
                <w:rFonts w:ascii="Times New Roman"/>
                <w:sz w:val="18"/>
              </w:rPr>
              <w:t>105,711,641.83</w:t>
            </w: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105,711,641.83</w:t>
            </w:r>
          </w:p>
        </w:tc>
        <w:tc>
          <w:tcPr>
            <w:tcW w:w="2304" w:type="dxa"/>
            <w:vMerge/>
            <w:tcBorders>
              <w:left w:val="single" w:sz="6" w:space="0" w:color="000000"/>
              <w:bottom w:val="single" w:sz="6" w:space="0" w:color="000000"/>
              <w:right w:val="single" w:sz="6" w:space="0" w:color="000000"/>
            </w:tcBorders>
          </w:tcPr>
          <w:p>
            <w:pPr/>
          </w:p>
        </w:tc>
        <w:tc>
          <w:tcPr>
            <w:tcW w:w="2304" w:type="dxa"/>
            <w:vMerge/>
            <w:tcBorders>
              <w:left w:val="single" w:sz="6" w:space="0" w:color="000000"/>
              <w:bottom w:val="single" w:sz="6" w:space="0" w:color="000000"/>
              <w:right w:val="single" w:sz="6" w:space="0" w:color="000000"/>
            </w:tcBorders>
          </w:tcPr>
          <w:p>
            <w:pP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949,715.07</w:t>
            </w: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61"/>
              <w:ind w:left="1341" w:right="0"/>
              <w:jc w:val="left"/>
              <w:rPr>
                <w:rFonts w:ascii="Times New Roman" w:hAnsi="Times New Roman" w:cs="Times New Roman" w:eastAsia="Times New Roman" w:hint="default"/>
                <w:sz w:val="18"/>
                <w:szCs w:val="18"/>
              </w:rPr>
            </w:pPr>
            <w:r>
              <w:rPr>
                <w:rFonts w:ascii="Times New Roman"/>
                <w:sz w:val="18"/>
              </w:rPr>
              <w:t>3,374,281.83</w:t>
            </w:r>
          </w:p>
        </w:tc>
      </w:tr>
      <w:tr>
        <w:trPr>
          <w:trHeight w:val="348"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304" w:type="dxa"/>
            <w:tcBorders>
              <w:top w:val="single" w:sz="6" w:space="0" w:color="000000"/>
              <w:left w:val="single" w:sz="6" w:space="0" w:color="000000"/>
              <w:bottom w:val="single" w:sz="6" w:space="0" w:color="000000"/>
              <w:right w:val="single" w:sz="6" w:space="0" w:color="000000"/>
            </w:tcBorders>
          </w:tcPr>
          <w:p>
            <w:pPr/>
          </w:p>
        </w:tc>
        <w:tc>
          <w:tcPr>
            <w:tcW w:w="2304" w:type="dxa"/>
            <w:vMerge/>
            <w:tcBorders>
              <w:left w:val="single" w:sz="6" w:space="0" w:color="000000"/>
              <w:right w:val="single" w:sz="6" w:space="0" w:color="000000"/>
            </w:tcBorders>
          </w:tcPr>
          <w:p>
            <w:pPr/>
          </w:p>
        </w:tc>
        <w:tc>
          <w:tcPr>
            <w:tcW w:w="2304" w:type="dxa"/>
            <w:vMerge/>
            <w:tcBorders>
              <w:left w:val="single" w:sz="6" w:space="0" w:color="000000"/>
              <w:right w:val="single" w:sz="6" w:space="0" w:color="000000"/>
            </w:tcBorders>
          </w:tcPr>
          <w:p>
            <w:pP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2,424,566.76</w:t>
            </w:r>
          </w:p>
        </w:tc>
        <w:tc>
          <w:tcPr>
            <w:tcW w:w="2304" w:type="dxa"/>
            <w:vMerge/>
            <w:tcBorders>
              <w:left w:val="single" w:sz="6" w:space="0" w:color="000000"/>
              <w:bottom w:val="single" w:sz="6" w:space="0" w:color="000000"/>
              <w:right w:val="single" w:sz="6" w:space="0" w:color="000000"/>
            </w:tcBorders>
          </w:tcPr>
          <w:p>
            <w:pPr/>
          </w:p>
        </w:tc>
        <w:tc>
          <w:tcPr>
            <w:tcW w:w="2304" w:type="dxa"/>
            <w:vMerge/>
            <w:tcBorders>
              <w:left w:val="single" w:sz="6" w:space="0" w:color="000000"/>
              <w:bottom w:val="single" w:sz="6" w:space="0" w:color="000000"/>
              <w:right w:val="single" w:sz="6" w:space="0" w:color="000000"/>
            </w:tcBorders>
          </w:tcPr>
          <w:p>
            <w:pP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14,565,887.73</w:t>
            </w: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61"/>
              <w:ind w:left="1251" w:right="0"/>
              <w:jc w:val="left"/>
              <w:rPr>
                <w:rFonts w:ascii="Times New Roman" w:hAnsi="Times New Roman" w:cs="Times New Roman" w:eastAsia="Times New Roman" w:hint="default"/>
                <w:sz w:val="18"/>
                <w:szCs w:val="18"/>
              </w:rPr>
            </w:pPr>
            <w:r>
              <w:rPr>
                <w:rFonts w:ascii="Times New Roman"/>
                <w:sz w:val="18"/>
              </w:rPr>
              <w:t>14,565,887.73</w:t>
            </w: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304" w:type="dxa"/>
            <w:tcBorders>
              <w:top w:val="single" w:sz="6" w:space="0" w:color="000000"/>
              <w:left w:val="single" w:sz="6" w:space="0" w:color="000000"/>
              <w:bottom w:val="single" w:sz="6" w:space="0" w:color="000000"/>
              <w:right w:val="single" w:sz="6" w:space="0" w:color="000000"/>
            </w:tcBorders>
          </w:tcPr>
          <w:p>
            <w:pPr/>
          </w:p>
        </w:tc>
        <w:tc>
          <w:tcPr>
            <w:tcW w:w="2304" w:type="dxa"/>
            <w:vMerge/>
            <w:tcBorders>
              <w:left w:val="single" w:sz="6" w:space="0" w:color="000000"/>
              <w:bottom w:val="single" w:sz="6" w:space="0" w:color="000000"/>
              <w:right w:val="single" w:sz="6" w:space="0" w:color="000000"/>
            </w:tcBorders>
          </w:tcPr>
          <w:p>
            <w:pPr/>
          </w:p>
        </w:tc>
        <w:tc>
          <w:tcPr>
            <w:tcW w:w="2304" w:type="dxa"/>
            <w:vMerge/>
            <w:tcBorders>
              <w:left w:val="single" w:sz="6" w:space="0" w:color="000000"/>
              <w:bottom w:val="single" w:sz="6" w:space="0" w:color="000000"/>
              <w:right w:val="single" w:sz="6" w:space="0" w:color="000000"/>
            </w:tcBorders>
          </w:tcPr>
          <w:p>
            <w:pP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7,303,351.21</w:t>
            </w: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61"/>
              <w:ind w:left="1341" w:right="0"/>
              <w:jc w:val="left"/>
              <w:rPr>
                <w:rFonts w:ascii="Times New Roman" w:hAnsi="Times New Roman" w:cs="Times New Roman" w:eastAsia="Times New Roman" w:hint="default"/>
                <w:sz w:val="18"/>
                <w:szCs w:val="18"/>
              </w:rPr>
            </w:pPr>
            <w:r>
              <w:rPr>
                <w:rFonts w:ascii="Times New Roman"/>
                <w:sz w:val="18"/>
              </w:rPr>
              <w:t>7,303,351.21</w:t>
            </w: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304" w:type="dxa"/>
            <w:tcBorders>
              <w:top w:val="single" w:sz="6" w:space="0" w:color="000000"/>
              <w:left w:val="single" w:sz="6" w:space="0" w:color="000000"/>
              <w:bottom w:val="single" w:sz="6" w:space="0" w:color="000000"/>
              <w:right w:val="single" w:sz="6" w:space="0" w:color="000000"/>
            </w:tcBorders>
          </w:tcPr>
          <w:p>
            <w:pPr/>
          </w:p>
        </w:tc>
        <w:tc>
          <w:tcPr>
            <w:tcW w:w="2304" w:type="dxa"/>
            <w:vMerge/>
            <w:tcBorders>
              <w:left w:val="single" w:sz="6" w:space="0" w:color="000000"/>
              <w:bottom w:val="single" w:sz="6" w:space="0" w:color="000000"/>
              <w:right w:val="single" w:sz="6" w:space="0" w:color="000000"/>
            </w:tcBorders>
          </w:tcPr>
          <w:p>
            <w:pPr/>
          </w:p>
        </w:tc>
        <w:tc>
          <w:tcPr>
            <w:tcW w:w="2304" w:type="dxa"/>
            <w:vMerge/>
            <w:tcBorders>
              <w:left w:val="single" w:sz="6" w:space="0" w:color="000000"/>
              <w:bottom w:val="single" w:sz="6" w:space="0" w:color="000000"/>
              <w:right w:val="single" w:sz="6" w:space="0" w:color="000000"/>
            </w:tcBorders>
          </w:tcPr>
          <w:p>
            <w:pPr/>
          </w:p>
        </w:tc>
      </w:tr>
      <w:tr>
        <w:trPr>
          <w:trHeight w:val="348"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04" w:type="dxa"/>
            <w:tcBorders>
              <w:top w:val="single" w:sz="6" w:space="0" w:color="000000"/>
              <w:left w:val="single" w:sz="6" w:space="0" w:color="000000"/>
              <w:bottom w:val="single" w:sz="6" w:space="0" w:color="000000"/>
              <w:right w:val="single" w:sz="6" w:space="0" w:color="000000"/>
            </w:tcBorders>
          </w:tcPr>
          <w:p>
            <w:pP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61"/>
              <w:ind w:left="1251" w:right="0"/>
              <w:jc w:val="left"/>
              <w:rPr>
                <w:rFonts w:ascii="Times New Roman" w:hAnsi="Times New Roman" w:cs="Times New Roman" w:eastAsia="Times New Roman" w:hint="default"/>
                <w:sz w:val="18"/>
                <w:szCs w:val="18"/>
              </w:rPr>
            </w:pPr>
            <w:r>
              <w:rPr>
                <w:rFonts w:ascii="Times New Roman"/>
                <w:sz w:val="18"/>
              </w:rPr>
              <w:t>18,831,256.07</w:t>
            </w: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18,831,256.07</w:t>
            </w:r>
          </w:p>
        </w:tc>
        <w:tc>
          <w:tcPr>
            <w:tcW w:w="2304" w:type="dxa"/>
            <w:vMerge/>
            <w:tcBorders>
              <w:left w:val="single" w:sz="6" w:space="0" w:color="000000"/>
              <w:bottom w:val="single" w:sz="6" w:space="0" w:color="000000"/>
              <w:right w:val="single" w:sz="6" w:space="0" w:color="000000"/>
            </w:tcBorders>
          </w:tcPr>
          <w:p>
            <w:pPr/>
          </w:p>
        </w:tc>
        <w:tc>
          <w:tcPr>
            <w:tcW w:w="2304" w:type="dxa"/>
            <w:vMerge/>
            <w:tcBorders>
              <w:left w:val="single" w:sz="6" w:space="0" w:color="000000"/>
              <w:bottom w:val="single" w:sz="6" w:space="0" w:color="000000"/>
              <w:right w:val="single" w:sz="6" w:space="0" w:color="000000"/>
            </w:tcBorders>
          </w:tcPr>
          <w:p>
            <w:pP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04"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51" w:right="0"/>
              <w:jc w:val="left"/>
              <w:rPr>
                <w:rFonts w:ascii="Times New Roman" w:hAnsi="Times New Roman" w:cs="Times New Roman" w:eastAsia="Times New Roman" w:hint="default"/>
                <w:sz w:val="18"/>
                <w:szCs w:val="18"/>
              </w:rPr>
            </w:pPr>
            <w:r>
              <w:rPr>
                <w:rFonts w:ascii="Times New Roman"/>
                <w:sz w:val="18"/>
              </w:rPr>
              <w:t>28,934,248.77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357" w:type="dxa"/>
        <w:tblLayout w:type="fixed"/>
        <w:tblCellMar>
          <w:top w:w="0" w:type="dxa"/>
          <w:left w:w="0" w:type="dxa"/>
          <w:bottom w:w="0" w:type="dxa"/>
          <w:right w:w="0" w:type="dxa"/>
        </w:tblCellMar>
        <w:tblLook w:val="01E0"/>
      </w:tblPr>
      <w:tblGrid>
        <w:gridCol w:w="2304"/>
        <w:gridCol w:w="2304"/>
        <w:gridCol w:w="2304"/>
        <w:gridCol w:w="2304"/>
      </w:tblGrid>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04" w:type="dxa"/>
            <w:tcBorders>
              <w:top w:val="single" w:sz="6" w:space="0" w:color="000000"/>
              <w:left w:val="single" w:sz="6" w:space="0" w:color="000000"/>
              <w:bottom w:val="single" w:sz="6" w:space="0" w:color="000000"/>
              <w:right w:val="single" w:sz="6" w:space="0" w:color="000000"/>
            </w:tcBorders>
          </w:tcPr>
          <w:p>
            <w:pPr/>
          </w:p>
        </w:tc>
        <w:tc>
          <w:tcPr>
            <w:tcW w:w="2304" w:type="dxa"/>
            <w:vMerge w:val="restart"/>
            <w:tcBorders>
              <w:top w:val="single" w:sz="6" w:space="0" w:color="000000"/>
              <w:left w:val="single" w:sz="6" w:space="0" w:color="000000"/>
              <w:right w:val="single" w:sz="6" w:space="0" w:color="000000"/>
            </w:tcBorders>
          </w:tcPr>
          <w:p>
            <w:pPr/>
          </w:p>
        </w:tc>
        <w:tc>
          <w:tcPr>
            <w:tcW w:w="2304" w:type="dxa"/>
            <w:vMerge w:val="restart"/>
            <w:tcBorders>
              <w:top w:val="single" w:sz="6" w:space="0" w:color="000000"/>
              <w:left w:val="single" w:sz="6" w:space="0" w:color="000000"/>
              <w:right w:val="single" w:sz="6" w:space="0" w:color="000000"/>
            </w:tcBorders>
          </w:tcPr>
          <w:p>
            <w:pPr/>
          </w:p>
        </w:tc>
      </w:tr>
      <w:tr>
        <w:trPr>
          <w:trHeight w:val="347" w:hRule="exact"/>
        </w:trPr>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51" w:right="0"/>
              <w:jc w:val="left"/>
              <w:rPr>
                <w:rFonts w:ascii="Times New Roman" w:hAnsi="Times New Roman" w:cs="Times New Roman" w:eastAsia="Times New Roman" w:hint="default"/>
                <w:sz w:val="18"/>
                <w:szCs w:val="18"/>
              </w:rPr>
            </w:pPr>
            <w:r>
              <w:rPr>
                <w:rFonts w:ascii="Times New Roman"/>
                <w:sz w:val="18"/>
              </w:rPr>
              <w:t>28,934,248.77</w:t>
            </w:r>
          </w:p>
        </w:tc>
        <w:tc>
          <w:tcPr>
            <w:tcW w:w="2304" w:type="dxa"/>
            <w:vMerge/>
            <w:tcBorders>
              <w:left w:val="single" w:sz="6" w:space="0" w:color="000000"/>
              <w:bottom w:val="single" w:sz="6" w:space="0" w:color="000000"/>
              <w:right w:val="single" w:sz="6" w:space="0" w:color="000000"/>
            </w:tcBorders>
          </w:tcPr>
          <w:p>
            <w:pPr/>
          </w:p>
        </w:tc>
        <w:tc>
          <w:tcPr>
            <w:tcW w:w="2304" w:type="dxa"/>
            <w:vMerge/>
            <w:tcBorders>
              <w:left w:val="single" w:sz="6" w:space="0" w:color="000000"/>
              <w:bottom w:val="single" w:sz="6" w:space="0" w:color="000000"/>
              <w:right w:val="single" w:sz="6" w:space="0" w:color="000000"/>
            </w:tcBorders>
          </w:tcPr>
          <w:p>
            <w:pPr/>
          </w:p>
        </w:tc>
      </w:tr>
      <w:tr>
        <w:trPr>
          <w:trHeight w:val="348" w:hRule="exact"/>
        </w:trPr>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04" w:type="dxa"/>
            <w:vMerge w:val="restart"/>
            <w:tcBorders>
              <w:top w:val="single" w:sz="6" w:space="0" w:color="000000"/>
              <w:left w:val="single" w:sz="6" w:space="0" w:color="000000"/>
              <w:right w:val="single" w:sz="6" w:space="0" w:color="000000"/>
            </w:tcBorders>
          </w:tcPr>
          <w:p>
            <w:pPr>
              <w:pStyle w:val="TableParagraph"/>
              <w:spacing w:line="240" w:lineRule="auto" w:before="61"/>
              <w:ind w:left="1251" w:right="0"/>
              <w:jc w:val="left"/>
              <w:rPr>
                <w:rFonts w:ascii="Times New Roman" w:hAnsi="Times New Roman" w:cs="Times New Roman" w:eastAsia="Times New Roman" w:hint="default"/>
                <w:sz w:val="18"/>
                <w:szCs w:val="18"/>
              </w:rPr>
            </w:pPr>
            <w:r>
              <w:rPr>
                <w:rFonts w:ascii="Times New Roman"/>
                <w:sz w:val="18"/>
              </w:rPr>
              <w:t>49,210,528.50</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20,392,100.86</w:t>
            </w:r>
          </w:p>
        </w:tc>
      </w:tr>
      <w:tr>
        <w:trPr>
          <w:trHeight w:val="347" w:hRule="exact"/>
        </w:trPr>
        <w:tc>
          <w:tcPr>
            <w:tcW w:w="2304" w:type="dxa"/>
            <w:vMerge/>
            <w:tcBorders>
              <w:left w:val="single" w:sz="6" w:space="0" w:color="000000"/>
              <w:bottom w:val="single" w:sz="6" w:space="0" w:color="000000"/>
              <w:right w:val="single" w:sz="6" w:space="0" w:color="000000"/>
            </w:tcBorders>
          </w:tcPr>
          <w:p>
            <w:pPr/>
          </w:p>
        </w:tc>
        <w:tc>
          <w:tcPr>
            <w:tcW w:w="2304" w:type="dxa"/>
            <w:vMerge/>
            <w:tcBorders>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28,818,427.64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会计估计变更" w:id="215"/>
      <w:bookmarkEnd w:id="21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16"/>
      <w:bookmarkEnd w:id="216"/>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7"/>
      <w:bookmarkEnd w:id="217"/>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8"/>
      <w:bookmarkEnd w:id="218"/>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珠海汇金科技股份有限公司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贵安新区贵金科技有限公司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19"/>
      <w:bookmarkEnd w:id="21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1118"/>
        <w:jc w:val="left"/>
      </w:pPr>
      <w:r>
        <w:rPr/>
        <w:t>（</w:t>
      </w:r>
      <w:r>
        <w:rPr>
          <w:rFonts w:ascii="Times New Roman" w:hAnsi="Times New Roman" w:cs="Times New Roman" w:eastAsia="Times New Roman" w:hint="default"/>
        </w:rPr>
        <w:t>1</w:t>
      </w:r>
      <w:r>
        <w:rPr/>
        <w:t>）增值税 </w:t>
      </w:r>
      <w:r>
        <w:rPr>
          <w:spacing w:val="-4"/>
        </w:rPr>
        <w:t>根据国发</w:t>
      </w:r>
      <w:r>
        <w:rPr>
          <w:rFonts w:ascii="Times New Roman" w:hAnsi="Times New Roman" w:cs="Times New Roman" w:eastAsia="Times New Roman" w:hint="default"/>
          <w:spacing w:val="-4"/>
        </w:rPr>
        <w:t>[2011]4</w:t>
      </w:r>
      <w:r>
        <w:rPr>
          <w:spacing w:val="-4"/>
        </w:rPr>
        <w:t>号《国务院关于印发进一步鼓励软件产业和集成电路产业发展若干政策的通知》、财税</w:t>
      </w:r>
      <w:r>
        <w:rPr>
          <w:rFonts w:ascii="Times New Roman" w:hAnsi="Times New Roman" w:cs="Times New Roman" w:eastAsia="Times New Roman" w:hint="default"/>
          <w:spacing w:val="-4"/>
        </w:rPr>
        <w:t>[2011]100</w:t>
      </w:r>
      <w:r>
        <w:rPr>
          <w:spacing w:val="-4"/>
        </w:rPr>
        <w:t>号《关</w:t>
      </w:r>
    </w:p>
    <w:p>
      <w:pPr>
        <w:pStyle w:val="BodyText"/>
        <w:spacing w:line="300" w:lineRule="auto" w:before="13"/>
        <w:ind w:right="0"/>
        <w:jc w:val="left"/>
      </w:pPr>
      <w:r>
        <w:rPr/>
        <w:t>于软件产品增值税政策的通知》，本公司销售自行开发生产的软件产品，按</w:t>
      </w:r>
      <w:r>
        <w:rPr>
          <w:rFonts w:ascii="Times New Roman" w:hAnsi="Times New Roman" w:cs="Times New Roman" w:eastAsia="Times New Roman" w:hint="default"/>
        </w:rPr>
        <w:t>17%</w:t>
      </w:r>
      <w:r>
        <w:rPr/>
        <w:t>税率征收增值税后，对实际税负超过</w:t>
      </w:r>
      <w:r>
        <w:rPr>
          <w:rFonts w:ascii="Times New Roman" w:hAnsi="Times New Roman" w:cs="Times New Roman" w:eastAsia="Times New Roman" w:hint="default"/>
        </w:rPr>
        <w:t>3%</w:t>
      </w:r>
      <w:r>
        <w:rPr/>
        <w:t>的</w:t>
      </w:r>
      <w:r>
        <w:rPr>
          <w:spacing w:val="-27"/>
        </w:rPr>
        <w:t> </w:t>
      </w:r>
      <w:r>
        <w:rPr/>
        <w:t>部分实行即征即退政策。</w:t>
      </w:r>
    </w:p>
    <w:p>
      <w:pPr>
        <w:pStyle w:val="BodyText"/>
        <w:spacing w:line="300" w:lineRule="auto" w:before="31"/>
        <w:ind w:left="574" w:right="1117"/>
        <w:jc w:val="left"/>
      </w:pPr>
      <w:r>
        <w:rPr/>
        <w:t>（</w:t>
      </w:r>
      <w:r>
        <w:rPr>
          <w:rFonts w:ascii="Times New Roman" w:hAnsi="Times New Roman" w:cs="Times New Roman" w:eastAsia="Times New Roman" w:hint="default"/>
        </w:rPr>
        <w:t>2</w:t>
      </w:r>
      <w:r>
        <w:rPr/>
        <w:t>）企业所得税 </w:t>
      </w:r>
      <w:r>
        <w:rPr>
          <w:spacing w:val="-1"/>
        </w:rPr>
        <w:t>本公司于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9</w:t>
      </w:r>
      <w:r>
        <w:rPr>
          <w:spacing w:val="-1"/>
        </w:rPr>
        <w:t>日取得广东省科学技术厅、广东省财政厅、广东省国家税务局、广东省地方税务局颁发的编号为</w:t>
      </w:r>
    </w:p>
    <w:p>
      <w:pPr>
        <w:pStyle w:val="BodyText"/>
        <w:spacing w:line="300" w:lineRule="auto" w:before="13"/>
        <w:ind w:right="0"/>
        <w:jc w:val="left"/>
      </w:pPr>
      <w:r>
        <w:rPr>
          <w:rFonts w:ascii="Times New Roman" w:hAnsi="Times New Roman" w:cs="Times New Roman" w:eastAsia="Times New Roman" w:hint="default"/>
          <w:spacing w:val="-2"/>
        </w:rPr>
        <w:t>GR201744001095</w:t>
      </w:r>
      <w:r>
        <w:rPr>
          <w:spacing w:val="-2"/>
        </w:rPr>
        <w:t>的《高新技术企业证书》，被认定为高新技术企业，有效期为三年；根据《中华人民共和国企业所得税法》</w:t>
      </w:r>
      <w:r>
        <w:rPr>
          <w:spacing w:val="-33"/>
        </w:rPr>
        <w:t> </w:t>
      </w:r>
      <w:r>
        <w:rPr>
          <w:spacing w:val="-33"/>
        </w:rPr>
      </w:r>
      <w:r>
        <w:rPr/>
        <w:t>第二十八条规定，</w:t>
      </w:r>
      <w:r>
        <w:rPr>
          <w:rFonts w:ascii="Times New Roman" w:hAnsi="Times New Roman" w:cs="Times New Roman" w:eastAsia="Times New Roman" w:hint="default"/>
        </w:rPr>
        <w:t>“</w:t>
      </w:r>
      <w:r>
        <w:rPr/>
        <w:t>国家需要重点扶持的高新技术企业，减按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，本公司自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日开始连续 三年（即</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年）享受国家关于高新技术企业的相关优惠政策，按</w:t>
      </w:r>
      <w:r>
        <w:rPr>
          <w:rFonts w:ascii="Times New Roman" w:hAnsi="Times New Roman" w:cs="Times New Roman" w:eastAsia="Times New Roman" w:hint="default"/>
        </w:rPr>
        <w:t>15%</w:t>
      </w:r>
      <w:r>
        <w:rPr/>
        <w:t>的税率征收企业所得税。</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7692" w:firstLine="0"/>
        <w:jc w:val="left"/>
        <w:rPr>
          <w:rFonts w:ascii="宋体" w:hAnsi="宋体" w:cs="宋体" w:eastAsia="宋体" w:hint="default"/>
          <w:sz w:val="21"/>
          <w:szCs w:val="21"/>
        </w:rPr>
      </w:pPr>
      <w:bookmarkStart w:name="3、其他" w:id="220"/>
      <w:bookmarkEnd w:id="22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1"/>
      <w:bookmarkEnd w:id="221"/>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2"/>
      <w:bookmarkEnd w:id="222"/>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69,296.03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28,269.26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164,052,124.67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514,426,272.80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164,421,420.70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514,554,542.06</w:t>
            </w:r>
          </w:p>
        </w:tc>
      </w:tr>
    </w:tbl>
    <w:p>
      <w:pPr>
        <w:pStyle w:val="BodyText"/>
        <w:spacing w:line="240" w:lineRule="auto" w:before="51"/>
        <w:ind w:right="0"/>
        <w:jc w:val="left"/>
      </w:pPr>
      <w:r>
        <w:rPr/>
        <w:t>其他说明</w:t>
      </w:r>
    </w:p>
    <w:p>
      <w:pPr>
        <w:pStyle w:val="BodyText"/>
        <w:spacing w:line="240" w:lineRule="auto" w:before="116"/>
        <w:ind w:left="574"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日止，其他货币资金</w:t>
      </w:r>
      <w:r>
        <w:rPr>
          <w:rFonts w:ascii="Times New Roman" w:hAnsi="Times New Roman" w:cs="Times New Roman" w:eastAsia="Times New Roman" w:hint="default"/>
        </w:rPr>
        <w:t>300,000.00</w:t>
      </w:r>
      <w:r>
        <w:rPr/>
        <w:t>元为受限的保证金，已从现金流量表的现金及现金等价物中扣除。</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以公允价值计量且其变动计入当期损益的金融资产" w:id="223"/>
      <w:bookmarkEnd w:id="223"/>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24"/>
      <w:bookmarkEnd w:id="22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及应收账款" w:id="225"/>
      <w:bookmarkEnd w:id="225"/>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936,892.31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145,869,358.30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105,711,641.83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146,806,250.61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105,711,641.83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226"/>
      <w:bookmarkEnd w:id="226"/>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936,892.31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936,892.31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pStyle w:val="BodyText"/>
        <w:spacing w:line="240" w:lineRule="auto" w:before="51"/>
        <w:ind w:right="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应收账款" w:id="227"/>
      <w:bookmarkEnd w:id="227"/>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161,197,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155.91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15,327,7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97.61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145,869,3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58.30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116,752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,555.51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11,040,91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105,711,64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1.83</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161,197,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155.91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15,327,7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97.61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9.51%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145,869,3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58.30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116,752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,555.51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11,040,91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3.68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9.46%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105,711,64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1.83</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124,088,287.02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6,204,414.35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19,186,572.59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1,918,657.26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7,765,400.07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1,553,080.01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3,746,296.02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1,123,888.81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3,765,686.06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1,882,843.03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2,644,914.15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2,644,914.15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161,197,155.91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15,327,797.61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w:t>
            </w:r>
          </w:p>
        </w:tc>
      </w:tr>
    </w:tbl>
    <w:p>
      <w:pPr>
        <w:pStyle w:val="BodyText"/>
        <w:spacing w:line="240" w:lineRule="auto" w:before="51"/>
        <w:ind w:right="0"/>
        <w:jc w:val="left"/>
      </w:pPr>
      <w:r>
        <w:rPr/>
        <w:t>确定该组合依据的说明：</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right="0"/>
        <w:jc w:val="left"/>
      </w:pPr>
      <w:r>
        <w:rPr/>
        <w:t>组合中，采用余额百分比法计提坏账准备的应收账款：</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2"/>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right="0"/>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4460"/>
        <w:jc w:val="left"/>
      </w:pPr>
      <w:r>
        <w:rPr/>
        <w:t>本期计提坏账准备金额</w:t>
      </w:r>
      <w:r>
        <w:rPr>
          <w:spacing w:val="-47"/>
        </w:rPr>
        <w:t> </w:t>
      </w:r>
      <w:r>
        <w:rPr>
          <w:rFonts w:ascii="Times New Roman" w:hAnsi="Times New Roman" w:cs="Times New Roman" w:eastAsia="Times New Roman" w:hint="default"/>
        </w:rPr>
        <w:t>4,286,883.93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pStyle w:val="BodyText"/>
        <w:spacing w:line="240" w:lineRule="auto" w:before="4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424" w:right="8142" w:hanging="270"/>
        <w:jc w:val="left"/>
      </w:pPr>
      <w:r>
        <w:rPr/>
        <w:t>应收账款核销说明： 本年无实际核销的应收账款。</w:t>
      </w:r>
    </w:p>
    <w:p>
      <w:pPr>
        <w:spacing w:line="240" w:lineRule="auto" w:before="1"/>
        <w:rPr>
          <w:rFonts w:ascii="宋体" w:hAnsi="宋体" w:cs="宋体" w:eastAsia="宋体" w:hint="default"/>
          <w:sz w:val="26"/>
          <w:szCs w:val="26"/>
        </w:rPr>
      </w:pPr>
    </w:p>
    <w:p>
      <w:pPr>
        <w:pStyle w:val="BodyText"/>
        <w:spacing w:line="338" w:lineRule="auto"/>
        <w:ind w:right="6822"/>
        <w:jc w:val="left"/>
      </w:pPr>
      <w:r>
        <w:rPr>
          <w:rFonts w:ascii="Times New Roman" w:hAnsi="Times New Roman" w:cs="Times New Roman" w:eastAsia="Times New Roman" w:hint="default"/>
        </w:rPr>
        <w:t>4)</w:t>
      </w:r>
      <w:r>
        <w:rPr/>
        <w:t>按欠款方归集的期末余额前五名的应收账款情况</w:t>
      </w:r>
      <w:r>
        <w:rPr>
          <w:w w:val="99"/>
        </w:rPr>
        <w:t> </w:t>
      </w:r>
      <w:r>
        <w:rPr/>
        <w:t>公司是否需要遵守特殊行业的披露要求</w:t>
      </w:r>
    </w:p>
    <w:p>
      <w:pPr>
        <w:pStyle w:val="BodyText"/>
        <w:spacing w:line="357" w:lineRule="auto" w:before="43"/>
        <w:ind w:right="8952"/>
        <w:jc w:val="left"/>
      </w:pPr>
      <w:r>
        <w:rPr/>
        <w:t>是 软件与信息技术服务业</w:t>
      </w:r>
    </w:p>
    <w:p>
      <w:pPr>
        <w:pStyle w:val="BodyText"/>
        <w:spacing w:line="300" w:lineRule="auto" w:before="26"/>
        <w:ind w:right="0" w:firstLine="420"/>
        <w:jc w:val="left"/>
      </w:pPr>
      <w:r>
        <w:rPr/>
        <w:t>本公司本年按欠款方归集的年末余额前五名应收账款汇总金额为</w:t>
      </w:r>
      <w:r>
        <w:rPr>
          <w:rFonts w:ascii="Times New Roman" w:hAnsi="Times New Roman" w:cs="Times New Roman" w:eastAsia="Times New Roman" w:hint="default"/>
        </w:rPr>
        <w:t>43,946,976.93</w:t>
      </w:r>
      <w:r>
        <w:rPr/>
        <w:t>元，占应收账款年末余额合计数的比例 为</w:t>
      </w:r>
      <w:r>
        <w:rPr>
          <w:rFonts w:ascii="Times New Roman" w:hAnsi="Times New Roman" w:cs="Times New Roman" w:eastAsia="Times New Roman" w:hint="default"/>
        </w:rPr>
        <w:t>27.26%</w:t>
      </w:r>
      <w:r>
        <w:rPr/>
        <w:t>，相应计提的坏账准备年末余额汇总金额为</w:t>
      </w:r>
      <w:r>
        <w:rPr>
          <w:rFonts w:ascii="Times New Roman" w:hAnsi="Times New Roman" w:cs="Times New Roman" w:eastAsia="Times New Roman" w:hint="default"/>
        </w:rPr>
        <w:t>2,209,255.85</w:t>
      </w:r>
      <w:r>
        <w:rPr/>
        <w:t>元。</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5、预付款项" w:id="228"/>
      <w:bookmarkEnd w:id="228"/>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9"/>
      <w:bookmarkEnd w:id="22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2,684,659.33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1,464,384.83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235,277.87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430,869.81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337,743.02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3,257,680.22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1,895,254.64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名的预付款情况" w:id="230"/>
      <w:bookmarkEnd w:id="23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2"/>
        <w:jc w:val="right"/>
      </w:pPr>
      <w:r>
        <w:rPr>
          <w:spacing w:val="2"/>
        </w:rPr>
        <w:t>本公司按预付对象归集的年末余额前五名预付账款汇总金额为</w:t>
      </w:r>
      <w:r>
        <w:rPr>
          <w:rFonts w:ascii="Times New Roman" w:hAnsi="Times New Roman" w:cs="Times New Roman" w:eastAsia="Times New Roman" w:hint="default"/>
          <w:spacing w:val="2"/>
        </w:rPr>
        <w:t>1,503,800.15</w:t>
      </w:r>
      <w:r>
        <w:rPr>
          <w:spacing w:val="2"/>
        </w:rPr>
        <w:t>元，占预付账款年末余额合计数的比例为</w:t>
      </w:r>
    </w:p>
    <w:p>
      <w:pPr>
        <w:pStyle w:val="BodyText"/>
        <w:spacing w:line="240" w:lineRule="auto" w:before="63"/>
        <w:ind w:right="0"/>
        <w:jc w:val="left"/>
      </w:pPr>
      <w:r>
        <w:rPr>
          <w:rFonts w:ascii="Times New Roman" w:hAnsi="Times New Roman" w:cs="Times New Roman" w:eastAsia="Times New Roman" w:hint="default"/>
        </w:rPr>
        <w:t>46.16%</w:t>
      </w:r>
      <w:r>
        <w:rPr/>
        <w:t>。</w:t>
      </w:r>
    </w:p>
    <w:p>
      <w:pPr>
        <w:pStyle w:val="BodyText"/>
        <w:spacing w:line="240" w:lineRule="auto" w:before="103"/>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其他应收款" w:id="231"/>
      <w:bookmarkEnd w:id="231"/>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1,042,290.42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949,715.07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2,200,759.38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2,424,566.76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3,243,049.80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3,374,281.83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232"/>
      <w:bookmarkEnd w:id="23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1,042,290.42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949,715.07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1,042,290.42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949,715.07</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股利" w:id="233"/>
      <w:bookmarkEnd w:id="233"/>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其他应收款" w:id="234"/>
      <w:bookmarkEnd w:id="23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2,837,78</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5.41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637,026.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22.45%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2,200,759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2,919,5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62.89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494,996.1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2,424,566.7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2,837,78</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5.41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637,026.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22.45%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2,200,759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2,919,5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62.89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494,996.1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16.95%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2,424,566.7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1,488,487.13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74,424.36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309,759.00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30,975.90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287,742.16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57,548.43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175,599.68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52,679.90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266,597.44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266,597.44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2,837,785.41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637,026.03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22.45%</w:t>
            </w:r>
          </w:p>
        </w:tc>
      </w:tr>
    </w:tbl>
    <w:p>
      <w:pPr>
        <w:pStyle w:val="BodyText"/>
        <w:spacing w:line="360" w:lineRule="auto" w:before="51"/>
        <w:ind w:right="6252"/>
        <w:jc w:val="left"/>
      </w:pPr>
      <w:r>
        <w:rPr/>
        <w:t>确定该组合依据的说明： 组合中，采用余额百分比法计提坏账准备的其他应收款：</w:t>
      </w:r>
    </w:p>
    <w:p>
      <w:pPr>
        <w:spacing w:after="0" w:line="36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338" w:lineRule="auto" w:before="44"/>
        <w:ind w:right="20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20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05"/>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3"/>
        <w:ind w:right="-16"/>
        <w:jc w:val="left"/>
      </w:pPr>
      <w:r>
        <w:rPr/>
        <w:t>本期计提坏账准备金额</w:t>
      </w:r>
      <w:r>
        <w:rPr>
          <w:spacing w:val="-46"/>
        </w:rPr>
        <w:t> </w:t>
      </w:r>
      <w:r>
        <w:rPr>
          <w:rFonts w:ascii="Times New Roman" w:hAnsi="Times New Roman" w:cs="Times New Roman" w:eastAsia="Times New Roman" w:hint="default"/>
        </w:rPr>
        <w:t>142,029.90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1"/>
        <w:ind w:right="-3"/>
        <w:jc w:val="left"/>
      </w:pPr>
      <w:r>
        <w:rPr/>
        <w:t>其他应收款核销说明：</w:t>
      </w:r>
    </w:p>
    <w:p>
      <w:pPr>
        <w:spacing w:before="100"/>
        <w:ind w:left="574" w:right="-3" w:firstLine="0"/>
        <w:jc w:val="left"/>
        <w:rPr>
          <w:rFonts w:ascii="宋体" w:hAnsi="宋体" w:cs="宋体" w:eastAsia="宋体" w:hint="default"/>
          <w:sz w:val="20"/>
          <w:szCs w:val="20"/>
        </w:rPr>
      </w:pPr>
      <w:r>
        <w:rPr>
          <w:rFonts w:ascii="宋体" w:hAnsi="宋体" w:cs="宋体" w:eastAsia="宋体" w:hint="default"/>
          <w:spacing w:val="-1"/>
          <w:sz w:val="20"/>
          <w:szCs w:val="20"/>
        </w:rPr>
        <w:t>本报告期内无实际核销的其他应收款。</w:t>
      </w:r>
    </w:p>
    <w:p>
      <w:pPr>
        <w:pStyle w:val="BodyText"/>
        <w:spacing w:line="240" w:lineRule="auto" w:before="107"/>
        <w:ind w:right="-3"/>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3975" w:space="485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2,040,041.54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2,145,618.28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563,278.57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592,706.53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234,465.30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181,238.08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2,837,785.41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2,919,562.89</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381,057.84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70,696.44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353,950.26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17,697.51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149,800.00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1,294,658.10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498,243.95</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7、存货" w:id="235"/>
      <w:bookmarkEnd w:id="235"/>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51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存货分类" w:id="236"/>
      <w:bookmarkEnd w:id="23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31,658,915.46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3,954,061.07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27,704,854.39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24,261,826.01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1,209,635.16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23,052,190.85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1,723,723.35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1,723,723.35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72,451.72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72,451.72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26,281,819.01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454,831.50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25,826,987.51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21,624,164.02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1,058,668.47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20,565,495.55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10,072,714.92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10,072,714.92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8,936,907.42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8,936,907.42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2,114,051.05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2,114,051.05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1,656,697.99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1,656,697.99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71,851,223.79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4,408,892.57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67,442,331.22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56,552,047.16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2,268,303.63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54,283,743.53</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3"/>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存货跌价准备" w:id="237"/>
      <w:bookmarkEnd w:id="23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1,209,635.16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3,078,806.96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334,381.05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3,954,061.07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1,058,668.47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588,513.74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1,192,350.71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454,831.50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2,268,303.63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3,667,320.70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1,526,731.76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4,408,892.57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92" w:lineRule="auto" w:before="44"/>
        <w:ind w:right="1118" w:firstLine="362"/>
        <w:jc w:val="left"/>
        <w:rPr>
          <w:sz w:val="21"/>
          <w:szCs w:val="21"/>
        </w:rPr>
      </w:pPr>
      <w:r>
        <w:rPr>
          <w:spacing w:val="-2"/>
        </w:rPr>
        <w:t>原材料、库存商品计提存货跌价准备的具体依据是呆滞品、无使用价值或变现价值，本年转销存货跌价准备的原因是进</w:t>
      </w:r>
      <w:r>
        <w:rPr/>
        <w:t> 行报废处置</w:t>
      </w:r>
      <w:r>
        <w:rPr>
          <w:sz w:val="21"/>
          <w:szCs w:val="21"/>
        </w:rPr>
        <w:t>。</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3）存货期末余额含有借款费用资本化金额的说明" w:id="238"/>
      <w:bookmarkEnd w:id="238"/>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39"/>
      <w:bookmarkEnd w:id="239"/>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持有待售资产" w:id="240"/>
      <w:bookmarkEnd w:id="240"/>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一年内到期的非流动资产" w:id="241"/>
      <w:bookmarkEnd w:id="241"/>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0、其他流动资产" w:id="242"/>
      <w:bookmarkEnd w:id="242"/>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2,377,203.52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26,496.15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858,941.26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320,236,144.78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49,026,496.15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1、可供出售金融资产" w:id="243"/>
      <w:bookmarkEnd w:id="243"/>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44"/>
      <w:bookmarkEnd w:id="24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4"/>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期末按公允价值计量的可供出售金融资产" w:id="245"/>
      <w:bookmarkEnd w:id="245"/>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按成本计量的可供出售金融资产" w:id="246"/>
      <w:bookmarkEnd w:id="246"/>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47"/>
      <w:bookmarkEnd w:id="247"/>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48"/>
      <w:bookmarkEnd w:id="248"/>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持有至到期投资" w:id="249"/>
      <w:bookmarkEnd w:id="249"/>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50"/>
      <w:bookmarkEnd w:id="250"/>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重要的持有至到期投资" w:id="251"/>
      <w:bookmarkEnd w:id="251"/>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本期重分类的持有至到期投资" w:id="252"/>
      <w:bookmarkEnd w:id="252"/>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3、长期应收款" w:id="253"/>
      <w:bookmarkEnd w:id="253"/>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54"/>
      <w:bookmarkEnd w:id="254"/>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因金融资产转移而终止确认的长期应收款" w:id="255"/>
      <w:bookmarkEnd w:id="255"/>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256"/>
      <w:bookmarkEnd w:id="256"/>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4、长期股权投资" w:id="257"/>
      <w:bookmarkEnd w:id="25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5、投资性房地产" w:id="258"/>
      <w:bookmarkEnd w:id="25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59"/>
      <w:bookmarkEnd w:id="25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60"/>
      <w:bookmarkEnd w:id="26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61"/>
      <w:bookmarkEnd w:id="261"/>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6、固定资产" w:id="262"/>
      <w:bookmarkEnd w:id="26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13,129,319.11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14,565,887.73</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13,129,319.11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14,565,887.73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263"/>
      <w:bookmarkEnd w:id="26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10,927,042.34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8,534,412.93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4,883,943.27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5,818,732.66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30,164,131.20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1,319,728.59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559,564.44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1,879,293.03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1,319,728.59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559,564.44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1,879,293.03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700,451.49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702,220.72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700,451.49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702,220.72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10,927,042.34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9,153,690.03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4,883,943.27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6,376,527.87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31,341,203.51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2,720,747.92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6,639,548.65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2,475,886.34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3,762,060.56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15,598,243.47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519,034.44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1,116,116.05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432,857.76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1,137,717.87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3,205,726.12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519,034.44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1,116,116.05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432,857.76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1,137,717.87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3,205,726.12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590,404.42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592,085.19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590,404.42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592,085.19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3,239,782.36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7,165,260.28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2,908,744.10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4,898,097.66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18,211,884.40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7,687,259.98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1,988,429.75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1,975,199.17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1,478,430.21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13,129,319.11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8,206,294.42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1,894,864.28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2,408,056.93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2,056,672.10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14,565,887.73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64"/>
      <w:bookmarkEnd w:id="26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65"/>
      <w:bookmarkEnd w:id="265"/>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66"/>
      <w:bookmarkEnd w:id="266"/>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67"/>
      <w:bookmarkEnd w:id="267"/>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固定资产清理" w:id="268"/>
      <w:bookmarkEnd w:id="268"/>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7、在建工程" w:id="269"/>
      <w:bookmarkEnd w:id="26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54,689,785.06</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7,303,351.21</w:t>
            </w: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54,689,785.06</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7,303,351.21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在建工程情况" w:id="270"/>
      <w:bookmarkEnd w:id="27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创新科技海岸厂 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54,689,785.06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54,689,785.06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7,303,351.21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7,303,351.21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54,689,785.06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54,689,785.06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7,303,351.21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7,303,351.21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71"/>
      <w:bookmarkEnd w:id="27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创新科 技海岸 厂房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327,576,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7,303,35</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1.21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47,386,4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33.85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54,689,7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85.06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16.70%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在建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327,576,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7,303,35</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1.21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47,386,4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33.85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54,689,7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85.06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72"/>
      <w:bookmarkEnd w:id="272"/>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工程物资" w:id="273"/>
      <w:bookmarkEnd w:id="273"/>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8、生产性生物资产" w:id="274"/>
      <w:bookmarkEnd w:id="274"/>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75"/>
      <w:bookmarkEnd w:id="275"/>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76"/>
      <w:bookmarkEnd w:id="276"/>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9、油气资产" w:id="277"/>
      <w:bookmarkEnd w:id="277"/>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0、无形资产" w:id="278"/>
      <w:bookmarkEnd w:id="278"/>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79"/>
      <w:bookmarkEnd w:id="27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1"/>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10,228,141.60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3,908,641.14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14,136,782.74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790,961.14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790,961.14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790,961.14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790,961.14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10,228,141.60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4,699,602.28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14,927,743.88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748,530.02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1,538,355.27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2,286,885.29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204,595.73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779,620.71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984,216.44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204,595.73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779,620.71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984,216.44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953,125.75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2,317,975.98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3,271,101.73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9,275,015.85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2,381,626.30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11,656,642.15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9,479,611.58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2,370,285.87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11,849,897.45</w:t>
            </w:r>
          </w:p>
        </w:tc>
      </w:tr>
    </w:tbl>
    <w:p>
      <w:pPr>
        <w:pStyle w:val="BodyText"/>
        <w:spacing w:line="240" w:lineRule="auto" w:before="51"/>
        <w:ind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未办妥产权证书的土地使用权情况" w:id="280"/>
      <w:bookmarkEnd w:id="280"/>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开发支出" w:id="281"/>
      <w:bookmarkEnd w:id="281"/>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2、商誉" w:id="282"/>
      <w:bookmarkEnd w:id="282"/>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83"/>
      <w:bookmarkEnd w:id="28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84"/>
      <w:bookmarkEnd w:id="28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38" w:lineRule="auto" w:before="52"/>
        <w:ind w:right="0"/>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57" w:lineRule="auto" w:before="43"/>
        <w:ind w:right="8592"/>
        <w:jc w:val="left"/>
      </w:pPr>
      <w:r>
        <w:rPr/>
        <w:t>商誉减值测试的影响 其他说明</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3、长期待摊费用" w:id="285"/>
      <w:bookmarkEnd w:id="285"/>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720,178.79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154,521.36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298,710.87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575,989.28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720,178.79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154,521.36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298,710.87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575,989.28</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4、递延所得税资产/递延所得税负债" w:id="286"/>
      <w:bookmarkEnd w:id="286"/>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87"/>
      <w:bookmarkEnd w:id="28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20,373,716.21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3,169,001.92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13,804,213.44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2,070,688.67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112,938.35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28,234.59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8,453,777.46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1,268,066.62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7,316,045.51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1,097,406.83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3,520,061.17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528,009.18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1,359,900.00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203,985.00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32,347,554.84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4,965,077.72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22,593,097.30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3,400,315.09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88"/>
      <w:bookmarkEnd w:id="28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89"/>
      <w:bookmarkEnd w:id="28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4,965,077.72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5" w:right="0"/>
              <w:jc w:val="left"/>
              <w:rPr>
                <w:rFonts w:ascii="Times New Roman" w:hAnsi="Times New Roman" w:cs="Times New Roman" w:eastAsia="Times New Roman" w:hint="default"/>
                <w:sz w:val="18"/>
                <w:szCs w:val="18"/>
              </w:rPr>
            </w:pPr>
            <w:r>
              <w:rPr>
                <w:rFonts w:ascii="Times New Roman"/>
                <w:sz w:val="18"/>
              </w:rPr>
              <w:t>3,400,315.09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90"/>
      <w:bookmarkEnd w:id="29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91"/>
      <w:bookmarkEnd w:id="29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5、其他非流动资产" w:id="292"/>
      <w:bookmarkEnd w:id="292"/>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预付软件、固定资产购置款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256,870.00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931,000.43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256,870.00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931,000.43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短期借款" w:id="293"/>
      <w:bookmarkEnd w:id="293"/>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94"/>
      <w:bookmarkEnd w:id="29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已逾期未偿还的短期借款情况" w:id="295"/>
      <w:bookmarkEnd w:id="295"/>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7、以公允价值计量且其变动计入当期损益的金融负债" w:id="296"/>
      <w:bookmarkEnd w:id="296"/>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8、衍生金融负债" w:id="297"/>
      <w:bookmarkEnd w:id="297"/>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9、应付票据及应付账款" w:id="298"/>
      <w:bookmarkEnd w:id="298"/>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49,672,060.62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18,831,256.07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49,672,060.62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18,831,256.07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299"/>
      <w:bookmarkEnd w:id="299"/>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付账款列示" w:id="300"/>
      <w:bookmarkEnd w:id="300"/>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13,219,305.71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17,292,524.04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7,419,838.50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135,848.64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25,538,129.77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3,494,786.64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1,402,883.39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49,672,060.62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18,831,256.07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账龄超过1年的重要应付账款" w:id="301"/>
      <w:bookmarkEnd w:id="301"/>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0"/>
        <w:jc w:val="left"/>
      </w:pPr>
      <w:r>
        <w:rPr/>
        <w:t>其他说明：</w:t>
      </w:r>
    </w:p>
    <w:p>
      <w:pPr>
        <w:pStyle w:val="Heading4"/>
        <w:spacing w:line="240" w:lineRule="auto"/>
        <w:ind w:left="490"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日，无账龄超过</w:t>
      </w:r>
      <w:r>
        <w:rPr>
          <w:rFonts w:ascii="Times New Roman" w:hAnsi="Times New Roman" w:cs="Times New Roman" w:eastAsia="Times New Roman" w:hint="default"/>
        </w:rPr>
        <w:t>1</w:t>
      </w:r>
      <w:r>
        <w:rPr/>
        <w:t>年的大额应付账款。</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30、预收款项" w:id="302"/>
      <w:bookmarkEnd w:id="302"/>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03"/>
      <w:bookmarkEnd w:id="30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4,385,399.12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2,917,464.82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4,385,399.12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2,917,464.82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04"/>
      <w:bookmarkEnd w:id="30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305"/>
      <w:bookmarkEnd w:id="305"/>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1、应付职工薪酬" w:id="306"/>
      <w:bookmarkEnd w:id="306"/>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07"/>
      <w:bookmarkEnd w:id="30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15,844,519.34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72,623,841.56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72,959,412.99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15,508,947.91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2,764,327.78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2,764,327.78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15,844,519.34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75,388,169.34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75,723,740.77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15,508,947.91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短期薪酬列示" w:id="308"/>
      <w:bookmarkEnd w:id="30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15,761,537.67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67,105,084.77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67,457,610.18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15,409,012.26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1,900,791.91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1,900,791.91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1,429,445.57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1,429,445.57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1,299,289.87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1,299,289.87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30,350.36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30,350.36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99,805.34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99,805.34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736,126.00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736,126.00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82,981.67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1,452,393.31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1,435,439.33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99,935.65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15,844,519.34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72,623,841.56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72,959,412.99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15,508,947.91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09"/>
      <w:bookmarkEnd w:id="30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2,604,797.78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2,604,797.78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159,530.00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159,530.00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2,764,327.78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2,764,327.78</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316" w:lineRule="auto" w:before="116"/>
        <w:ind w:right="1133" w:firstLine="420"/>
        <w:jc w:val="both"/>
      </w:pPr>
      <w:r>
        <w:rPr/>
        <w:t>本公司按规定参加由政府机构设立的养老保险、失业保险计划，根据该等计划，本公司以员工基本工资为基数按规定 </w:t>
      </w:r>
      <w:r>
        <w:rPr>
          <w:spacing w:val="-2"/>
        </w:rPr>
        <w:t>的缴纳比例每月向该等计划缴存费用。除上述每月缴存费用外，本公司不再承担进一步支付义务。相应的支出于发生时计入</w:t>
      </w:r>
      <w:r>
        <w:rPr>
          <w:spacing w:val="-66"/>
        </w:rPr>
        <w:t> </w:t>
      </w:r>
      <w:r>
        <w:rPr>
          <w:spacing w:val="-66"/>
        </w:rPr>
      </w:r>
      <w:r>
        <w:rPr/>
        <w:t>当期损益或相关资产的成本。</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2、应交税费" w:id="310"/>
      <w:bookmarkEnd w:id="310"/>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542,126.35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5,601,955.44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5,400,804.15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300,222.18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410,639.78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414,603.79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537,346.27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177,687.34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230,291.26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118,458.22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153,527.51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70,277.30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41,849.91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1,623,375.18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12,376,414.32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其他应付款" w:id="311"/>
      <w:bookmarkEnd w:id="311"/>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25,804,072.10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28,934,248.77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25,804,072.10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28,934,248.77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312"/>
      <w:bookmarkEnd w:id="312"/>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付股利" w:id="313"/>
      <w:bookmarkEnd w:id="313"/>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其他应付款" w:id="314"/>
      <w:bookmarkEnd w:id="314"/>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25,333,104.64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28,362,000.00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保证金及员工垫付款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247,337.43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81,998.77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223,630.03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490,250.00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25,804,072.10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28,934,248.77</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22,220,760.39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股权激励未到期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22,220,760.39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Heading4"/>
        <w:spacing w:line="240" w:lineRule="auto" w:before="91"/>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日，账龄超过</w:t>
      </w:r>
      <w:r>
        <w:rPr>
          <w:rFonts w:ascii="Times New Roman" w:hAnsi="Times New Roman" w:cs="Times New Roman" w:eastAsia="Times New Roman" w:hint="default"/>
        </w:rPr>
        <w:t>1</w:t>
      </w:r>
      <w:r>
        <w:rPr/>
        <w:t>年的重要其他应付款为限制性股票回购款，金额</w:t>
      </w:r>
      <w:r>
        <w:rPr>
          <w:rFonts w:ascii="Times New Roman" w:hAnsi="Times New Roman" w:cs="Times New Roman" w:eastAsia="Times New Roman" w:hint="default"/>
        </w:rPr>
        <w:t>22,220,760.39</w:t>
      </w:r>
      <w:r>
        <w:rPr/>
        <w:t>元。</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34、持有待售负债" w:id="315"/>
      <w:bookmarkEnd w:id="315"/>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5、一年内到期的非流动负债" w:id="316"/>
      <w:bookmarkEnd w:id="316"/>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6、其他流动负债" w:id="317"/>
      <w:bookmarkEnd w:id="317"/>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7、长期借款" w:id="318"/>
      <w:bookmarkEnd w:id="318"/>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19"/>
      <w:bookmarkEnd w:id="31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right="8592"/>
        <w:jc w:val="left"/>
      </w:pPr>
      <w:r>
        <w:rPr/>
        <w:t>长期借款分类的说明： 其他说明，包括利率区间：</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8、应付债券" w:id="320"/>
      <w:bookmarkEnd w:id="320"/>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21"/>
      <w:bookmarkEnd w:id="32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322"/>
      <w:bookmarkEnd w:id="32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24"/>
          <w:szCs w:val="24"/>
        </w:rPr>
      </w:pPr>
    </w:p>
    <w:p>
      <w:pPr>
        <w:pStyle w:val="Heading3"/>
        <w:spacing w:line="240" w:lineRule="auto" w:before="35"/>
        <w:ind w:right="0"/>
        <w:jc w:val="left"/>
        <w:rPr>
          <w:b w:val="0"/>
          <w:bCs w:val="0"/>
        </w:rPr>
      </w:pPr>
      <w:bookmarkStart w:name="（3）可转换公司债券的转股条件、转股时间说明" w:id="323"/>
      <w:bookmarkEnd w:id="323"/>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24"/>
      <w:bookmarkEnd w:id="324"/>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9、长期应付款" w:id="325"/>
      <w:bookmarkEnd w:id="325"/>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按款项性质列示长期应付款" w:id="326"/>
      <w:bookmarkEnd w:id="32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专项应付款" w:id="327"/>
      <w:bookmarkEnd w:id="327"/>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0、长期应付职工薪酬" w:id="328"/>
      <w:bookmarkEnd w:id="328"/>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29"/>
      <w:bookmarkEnd w:id="329"/>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设定受益计划变动情况" w:id="330"/>
      <w:bookmarkEnd w:id="330"/>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2"/>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1、预计负债" w:id="331"/>
      <w:bookmarkEnd w:id="331"/>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8,453,777.46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7,316,045.51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银行自助设备现金管理系统、 银行印章管理系统质量保证</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金</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8,453,777.46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7,316,045.51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490" w:right="0" w:hanging="336"/>
        <w:jc w:val="left"/>
      </w:pPr>
      <w:r>
        <w:rPr/>
        <w:t>其他说明，包括重要预计负债的相关重要假设、估计说明： </w:t>
      </w:r>
      <w:r>
        <w:rPr>
          <w:spacing w:val="-2"/>
        </w:rPr>
        <w:t>本公司产品质量保证金主要针对银行自助设备现金管理系统、银行印章管理系统进行计提，按预计故障率对销售产品数</w:t>
      </w:r>
    </w:p>
    <w:p>
      <w:pPr>
        <w:pStyle w:val="BodyText"/>
        <w:spacing w:line="224" w:lineRule="exact"/>
        <w:ind w:right="0"/>
        <w:jc w:val="left"/>
      </w:pPr>
      <w:r>
        <w:rPr/>
        <w:t>量进行估算，主要包括维修该类产品所需的差旅费、材料费等。</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2、递延收益" w:id="332"/>
      <w:bookmarkEnd w:id="332"/>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3、其他非流动负债" w:id="333"/>
      <w:bookmarkEnd w:id="333"/>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4、股本" w:id="334"/>
      <w:bookmarkEnd w:id="334"/>
      <w:r>
        <w:rPr>
          <w:b w:val="0"/>
          <w:bCs w:val="0"/>
        </w:rPr>
      </w: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85,160,000.00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85,159,993.00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7" w:right="0"/>
              <w:jc w:val="left"/>
              <w:rPr>
                <w:rFonts w:ascii="Times New Roman" w:hAnsi="Times New Roman" w:cs="Times New Roman" w:eastAsia="Times New Roman" w:hint="default"/>
                <w:sz w:val="18"/>
                <w:szCs w:val="18"/>
              </w:rPr>
            </w:pPr>
            <w:r>
              <w:rPr>
                <w:rFonts w:ascii="Times New Roman"/>
                <w:sz w:val="18"/>
              </w:rPr>
              <w:t>90,111.00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85,250,104.00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170,410,104.00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5、其他权益工具" w:id="335"/>
      <w:bookmarkEnd w:id="335"/>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36"/>
      <w:bookmarkEnd w:id="33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期末发行在外的优先股、永续债等金融工具变动情况表" w:id="337"/>
      <w:bookmarkEnd w:id="33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2"/>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6、资本公积" w:id="338"/>
      <w:bookmarkEnd w:id="338"/>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358,923,226.28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3,834,200.00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86,249,904.00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276,507,522.28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2,676,700.00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4,036,600.00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360,283,126.28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6,510,900.00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86,249,904.00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280,544,122.28</w:t>
            </w:r>
          </w:p>
        </w:tc>
      </w:tr>
    </w:tbl>
    <w:p>
      <w:pPr>
        <w:pStyle w:val="BodyText"/>
        <w:spacing w:line="357" w:lineRule="auto" w:before="51"/>
        <w:ind w:left="574" w:right="1062" w:hanging="420"/>
        <w:jc w:val="left"/>
      </w:pPr>
      <w:r>
        <w:rPr/>
        <w:t>其他说明，包括本期增减变动情况、变动原因说明： 本年资本公积增加为：实施预留限制性股票</w:t>
      </w:r>
      <w:r>
        <w:rPr>
          <w:rFonts w:ascii="Times New Roman" w:hAnsi="Times New Roman" w:cs="Times New Roman" w:eastAsia="Times New Roman" w:hint="default"/>
        </w:rPr>
        <w:t>19</w:t>
      </w:r>
      <w:r>
        <w:rPr/>
        <w:t>万股，增加资本公积</w:t>
      </w:r>
      <w:r>
        <w:rPr>
          <w:rFonts w:ascii="Times New Roman" w:hAnsi="Times New Roman" w:cs="Times New Roman" w:eastAsia="Times New Roman" w:hint="default"/>
        </w:rPr>
        <w:t>3,834,200.00</w:t>
      </w:r>
      <w:r>
        <w:rPr/>
        <w:t>元，计提股份激励费用</w:t>
      </w:r>
      <w:r>
        <w:rPr>
          <w:rFonts w:ascii="Times New Roman" w:hAnsi="Times New Roman" w:cs="Times New Roman" w:eastAsia="Times New Roman" w:hint="default"/>
        </w:rPr>
        <w:t>2,676,700.00</w:t>
      </w:r>
      <w:r>
        <w:rPr/>
        <w:t>元。</w:t>
      </w:r>
    </w:p>
    <w:p>
      <w:pPr>
        <w:pStyle w:val="BodyText"/>
        <w:spacing w:line="214" w:lineRule="exact"/>
        <w:ind w:left="444" w:right="0"/>
        <w:jc w:val="left"/>
      </w:pPr>
      <w:r>
        <w:rPr/>
        <w:t>本年资本公积减少主要是：</w:t>
      </w:r>
      <w:r>
        <w:rPr>
          <w:rFonts w:ascii="Times New Roman" w:hAnsi="Times New Roman" w:cs="Times New Roman" w:eastAsia="Times New Roman" w:hint="default"/>
        </w:rPr>
        <w:t>1</w:t>
      </w:r>
      <w:r>
        <w:rPr/>
        <w:t>、资本公积转增股减少</w:t>
      </w:r>
      <w:r>
        <w:rPr>
          <w:rFonts w:ascii="Times New Roman" w:hAnsi="Times New Roman" w:cs="Times New Roman" w:eastAsia="Times New Roman" w:hint="default"/>
        </w:rPr>
        <w:t>85,159,993.00</w:t>
      </w:r>
      <w:r>
        <w:rPr/>
        <w:t>元，</w:t>
      </w:r>
      <w:r>
        <w:rPr>
          <w:rFonts w:ascii="Times New Roman" w:hAnsi="Times New Roman" w:cs="Times New Roman" w:eastAsia="Times New Roman" w:hint="default"/>
        </w:rPr>
        <w:t>2</w:t>
      </w:r>
      <w:r>
        <w:rPr/>
        <w:t>、回购限制性股票</w:t>
      </w:r>
      <w:r>
        <w:rPr>
          <w:rFonts w:ascii="Times New Roman" w:hAnsi="Times New Roman" w:cs="Times New Roman" w:eastAsia="Times New Roman" w:hint="default"/>
        </w:rPr>
        <w:t>99,889</w:t>
      </w:r>
      <w:r>
        <w:rPr/>
        <w:t>股，付款</w:t>
      </w:r>
      <w:r>
        <w:rPr>
          <w:rFonts w:ascii="Times New Roman" w:hAnsi="Times New Roman" w:cs="Times New Roman" w:eastAsia="Times New Roman" w:hint="default"/>
        </w:rPr>
        <w:t>1,189,800.00</w:t>
      </w:r>
      <w:r>
        <w:rPr/>
        <w:t>元，</w:t>
      </w:r>
    </w:p>
    <w:p>
      <w:pPr>
        <w:pStyle w:val="BodyText"/>
        <w:spacing w:line="240" w:lineRule="auto" w:before="63"/>
        <w:ind w:right="0"/>
        <w:jc w:val="left"/>
      </w:pPr>
      <w:r>
        <w:rPr/>
        <w:t>冲减资本公积</w:t>
      </w:r>
      <w:r>
        <w:rPr>
          <w:rFonts w:ascii="Times New Roman" w:hAnsi="Times New Roman" w:cs="Times New Roman" w:eastAsia="Times New Roman" w:hint="default"/>
        </w:rPr>
        <w:t>1,089,911.00</w:t>
      </w:r>
      <w:r>
        <w:rPr/>
        <w:t>元。</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7、库存股" w:id="339"/>
      <w:bookmarkEnd w:id="339"/>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负回购义务限制性股票 激励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28,362,000.00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4,024,200.00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7,053,095.36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25,333,104.64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28,362,000.00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4,024,200.00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7,053,095.36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25,333,104.64</w:t>
            </w:r>
          </w:p>
        </w:tc>
      </w:tr>
    </w:tbl>
    <w:p>
      <w:pPr>
        <w:pStyle w:val="BodyText"/>
        <w:spacing w:line="357" w:lineRule="auto" w:before="51"/>
        <w:ind w:left="490" w:right="0" w:hanging="336"/>
        <w:jc w:val="left"/>
      </w:pPr>
      <w:r>
        <w:rPr/>
        <w:t>其他说明，包括本期增减变动情况、变动原因说明： </w:t>
      </w:r>
      <w:r>
        <w:rPr>
          <w:spacing w:val="-1"/>
        </w:rPr>
        <w:t>本公司于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月实施限制性股票激励而发行负回购义务的股份</w:t>
      </w:r>
      <w:r>
        <w:rPr>
          <w:rFonts w:ascii="Times New Roman" w:hAnsi="Times New Roman" w:cs="Times New Roman" w:eastAsia="Times New Roman" w:hint="default"/>
          <w:spacing w:val="-1"/>
        </w:rPr>
        <w:t>116</w:t>
      </w:r>
      <w:r>
        <w:rPr>
          <w:spacing w:val="-1"/>
        </w:rPr>
        <w:t>万股，每股价款</w:t>
      </w:r>
      <w:r>
        <w:rPr>
          <w:rFonts w:ascii="Times New Roman" w:hAnsi="Times New Roman" w:cs="Times New Roman" w:eastAsia="Times New Roman" w:hint="default"/>
          <w:spacing w:val="-1"/>
        </w:rPr>
        <w:t>24.45</w:t>
      </w:r>
      <w:r>
        <w:rPr>
          <w:spacing w:val="-1"/>
        </w:rPr>
        <w:t>元，及</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月实施预留部</w:t>
      </w:r>
    </w:p>
    <w:p>
      <w:pPr>
        <w:pStyle w:val="BodyText"/>
        <w:spacing w:line="214" w:lineRule="exact"/>
        <w:ind w:right="0"/>
        <w:jc w:val="left"/>
      </w:pPr>
      <w:r>
        <w:rPr/>
        <w:t>分限制性股票激励而发行负回购义务的股份</w:t>
      </w:r>
      <w:r>
        <w:rPr>
          <w:rFonts w:ascii="Times New Roman" w:hAnsi="Times New Roman" w:cs="Times New Roman" w:eastAsia="Times New Roman" w:hint="default"/>
        </w:rPr>
        <w:t>19</w:t>
      </w:r>
      <w:r>
        <w:rPr/>
        <w:t>万股，每股价款</w:t>
      </w:r>
      <w:r>
        <w:rPr>
          <w:rFonts w:ascii="Times New Roman" w:hAnsi="Times New Roman" w:cs="Times New Roman" w:eastAsia="Times New Roman" w:hint="default"/>
        </w:rPr>
        <w:t>21.18</w:t>
      </w:r>
      <w:r>
        <w:rPr/>
        <w:t>元，做为库存股。本年条件成就解除首次授予部分限售</w:t>
      </w:r>
    </w:p>
    <w:p>
      <w:pPr>
        <w:pStyle w:val="BodyText"/>
        <w:spacing w:line="300" w:lineRule="auto" w:before="63"/>
        <w:ind w:right="1118"/>
        <w:jc w:val="left"/>
      </w:pPr>
      <w:r>
        <w:rPr>
          <w:spacing w:val="-2"/>
        </w:rPr>
        <w:t>而减少</w:t>
      </w:r>
      <w:r>
        <w:rPr>
          <w:rFonts w:ascii="Times New Roman" w:hAnsi="Times New Roman" w:cs="Times New Roman" w:eastAsia="Times New Roman" w:hint="default"/>
          <w:spacing w:val="-2"/>
        </w:rPr>
        <w:t>5,476,797.62</w:t>
      </w:r>
      <w:r>
        <w:rPr>
          <w:spacing w:val="-2"/>
        </w:rPr>
        <w:t>元，因部分员工离职不再具备激励资格而回购注销减少</w:t>
      </w:r>
      <w:r>
        <w:rPr>
          <w:rFonts w:ascii="Times New Roman" w:hAnsi="Times New Roman" w:cs="Times New Roman" w:eastAsia="Times New Roman" w:hint="default"/>
          <w:spacing w:val="-2"/>
        </w:rPr>
        <w:t>1,189,800.00</w:t>
      </w:r>
      <w:r>
        <w:rPr>
          <w:spacing w:val="-2"/>
        </w:rPr>
        <w:t>元，因分配股利减少股库存</w:t>
      </w:r>
      <w:r>
        <w:rPr>
          <w:rFonts w:ascii="Times New Roman" w:hAnsi="Times New Roman" w:cs="Times New Roman" w:eastAsia="Times New Roman" w:hint="default"/>
          <w:spacing w:val="-2"/>
        </w:rPr>
        <w:t>386,497.74</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元。</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48、其他综合收益" w:id="340"/>
      <w:bookmarkEnd w:id="340"/>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9、专项储备" w:id="341"/>
      <w:bookmarkEnd w:id="341"/>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0、盈余公积" w:id="342"/>
      <w:bookmarkEnd w:id="342"/>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36,394,354.45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2,614,335.57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39,008,690.02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36,394,354.45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2,614,335.57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39,008,690.02</w:t>
            </w:r>
          </w:p>
        </w:tc>
      </w:tr>
    </w:tbl>
    <w:p>
      <w:pPr>
        <w:pStyle w:val="BodyText"/>
        <w:spacing w:line="240" w:lineRule="auto" w:before="51"/>
        <w:ind w:right="0"/>
        <w:jc w:val="left"/>
      </w:pPr>
      <w:r>
        <w:rPr/>
        <w:t>盈余公积说明，包括本期增减变动情况、变动原因说明：</w:t>
      </w:r>
    </w:p>
    <w:p>
      <w:pPr>
        <w:pStyle w:val="Heading4"/>
        <w:spacing w:line="256" w:lineRule="auto"/>
        <w:ind w:left="154" w:right="1211" w:firstLine="336"/>
        <w:jc w:val="left"/>
      </w:pPr>
      <w:r>
        <w:rPr/>
        <w:t>根据《公司法》、公司章程的规定，本公司按净利润的</w:t>
      </w:r>
      <w:r>
        <w:rPr>
          <w:rFonts w:ascii="Times New Roman" w:hAnsi="Times New Roman" w:cs="Times New Roman" w:eastAsia="Times New Roman" w:hint="default"/>
        </w:rPr>
        <w:t>10%</w:t>
      </w:r>
      <w:r>
        <w:rPr/>
        <w:t>提取法定盈余公积。法定盈余公积累计额 达到本公司注册资本</w:t>
      </w:r>
      <w:r>
        <w:rPr>
          <w:rFonts w:ascii="Times New Roman" w:hAnsi="Times New Roman" w:cs="Times New Roman" w:eastAsia="Times New Roman" w:hint="default"/>
        </w:rPr>
        <w:t>50%</w:t>
      </w:r>
      <w:r>
        <w:rPr/>
        <w:t>以上的，不再提取。</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bookmarkStart w:name="51、未分配利润" w:id="343"/>
      <w:bookmarkEnd w:id="343"/>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227,963,075.14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176,375,178.57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227,963,075.14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176,375,178.57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26,037,504.42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79,724,732.27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2,614,335.57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7,976,835.70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30,639,513.18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220,746,730.81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227,963,075.14</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2、营业收入和营业成本" w:id="344"/>
      <w:bookmarkEnd w:id="344"/>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7"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244,537,900.66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120,059,570.40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242,018,669.49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74,502,957.48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42,449.62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84,916.30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244,580,350.28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120,144,486.70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242,018,669.49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74,502,957.48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3、税金及附加" w:id="345"/>
      <w:bookmarkEnd w:id="345"/>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1,489,742.86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1,210,004.53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641,765.13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518,573.37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99,960.00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71,660.90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83,380.42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2,699.45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233,470.59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76,362.41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427,843.40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345,715.58</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2,976,162.40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2,225,016.24</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4、销售费用" w:id="346"/>
      <w:bookmarkEnd w:id="346"/>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28,143,422.20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23,637,360.09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安装维保费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18,457,712.67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13,394,512.10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1,051,193.61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2,037,488.97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4,322,860.70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4,018,677.20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宣传推广费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5,087,916.10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3,116,824.91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5,906,285.36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5,354,954.08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1,808,902.52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1,395,508.04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592,785.29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818,499.80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1,095,969.90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722,122.11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299,451.64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1,241,939.46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66,766,499.99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55,737,886.76</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5、管理费用" w:id="347"/>
      <w:bookmarkEnd w:id="347"/>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10,278,087.72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8,882,601.11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1,719,605.72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1,540,339.73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3,550,692.36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1,478,585.30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1,066,850.22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1,533,181.17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584,963.84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442,145.40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589,205.11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385,529.66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1,790,846.02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1,088,339.78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1,091,727.61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254,533.65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2,676,700.00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1,359,900.00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996,136.52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3,426,945.06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24,344,815.12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20,392,100.86</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6、研发费用" w:id="348"/>
      <w:bookmarkEnd w:id="348"/>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24,020,119.46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20,066,081.79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2,897,867.00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2,525,183.08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2,016,911.68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696,810.97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1,902,370.33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1,608,180.44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1,694,098.94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1,946,509.52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1,137,429.92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194,359.42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检测认证费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724,886.02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607,871.38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1,507,762.77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1,173,431.04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35,901,446.12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28,818,427.64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7、财务费用" w:id="349"/>
      <w:bookmarkEnd w:id="349"/>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54,681.06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1,041,885.76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570,099.10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-2,032.05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59,454.14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43,512.10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-929,782.61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-526,638.97</w:t>
            </w:r>
            <w:r>
              <w:rPr>
                <w:rFonts w:ascii="Times New Roman"/>
                <w:sz w:val="18"/>
              </w:rPr>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8、资产减值损失" w:id="350"/>
      <w:bookmarkEnd w:id="350"/>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4,428,913.83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5,299,615.85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3,667,320.70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1,137,171.11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8,096,234.53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6,436,786.96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9、其他收益" w:id="351"/>
      <w:bookmarkEnd w:id="351"/>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19,869,486.78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16,172,292.67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147,975.05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20,017,461.83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16,172,292.67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0、投资收益" w:id="352"/>
      <w:bookmarkEnd w:id="352"/>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15,107,543.05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14,541,383.46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15,107,543.05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14,541,383.46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1、公允价值变动收益" w:id="353"/>
      <w:bookmarkEnd w:id="353"/>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2、资产处置收益" w:id="354"/>
      <w:bookmarkEnd w:id="354"/>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处置固定资产损益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-23,343.48</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3、营业外收入" w:id="355"/>
      <w:bookmarkEnd w:id="355"/>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非流动资产报废利得及其他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2,061.54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2,100,027.00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高新区上市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珠海高新技 术产业开发 区发展改革 和财政局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广东省名牌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珠海市财政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4、营业外支出" w:id="356"/>
      <w:bookmarkEnd w:id="356"/>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110,047.07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6,454.09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110,047.07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滞纳金及罚款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17,698.59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17,698.59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127,745.66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127,745.66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5、所得税费用" w:id="357"/>
      <w:bookmarkEnd w:id="357"/>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58"/>
      <w:bookmarkEnd w:id="35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-2,091,232.75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8,839,279.89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-1,564,762.63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-1,306,655.84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-3,655,995.38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7,532,624.05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59"/>
      <w:bookmarkEnd w:id="35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22,279,808.79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3,341,971.32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-26,673.81</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-4,418,167.99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1,043,335.88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-244.15</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-3,641,192.79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44,976.16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-3,655,995.38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6、其他综合收益" w:id="360"/>
      <w:bookmarkEnd w:id="360"/>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详见附注。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7、现金流量表项目" w:id="361"/>
      <w:bookmarkEnd w:id="361"/>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62"/>
      <w:bookmarkEnd w:id="36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1,041,885.76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570,099.10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3,784,462.50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5,641,500.00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770,379.00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420,381.63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493,338.77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6,017,108.89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6,714,937.87</w:t>
            </w:r>
          </w:p>
        </w:tc>
      </w:tr>
    </w:tbl>
    <w:p>
      <w:pPr>
        <w:pStyle w:val="BodyText"/>
        <w:spacing w:line="240" w:lineRule="auto" w:before="51"/>
        <w:ind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63"/>
      <w:bookmarkEnd w:id="36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2,402,243.40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1,478,585.30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1,896,165.90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3,570,670.14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2,393,866.36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2,010,589.99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5,104,226.71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4,292,433.10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7,529,360.72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4,280,653.25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7,531,792.72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6,443,293.86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2,457,257.05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976,655.76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宣传推广费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5,087,916.10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3,116,824.91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安装维保费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10,035,990.86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12,348,360.70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864,802.26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947,983.44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20,968.56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405,033.45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1,824,033.80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4,755,036.02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47,148,624.44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44,626,119.92</w:t>
            </w:r>
          </w:p>
        </w:tc>
      </w:tr>
    </w:tbl>
    <w:p>
      <w:pPr>
        <w:pStyle w:val="BodyText"/>
        <w:spacing w:line="240" w:lineRule="auto" w:before="51"/>
        <w:ind w:right="0"/>
        <w:jc w:val="left"/>
      </w:pPr>
      <w:r>
        <w:rPr/>
        <w:t>支付的其他与经营活动有关的现金说明：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收到的其他与投资活动有关的现金" w:id="364"/>
      <w:bookmarkEnd w:id="36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365"/>
      <w:bookmarkEnd w:id="36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366"/>
      <w:bookmarkEnd w:id="36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支付的其他与筹资活动有关的现金" w:id="367"/>
      <w:bookmarkEnd w:id="36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回购注销股权激励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1,189,800.00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1,189,800.00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8、现金流量表补充资料" w:id="368"/>
      <w:bookmarkEnd w:id="368"/>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69"/>
      <w:bookmarkEnd w:id="36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25,935,804.17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79,682,818.31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8,096,234.53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6,436,786.96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3,205,726.12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3,356,584.34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984,216.44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773,843.71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298,710.87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766,758.43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167.929977pt;width:151.25pt;height:20.8pt;mso-position-horizontal-relative:page;mso-position-vertical-relative:page;z-index:-1157560" coordorigin="4467,3359" coordsize="3025,416">
            <v:group style="position:absolute;left:4478;top:3370;width:2;height:393" coordorigin="4478,3370" coordsize="2,393">
              <v:shape style="position:absolute;left:4478;top:3370;width:2;height:393" coordorigin="4478,3370" coordsize="0,393" path="m4478,3370l4478,3762e" filled="false" stroked="true" strokeweight="1.140pt" strokecolor="#ffffff">
                <v:path arrowok="t"/>
              </v:shape>
            </v:group>
            <v:group style="position:absolute;left:4490;top:3370;width:3002;height:393" coordorigin="4490,3370" coordsize="3002,393">
              <v:shape style="position:absolute;left:4490;top:3370;width:3002;height:393" coordorigin="4490,3370" coordsize="3002,393" path="m4490,3762l7491,3762,7491,3370,4490,3370,4490,376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23,343.48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109,985.53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6,454.09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52,649.01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-15,107,543.05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-14,541,383.46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-1,564,762.63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-1,306,655.84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-16,825,908.39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-1,114,594.51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-49,871,789.44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-50,823,755.05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-6,856,875.59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-15,593,419.89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2,464,621.78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1,359,900.00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-49,078,930.65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9,026,680.57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164,121,420.70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514,454,542.06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514,454,542.06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138,588,374.25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-350,333,121.36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375,866,167.81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70"/>
      <w:bookmarkEnd w:id="37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71"/>
      <w:bookmarkEnd w:id="371"/>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现金和现金等价物的构成" w:id="372"/>
      <w:bookmarkEnd w:id="372"/>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164,121,420.70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514,454,542.06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69,296.03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28,269.26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164,052,124.67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514,426,272.80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164,121,420.70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514,454,542.06</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spacing w:line="547" w:lineRule="auto" w:before="0"/>
        <w:ind w:left="154" w:right="5372" w:firstLine="0"/>
        <w:jc w:val="left"/>
        <w:rPr>
          <w:rFonts w:ascii="宋体" w:hAnsi="宋体" w:cs="宋体" w:eastAsia="宋体" w:hint="default"/>
          <w:sz w:val="21"/>
          <w:szCs w:val="21"/>
        </w:rPr>
      </w:pPr>
      <w:bookmarkStart w:name="69、所有者权益变动表项目注释" w:id="373"/>
      <w:bookmarkEnd w:id="373"/>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74"/>
      <w:bookmarkEnd w:id="374"/>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保证金，不能随时变现</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300,000.00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1、外币货币性项目" w:id="375"/>
      <w:bookmarkEnd w:id="375"/>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76"/>
      <w:bookmarkEnd w:id="37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0"/>
              <w:jc w:val="righ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0"/>
              <w:jc w:val="righ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77"/>
      <w:bookmarkEnd w:id="37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2、套期" w:id="378"/>
      <w:bookmarkEnd w:id="378"/>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3、政府补助" w:id="379"/>
      <w:bookmarkEnd w:id="379"/>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80"/>
      <w:bookmarkEnd w:id="380"/>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16,085,024.28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16,085,024.28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2,749,300.00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2,749,300.00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高新技术企业奖励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两化融合试点企业奖励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知识产权资助资金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5,162.50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创新券后补助企业补贴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5,162.50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19,869,486.78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19,869,486.78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政府补助退回情况" w:id="381"/>
      <w:bookmarkEnd w:id="381"/>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8328" w:firstLine="0"/>
        <w:jc w:val="left"/>
        <w:rPr>
          <w:rFonts w:ascii="宋体" w:hAnsi="宋体" w:cs="宋体" w:eastAsia="宋体" w:hint="default"/>
          <w:sz w:val="21"/>
          <w:szCs w:val="21"/>
        </w:rPr>
      </w:pPr>
      <w:bookmarkStart w:name="74、其他" w:id="382"/>
      <w:bookmarkEnd w:id="382"/>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83"/>
      <w:bookmarkEnd w:id="383"/>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4"/>
      <w:bookmarkEnd w:id="38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385"/>
      <w:bookmarkEnd w:id="38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386"/>
      <w:bookmarkEnd w:id="38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6072"/>
        <w:jc w:val="left"/>
      </w:pPr>
      <w:r>
        <w:rPr/>
        <w:t>合并成本公允价值的确定方法、或有对价及其变动的说明： 大额商誉形成的主要原因：</w:t>
      </w:r>
    </w:p>
    <w:p>
      <w:pPr>
        <w:pStyle w:val="BodyText"/>
        <w:spacing w:line="240" w:lineRule="auto" w:before="26"/>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387"/>
      <w:bookmarkEnd w:id="38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4）购买日之前持有的股权按照公允价值重新计量产生的利得或损失" w:id="388"/>
      <w:bookmarkEnd w:id="38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购买日或合并当期期末无法合理确定合并对价或被购买方可辨认资产、负债公允价值" w:id="389"/>
      <w:bookmarkEnd w:id="38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390"/>
      <w:bookmarkEnd w:id="390"/>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391"/>
      <w:bookmarkEnd w:id="391"/>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392"/>
      <w:bookmarkEnd w:id="392"/>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393"/>
      <w:bookmarkEnd w:id="393"/>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8592"/>
        <w:jc w:val="left"/>
      </w:pPr>
      <w:r>
        <w:rPr/>
        <w:t>或有对价及其变动的说明：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394"/>
      <w:bookmarkEnd w:id="394"/>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799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799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799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001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799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001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799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004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反向购买" w:id="395"/>
      <w:bookmarkEnd w:id="395"/>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4、处置子公司" w:id="396"/>
      <w:bookmarkEnd w:id="396"/>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7"/>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其他原因的合并范围变动" w:id="397"/>
      <w:bookmarkEnd w:id="397"/>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6、其他" w:id="398"/>
      <w:bookmarkEnd w:id="39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99"/>
      <w:bookmarkEnd w:id="399"/>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0"/>
      <w:bookmarkEnd w:id="400"/>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401"/>
      <w:bookmarkEnd w:id="40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贵安新区贵金科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6"/>
        <w:ind w:right="7692"/>
        <w:jc w:val="left"/>
      </w:pPr>
      <w:r>
        <w:rPr/>
        <w:t>确定公司是代理人还是委托人的依据：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重要的非全资子公司" w:id="402"/>
      <w:bookmarkEnd w:id="40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贵安新区贵金科技有限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10" w:right="0"/>
              <w:jc w:val="left"/>
              <w:rPr>
                <w:rFonts w:ascii="Times New Roman" w:hAnsi="Times New Roman" w:cs="Times New Roman" w:eastAsia="Times New Roman" w:hint="default"/>
                <w:sz w:val="18"/>
                <w:szCs w:val="18"/>
              </w:rPr>
            </w:pPr>
            <w:r>
              <w:rPr>
                <w:rFonts w:ascii="Times New Roman"/>
                <w:sz w:val="18"/>
              </w:rPr>
              <w:t>-101,700.25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-143,614.21</w:t>
            </w:r>
            <w:r>
              <w:rPr>
                <w:rFonts w:ascii="Times New Roman"/>
                <w:sz w:val="18"/>
              </w:rPr>
            </w:r>
          </w:p>
        </w:tc>
      </w:tr>
    </w:tbl>
    <w:p>
      <w:pPr>
        <w:pStyle w:val="BodyText"/>
        <w:spacing w:line="357" w:lineRule="auto" w:before="51"/>
        <w:ind w:right="6432"/>
        <w:jc w:val="left"/>
      </w:pPr>
      <w:r>
        <w:rPr/>
        <w:t>子公司少数股东的持股比例不同于表决权比例的说明：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重要非全资子公司的主要财务信息" w:id="403"/>
      <w:bookmarkEnd w:id="40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9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贵安新 区贵金 科技有</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21,663,0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17.96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505,889.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22,168,9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07.53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20,461,9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97.76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20,461,9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1,658,32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326,632.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1,984,96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贵安新区贵 金科技有限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19,629,385.8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-207,551.54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-207,551.54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-1,472,825.98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-85,538.69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-85,538.69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-123,912.92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404"/>
      <w:bookmarkEnd w:id="404"/>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05"/>
      <w:bookmarkEnd w:id="405"/>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406"/>
      <w:bookmarkEnd w:id="40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07"/>
      <w:bookmarkEnd w:id="407"/>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交易对于少数股东权益及归属于母公司所有者权益的影响" w:id="408"/>
      <w:bookmarkEnd w:id="40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宋体" w:hAnsi="宋体" w:cs="宋体" w:eastAsia="宋体" w:hint="default"/>
          <w:position w:val="-7"/>
          <w:sz w:val="20"/>
          <w:szCs w:val="20"/>
        </w:rPr>
      </w:r>
    </w:p>
    <w:p>
      <w:pPr>
        <w:pStyle w:val="BodyText"/>
        <w:spacing w:line="240" w:lineRule="auto" w:before="4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09"/>
      <w:bookmarkEnd w:id="40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10"/>
      <w:bookmarkEnd w:id="41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411"/>
      <w:bookmarkEnd w:id="411"/>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12"/>
      <w:bookmarkEnd w:id="412"/>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413"/>
      <w:bookmarkEnd w:id="413"/>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14"/>
      <w:bookmarkEnd w:id="414"/>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15"/>
      <w:bookmarkEnd w:id="415"/>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416"/>
      <w:bookmarkEnd w:id="416"/>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17"/>
      <w:bookmarkEnd w:id="417"/>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18"/>
      <w:bookmarkEnd w:id="418"/>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2"/>
        <w:jc w:val="left"/>
      </w:pPr>
      <w:r>
        <w:rPr/>
        <w:t>在共同经营中的持股比例或享有的份额不同于表决权比例的说明： 共同经营为单独主体的，分类为共同经营的依据：</w:t>
      </w:r>
    </w:p>
    <w:p>
      <w:pPr>
        <w:pStyle w:val="BodyText"/>
        <w:spacing w:line="240" w:lineRule="auto" w:before="26"/>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5、在未纳入合并财务报表范围的结构化主体中的权益" w:id="419"/>
      <w:bookmarkEnd w:id="419"/>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6、其他" w:id="420"/>
      <w:bookmarkEnd w:id="420"/>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421"/>
      <w:bookmarkEnd w:id="421"/>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14"/>
        <w:jc w:val="both"/>
      </w:pPr>
      <w:r>
        <w:rPr>
          <w:spacing w:val="-1"/>
        </w:rPr>
        <w:t>本公司的主要金融工具包括应收账款、应付账款等，各项金融工具的详细情况说明见本附注七相关项目。与这些金融工</w:t>
      </w:r>
      <w:r>
        <w:rPr/>
        <w:t> </w:t>
      </w:r>
      <w:r>
        <w:rPr>
          <w:spacing w:val="-2"/>
        </w:rPr>
        <w:t>具有关的风险，以及本公司为降低这些风险所采取的风险管理政策如下所述。本公司管理层对这些风险敞口进行管理和监控</w:t>
      </w:r>
      <w:r>
        <w:rPr>
          <w:spacing w:val="-64"/>
        </w:rPr>
        <w:t> </w:t>
      </w:r>
      <w:r>
        <w:rPr>
          <w:spacing w:val="-64"/>
        </w:rPr>
      </w:r>
      <w:r>
        <w:rPr/>
        <w:t>以确保将上述风险控制在限定的范围之内。</w:t>
      </w:r>
    </w:p>
    <w:p>
      <w:pPr>
        <w:pStyle w:val="BodyText"/>
        <w:spacing w:line="316" w:lineRule="auto" w:before="19"/>
        <w:ind w:right="1131" w:firstLine="290"/>
        <w:jc w:val="both"/>
      </w:pPr>
      <w:r>
        <w:rPr>
          <w:spacing w:val="-1"/>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pStyle w:val="BodyText"/>
        <w:spacing w:line="300" w:lineRule="auto" w:before="19"/>
        <w:ind w:left="574" w:right="0" w:hanging="420"/>
        <w:jc w:val="left"/>
      </w:pPr>
      <w:r>
        <w:rPr>
          <w:rFonts w:ascii="Times New Roman" w:hAnsi="Times New Roman" w:cs="Times New Roman" w:eastAsia="Times New Roman" w:hint="default"/>
        </w:rPr>
        <w:t>1</w:t>
      </w:r>
      <w:r>
        <w:rPr/>
        <w:t>、风险管理目标和政策 本公司从事风险管理的目标是在风险和收益之间取得适当的平衡，将风险对本公司经营业绩的负面影响降低到最低水</w:t>
      </w:r>
    </w:p>
    <w:p>
      <w:pPr>
        <w:pStyle w:val="BodyText"/>
        <w:spacing w:line="316" w:lineRule="auto" w:before="31"/>
        <w:ind w:right="1131"/>
        <w:jc w:val="both"/>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5"/>
        </w:rPr>
        <w:t> </w:t>
      </w:r>
      <w:r>
        <w:rPr>
          <w:spacing w:val="-65"/>
        </w:rPr>
      </w:r>
      <w:r>
        <w:rPr/>
        <w:t>内。</w:t>
      </w:r>
    </w:p>
    <w:p>
      <w:pPr>
        <w:pStyle w:val="BodyText"/>
        <w:spacing w:line="240" w:lineRule="auto" w:before="19"/>
        <w:ind w:left="574" w:right="0"/>
        <w:jc w:val="left"/>
      </w:pPr>
      <w:r>
        <w:rPr/>
        <w:t>（</w:t>
      </w:r>
      <w:r>
        <w:rPr>
          <w:rFonts w:ascii="Times New Roman" w:hAnsi="Times New Roman" w:cs="Times New Roman" w:eastAsia="Times New Roman" w:hint="default"/>
        </w:rPr>
        <w:t>1</w:t>
      </w:r>
      <w:r>
        <w:rPr/>
        <w:t>）市场风险</w:t>
      </w:r>
    </w:p>
    <w:p>
      <w:pPr>
        <w:pStyle w:val="BodyText"/>
        <w:spacing w:line="316" w:lineRule="auto" w:before="63"/>
        <w:ind w:left="574" w:right="4752"/>
        <w:jc w:val="left"/>
      </w:pPr>
      <w:r>
        <w:rPr/>
        <w:t>①外汇风险 本公司主要业务活动以人民币计价结算，外汇对经营业绩未产生影响。</w:t>
      </w:r>
    </w:p>
    <w:p>
      <w:pPr>
        <w:pStyle w:val="BodyText"/>
        <w:spacing w:line="316" w:lineRule="auto" w:before="19"/>
        <w:ind w:left="574" w:right="6732"/>
        <w:jc w:val="left"/>
      </w:pPr>
      <w:r>
        <w:rPr/>
        <w:t>②利率风险－现金流量变动风险 本公司无借款，利率对经营业绩未产生影响。</w:t>
      </w:r>
    </w:p>
    <w:p>
      <w:pPr>
        <w:pStyle w:val="BodyText"/>
        <w:spacing w:line="316" w:lineRule="auto" w:before="19"/>
        <w:ind w:left="574" w:right="6552"/>
        <w:jc w:val="left"/>
      </w:pPr>
      <w:r>
        <w:rPr/>
        <w:t>③其他价格风险 本公司无其他与金融工具相关的其他价格风险。</w:t>
      </w:r>
    </w:p>
    <w:p>
      <w:pPr>
        <w:pStyle w:val="BodyText"/>
        <w:spacing w:line="240" w:lineRule="auto" w:before="19"/>
        <w:ind w:left="574" w:right="0"/>
        <w:jc w:val="left"/>
      </w:pPr>
      <w:r>
        <w:rPr/>
        <w:t>（</w:t>
      </w:r>
      <w:r>
        <w:rPr>
          <w:rFonts w:ascii="Times New Roman" w:hAnsi="Times New Roman" w:cs="Times New Roman" w:eastAsia="Times New Roman" w:hint="default"/>
        </w:rPr>
        <w:t>2</w:t>
      </w:r>
      <w:r>
        <w:rPr/>
        <w:t>）信用风险</w:t>
      </w:r>
    </w:p>
    <w:p>
      <w:pPr>
        <w:pStyle w:val="BodyText"/>
        <w:spacing w:line="300" w:lineRule="auto" w:before="63"/>
        <w:ind w:right="1135"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日，可能引起本公司财务损失的最大信用风险敞口主要来自于合同另一方未能履行义务而导致本公司金 融资产产生的损失。</w:t>
      </w:r>
    </w:p>
    <w:p>
      <w:pPr>
        <w:pStyle w:val="BodyText"/>
        <w:spacing w:line="316" w:lineRule="auto" w:before="31"/>
        <w:ind w:right="1132" w:firstLine="420"/>
        <w:jc w:val="both"/>
      </w:pPr>
      <w:r>
        <w:rPr/>
        <w:t>为降低信用风险，本公司成立了一个小组负责确定信用额度、进行信用审批，并执行其他监控程序以确保采取必要的 </w:t>
      </w:r>
      <w:r>
        <w:rPr>
          <w:spacing w:val="-2"/>
        </w:rPr>
        <w:t>措施回收过期债权。此外，本公司于每个资产负债表日审核每一单项应收款的回收情况，以确保就无法回收的款项计提充分</w:t>
      </w:r>
      <w:r>
        <w:rPr>
          <w:spacing w:val="-66"/>
        </w:rPr>
        <w:t> </w:t>
      </w:r>
      <w:r>
        <w:rPr>
          <w:spacing w:val="-66"/>
        </w:rPr>
      </w:r>
      <w:r>
        <w:rPr/>
        <w:t>的坏账准备。因此，本公司管理层认为本公司所承担的信用风险已经大为降低。</w:t>
      </w:r>
    </w:p>
    <w:p>
      <w:pPr>
        <w:pStyle w:val="BodyText"/>
        <w:spacing w:line="300" w:lineRule="auto" w:before="19"/>
        <w:ind w:left="574" w:right="1118"/>
        <w:jc w:val="left"/>
      </w:pPr>
      <w:r>
        <w:rPr/>
        <w:t>（</w:t>
      </w:r>
      <w:r>
        <w:rPr>
          <w:rFonts w:ascii="Times New Roman" w:hAnsi="Times New Roman" w:cs="Times New Roman" w:eastAsia="Times New Roman" w:hint="default"/>
        </w:rPr>
        <w:t>3</w:t>
      </w:r>
      <w:r>
        <w:rPr/>
        <w:t>）流动风险 管理流动风险时，本公司保持管理层认为充分的现金及现金等价物并对其进行监控，以满足本公司经营需要，并降低</w:t>
      </w:r>
    </w:p>
    <w:p>
      <w:pPr>
        <w:pStyle w:val="BodyText"/>
        <w:spacing w:line="240" w:lineRule="auto" w:before="31"/>
        <w:ind w:right="0"/>
        <w:jc w:val="left"/>
      </w:pPr>
      <w:r>
        <w:rPr/>
        <w:t>现金流量波动的影响。</w:t>
      </w:r>
    </w:p>
    <w:p>
      <w:pPr>
        <w:pStyle w:val="BodyText"/>
        <w:spacing w:line="240" w:lineRule="auto" w:before="76"/>
        <w:ind w:right="0"/>
        <w:jc w:val="left"/>
      </w:pPr>
      <w:r>
        <w:rPr>
          <w:rFonts w:ascii="Times New Roman" w:hAnsi="Times New Roman" w:cs="Times New Roman" w:eastAsia="Times New Roman" w:hint="default"/>
        </w:rPr>
        <w:t>2</w:t>
      </w:r>
      <w:r>
        <w:rPr/>
        <w:t>、金融资产转移</w:t>
      </w:r>
    </w:p>
    <w:p>
      <w:pPr>
        <w:pStyle w:val="BodyText"/>
        <w:spacing w:line="240" w:lineRule="auto" w:before="63"/>
        <w:ind w:left="574" w:right="0"/>
        <w:jc w:val="left"/>
      </w:pPr>
      <w:r>
        <w:rPr/>
        <w:t>本公司无金融资产转移的情况。</w:t>
      </w:r>
    </w:p>
    <w:p>
      <w:pPr>
        <w:pStyle w:val="BodyText"/>
        <w:spacing w:line="300" w:lineRule="auto" w:before="76"/>
        <w:ind w:left="574" w:right="6732" w:hanging="420"/>
        <w:jc w:val="left"/>
      </w:pPr>
      <w:r>
        <w:rPr>
          <w:rFonts w:ascii="Times New Roman" w:hAnsi="Times New Roman" w:cs="Times New Roman" w:eastAsia="Times New Roman" w:hint="default"/>
        </w:rPr>
        <w:t>3</w:t>
      </w:r>
      <w:r>
        <w:rPr/>
        <w:t>、金融资产与金融负债的抵销 本公司无金融资产与金融负债的抵销的情况。</w:t>
      </w:r>
    </w:p>
    <w:p>
      <w:pPr>
        <w:spacing w:after="0" w:line="30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一、公允价值的披露" w:id="422"/>
      <w:bookmarkEnd w:id="422"/>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23"/>
      <w:bookmarkEnd w:id="42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持续和非持续第一层次公允价值计量项目市价的确定依据" w:id="424"/>
      <w:bookmarkEnd w:id="424"/>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425"/>
      <w:bookmarkEnd w:id="425"/>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26"/>
      <w:bookmarkEnd w:id="426"/>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不可观察参数" w:id="427"/>
      <w:bookmarkEnd w:id="427"/>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28"/>
      <w:bookmarkEnd w:id="428"/>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29"/>
      <w:bookmarkEnd w:id="429"/>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430"/>
      <w:bookmarkEnd w:id="430"/>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2" w:firstLine="0"/>
        <w:jc w:val="left"/>
        <w:rPr>
          <w:rFonts w:ascii="宋体" w:hAnsi="宋体" w:cs="宋体" w:eastAsia="宋体" w:hint="default"/>
          <w:sz w:val="21"/>
          <w:szCs w:val="21"/>
        </w:rPr>
      </w:pPr>
      <w:bookmarkStart w:name="9、其他" w:id="431"/>
      <w:bookmarkEnd w:id="431"/>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32"/>
      <w:bookmarkEnd w:id="43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33"/>
      <w:bookmarkEnd w:id="43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40" w:lineRule="auto" w:before="51"/>
        <w:ind w:right="0"/>
        <w:jc w:val="left"/>
      </w:pPr>
      <w:r>
        <w:rPr/>
        <w:t>本企业的母公司情况的说明</w:t>
      </w:r>
    </w:p>
    <w:p>
      <w:pPr>
        <w:pStyle w:val="Heading4"/>
        <w:spacing w:line="240" w:lineRule="auto"/>
        <w:ind w:right="0"/>
        <w:jc w:val="left"/>
      </w:pPr>
      <w:r>
        <w:rPr/>
        <w:t>本公司无母公司，陈喆女士为本公司的实际控制人。</w:t>
      </w:r>
    </w:p>
    <w:p>
      <w:pPr>
        <w:pStyle w:val="BodyText"/>
        <w:spacing w:line="357" w:lineRule="auto" w:before="103"/>
        <w:ind w:right="8232"/>
        <w:jc w:val="left"/>
      </w:pPr>
      <w:r>
        <w:rPr/>
        <w:t>本企业最终控制方是陈喆女士。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本企业的子公司情况" w:id="434"/>
      <w:bookmarkEnd w:id="434"/>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本企业子公司的情况详见附注九、</w:t>
      </w:r>
      <w:r>
        <w:rPr>
          <w:rFonts w:ascii="Times New Roman" w:hAnsi="Times New Roman" w:cs="Times New Roman" w:eastAsia="Times New Roman" w:hint="default"/>
        </w:rPr>
        <w:t>1</w:t>
      </w:r>
      <w:r>
        <w:rPr/>
        <w:t>、在子公司中的权益</w:t>
      </w:r>
      <w:r>
        <w:rPr>
          <w:spacing w:val="-90"/>
        </w:rPr>
        <w:t>。</w:t>
      </w: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本企业合营和联营企业情况" w:id="435"/>
      <w:bookmarkEnd w:id="435"/>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2"/>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436"/>
      <w:bookmarkEnd w:id="43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马铮</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公司股东、董事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珠海瑞信投资管理有限公司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肖志宏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周晔</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侯平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田联房</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于风政</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杨大贺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杨贤帮</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陈家贤</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马晓丽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蔡林生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孙玉玲</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财务总监、董事会秘书</w:t>
            </w:r>
          </w:p>
        </w:tc>
      </w:tr>
    </w:tbl>
    <w:p>
      <w:pPr>
        <w:pStyle w:val="BodyText"/>
        <w:spacing w:line="240" w:lineRule="auto" w:before="51"/>
        <w:ind w:right="0"/>
        <w:jc w:val="left"/>
      </w:pPr>
      <w:r>
        <w:rPr/>
        <w:t>其他说明</w:t>
      </w:r>
    </w:p>
    <w:p>
      <w:pPr>
        <w:pStyle w:val="BodyText"/>
        <w:spacing w:line="240" w:lineRule="auto" w:before="115"/>
        <w:ind w:right="0"/>
        <w:jc w:val="left"/>
      </w:pPr>
      <w:r>
        <w:rPr>
          <w:rFonts w:ascii="Times New Roman" w:hAnsi="Times New Roman" w:cs="Times New Roman" w:eastAsia="Times New Roman" w:hint="default"/>
        </w:rPr>
        <w:t>1</w:t>
      </w:r>
      <w:r>
        <w:rPr/>
        <w:t>、肖志宏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日辞职；</w:t>
      </w:r>
      <w:r>
        <w:rPr>
          <w:rFonts w:ascii="Times New Roman" w:hAnsi="Times New Roman" w:cs="Times New Roman" w:eastAsia="Times New Roman" w:hint="default"/>
        </w:rPr>
        <w:t>2</w:t>
      </w:r>
      <w:r>
        <w:rPr/>
        <w:t>、侯平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日辞职；</w:t>
      </w:r>
      <w:r>
        <w:rPr>
          <w:rFonts w:ascii="Times New Roman" w:hAnsi="Times New Roman" w:cs="Times New Roman" w:eastAsia="Times New Roman" w:hint="default"/>
        </w:rPr>
        <w:t>3</w:t>
      </w:r>
      <w:r>
        <w:rPr/>
        <w:t>、马晓丽</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月辞职；</w:t>
      </w:r>
      <w:r>
        <w:rPr>
          <w:rFonts w:ascii="Times New Roman" w:hAnsi="Times New Roman" w:cs="Times New Roman" w:eastAsia="Times New Roman" w:hint="default"/>
        </w:rPr>
        <w:t>4</w:t>
      </w:r>
      <w:r>
        <w:rPr/>
        <w:t>、蔡林生</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月离职。</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5、关联交易情况" w:id="437"/>
      <w:bookmarkEnd w:id="43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38"/>
      <w:bookmarkEnd w:id="43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购销商品、提供和接受劳务的关联交易说明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关联受托管理/承包及委托管理/出包情况" w:id="439"/>
      <w:bookmarkEnd w:id="439"/>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关联租赁情况" w:id="440"/>
      <w:bookmarkEnd w:id="440"/>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441"/>
      <w:bookmarkEnd w:id="441"/>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方资金拆借" w:id="442"/>
      <w:bookmarkEnd w:id="442"/>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关联方资产转让、债务重组情况" w:id="443"/>
      <w:bookmarkEnd w:id="443"/>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444"/>
      <w:bookmarkEnd w:id="444"/>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5,109,400.00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445"/>
      <w:bookmarkEnd w:id="445"/>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关联方应收应付款项" w:id="446"/>
      <w:bookmarkEnd w:id="44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47"/>
      <w:bookmarkEnd w:id="44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448"/>
      <w:bookmarkEnd w:id="44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449"/>
      <w:bookmarkEnd w:id="44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50"/>
      <w:bookmarkEnd w:id="45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51"/>
      <w:bookmarkEnd w:id="451"/>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2"/>
      <w:bookmarkEnd w:id="45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447,501.00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99,889.00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21.18 </w:t>
            </w:r>
            <w:r>
              <w:rPr>
                <w:rFonts w:ascii="宋体" w:hAnsi="宋体" w:cs="宋体" w:eastAsia="宋体" w:hint="default"/>
                <w:sz w:val="18"/>
                <w:szCs w:val="18"/>
              </w:rPr>
              <w:t>元</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74" w:right="0"/>
        <w:jc w:val="left"/>
      </w:pPr>
      <w:r>
        <w:rPr/>
        <w:t>（</w:t>
      </w:r>
      <w:r>
        <w:rPr>
          <w:rFonts w:ascii="Times New Roman" w:hAnsi="Times New Roman" w:cs="Times New Roman" w:eastAsia="Times New Roman" w:hint="default"/>
        </w:rPr>
        <w:t>1</w:t>
      </w:r>
      <w:r>
        <w:rPr/>
        <w:t>）首次授予股权激励 根据本公司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日第二届董事会第十一次会议决议和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日的</w:t>
      </w:r>
      <w:r>
        <w:rPr>
          <w:rFonts w:ascii="Times New Roman" w:hAnsi="Times New Roman" w:cs="Times New Roman" w:eastAsia="Times New Roman" w:hint="default"/>
        </w:rPr>
        <w:t>2017</w:t>
      </w:r>
      <w:r>
        <w:rPr/>
        <w:t>年第一次临时股东大会审议通过的</w:t>
      </w:r>
    </w:p>
    <w:p>
      <w:pPr>
        <w:pStyle w:val="BodyText"/>
        <w:spacing w:line="300" w:lineRule="auto" w:before="13"/>
        <w:ind w:right="1129"/>
        <w:jc w:val="both"/>
      </w:pPr>
      <w:r>
        <w:rPr/>
        <w:t>《珠海汇金科技股份有限公司</w:t>
      </w:r>
      <w:r>
        <w:rPr>
          <w:rFonts w:ascii="Times New Roman" w:hAnsi="Times New Roman" w:cs="Times New Roman" w:eastAsia="Times New Roman" w:hint="default"/>
        </w:rPr>
        <w:t>2017</w:t>
      </w:r>
      <w:r>
        <w:rPr/>
        <w:t>年限制性股票激励计划（草案）》及其摘要，及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日第二届董事会第十四次会</w:t>
      </w:r>
      <w:r>
        <w:rPr>
          <w:spacing w:val="-83"/>
        </w:rPr>
        <w:t> </w:t>
      </w:r>
      <w:r>
        <w:rPr>
          <w:spacing w:val="-83"/>
        </w:rPr>
      </w:r>
      <w:r>
        <w:rPr>
          <w:spacing w:val="-2"/>
        </w:rPr>
        <w:t>议决议通过的《关于向激励对象首次授予限制性股票的议案》，</w:t>
      </w:r>
      <w:r>
        <w:rPr>
          <w:rFonts w:ascii="Times New Roman" w:hAnsi="Times New Roman" w:cs="Times New Roman" w:eastAsia="Times New Roman" w:hint="default"/>
          <w:spacing w:val="-2"/>
        </w:rPr>
        <w:t>2017</w:t>
      </w:r>
      <w:r>
        <w:rPr>
          <w:spacing w:val="-2"/>
        </w:rPr>
        <w:t>年度由</w:t>
      </w:r>
      <w:r>
        <w:rPr>
          <w:rFonts w:ascii="Times New Roman" w:hAnsi="Times New Roman" w:cs="Times New Roman" w:eastAsia="Times New Roman" w:hint="default"/>
          <w:spacing w:val="-2"/>
        </w:rPr>
        <w:t>42</w:t>
      </w:r>
      <w:r>
        <w:rPr>
          <w:spacing w:val="-2"/>
        </w:rPr>
        <w:t>名限制性股票激励对象行权，实际行权数量为</w:t>
      </w:r>
      <w:r>
        <w:rPr>
          <w:spacing w:val="-59"/>
        </w:rPr>
        <w:t> </w:t>
      </w:r>
      <w:r>
        <w:rPr>
          <w:spacing w:val="-59"/>
        </w:rPr>
      </w:r>
      <w:r>
        <w:rPr>
          <w:rFonts w:ascii="Times New Roman" w:hAnsi="Times New Roman" w:cs="Times New Roman" w:eastAsia="Times New Roman" w:hint="default"/>
        </w:rPr>
        <w:t>116</w:t>
      </w:r>
      <w:r>
        <w:rPr/>
        <w:t>万份，行权价格为</w:t>
      </w:r>
      <w:r>
        <w:rPr>
          <w:rFonts w:ascii="Times New Roman" w:hAnsi="Times New Roman" w:cs="Times New Roman" w:eastAsia="Times New Roman" w:hint="default"/>
        </w:rPr>
        <w:t>24.45</w:t>
      </w:r>
      <w:r>
        <w:rPr/>
        <w:t>元</w:t>
      </w:r>
      <w:r>
        <w:rPr>
          <w:rFonts w:ascii="Times New Roman" w:hAnsi="Times New Roman" w:cs="Times New Roman" w:eastAsia="Times New Roman" w:hint="default"/>
        </w:rPr>
        <w:t>/</w:t>
      </w:r>
      <w:r>
        <w:rPr/>
        <w:t>股，授予日为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w:t>
      </w:r>
    </w:p>
    <w:p>
      <w:pPr>
        <w:pStyle w:val="BodyText"/>
        <w:spacing w:line="309" w:lineRule="auto" w:before="13"/>
        <w:ind w:right="1131" w:firstLine="420"/>
        <w:jc w:val="both"/>
      </w:pPr>
      <w:r>
        <w:rPr/>
        <w:t>本次授予的限制性股票限售期为自相应授予限制性股票授予登记日起</w:t>
      </w:r>
      <w:r>
        <w:rPr>
          <w:rFonts w:ascii="Times New Roman" w:hAnsi="Times New Roman" w:cs="Times New Roman" w:eastAsia="Times New Roman" w:hint="default"/>
        </w:rPr>
        <w:t>12</w:t>
      </w:r>
      <w:r>
        <w:rPr/>
        <w:t>个月。激励对象获授的限制性股票在解除限售 </w:t>
      </w:r>
      <w:r>
        <w:rPr>
          <w:spacing w:val="-2"/>
        </w:rPr>
        <w:t>前不得转让、用于担保或偿还债务。限售期满后，公司为满足解除限售条件的激励对象办理解除限售事宜，未满足解除限售</w:t>
      </w:r>
      <w:r>
        <w:rPr>
          <w:spacing w:val="-66"/>
        </w:rPr>
        <w:t> </w:t>
      </w:r>
      <w:r>
        <w:rPr>
          <w:spacing w:val="-66"/>
        </w:rPr>
      </w:r>
      <w:r>
        <w:rPr/>
        <w:t>条件的激励对象持有的限制性股票由公司按本计划的原则回购注销。</w:t>
      </w:r>
    </w:p>
    <w:p>
      <w:pPr>
        <w:pStyle w:val="BodyText"/>
        <w:spacing w:line="300" w:lineRule="auto" w:before="24"/>
        <w:ind w:right="1131" w:firstLine="420"/>
        <w:jc w:val="both"/>
      </w:pPr>
      <w:r>
        <w:rPr>
          <w:spacing w:val="-1"/>
        </w:rPr>
        <w:t>本次首次授予部分解除限售年度为</w:t>
      </w:r>
      <w:r>
        <w:rPr>
          <w:rFonts w:ascii="Times New Roman" w:hAnsi="Times New Roman" w:cs="Times New Roman" w:eastAsia="Times New Roman" w:hint="default"/>
          <w:spacing w:val="-1"/>
        </w:rPr>
        <w:t>2017-2019</w:t>
      </w:r>
      <w:r>
        <w:rPr>
          <w:spacing w:val="-1"/>
        </w:rPr>
        <w:t>年三个会计年度，分年度对公司营业收入增长率进行考核，首次授予部分</w:t>
      </w:r>
      <w:r>
        <w:rPr/>
        <w:t> 各年度的业绩考核目标如下：</w:t>
      </w:r>
    </w:p>
    <w:tbl>
      <w:tblPr>
        <w:tblW w:w="0" w:type="auto"/>
        <w:jc w:val="left"/>
        <w:tblInd w:w="527" w:type="dxa"/>
        <w:tblLayout w:type="fixed"/>
        <w:tblCellMar>
          <w:top w:w="0" w:type="dxa"/>
          <w:left w:w="0" w:type="dxa"/>
          <w:bottom w:w="0" w:type="dxa"/>
          <w:right w:w="0" w:type="dxa"/>
        </w:tblCellMar>
        <w:tblLook w:val="01E0"/>
      </w:tblPr>
      <w:tblGrid>
        <w:gridCol w:w="2178"/>
        <w:gridCol w:w="6704"/>
      </w:tblGrid>
      <w:tr>
        <w:trPr>
          <w:trHeight w:val="34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4" w:right="0"/>
              <w:jc w:val="left"/>
              <w:rPr>
                <w:rFonts w:ascii="宋体" w:hAnsi="宋体" w:cs="宋体" w:eastAsia="宋体" w:hint="default"/>
                <w:sz w:val="18"/>
                <w:szCs w:val="18"/>
              </w:rPr>
            </w:pPr>
            <w:r>
              <w:rPr>
                <w:rFonts w:ascii="宋体" w:hAnsi="宋体" w:cs="宋体" w:eastAsia="宋体" w:hint="default"/>
                <w:sz w:val="18"/>
                <w:szCs w:val="18"/>
              </w:rPr>
              <w:t>解除限售安排</w:t>
            </w:r>
          </w:p>
        </w:tc>
        <w:tc>
          <w:tcPr>
            <w:tcW w:w="6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业绩考核目标</w:t>
            </w:r>
          </w:p>
        </w:tc>
      </w:tr>
      <w:tr>
        <w:trPr>
          <w:trHeight w:val="34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第一个解除限售期</w:t>
            </w:r>
          </w:p>
        </w:tc>
        <w:tc>
          <w:tcPr>
            <w:tcW w:w="6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2017</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10%</w:t>
            </w:r>
          </w:p>
        </w:tc>
      </w:tr>
      <w:tr>
        <w:trPr>
          <w:trHeight w:val="34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第二个解除限售期</w:t>
            </w:r>
          </w:p>
        </w:tc>
        <w:tc>
          <w:tcPr>
            <w:tcW w:w="6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20%</w:t>
            </w:r>
          </w:p>
        </w:tc>
      </w:tr>
      <w:tr>
        <w:trPr>
          <w:trHeight w:val="34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第三个解除限售期</w:t>
            </w:r>
          </w:p>
        </w:tc>
        <w:tc>
          <w:tcPr>
            <w:tcW w:w="6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30%</w:t>
            </w:r>
          </w:p>
        </w:tc>
      </w:tr>
    </w:tbl>
    <w:p>
      <w:pPr>
        <w:pStyle w:val="BodyText"/>
        <w:spacing w:line="240" w:lineRule="auto" w:before="31"/>
        <w:ind w:left="514" w:right="0"/>
        <w:jc w:val="left"/>
      </w:pPr>
      <w:r>
        <w:rPr/>
        <w:t>本次限制性股票的解除限售期及各期解除限售时间安排如下：</w:t>
      </w:r>
    </w:p>
    <w:p>
      <w:pPr>
        <w:spacing w:line="240" w:lineRule="auto" w:before="0"/>
        <w:rPr>
          <w:rFonts w:ascii="宋体" w:hAnsi="宋体" w:cs="宋体" w:eastAsia="宋体" w:hint="default"/>
          <w:sz w:val="5"/>
          <w:szCs w:val="5"/>
        </w:rPr>
      </w:pPr>
    </w:p>
    <w:tbl>
      <w:tblPr>
        <w:tblW w:w="0" w:type="auto"/>
        <w:jc w:val="left"/>
        <w:tblInd w:w="515" w:type="dxa"/>
        <w:tblLayout w:type="fixed"/>
        <w:tblCellMar>
          <w:top w:w="0" w:type="dxa"/>
          <w:left w:w="0" w:type="dxa"/>
          <w:bottom w:w="0" w:type="dxa"/>
          <w:right w:w="0" w:type="dxa"/>
        </w:tblCellMar>
        <w:tblLook w:val="01E0"/>
      </w:tblPr>
      <w:tblGrid>
        <w:gridCol w:w="2128"/>
        <w:gridCol w:w="5386"/>
        <w:gridCol w:w="1392"/>
      </w:tblGrid>
      <w:tr>
        <w:trPr>
          <w:trHeight w:val="34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18" w:right="0"/>
              <w:jc w:val="left"/>
              <w:rPr>
                <w:rFonts w:ascii="宋体" w:hAnsi="宋体" w:cs="宋体" w:eastAsia="宋体" w:hint="default"/>
                <w:sz w:val="18"/>
                <w:szCs w:val="18"/>
              </w:rPr>
            </w:pPr>
            <w:r>
              <w:rPr>
                <w:rFonts w:ascii="宋体" w:hAnsi="宋体" w:cs="宋体" w:eastAsia="宋体" w:hint="default"/>
                <w:sz w:val="18"/>
                <w:szCs w:val="18"/>
              </w:rPr>
              <w:t>解除限售安排</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6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第一个解除限售期</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49"/>
              <w:jc w:val="left"/>
              <w:rPr>
                <w:rFonts w:ascii="宋体" w:hAnsi="宋体" w:cs="宋体" w:eastAsia="宋体" w:hint="default"/>
                <w:sz w:val="18"/>
                <w:szCs w:val="18"/>
              </w:rPr>
            </w:pPr>
            <w:r>
              <w:rPr>
                <w:rFonts w:ascii="宋体" w:hAnsi="宋体" w:cs="宋体" w:eastAsia="宋体" w:hint="default"/>
                <w:sz w:val="18"/>
                <w:szCs w:val="18"/>
              </w:rPr>
              <w:t>自相应授予登记日起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个月后的首个交易日起至限制性股票授予登 记日起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w:t>
            </w:r>
          </w:p>
        </w:tc>
      </w:tr>
      <w:tr>
        <w:trPr>
          <w:trHeight w:val="6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第二个解除限售期</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49"/>
              <w:jc w:val="left"/>
              <w:rPr>
                <w:rFonts w:ascii="宋体" w:hAnsi="宋体" w:cs="宋体" w:eastAsia="宋体" w:hint="default"/>
                <w:sz w:val="18"/>
                <w:szCs w:val="18"/>
              </w:rPr>
            </w:pPr>
            <w:r>
              <w:rPr>
                <w:rFonts w:ascii="宋体" w:hAnsi="宋体" w:cs="宋体" w:eastAsia="宋体" w:hint="default"/>
                <w:sz w:val="18"/>
                <w:szCs w:val="18"/>
              </w:rPr>
              <w:t>自相应授予登记日起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个月后的首个交易日起至限制性股票授予登 记日起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40%</w:t>
            </w:r>
          </w:p>
        </w:tc>
      </w:tr>
      <w:tr>
        <w:trPr>
          <w:trHeight w:val="65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第三个解除限售期</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49"/>
              <w:jc w:val="left"/>
              <w:rPr>
                <w:rFonts w:ascii="宋体" w:hAnsi="宋体" w:cs="宋体" w:eastAsia="宋体" w:hint="default"/>
                <w:sz w:val="18"/>
                <w:szCs w:val="18"/>
              </w:rPr>
            </w:pPr>
            <w:r>
              <w:rPr>
                <w:rFonts w:ascii="宋体" w:hAnsi="宋体" w:cs="宋体" w:eastAsia="宋体" w:hint="default"/>
                <w:sz w:val="18"/>
                <w:szCs w:val="18"/>
              </w:rPr>
              <w:t>自相应授予登记日起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个月后的首个交易日起至限制性股票授予登 记日起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40%</w:t>
            </w:r>
          </w:p>
        </w:tc>
      </w:tr>
    </w:tbl>
    <w:p>
      <w:pPr>
        <w:pStyle w:val="BodyText"/>
        <w:spacing w:line="300" w:lineRule="auto" w:before="10"/>
        <w:ind w:left="574" w:right="0"/>
        <w:jc w:val="left"/>
      </w:pPr>
      <w:r>
        <w:rPr/>
        <w:t>（</w:t>
      </w:r>
      <w:r>
        <w:rPr>
          <w:rFonts w:ascii="Times New Roman" w:hAnsi="Times New Roman" w:cs="Times New Roman" w:eastAsia="Times New Roman" w:hint="default"/>
        </w:rPr>
        <w:t>2</w:t>
      </w:r>
      <w:r>
        <w:rPr/>
        <w:t>）预留部分股权激励 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日第二届董事会第二十一次会议决议，公司于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日向激励对象授予预留部分限制性股票，</w:t>
      </w:r>
    </w:p>
    <w:p>
      <w:pPr>
        <w:pStyle w:val="BodyText"/>
        <w:spacing w:line="300" w:lineRule="auto" w:before="13"/>
        <w:ind w:left="574" w:right="1131" w:hanging="420"/>
        <w:jc w:val="left"/>
      </w:pPr>
      <w:r>
        <w:rPr/>
        <w:t>本年度由</w:t>
      </w:r>
      <w:r>
        <w:rPr>
          <w:rFonts w:ascii="Times New Roman" w:hAnsi="Times New Roman" w:cs="Times New Roman" w:eastAsia="Times New Roman" w:hint="default"/>
        </w:rPr>
        <w:t>6</w:t>
      </w:r>
      <w:r>
        <w:rPr/>
        <w:t>名限制性股票激励对象行权，实际行权数量为</w:t>
      </w:r>
      <w:r>
        <w:rPr>
          <w:rFonts w:ascii="Times New Roman" w:hAnsi="Times New Roman" w:cs="Times New Roman" w:eastAsia="Times New Roman" w:hint="default"/>
        </w:rPr>
        <w:t>19</w:t>
      </w:r>
      <w:r>
        <w:rPr/>
        <w:t>万份，行权价格为</w:t>
      </w:r>
      <w:r>
        <w:rPr>
          <w:rFonts w:ascii="Times New Roman" w:hAnsi="Times New Roman" w:cs="Times New Roman" w:eastAsia="Times New Roman" w:hint="default"/>
        </w:rPr>
        <w:t>21.18</w:t>
      </w:r>
      <w:r>
        <w:rPr/>
        <w:t>元</w:t>
      </w:r>
      <w:r>
        <w:rPr>
          <w:rFonts w:ascii="Times New Roman" w:hAnsi="Times New Roman" w:cs="Times New Roman" w:eastAsia="Times New Roman" w:hint="default"/>
        </w:rPr>
        <w:t>/</w:t>
      </w:r>
      <w:r>
        <w:rPr/>
        <w:t>股，授予日为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 </w:t>
      </w:r>
      <w:r>
        <w:rPr>
          <w:spacing w:val="-1"/>
        </w:rPr>
        <w:t>本次预留部分解除限售年度为</w:t>
      </w:r>
      <w:r>
        <w:rPr>
          <w:rFonts w:ascii="Times New Roman" w:hAnsi="Times New Roman" w:cs="Times New Roman" w:eastAsia="Times New Roman" w:hint="default"/>
          <w:spacing w:val="-1"/>
        </w:rPr>
        <w:t>2018-2020</w:t>
      </w:r>
      <w:r>
        <w:rPr>
          <w:spacing w:val="-1"/>
        </w:rPr>
        <w:t>年三个会计年度，分年度对公司营业收入增长率进行考核，各年度的业绩考核</w:t>
      </w:r>
    </w:p>
    <w:p>
      <w:pPr>
        <w:pStyle w:val="BodyText"/>
        <w:spacing w:line="240" w:lineRule="auto" w:before="13"/>
        <w:ind w:right="0"/>
        <w:jc w:val="left"/>
      </w:pPr>
      <w:r>
        <w:rPr/>
        <w:t>目标如下：</w:t>
      </w:r>
    </w:p>
    <w:p>
      <w:pPr>
        <w:spacing w:line="240" w:lineRule="auto" w:before="0"/>
        <w:rPr>
          <w:rFonts w:ascii="宋体" w:hAnsi="宋体" w:cs="宋体" w:eastAsia="宋体" w:hint="default"/>
          <w:sz w:val="5"/>
          <w:szCs w:val="5"/>
        </w:rPr>
      </w:pPr>
    </w:p>
    <w:tbl>
      <w:tblPr>
        <w:tblW w:w="0" w:type="auto"/>
        <w:jc w:val="left"/>
        <w:tblInd w:w="527" w:type="dxa"/>
        <w:tblLayout w:type="fixed"/>
        <w:tblCellMar>
          <w:top w:w="0" w:type="dxa"/>
          <w:left w:w="0" w:type="dxa"/>
          <w:bottom w:w="0" w:type="dxa"/>
          <w:right w:w="0" w:type="dxa"/>
        </w:tblCellMar>
        <w:tblLook w:val="01E0"/>
      </w:tblPr>
      <w:tblGrid>
        <w:gridCol w:w="2776"/>
        <w:gridCol w:w="6106"/>
      </w:tblGrid>
      <w:tr>
        <w:trPr>
          <w:trHeight w:val="342"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42" w:right="0"/>
              <w:jc w:val="left"/>
              <w:rPr>
                <w:rFonts w:ascii="宋体" w:hAnsi="宋体" w:cs="宋体" w:eastAsia="宋体" w:hint="default"/>
                <w:sz w:val="18"/>
                <w:szCs w:val="18"/>
              </w:rPr>
            </w:pPr>
            <w:r>
              <w:rPr>
                <w:rFonts w:ascii="宋体" w:hAnsi="宋体" w:cs="宋体" w:eastAsia="宋体" w:hint="default"/>
                <w:sz w:val="18"/>
                <w:szCs w:val="18"/>
              </w:rPr>
              <w:t>解除限售安排</w:t>
            </w:r>
          </w:p>
        </w:tc>
        <w:tc>
          <w:tcPr>
            <w:tcW w:w="6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业绩考核目标</w:t>
            </w:r>
          </w:p>
        </w:tc>
      </w:tr>
      <w:tr>
        <w:trPr>
          <w:trHeight w:val="342"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预留部分第一个解除限售期</w:t>
            </w:r>
          </w:p>
        </w:tc>
        <w:tc>
          <w:tcPr>
            <w:tcW w:w="6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20%</w:t>
            </w:r>
          </w:p>
        </w:tc>
      </w:tr>
      <w:tr>
        <w:trPr>
          <w:trHeight w:val="342"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预留部分第二个解除限售期</w:t>
            </w:r>
          </w:p>
        </w:tc>
        <w:tc>
          <w:tcPr>
            <w:tcW w:w="6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30%</w:t>
            </w:r>
          </w:p>
        </w:tc>
      </w:tr>
      <w:tr>
        <w:trPr>
          <w:trHeight w:val="342"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预留部分第三个解除限售期</w:t>
            </w:r>
          </w:p>
        </w:tc>
        <w:tc>
          <w:tcPr>
            <w:tcW w:w="6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年营业收入为基数，</w:t>
            </w:r>
            <w:r>
              <w:rPr>
                <w:rFonts w:ascii="Times New Roman" w:hAnsi="Times New Roman" w:cs="Times New Roman" w:eastAsia="Times New Roman" w:hint="default"/>
                <w:sz w:val="18"/>
                <w:szCs w:val="18"/>
              </w:rPr>
              <w:t>2020</w:t>
            </w:r>
            <w:r>
              <w:rPr>
                <w:rFonts w:ascii="宋体" w:hAnsi="宋体" w:cs="宋体" w:eastAsia="宋体" w:hint="default"/>
                <w:sz w:val="18"/>
                <w:szCs w:val="18"/>
              </w:rPr>
              <w:t>年营业收入增长率不低于</w:t>
            </w:r>
            <w:r>
              <w:rPr>
                <w:rFonts w:ascii="Times New Roman" w:hAnsi="Times New Roman" w:cs="Times New Roman" w:eastAsia="Times New Roman" w:hint="default"/>
                <w:sz w:val="18"/>
                <w:szCs w:val="18"/>
              </w:rPr>
              <w:t>40%</w:t>
            </w:r>
          </w:p>
        </w:tc>
      </w:tr>
    </w:tbl>
    <w:p>
      <w:pPr>
        <w:pStyle w:val="BodyText"/>
        <w:spacing w:line="240" w:lineRule="auto" w:before="10"/>
        <w:ind w:left="574" w:right="0"/>
        <w:jc w:val="left"/>
      </w:pPr>
      <w:r>
        <w:rPr/>
        <w:t>本次限制性股票的解除限售期及各期解除限售时间安排如下：</w:t>
      </w:r>
    </w:p>
    <w:p>
      <w:pPr>
        <w:spacing w:line="240" w:lineRule="auto" w:before="0"/>
        <w:rPr>
          <w:rFonts w:ascii="宋体" w:hAnsi="宋体" w:cs="宋体" w:eastAsia="宋体" w:hint="default"/>
          <w:sz w:val="5"/>
          <w:szCs w:val="5"/>
        </w:rPr>
      </w:pPr>
    </w:p>
    <w:tbl>
      <w:tblPr>
        <w:tblW w:w="0" w:type="auto"/>
        <w:jc w:val="left"/>
        <w:tblInd w:w="515" w:type="dxa"/>
        <w:tblLayout w:type="fixed"/>
        <w:tblCellMar>
          <w:top w:w="0" w:type="dxa"/>
          <w:left w:w="0" w:type="dxa"/>
          <w:bottom w:w="0" w:type="dxa"/>
          <w:right w:w="0" w:type="dxa"/>
        </w:tblCellMar>
        <w:tblLook w:val="01E0"/>
      </w:tblPr>
      <w:tblGrid>
        <w:gridCol w:w="2506"/>
        <w:gridCol w:w="5008"/>
        <w:gridCol w:w="1392"/>
      </w:tblGrid>
      <w:tr>
        <w:trPr>
          <w:trHeight w:val="342"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07" w:right="0"/>
              <w:jc w:val="left"/>
              <w:rPr>
                <w:rFonts w:ascii="宋体" w:hAnsi="宋体" w:cs="宋体" w:eastAsia="宋体" w:hint="default"/>
                <w:sz w:val="18"/>
                <w:szCs w:val="18"/>
              </w:rPr>
            </w:pPr>
            <w:r>
              <w:rPr>
                <w:rFonts w:ascii="宋体" w:hAnsi="宋体" w:cs="宋体" w:eastAsia="宋体" w:hint="default"/>
                <w:sz w:val="18"/>
                <w:szCs w:val="18"/>
              </w:rPr>
              <w:t>解除限售安排</w:t>
            </w:r>
          </w:p>
        </w:tc>
        <w:tc>
          <w:tcPr>
            <w:tcW w:w="5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654"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预留部分第一个解除限售期</w:t>
            </w:r>
          </w:p>
        </w:tc>
        <w:tc>
          <w:tcPr>
            <w:tcW w:w="50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31"/>
              <w:jc w:val="left"/>
              <w:rPr>
                <w:rFonts w:ascii="宋体" w:hAnsi="宋体" w:cs="宋体" w:eastAsia="宋体" w:hint="default"/>
                <w:sz w:val="18"/>
                <w:szCs w:val="18"/>
              </w:rPr>
            </w:pPr>
            <w:r>
              <w:rPr>
                <w:rFonts w:ascii="宋体" w:hAnsi="宋体" w:cs="宋体" w:eastAsia="宋体" w:hint="default"/>
                <w:sz w:val="18"/>
                <w:szCs w:val="18"/>
              </w:rPr>
              <w:t>自预留授予登记日起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个月后的首个交易日起至限制性股票授 予登记日起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w:t>
            </w:r>
          </w:p>
        </w:tc>
      </w:tr>
      <w:tr>
        <w:trPr>
          <w:trHeight w:val="654"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预留部分第二个解除限售期</w:t>
            </w:r>
          </w:p>
        </w:tc>
        <w:tc>
          <w:tcPr>
            <w:tcW w:w="50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31"/>
              <w:jc w:val="left"/>
              <w:rPr>
                <w:rFonts w:ascii="宋体" w:hAnsi="宋体" w:cs="宋体" w:eastAsia="宋体" w:hint="default"/>
                <w:sz w:val="18"/>
                <w:szCs w:val="18"/>
              </w:rPr>
            </w:pPr>
            <w:r>
              <w:rPr>
                <w:rFonts w:ascii="宋体" w:hAnsi="宋体" w:cs="宋体" w:eastAsia="宋体" w:hint="default"/>
                <w:sz w:val="18"/>
                <w:szCs w:val="18"/>
              </w:rPr>
              <w:t>自预留授予登记日起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个月后的首个交易日起至限制性股票授 予登记日起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40%</w:t>
            </w:r>
          </w:p>
        </w:tc>
      </w:tr>
      <w:tr>
        <w:trPr>
          <w:trHeight w:val="654"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预留部分第三个解除限售期</w:t>
            </w:r>
          </w:p>
        </w:tc>
        <w:tc>
          <w:tcPr>
            <w:tcW w:w="50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31"/>
              <w:jc w:val="left"/>
              <w:rPr>
                <w:rFonts w:ascii="宋体" w:hAnsi="宋体" w:cs="宋体" w:eastAsia="宋体" w:hint="default"/>
                <w:sz w:val="18"/>
                <w:szCs w:val="18"/>
              </w:rPr>
            </w:pPr>
            <w:r>
              <w:rPr>
                <w:rFonts w:ascii="宋体" w:hAnsi="宋体" w:cs="宋体" w:eastAsia="宋体" w:hint="default"/>
                <w:sz w:val="18"/>
                <w:szCs w:val="18"/>
              </w:rPr>
              <w:t>自预留授予登记日起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个月后的首个交易日起至限制性股票授 予登记日起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40%</w:t>
            </w:r>
          </w:p>
        </w:tc>
      </w:tr>
    </w:tbl>
    <w:p>
      <w:pPr>
        <w:pStyle w:val="BodyText"/>
        <w:spacing w:line="300" w:lineRule="auto" w:before="10"/>
        <w:ind w:right="0" w:firstLine="420"/>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日，公司以截至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8,516</w:t>
      </w:r>
      <w:r>
        <w:rPr>
          <w:spacing w:val="-2"/>
        </w:rPr>
        <w:t>万股为基数向全体股东以资本公积每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股股本，</w:t>
      </w:r>
      <w:r>
        <w:rPr/>
        <w:t> 分配方案公布后至实施前，公司总股本由于股权激励行权发生变动，按照</w:t>
      </w:r>
      <w:r>
        <w:rPr>
          <w:rFonts w:ascii="Times New Roman" w:hAnsi="Times New Roman" w:cs="Times New Roman" w:eastAsia="Times New Roman" w:hint="default"/>
        </w:rPr>
        <w:t>“</w:t>
      </w:r>
      <w:r>
        <w:rPr/>
        <w:t>现金分红总额、送红股总额、转增股本总额固定</w:t>
      </w:r>
      <w:r>
        <w:rPr>
          <w:spacing w:val="-75"/>
        </w:rPr>
        <w:t> </w:t>
      </w:r>
      <w:r>
        <w:rPr>
          <w:spacing w:val="-75"/>
        </w:rPr>
      </w:r>
      <w:r>
        <w:rPr/>
        <w:t>不变</w:t>
      </w:r>
      <w:r>
        <w:rPr>
          <w:rFonts w:ascii="Times New Roman" w:hAnsi="Times New Roman" w:cs="Times New Roman" w:eastAsia="Times New Roman" w:hint="default"/>
        </w:rPr>
        <w:t>”</w:t>
      </w:r>
      <w:r>
        <w:rPr/>
        <w:t>的原则，在权益分派实施公告中披露按公司最新总股本计算的分配比例。因此公司</w:t>
      </w:r>
      <w:r>
        <w:rPr>
          <w:rFonts w:ascii="Times New Roman" w:hAnsi="Times New Roman" w:cs="Times New Roman" w:eastAsia="Times New Roman" w:hint="default"/>
        </w:rPr>
        <w:t>2017</w:t>
      </w:r>
      <w:r>
        <w:rPr/>
        <w:t>年年度资本公积转增方案调整</w:t>
      </w:r>
      <w:r>
        <w:rPr>
          <w:spacing w:val="-74"/>
        </w:rPr>
        <w:t> </w:t>
      </w:r>
      <w:r>
        <w:rPr>
          <w:spacing w:val="-74"/>
        </w:rPr>
      </w:r>
      <w:r>
        <w:rPr/>
        <w:t>为：以公司现有总股本</w:t>
      </w:r>
      <w:r>
        <w:rPr>
          <w:rFonts w:ascii="Times New Roman" w:hAnsi="Times New Roman" w:cs="Times New Roman" w:eastAsia="Times New Roman" w:hint="default"/>
        </w:rPr>
        <w:t>85,350,000</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9.977738</w:t>
      </w:r>
      <w:r>
        <w:rPr/>
        <w:t>股，相应的公司年末发行在外的</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股份期权行权价格应调整为</w:t>
      </w:r>
      <w:r>
        <w:rPr>
          <w:rFonts w:ascii="Times New Roman" w:hAnsi="Times New Roman" w:cs="Times New Roman" w:eastAsia="Times New Roman" w:hint="default"/>
        </w:rPr>
        <w:t>12.0588</w:t>
      </w:r>
      <w:r>
        <w:rPr/>
        <w:t>元、</w:t>
      </w:r>
      <w:r>
        <w:rPr>
          <w:rFonts w:ascii="Times New Roman" w:hAnsi="Times New Roman" w:cs="Times New Roman" w:eastAsia="Times New Roman" w:hint="default"/>
        </w:rPr>
        <w:t>10.4220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2、以权益结算的股份支付情况" w:id="453"/>
      <w:bookmarkEnd w:id="45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按各解锁期的业绩条件估计确定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4,036,600.00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2,676,700.00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454"/>
      <w:bookmarkEnd w:id="45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7" w:lineRule="auto" w:before="0"/>
        <w:ind w:left="154" w:right="79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55"/>
      <w:bookmarkEnd w:id="455"/>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2"/>
        <w:ind w:left="154" w:right="8412" w:firstLine="0"/>
        <w:jc w:val="left"/>
        <w:rPr>
          <w:rFonts w:ascii="宋体" w:hAnsi="宋体" w:cs="宋体" w:eastAsia="宋体" w:hint="default"/>
          <w:sz w:val="21"/>
          <w:szCs w:val="21"/>
        </w:rPr>
      </w:pPr>
      <w:bookmarkStart w:name="5、其他" w:id="456"/>
      <w:bookmarkEnd w:id="45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57"/>
      <w:bookmarkEnd w:id="45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58"/>
      <w:bookmarkEnd w:id="458"/>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8"/>
        <w:ind w:left="574" w:right="0" w:hanging="420"/>
        <w:jc w:val="left"/>
      </w:pPr>
      <w:r>
        <w:rPr/>
        <w:t>资产负债表日存在的重要承诺 为建设创新科技海岸厂房，公司于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日与广东电白一建集团有限公司签订主体工程施工承包合同，合同总</w:t>
      </w:r>
    </w:p>
    <w:p>
      <w:pPr>
        <w:pStyle w:val="BodyText"/>
        <w:spacing w:line="214" w:lineRule="exact"/>
        <w:ind w:right="0"/>
        <w:jc w:val="left"/>
      </w:pPr>
      <w:r>
        <w:rPr/>
        <w:t>额暂定为</w:t>
      </w:r>
      <w:r>
        <w:rPr>
          <w:rFonts w:ascii="Times New Roman" w:hAnsi="Times New Roman" w:cs="Times New Roman" w:eastAsia="Times New Roman" w:hint="default"/>
        </w:rPr>
        <w:t>2.2</w:t>
      </w:r>
      <w:r>
        <w:rPr/>
        <w:t>亿元，截止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日，已完成工作量</w:t>
      </w:r>
      <w:r>
        <w:rPr>
          <w:rFonts w:ascii="Times New Roman" w:hAnsi="Times New Roman" w:cs="Times New Roman" w:eastAsia="Times New Roman" w:hint="default"/>
        </w:rPr>
        <w:t>2,809</w:t>
      </w:r>
      <w:r>
        <w:rPr/>
        <w:t>万元。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或有事项" w:id="459"/>
      <w:bookmarkEnd w:id="45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60"/>
      <w:bookmarkEnd w:id="46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日止，本公司无需披露的重大或有事项。</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公司没有需要披露的重要或有事项，也应予以说明" w:id="461"/>
      <w:bookmarkEnd w:id="46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公司不存在需要披露的重要或有事项。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7692" w:firstLine="0"/>
        <w:jc w:val="left"/>
        <w:rPr>
          <w:rFonts w:ascii="宋体" w:hAnsi="宋体" w:cs="宋体" w:eastAsia="宋体" w:hint="default"/>
          <w:sz w:val="21"/>
          <w:szCs w:val="21"/>
        </w:rPr>
      </w:pPr>
      <w:bookmarkStart w:name="3、其他" w:id="462"/>
      <w:bookmarkEnd w:id="46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63"/>
      <w:bookmarkEnd w:id="46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64"/>
      <w:bookmarkEnd w:id="46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409"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spacing w:line="314" w:lineRule="auto" w:before="51"/>
              <w:ind w:left="16" w:right="23"/>
              <w:jc w:val="left"/>
              <w:rPr>
                <w:rFonts w:ascii="宋体" w:hAnsi="宋体" w:cs="宋体" w:eastAsia="宋体" w:hint="default"/>
                <w:sz w:val="18"/>
                <w:szCs w:val="18"/>
              </w:rPr>
            </w:pPr>
            <w:r>
              <w:rPr>
                <w:rFonts w:ascii="宋体" w:hAnsi="宋体" w:cs="宋体" w:eastAsia="宋体" w:hint="default"/>
                <w:sz w:val="18"/>
                <w:szCs w:val="18"/>
              </w:rPr>
              <w:t>公司拟通过发行股份、可转 换公司债券及支付现金的方 式，收购江西尚通科技发展 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尚 通科技</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的股份， 以实现对尚通科技的控股。 截止报告日，该事项正在有 序推进，公司及相关各方正 在就交易细节进行协商讨 论，交易方案尚未确定。</w:t>
            </w:r>
          </w:p>
        </w:tc>
        <w:tc>
          <w:tcPr>
            <w:tcW w:w="2391" w:type="dxa"/>
            <w:vMerge w:val="restart"/>
            <w:tcBorders>
              <w:top w:val="single" w:sz="4" w:space="0" w:color="000000"/>
              <w:left w:val="single" w:sz="4" w:space="0" w:color="000000"/>
              <w:right w:val="single" w:sz="4" w:space="0" w:color="000000"/>
            </w:tcBorders>
          </w:tcPr>
          <w:p>
            <w:pPr/>
          </w:p>
        </w:tc>
        <w:tc>
          <w:tcPr>
            <w:tcW w:w="23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该事项正在有序推进，公司及 相关各方正在就交易细节进 行协商讨论，交易方案尚未确 定。</w:t>
            </w: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1409"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65"/>
      <w:bookmarkEnd w:id="465"/>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34,023,046.40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3、销售退回" w:id="466"/>
      <w:bookmarkEnd w:id="466"/>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4、其他资产负债表日后事项说明" w:id="467"/>
      <w:bookmarkEnd w:id="467"/>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0"/>
        <w:jc w:val="left"/>
      </w:pPr>
      <w:r>
        <w:rPr>
          <w:rFonts w:ascii="Times New Roman" w:hAnsi="Times New Roman" w:cs="Times New Roman" w:eastAsia="Times New Roman" w:hint="default"/>
        </w:rPr>
        <w:t>1</w:t>
      </w:r>
      <w:r>
        <w:rPr/>
        <w:t>、利润分配情况 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日，本公司第三届董事会召开第十三次会议，批准</w:t>
      </w:r>
      <w:r>
        <w:rPr>
          <w:rFonts w:ascii="Times New Roman" w:hAnsi="Times New Roman" w:cs="Times New Roman" w:eastAsia="Times New Roman" w:hint="default"/>
        </w:rPr>
        <w:t>2018</w:t>
      </w:r>
      <w:r>
        <w:rPr/>
        <w:t>年度利润分配预案，以截至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w:t>
      </w:r>
    </w:p>
    <w:p>
      <w:pPr>
        <w:pStyle w:val="BodyText"/>
        <w:spacing w:line="300" w:lineRule="auto" w:before="13"/>
        <w:ind w:right="1129"/>
        <w:jc w:val="both"/>
      </w:pPr>
      <w:r>
        <w:rPr/>
        <w:t>股本总数</w:t>
      </w:r>
      <w:r>
        <w:rPr>
          <w:rFonts w:ascii="Times New Roman" w:hAnsi="Times New Roman" w:cs="Times New Roman" w:eastAsia="Times New Roman" w:hint="default"/>
        </w:rPr>
        <w:t>170,115,232</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2.00</w:t>
      </w:r>
      <w:r>
        <w:rPr/>
        <w:t>元（含税），同时以资本公积向股东每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r>
        <w:rPr>
          <w:spacing w:val="-45"/>
        </w:rPr>
        <w:t> </w:t>
      </w:r>
      <w:r>
        <w:rPr/>
        <w:t>该项决议尚需提交股东大会批准。</w:t>
      </w:r>
    </w:p>
    <w:p>
      <w:pPr>
        <w:pStyle w:val="BodyText"/>
        <w:spacing w:line="300" w:lineRule="auto" w:before="31"/>
        <w:ind w:left="574" w:right="1028"/>
        <w:jc w:val="left"/>
      </w:pPr>
      <w:r>
        <w:rPr>
          <w:rFonts w:ascii="Times New Roman" w:hAnsi="Times New Roman" w:cs="Times New Roman" w:eastAsia="Times New Roman" w:hint="default"/>
        </w:rPr>
        <w:t>2</w:t>
      </w:r>
      <w:r>
        <w:rPr/>
        <w:t>、重要的非调整事项 </w:t>
      </w:r>
      <w:r>
        <w:rPr>
          <w:spacing w:val="-4"/>
        </w:rPr>
        <w:t>公司拟通过发行股份、可转换公司债券及支付现金的方式，收购江西尚通科技发展股份有限公司（以下简称</w:t>
      </w:r>
      <w:r>
        <w:rPr>
          <w:rFonts w:ascii="Times New Roman" w:hAnsi="Times New Roman" w:cs="Times New Roman" w:eastAsia="Times New Roman" w:hint="default"/>
          <w:spacing w:val="-4"/>
        </w:rPr>
        <w:t>“</w:t>
      </w:r>
      <w:r>
        <w:rPr>
          <w:spacing w:val="-4"/>
        </w:rPr>
        <w:t>尚通科技</w:t>
      </w:r>
      <w:r>
        <w:rPr>
          <w:rFonts w:ascii="Times New Roman" w:hAnsi="Times New Roman" w:cs="Times New Roman" w:eastAsia="Times New Roman" w:hint="default"/>
          <w:spacing w:val="-4"/>
        </w:rPr>
        <w:t>”</w:t>
      </w:r>
      <w:r>
        <w:rPr>
          <w:spacing w:val="-4"/>
        </w:rPr>
        <w:t>）</w:t>
      </w:r>
    </w:p>
    <w:p>
      <w:pPr>
        <w:pStyle w:val="BodyText"/>
        <w:spacing w:line="300" w:lineRule="auto" w:before="13"/>
        <w:ind w:right="1131"/>
        <w:jc w:val="both"/>
      </w:pPr>
      <w:r>
        <w:rPr/>
        <w:t>的</w:t>
      </w:r>
      <w:r>
        <w:rPr>
          <w:rFonts w:ascii="Times New Roman" w:hAnsi="Times New Roman" w:cs="Times New Roman" w:eastAsia="Times New Roman" w:hint="default"/>
        </w:rPr>
        <w:t>100</w:t>
      </w:r>
      <w:r>
        <w:rPr>
          <w:rFonts w:ascii="Times New Roman" w:hAnsi="Times New Roman" w:cs="Times New Roman" w:eastAsia="Times New Roman" w:hint="default"/>
          <w:spacing w:val="-7"/>
        </w:rPr>
        <w:t> </w:t>
      </w:r>
      <w:r>
        <w:rPr>
          <w:rFonts w:ascii="Times New Roman" w:hAnsi="Times New Roman" w:cs="Times New Roman" w:eastAsia="Times New Roman" w:hint="default"/>
        </w:rPr>
        <w:t>%</w:t>
      </w:r>
      <w:r>
        <w:rPr/>
        <w:t>的股份，以实现对尚通科技的控股。截止报告日，该事项正在有序推进，公司及相关各方正在就交易细节进行协商 讨论，交易方案尚未确定。</w:t>
      </w:r>
    </w:p>
    <w:p>
      <w:pPr>
        <w:pStyle w:val="BodyText"/>
        <w:spacing w:line="300" w:lineRule="auto" w:before="31"/>
        <w:ind w:left="574" w:right="1062"/>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日起执行新会计准则的影响 财政部于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日分别发布了《企业会计准则第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w:t>
      </w:r>
      <w:r>
        <w:rPr>
          <w:rFonts w:ascii="Times New Roman" w:hAnsi="Times New Roman" w:cs="Times New Roman" w:eastAsia="Times New Roman" w:hint="default"/>
        </w:rPr>
        <w:t>2017</w:t>
      </w:r>
      <w:r>
        <w:rPr/>
        <w:t>年修订）》（财会〔</w:t>
      </w:r>
      <w:r>
        <w:rPr>
          <w:rFonts w:ascii="Times New Roman" w:hAnsi="Times New Roman" w:cs="Times New Roman" w:eastAsia="Times New Roman" w:hint="default"/>
        </w:rPr>
        <w:t>2017</w:t>
      </w:r>
      <w:r>
        <w:rPr/>
        <w:t>〕</w:t>
      </w:r>
    </w:p>
    <w:p>
      <w:pPr>
        <w:pStyle w:val="BodyText"/>
        <w:spacing w:line="300" w:lineRule="auto" w:before="13"/>
        <w:ind w:right="1129"/>
        <w:jc w:val="both"/>
      </w:pPr>
      <w:r>
        <w:rPr>
          <w:rFonts w:ascii="Times New Roman" w:hAnsi="Times New Roman" w:cs="Times New Roman" w:eastAsia="Times New Roman" w:hint="default"/>
          <w:spacing w:val="-2"/>
        </w:rPr>
        <w:t>7</w:t>
      </w:r>
      <w:r>
        <w:rPr>
          <w:spacing w:val="-2"/>
        </w:rPr>
        <w:t>号）、《企业会计准则第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w:t>
      </w:r>
      <w:r>
        <w:rPr>
          <w:rFonts w:ascii="Times New Roman" w:hAnsi="Times New Roman" w:cs="Times New Roman" w:eastAsia="Times New Roman" w:hint="default"/>
          <w:spacing w:val="-2"/>
        </w:rPr>
        <w:t>2017</w:t>
      </w:r>
      <w:r>
        <w:rPr>
          <w:spacing w:val="-2"/>
        </w:rPr>
        <w:t>年修订）》（财会〔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8</w:t>
      </w:r>
      <w:r>
        <w:rPr>
          <w:spacing w:val="-2"/>
        </w:rPr>
        <w:t>号）、《企业会计准则第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w:t>
      </w:r>
      <w:r>
        <w:rPr>
          <w:spacing w:val="-57"/>
        </w:rPr>
        <w:t> </w:t>
      </w:r>
      <w:r>
        <w:rPr/>
        <w:t>会计（</w:t>
      </w:r>
      <w:r>
        <w:rPr>
          <w:rFonts w:ascii="Times New Roman" w:hAnsi="Times New Roman" w:cs="Times New Roman" w:eastAsia="Times New Roman" w:hint="default"/>
        </w:rPr>
        <w:t>2017</w:t>
      </w:r>
      <w:r>
        <w:rPr/>
        <w:t>年修订）》（财会〔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9</w:t>
      </w:r>
      <w:r>
        <w:rPr/>
        <w:t>号），于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日发布了《企业会计准则第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2017</w:t>
      </w:r>
      <w:r>
        <w:rPr/>
        <w:t>年修</w:t>
      </w:r>
      <w:r>
        <w:rPr>
          <w:spacing w:val="-83"/>
        </w:rPr>
        <w:t> </w:t>
      </w:r>
      <w:r>
        <w:rPr>
          <w:spacing w:val="-2"/>
        </w:rPr>
        <w:t>订）》（财会〔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14</w:t>
      </w:r>
      <w:r>
        <w:rPr>
          <w:spacing w:val="-2"/>
        </w:rPr>
        <w:t>号）（上述准则以下统称</w:t>
      </w:r>
      <w:r>
        <w:rPr>
          <w:rFonts w:ascii="Times New Roman" w:hAnsi="Times New Roman" w:cs="Times New Roman" w:eastAsia="Times New Roman" w:hint="default"/>
          <w:spacing w:val="-2"/>
        </w:rPr>
        <w:t>“</w:t>
      </w:r>
      <w:r>
        <w:rPr>
          <w:spacing w:val="-2"/>
        </w:rPr>
        <w:t>新金融工具准则</w:t>
      </w:r>
      <w:r>
        <w:rPr>
          <w:rFonts w:ascii="Times New Roman" w:hAnsi="Times New Roman" w:cs="Times New Roman" w:eastAsia="Times New Roman" w:hint="default"/>
          <w:spacing w:val="-2"/>
        </w:rPr>
        <w:t>”</w:t>
      </w:r>
      <w:r>
        <w:rPr>
          <w:spacing w:val="-2"/>
        </w:rPr>
        <w:t>），并要求境内上市公司自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日起施行。经本</w:t>
      </w:r>
      <w:r>
        <w:rPr>
          <w:spacing w:val="-32"/>
        </w:rPr>
        <w:t> </w:t>
      </w:r>
      <w:r>
        <w:rPr>
          <w:spacing w:val="-32"/>
        </w:rPr>
      </w:r>
      <w:r>
        <w:rPr/>
        <w:t>公司第三届董事会第十三次会议于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日决议通过，本公司将于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日起执行上述新金融工具准则，并将依</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74" w:right="4032" w:hanging="420"/>
        <w:jc w:val="left"/>
      </w:pPr>
      <w:r>
        <w:rPr/>
        <w:t>据上述新金融工具准则的规定对相关会计政策进行变更。 以下为所涉及的会计政策变更的主要内容： 在新金融工具准则下所有已确认金融资产其后续均按摊余成本或公允价值计量。</w:t>
      </w:r>
    </w:p>
    <w:p>
      <w:pPr>
        <w:pStyle w:val="BodyText"/>
        <w:spacing w:line="319" w:lineRule="auto" w:before="19"/>
        <w:ind w:right="1131" w:firstLine="420"/>
        <w:jc w:val="both"/>
      </w:pPr>
      <w:r>
        <w:rPr/>
        <w:t>在新金融工具准则施行日，以本公司该日既有事实和情况为基础评估管理金融资产的业务模式、以金融资产初始确认 </w:t>
      </w:r>
      <w:r>
        <w:rPr>
          <w:spacing w:val="-2"/>
        </w:rPr>
        <w:t>时的事实和情况为基础评估该金融资产上的合同现金流量特征，将金融资产分为三类：按摊余成本计量、按公允价值计量且</w:t>
      </w:r>
      <w:r>
        <w:rPr>
          <w:spacing w:val="-66"/>
        </w:rPr>
        <w:t> </w:t>
      </w:r>
      <w:r>
        <w:rPr>
          <w:spacing w:val="-66"/>
        </w:rPr>
      </w:r>
      <w:r>
        <w:rPr>
          <w:spacing w:val="-2"/>
        </w:rPr>
        <w:t>其变动计入其他综合收益及按公允价值计量且其变动计入损益。其中，对于按公允价值计量且其变动计入其他综合收益的权</w:t>
      </w:r>
      <w:r>
        <w:rPr>
          <w:spacing w:val="-64"/>
        </w:rPr>
        <w:t> </w:t>
      </w:r>
      <w:r>
        <w:rPr>
          <w:spacing w:val="-64"/>
        </w:rPr>
      </w:r>
      <w:r>
        <w:rPr>
          <w:spacing w:val="-2"/>
        </w:rPr>
        <w:t>益工具投资，当该金融资产终止确认时，之前计入其他综合收益的累计利得或损失将从其他综合收益转入留存收益，不计入</w:t>
      </w:r>
      <w:r>
        <w:rPr>
          <w:spacing w:val="-65"/>
        </w:rPr>
        <w:t> </w:t>
      </w:r>
      <w:r>
        <w:rPr>
          <w:spacing w:val="-65"/>
        </w:rPr>
      </w:r>
      <w:r>
        <w:rPr/>
        <w:t>当期损益。</w:t>
      </w:r>
    </w:p>
    <w:p>
      <w:pPr>
        <w:pStyle w:val="BodyText"/>
        <w:spacing w:line="316" w:lineRule="auto" w:before="17"/>
        <w:ind w:right="1133" w:firstLine="420"/>
        <w:jc w:val="both"/>
      </w:pPr>
      <w:r>
        <w:rPr/>
        <w:t>在新金融工具准则下，本公司以预期信用损失为基础，对以摊余成本计量的金融资产、以公允价值计量且其变动计入 其他综合收益的债务工具投资、租赁应收款、合同资产及财务担保合同计提减值准备并确认信用减值损失。</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十六、其他重要事项" w:id="468"/>
      <w:bookmarkEnd w:id="468"/>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69"/>
      <w:bookmarkEnd w:id="469"/>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70"/>
      <w:bookmarkEnd w:id="470"/>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未来适用法" w:id="471"/>
      <w:bookmarkEnd w:id="471"/>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债务重组" w:id="472"/>
      <w:bookmarkEnd w:id="472"/>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73"/>
      <w:bookmarkEnd w:id="473"/>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74"/>
      <w:bookmarkEnd w:id="474"/>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75"/>
      <w:bookmarkEnd w:id="475"/>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76"/>
      <w:bookmarkEnd w:id="476"/>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77"/>
      <w:bookmarkEnd w:id="477"/>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分部信息" w:id="478"/>
      <w:bookmarkEnd w:id="478"/>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79"/>
      <w:bookmarkEnd w:id="479"/>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480"/>
      <w:bookmarkEnd w:id="480"/>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公司无报告分部的，或者不能披露各报告分部的资产总额和负债总额的，应说明原因" w:id="481"/>
      <w:bookmarkEnd w:id="481"/>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482"/>
      <w:bookmarkEnd w:id="482"/>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483"/>
      <w:bookmarkEnd w:id="483"/>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472" w:firstLine="0"/>
        <w:jc w:val="left"/>
        <w:rPr>
          <w:rFonts w:ascii="宋体" w:hAnsi="宋体" w:cs="宋体" w:eastAsia="宋体" w:hint="default"/>
          <w:sz w:val="21"/>
          <w:szCs w:val="21"/>
        </w:rPr>
      </w:pPr>
      <w:bookmarkStart w:name="8、其他" w:id="484"/>
      <w:bookmarkEnd w:id="48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85"/>
      <w:bookmarkEnd w:id="48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486"/>
      <w:bookmarkEnd w:id="486"/>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936,892.31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124,451,326.25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105,711,641.83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125,388,218.56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105,711,641.83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487"/>
      <w:bookmarkEnd w:id="487"/>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936,892.31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936,892.31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期末公司因出票人未履约而将其转应收账款的票据" w:id="488"/>
      <w:bookmarkEnd w:id="488"/>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应收账款" w:id="489"/>
      <w:bookmarkEnd w:id="489"/>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138,651,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859.01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14,200,5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32.76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124,451,3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26.25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116,752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,555.51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11,040,91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105,711,64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1.83</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138,651,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859.01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14,200,5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32.76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10.24%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124,451,3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26.25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116,752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,555.51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11,040,91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3.68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9.46%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105,711,64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1.83</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101,542,990.12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5,077,149.50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19,186,572.59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1,918,657.26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7,765,400.07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1,553,080.01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3,746,296.02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1,123,888.81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3,765,686.06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1,882,843.03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2,644,914.15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2,644,914.15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138,651,859.01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14,200,532.76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10.24%</w:t>
            </w: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40" w:lineRule="auto" w:before="2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240" w:lineRule="auto" w:before="44"/>
        <w:ind w:right="-13"/>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right="-13"/>
        <w:jc w:val="left"/>
      </w:pPr>
      <w:r>
        <w:rPr/>
        <w:t>本期计提坏账准备金额</w:t>
      </w:r>
      <w:r>
        <w:rPr>
          <w:spacing w:val="-47"/>
        </w:rPr>
        <w:t> </w:t>
      </w:r>
      <w:r>
        <w:rPr>
          <w:rFonts w:ascii="Times New Roman" w:hAnsi="Times New Roman" w:cs="Times New Roman" w:eastAsia="Times New Roman" w:hint="default"/>
        </w:rPr>
        <w:t>3,159,619.08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479" w:right="8087" w:hanging="326"/>
        <w:jc w:val="left"/>
      </w:pPr>
      <w:r>
        <w:rPr/>
        <w:t>应收账款核销说明： 本年无实际核销的应收账款。</w:t>
      </w:r>
    </w:p>
    <w:p>
      <w:pPr>
        <w:pStyle w:val="BodyText"/>
        <w:spacing w:line="338" w:lineRule="auto" w:before="29"/>
        <w:ind w:left="514" w:right="0" w:hanging="360"/>
        <w:jc w:val="left"/>
      </w:pPr>
      <w:r>
        <w:rPr>
          <w:rFonts w:ascii="Times New Roman" w:hAnsi="Times New Roman" w:cs="Times New Roman" w:eastAsia="Times New Roman" w:hint="default"/>
        </w:rPr>
        <w:t>4)</w:t>
      </w:r>
      <w:r>
        <w:rPr/>
        <w:t>按欠款方归集的期末余额前五名的应收账款情况</w:t>
      </w:r>
      <w:r>
        <w:rPr>
          <w:w w:val="99"/>
        </w:rPr>
        <w:t> </w:t>
      </w:r>
      <w:r>
        <w:rPr>
          <w:spacing w:val="-1"/>
        </w:rPr>
        <w:t>本公司本年按欠款方归集的年末余额前五名应收账款汇总金额为</w:t>
      </w:r>
      <w:r>
        <w:rPr>
          <w:rFonts w:ascii="Times New Roman" w:hAnsi="Times New Roman" w:cs="Times New Roman" w:eastAsia="Times New Roman" w:hint="default"/>
          <w:spacing w:val="-1"/>
        </w:rPr>
        <w:t>25,690,528.03</w:t>
      </w:r>
      <w:r>
        <w:rPr>
          <w:spacing w:val="-1"/>
        </w:rPr>
        <w:t>元，占应收账款年末余额合计数的比例为</w:t>
      </w:r>
    </w:p>
    <w:p>
      <w:pPr>
        <w:pStyle w:val="BodyText"/>
        <w:spacing w:line="230" w:lineRule="exact"/>
        <w:ind w:right="0"/>
        <w:jc w:val="left"/>
      </w:pPr>
      <w:r>
        <w:rPr>
          <w:rFonts w:ascii="Times New Roman" w:hAnsi="Times New Roman" w:cs="Times New Roman" w:eastAsia="Times New Roman" w:hint="default"/>
        </w:rPr>
        <w:t>18.53%</w:t>
      </w:r>
      <w:r>
        <w:rPr/>
        <w:t>，相应计提的坏账准备年末余额汇总金额为</w:t>
      </w:r>
      <w:r>
        <w:rPr>
          <w:rFonts w:ascii="Times New Roman" w:hAnsi="Times New Roman" w:cs="Times New Roman" w:eastAsia="Times New Roman" w:hint="default"/>
        </w:rPr>
        <w:t>1,296,869.90</w:t>
      </w:r>
      <w:r>
        <w:rPr/>
        <w:t>元。</w:t>
      </w:r>
    </w:p>
    <w:p>
      <w:pPr>
        <w:pStyle w:val="BodyText"/>
        <w:spacing w:line="240" w:lineRule="auto" w:before="103"/>
        <w:ind w:right="0"/>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2"/>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其他应收款" w:id="490"/>
      <w:bookmarkEnd w:id="49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1,042,290.42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949,715.07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18,159,339.38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2,413,801.89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19,201,629.80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3,363,516.96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491"/>
      <w:bookmarkEnd w:id="49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1,042,290.42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949,715.07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1,042,290.42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949,715.07</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股利" w:id="492"/>
      <w:bookmarkEnd w:id="492"/>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应收款" w:id="493"/>
      <w:bookmarkEnd w:id="493"/>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18,794,1</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85.41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634,846.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18,159,33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9.38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2,908,2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31.45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494,429.5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17.00%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2,413,801.8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18,794,1</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85.41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634,846.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3.38%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18,159,33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9.38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2,908,2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31.45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494,429.5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17.00%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2,413,801.8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1,444,887.13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72,244.36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309,759.00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30,975.90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287,742.16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57,548.43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175,599.68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52,679.90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154,800.00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266,597.44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266,597.44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2,794,185.41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634,846.03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48" w:lineRule="auto" w:before="51"/>
        <w:ind w:right="1645"/>
        <w:jc w:val="left"/>
      </w:pPr>
      <w:r>
        <w:rPr/>
        <w:t>确定该组合依据的说明： 计提坏账准备未包括</w:t>
      </w:r>
      <w:r>
        <w:rPr>
          <w:rFonts w:ascii="Times New Roman" w:hAnsi="Times New Roman" w:cs="Times New Roman" w:eastAsia="Times New Roman" w:hint="default"/>
        </w:rPr>
        <w:t>“</w:t>
      </w:r>
      <w:r>
        <w:rPr/>
        <w:t>关联方组合</w:t>
      </w:r>
      <w:r>
        <w:rPr>
          <w:rFonts w:ascii="Times New Roman" w:hAnsi="Times New Roman" w:cs="Times New Roman" w:eastAsia="Times New Roman" w:hint="default"/>
        </w:rPr>
        <w:t>”1,600</w:t>
      </w:r>
      <w:r>
        <w:rPr/>
        <w:t>万。 组合中，采用余额百分比法计提坏账准备的其他应收款：</w:t>
      </w:r>
    </w:p>
    <w:p>
      <w:pPr>
        <w:pStyle w:val="BodyText"/>
        <w:spacing w:line="338" w:lineRule="auto" w:before="36"/>
        <w:ind w:right="20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20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2005"/>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16"/>
        <w:jc w:val="left"/>
      </w:pPr>
      <w:r>
        <w:rPr/>
        <w:t>本期计提坏账准备金额</w:t>
      </w:r>
      <w:r>
        <w:rPr>
          <w:spacing w:val="-46"/>
        </w:rPr>
        <w:t> </w:t>
      </w:r>
      <w:r>
        <w:rPr>
          <w:rFonts w:ascii="Times New Roman" w:hAnsi="Times New Roman" w:cs="Times New Roman" w:eastAsia="Times New Roman" w:hint="default"/>
        </w:rPr>
        <w:t>140,416.47</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340" w:lineRule="auto" w:before="51"/>
        <w:ind w:left="154" w:right="-3" w:firstLine="0"/>
        <w:jc w:val="left"/>
        <w:rPr>
          <w:rFonts w:ascii="宋体" w:hAnsi="宋体" w:cs="宋体" w:eastAsia="宋体" w:hint="default"/>
          <w:sz w:val="18"/>
          <w:szCs w:val="18"/>
        </w:rPr>
      </w:pPr>
      <w:r>
        <w:rPr>
          <w:rFonts w:ascii="宋体" w:hAnsi="宋体" w:cs="宋体" w:eastAsia="宋体" w:hint="default"/>
          <w:sz w:val="18"/>
          <w:szCs w:val="18"/>
        </w:rPr>
        <w:t>其他应收款核销说明： </w:t>
      </w:r>
      <w:r>
        <w:rPr>
          <w:rFonts w:ascii="宋体" w:hAnsi="宋体" w:cs="宋体" w:eastAsia="宋体" w:hint="default"/>
          <w:spacing w:val="-1"/>
          <w:sz w:val="20"/>
          <w:szCs w:val="20"/>
        </w:rPr>
        <w:t>报告期内无实际核销的其他应收款。</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3356" w:space="5474"/>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2,023,741.54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2,140,618.28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535,978.57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586,375.09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234,465.30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181,238.08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18,794,185.41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2,908,231.45</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381,057.84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70,696.44</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353,950.26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17,697.51</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299,600.00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149,800.00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150,050.00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17,184,658.10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91.44%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388,243.95</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2"/>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2"/>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长期股权投资" w:id="494"/>
      <w:bookmarkEnd w:id="49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95"/>
      <w:bookmarkEnd w:id="49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贵安新区贵金科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96"/>
      <w:bookmarkEnd w:id="49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74"/>
      </w:tblGrid>
      <w:tr>
        <w:trPr>
          <w:trHeight w:val="402" w:hRule="exact"/>
        </w:trPr>
        <w:tc>
          <w:tcPr>
            <w:tcW w:w="9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497"/>
      <w:bookmarkEnd w:id="49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498"/>
      <w:bookmarkEnd w:id="49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224,908,514.80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102,929,953.36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242,018,669.49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74,502,957.48</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42,449.62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84,916.30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224,950,964.42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103,014,869.66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242,018,669.49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74,502,957.48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投资收益" w:id="499"/>
      <w:bookmarkEnd w:id="49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15,107,543.05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14,541,383.46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15,107,543.05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14,541,383.46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500"/>
      <w:bookmarkEnd w:id="500"/>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01"/>
      <w:bookmarkEnd w:id="501"/>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02"/>
      <w:bookmarkEnd w:id="50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3,784,462.50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22,290.93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19,533,675.67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理财收益及所得税退回</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2,837,169.76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20,503,259.34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03"/>
      <w:bookmarkEnd w:id="50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504"/>
      <w:bookmarkEnd w:id="50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05"/>
      <w:bookmarkEnd w:id="50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06"/>
      <w:bookmarkEnd w:id="50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07"/>
      <w:bookmarkEnd w:id="507"/>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08"/>
      <w:bookmarkEnd w:id="508"/>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509"/>
      <w:bookmarkStart w:name="第十二节 备查文件目录" w:id="510"/>
      <w:r>
        <w:rPr>
          <w:b w:val="0"/>
          <w:bCs w:val="0"/>
        </w:rPr>
      </w:r>
      <w:r>
        <w:rPr/>
        <w:t>第十二节</w:t>
      </w:r>
      <w:r>
        <w:rPr>
          <w:spacing w:val="-8"/>
        </w:rPr>
        <w:t> </w:t>
      </w:r>
      <w:r>
        <w:rPr/>
        <w:t>备查文件目录</w:t>
      </w:r>
      <w:bookmarkEnd w:id="509"/>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t>、载有公司负责人、主管会计工作负责人及会计机构负责人签名并盖章的财务报表。</w:t>
      </w:r>
    </w:p>
    <w:p>
      <w:pPr>
        <w:pStyle w:val="BodyText"/>
        <w:spacing w:line="240" w:lineRule="auto" w:before="63"/>
        <w:ind w:right="0"/>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40" w:lineRule="auto" w:before="63"/>
        <w:ind w:right="0"/>
        <w:jc w:val="left"/>
      </w:pPr>
      <w:r>
        <w:rPr>
          <w:rFonts w:ascii="Times New Roman" w:hAnsi="Times New Roman" w:cs="Times New Roman" w:eastAsia="Times New Roman" w:hint="default"/>
        </w:rPr>
        <w:t>3</w:t>
      </w:r>
      <w:r>
        <w:rPr/>
        <w:t>、报告期内在中国证监会指定网站上公开披露过的所有公司文件的正本及公告的原稿。</w:t>
      </w:r>
    </w:p>
    <w:p>
      <w:pPr>
        <w:pStyle w:val="BodyText"/>
        <w:spacing w:line="240" w:lineRule="auto" w:before="63"/>
        <w:ind w:right="0"/>
        <w:jc w:val="left"/>
      </w:pPr>
      <w:r>
        <w:rPr>
          <w:rFonts w:ascii="Times New Roman" w:hAnsi="Times New Roman" w:cs="Times New Roman" w:eastAsia="Times New Roman" w:hint="default"/>
        </w:rPr>
        <w:t>4</w:t>
      </w:r>
      <w:r>
        <w:rPr/>
        <w:t>、经公司法定代表人签名的</w:t>
      </w:r>
      <w:r>
        <w:rPr>
          <w:rFonts w:ascii="Times New Roman" w:hAnsi="Times New Roman" w:cs="Times New Roman" w:eastAsia="Times New Roman" w:hint="default"/>
        </w:rPr>
        <w:t>2018</w:t>
      </w:r>
      <w:r>
        <w:rPr/>
        <w:t>年年度报告文本原件。</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before="44"/>
        <w:ind w:left="0" w:right="1130"/>
        <w:jc w:val="right"/>
      </w:pPr>
      <w:r>
        <w:rPr/>
        <w:t>珠海汇金科技股份有限公司</w:t>
      </w:r>
    </w:p>
    <w:p>
      <w:pPr>
        <w:pStyle w:val="BodyText"/>
        <w:spacing w:line="240" w:lineRule="auto" w:before="76"/>
        <w:ind w:left="0" w:right="1130"/>
        <w:jc w:val="righ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8472" type="#_x0000_t75" stroked="false">
          <v:imagedata r:id="rId1" o:title=""/>
        </v:shape>
      </w:pict>
    </w:r>
    <w:r>
      <w:rPr/>
      <w:pict>
        <v:shape style="position:absolute;margin-left:533.179993pt;margin-top:795.517944pt;width:6.5pt;height:11pt;mso-position-horizontal-relative:page;mso-position-vertical-relative:page;z-index:-11584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8424" type="#_x0000_t75" stroked="false">
          <v:imagedata r:id="rId1" o:title=""/>
        </v:shape>
      </w:pict>
    </w:r>
    <w:r>
      <w:rPr/>
      <w:pict>
        <v:shape style="position:absolute;margin-left:527.679993pt;margin-top:781.957947pt;width:13pt;height:11pt;mso-position-horizontal-relative:page;mso-position-vertical-relative:page;z-index:-1158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8376" type="#_x0000_t75" stroked="false">
          <v:imagedata r:id="rId1" o:title=""/>
        </v:shape>
      </w:pict>
    </w:r>
    <w:r>
      <w:rPr/>
      <w:pict>
        <v:shape style="position:absolute;margin-left:527.679993pt;margin-top:781.957947pt;width:13pt;height:11pt;mso-position-horizontal-relative:page;mso-position-vertical-relative:page;z-index:-1158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8328" type="#_x0000_t75" stroked="false">
          <v:imagedata r:id="rId1" o:title=""/>
        </v:shape>
      </w:pict>
    </w:r>
    <w:r>
      <w:rPr/>
      <w:pict>
        <v:shape style="position:absolute;margin-left:524.179993pt;margin-top:781.957947pt;width:15.5pt;height:11pt;mso-position-horizontal-relative:page;mso-position-vertical-relative:page;z-index:-11583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8280" type="#_x0000_t75" stroked="false">
          <v:imagedata r:id="rId1" o:title=""/>
        </v:shape>
      </w:pict>
    </w:r>
    <w:r>
      <w:rPr/>
      <w:pict>
        <v:shape style="position:absolute;margin-left:523.179993pt;margin-top:781.957947pt;width:17.5pt;height:11pt;mso-position-horizontal-relative:page;mso-position-vertical-relative:page;z-index:-1158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158496" type="#_x0000_t202" filled="false" stroked="false">
          <v:textbox inset="0,0,0,0">
            <w:txbxContent>
              <w:p>
                <w:pPr>
                  <w:pStyle w:val="BodyText"/>
                  <w:spacing w:line="214" w:lineRule="exact"/>
                  <w:ind w:left="20" w:right="0"/>
                  <w:jc w:val="left"/>
                </w:pPr>
                <w:r>
                  <w:rPr/>
                  <w:t>珠海汇金科技股份有限公司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78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90"/>
      <w:ind w:left="574"/>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sgsg.cc/" TargetMode="External"/><Relationship Id="rId11" Type="http://schemas.openxmlformats.org/officeDocument/2006/relationships/hyperlink" Target="mailto:investor@sgsg.cc" TargetMode="External"/><Relationship Id="rId12" Type="http://schemas.openxmlformats.org/officeDocument/2006/relationships/image" Target="media/image3.png"/><Relationship Id="rId13" Type="http://schemas.openxmlformats.org/officeDocument/2006/relationships/footer" Target="footer3.xml"/><Relationship Id="rId14" Type="http://schemas.openxmlformats.org/officeDocument/2006/relationships/image" Target="media/image4.jpeg"/><Relationship Id="rId15" Type="http://schemas.openxmlformats.org/officeDocument/2006/relationships/hyperlink" Target="http://www.cninfo.com/" TargetMode="External"/><Relationship Id="rId16" Type="http://schemas.openxmlformats.org/officeDocument/2006/relationships/footer" Target="footer4.xml"/><Relationship Id="rId17"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珠海汇金科技股份有限公司</dc:creator>
  <dc:title>珠海汇金科技股份有限公司2018年年度报告全文</dc:title>
  <dcterms:created xsi:type="dcterms:W3CDTF">2020-05-05T03:10:58Z</dcterms:created>
  <dcterms:modified xsi:type="dcterms:W3CDTF">2020-05-05T03:10:58Z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Office Word 2007</vt:lpwstr>
  </property>
  <property fmtid="{D5CDD505-2E9C-101B-9397-08002B2CF9AE}" pid="4" name="LastSaved">
    <vt:filetime>2020-05-04T00:00:00Z</vt:filetime>
  </property>
</Properties>
</file>